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CB21DF" w:rsidRPr="00CB21DF" w:rsidTr="00CB21DF">
        <w:trPr>
          <w:tblCellSpacing w:w="0" w:type="dxa"/>
          <w:jc w:val="center"/>
        </w:trPr>
        <w:tc>
          <w:tcPr>
            <w:tcW w:w="0" w:type="auto"/>
            <w:tcBorders>
              <w:top w:val="nil"/>
              <w:left w:val="nil"/>
              <w:bottom w:val="nil"/>
              <w:right w:val="nil"/>
            </w:tcBorders>
            <w:vAlign w:val="center"/>
            <w:hideMark/>
          </w:tcPr>
          <w:p w:rsidR="00CB21DF" w:rsidRPr="00CB21DF" w:rsidRDefault="00CB21DF" w:rsidP="00CB21DF">
            <w:pPr>
              <w:jc w:val="center"/>
              <w:rPr>
                <w:rFonts w:ascii="黑体" w:eastAsia="黑体" w:hAnsi="黑体"/>
                <w:sz w:val="28"/>
              </w:rPr>
            </w:pPr>
            <w:r w:rsidRPr="00CB21DF">
              <w:rPr>
                <w:rFonts w:ascii="黑体" w:eastAsia="黑体" w:hAnsi="黑体"/>
                <w:bCs/>
                <w:sz w:val="28"/>
              </w:rPr>
              <w:t>国务院办公厅关于当前金融促进经济发展的若干意见</w:t>
            </w:r>
          </w:p>
        </w:tc>
      </w:tr>
      <w:tr w:rsidR="00CB21DF" w:rsidRPr="00CB21DF" w:rsidTr="00CB21DF">
        <w:trPr>
          <w:tblCellSpacing w:w="0" w:type="dxa"/>
          <w:jc w:val="center"/>
        </w:trPr>
        <w:tc>
          <w:tcPr>
            <w:tcW w:w="0" w:type="auto"/>
            <w:tcBorders>
              <w:top w:val="nil"/>
              <w:left w:val="nil"/>
              <w:bottom w:val="nil"/>
              <w:right w:val="nil"/>
            </w:tcBorders>
            <w:vAlign w:val="center"/>
            <w:hideMark/>
          </w:tcPr>
          <w:p w:rsidR="00CB21DF" w:rsidRPr="00CB21DF" w:rsidRDefault="00CB21DF" w:rsidP="00CB21DF">
            <w:pPr>
              <w:jc w:val="center"/>
              <w:rPr>
                <w:rFonts w:asciiTheme="minorEastAsia" w:eastAsiaTheme="minorEastAsia" w:hAnsiTheme="minorEastAsia"/>
              </w:rPr>
            </w:pPr>
            <w:r w:rsidRPr="00CB21DF">
              <w:rPr>
                <w:rFonts w:asciiTheme="minorEastAsia" w:eastAsiaTheme="minorEastAsia" w:hAnsiTheme="minorEastAsia"/>
              </w:rPr>
              <w:br/>
              <w:t xml:space="preserve">　　(2008年12月8日 国办发〔2008〕126号）</w:t>
            </w:r>
          </w:p>
        </w:tc>
      </w:tr>
      <w:tr w:rsidR="00CB21DF" w:rsidRPr="00CB21DF" w:rsidTr="00CB21DF">
        <w:trPr>
          <w:tblCellSpacing w:w="0" w:type="dxa"/>
          <w:jc w:val="center"/>
        </w:trPr>
        <w:tc>
          <w:tcPr>
            <w:tcW w:w="0" w:type="auto"/>
            <w:tcBorders>
              <w:top w:val="nil"/>
              <w:left w:val="nil"/>
              <w:bottom w:val="nil"/>
              <w:right w:val="nil"/>
            </w:tcBorders>
            <w:vAlign w:val="center"/>
            <w:hideMark/>
          </w:tcPr>
          <w:p w:rsidR="00CB21DF" w:rsidRPr="00CB21DF" w:rsidRDefault="00CB21DF" w:rsidP="00CB21DF">
            <w:pPr>
              <w:jc w:val="center"/>
              <w:rPr>
                <w:rFonts w:asciiTheme="minorEastAsia" w:eastAsiaTheme="minorEastAsia" w:hAnsiTheme="minorEastAsia"/>
              </w:rPr>
            </w:pPr>
          </w:p>
        </w:tc>
      </w:tr>
      <w:tr w:rsidR="00CB21DF" w:rsidRPr="00CB21DF" w:rsidTr="00CB21DF">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CB21DF" w:rsidRPr="00CB21DF">
              <w:trPr>
                <w:tblCellSpacing w:w="15" w:type="dxa"/>
                <w:jc w:val="center"/>
              </w:trPr>
              <w:tc>
                <w:tcPr>
                  <w:tcW w:w="0" w:type="auto"/>
                  <w:vAlign w:val="center"/>
                  <w:hideMark/>
                </w:tcPr>
                <w:p w:rsidR="00CB21DF" w:rsidRPr="00CB21DF" w:rsidRDefault="00CB21DF" w:rsidP="00CB21DF">
                  <w:pPr>
                    <w:rPr>
                      <w:rFonts w:asciiTheme="minorEastAsia" w:eastAsiaTheme="minorEastAsia" w:hAnsiTheme="minorEastAsia"/>
                    </w:rPr>
                  </w:pPr>
                  <w:r w:rsidRPr="00CB21DF">
                    <w:rPr>
                      <w:rFonts w:asciiTheme="minorEastAsia" w:eastAsiaTheme="minorEastAsia" w:hAnsiTheme="minorEastAsia"/>
                    </w:rPr>
                    <w:br/>
                    <w:t xml:space="preserve">　　各省、自治区、直辖市人民政府，国务院各部委、各直属机构：</w:t>
                  </w:r>
                  <w:r w:rsidRPr="00CB21DF">
                    <w:rPr>
                      <w:rFonts w:asciiTheme="minorEastAsia" w:eastAsiaTheme="minorEastAsia" w:hAnsiTheme="minorEastAsia"/>
                    </w:rPr>
                    <w:br/>
                    <w:t xml:space="preserve">　　为应对国际金融危机的冲击，贯彻落实党中央、国务院关于进一步扩大内需、促进经济增长的十项措施，认真执行积极的财政政策和适度宽松的货币政策，加大金融支持力度，促进经济平稳较快发展，经国务院批准，提出如下意见：</w:t>
                  </w:r>
                  <w:r w:rsidRPr="00CB21DF">
                    <w:rPr>
                      <w:rFonts w:asciiTheme="minorEastAsia" w:eastAsiaTheme="minorEastAsia" w:hAnsiTheme="minorEastAsia"/>
                    </w:rPr>
                    <w:br/>
                    <w:t xml:space="preserve">　　一、落实适度宽松的货币政策，促进货币信贷稳定增长</w:t>
                  </w:r>
                  <w:r w:rsidRPr="00CB21DF">
                    <w:rPr>
                      <w:rFonts w:asciiTheme="minorEastAsia" w:eastAsiaTheme="minorEastAsia" w:hAnsiTheme="minorEastAsia"/>
                    </w:rPr>
                    <w:br/>
                    <w:t xml:space="preserve">　　（一）保持银行体系流动性充足，促进货币信贷稳定增长。根据经济社会发展需要，创造适度宽松的货币信贷环境，以高于GDP增长与物价上涨之和约3至4个百分点的增长幅度作为2009年货币供应总量目标，争取全年广义货币供应量增长17%左右。密切监测流动性总量及分布变化，适当调减公开市场操作力度，停发3年期央行票据，降低1年期和3个月期央行票据发行频率。根据国内外形势适时适度调整货币政策操作。</w:t>
                  </w:r>
                  <w:r w:rsidRPr="00CB21DF">
                    <w:rPr>
                      <w:rFonts w:asciiTheme="minorEastAsia" w:eastAsiaTheme="minorEastAsia" w:hAnsiTheme="minorEastAsia"/>
                    </w:rPr>
                    <w:br/>
                    <w:t xml:space="preserve">　　（二）追加政策性银行2008年度贷款规模1000亿元，鼓励商业银行发放中央投资项目配套贷款，力争2008年金融机构人民币贷款增加4万亿元以上。</w:t>
                  </w:r>
                  <w:r w:rsidRPr="00CB21DF">
                    <w:rPr>
                      <w:rFonts w:asciiTheme="minorEastAsia" w:eastAsiaTheme="minorEastAsia" w:hAnsiTheme="minorEastAsia"/>
                    </w:rPr>
                    <w:br/>
                    <w:t xml:space="preserve">　　（三）发挥市场在利率决定中的作用，提高经济自我调节能力。增强贷款利率下浮弹性，改进贴现利率形成机制，完善中央银行利率体系。按照主动性、可控性和渐进性原则，进一步完善人民币汇率形成机制，增强汇率弹性，保持人民币汇率在合理均衡水平上基本稳定。</w:t>
                  </w:r>
                  <w:r w:rsidRPr="00CB21DF">
                    <w:rPr>
                      <w:rFonts w:asciiTheme="minorEastAsia" w:eastAsiaTheme="minorEastAsia" w:hAnsiTheme="minorEastAsia"/>
                    </w:rPr>
                    <w:br/>
                    <w:t xml:space="preserve">　　二、加强和改进信贷服务，满足合理资金需求</w:t>
                  </w:r>
                  <w:r w:rsidRPr="00CB21DF">
                    <w:rPr>
                      <w:rFonts w:asciiTheme="minorEastAsia" w:eastAsiaTheme="minorEastAsia" w:hAnsiTheme="minorEastAsia"/>
                    </w:rPr>
                    <w:br/>
                    <w:t xml:space="preserve">　　（四）加强货币政策、信贷政策与产业政策的协调配合。坚持区别对待、有保有压原则，支持符合国家产业政策的产业发展。加大对民生工程、“三农”、重大工程建设、灾后重建、节能减排、科技创新、技术改造和兼并重组、区域协调发展的信贷支持。积极发展面向农户的小额信贷业务，增加扶贫贴息贷款投放规模。探索发展大学毕业生小额创业贷款业务。支持高新技术产业发展。同时，适当控制对一般加工业的贷款，限制对高耗能、高排放行业和产能过剩行业劣质企业的贷款。</w:t>
                  </w:r>
                  <w:r w:rsidRPr="00CB21DF">
                    <w:rPr>
                      <w:rFonts w:asciiTheme="minorEastAsia" w:eastAsiaTheme="minorEastAsia" w:hAnsiTheme="minorEastAsia"/>
                    </w:rPr>
                    <w:br/>
                    <w:t xml:space="preserve">　　（五）鼓励银行业金融机构在风险可控前提下，对基本面比较好、信用记录较好、有竞争力、有市场、有订单但暂时出现经营或财务困难的企业给予信贷支持。全面清理银行信贷政策、法规、办法和指引，根据当前特殊时期需要，对《贷款通则》等有关规定和要求做适当调整。</w:t>
                  </w:r>
                  <w:r w:rsidRPr="00CB21DF">
                    <w:rPr>
                      <w:rFonts w:asciiTheme="minorEastAsia" w:eastAsiaTheme="minorEastAsia" w:hAnsiTheme="minorEastAsia"/>
                    </w:rPr>
                    <w:br/>
                    <w:t xml:space="preserve">　　（六）支持中小企业发展。落实对中小企业融资担保、贴息等扶持政策，鼓励地方人民政府通过资本注入、风险补偿等多种方式增加对信用担保公司的支持。设立包括中央、地方财政出资和企业联合组建在内的多层次中小企业贷款担保基金和担保机构，提高金融机构中小企业贷款比重。对符合条件的中小企业信用担保机构免征营业税。</w:t>
                  </w:r>
                  <w:r w:rsidRPr="00CB21DF">
                    <w:rPr>
                      <w:rFonts w:asciiTheme="minorEastAsia" w:eastAsiaTheme="minorEastAsia" w:hAnsiTheme="minorEastAsia"/>
                    </w:rPr>
                    <w:br/>
                    <w:t xml:space="preserve">　　（七）鼓励金融机构开展出口信贷业务。将进出口银行的人民币出口卖方信贷优惠利率适用范围，扩大到具有自主知识产权、自主品牌和高附加值出口产品。允许金融机构开办人民币出口买方信贷业务。发挥出口信用保险在支持</w:t>
                  </w:r>
                  <w:r w:rsidRPr="00CB21DF">
                    <w:rPr>
                      <w:rFonts w:asciiTheme="minorEastAsia" w:eastAsiaTheme="minorEastAsia" w:hAnsiTheme="minorEastAsia"/>
                    </w:rPr>
                    <w:lastRenderedPageBreak/>
                    <w:t>金融机构开展出口融资业务中的积极作用。</w:t>
                  </w:r>
                  <w:r w:rsidRPr="00CB21DF">
                    <w:rPr>
                      <w:rFonts w:asciiTheme="minorEastAsia" w:eastAsiaTheme="minorEastAsia" w:hAnsiTheme="minorEastAsia"/>
                    </w:rPr>
                    <w:br/>
                    <w:t xml:space="preserve">　　（八）加大对产业转移的信贷支持力度。支持金融机构创新发展针对产业转移的信贷产品和审贷模式，探索多种抵押担保方式。鼓励金融机构优先发放人民币贷款，支持国内过剩产能向境外转移。</w:t>
                  </w:r>
                  <w:r w:rsidRPr="00CB21DF">
                    <w:rPr>
                      <w:rFonts w:asciiTheme="minorEastAsia" w:eastAsiaTheme="minorEastAsia" w:hAnsiTheme="minorEastAsia"/>
                    </w:rPr>
                    <w:br/>
                    <w:t xml:space="preserve">　　（九）加大对农村金融政策支持力度，引导更多信贷资金投向农村。坚持农业银行为农服务方向，拓展农业发展银行支农领域，扩大邮政储蓄银行涉农业务范围，发挥农村信用社为农民服务的主力军作用。县域内银行业金融机构新吸收的存款，主要用于当地发放贷款。建立政府扶持、多方参与、市场运作的农村信贷担保机制。在扩大农村有效担保物范围基础上，积极探索发展农村多种形式担保的信贷产品。指导农村金融机构开展林权质押贷款业务。</w:t>
                  </w:r>
                  <w:r w:rsidRPr="00CB21DF">
                    <w:rPr>
                      <w:rFonts w:asciiTheme="minorEastAsia" w:eastAsiaTheme="minorEastAsia" w:hAnsiTheme="minorEastAsia"/>
                    </w:rPr>
                    <w:br/>
                    <w:t xml:space="preserve">　　（十）落实和出台有关信贷政策措施，支持居民首次购买普通自住房和改善型普通自住房。加大对城市低收入居民廉租房、经济适用房建设和棚户区改造的信贷支持。支持汽车消费信贷业务发展，拓宽汽车金融公司融资渠道。积极扩大农村消费信贷市场。</w:t>
                  </w:r>
                  <w:r w:rsidRPr="00CB21DF">
                    <w:rPr>
                      <w:rFonts w:asciiTheme="minorEastAsia" w:eastAsiaTheme="minorEastAsia" w:hAnsiTheme="minorEastAsia"/>
                    </w:rPr>
                    <w:br/>
                    <w:t xml:space="preserve">　　三、加快建设多层次资本市场体系，发挥市场的资源配置功能</w:t>
                  </w:r>
                  <w:r w:rsidRPr="00CB21DF">
                    <w:rPr>
                      <w:rFonts w:asciiTheme="minorEastAsia" w:eastAsiaTheme="minorEastAsia" w:hAnsiTheme="minorEastAsia"/>
                    </w:rPr>
                    <w:br/>
                    <w:t xml:space="preserve">　　（十一）采取有效措施，稳定股票市场运行，发挥资源配置功能。完善中小企业板市场各项制度，适时推出创业板，逐步完善有机联系的多层次资本市场体系。支持有条件的企业利用资本市场开展兼并重组，促进上市公司行业整合和产业升级，减少审批环节，提升市场效率，不断提高上市公司竞争力。</w:t>
                  </w:r>
                  <w:r w:rsidRPr="00CB21DF">
                    <w:rPr>
                      <w:rFonts w:asciiTheme="minorEastAsia" w:eastAsiaTheme="minorEastAsia" w:hAnsiTheme="minorEastAsia"/>
                    </w:rPr>
                    <w:br/>
                    <w:t xml:space="preserve">　　（十二）推动期货市场稳步发展，探索农产品期货服务“三农”的运作模式，尽快推出适应国民经济发展需要的钢材、稻谷等商品期货新品种。</w:t>
                  </w:r>
                  <w:r w:rsidRPr="00CB21DF">
                    <w:rPr>
                      <w:rFonts w:asciiTheme="minorEastAsia" w:eastAsiaTheme="minorEastAsia" w:hAnsiTheme="minorEastAsia"/>
                    </w:rPr>
                    <w:br/>
                    <w:t xml:space="preserve">　　（十三）扩大债券发行规模，积极发展企业债、公司债、短期融资券和中期票据等债务融资工具。优先安排与基础设施、民生工程、生态环境建设和灾后重建等相关的债券发行。积极鼓励参与国家重点建设项目的上市公司发行公司债券和可转换债券。稳步发展中小企业集合债券，开展中小企业短期融资券试点。推进上市商业银行进入交易所债券市场试点。研究境外机构和企业在境内发行人民币债券，允许在内地有较多业务的香港企业或金融机构在港发行人民币债券。完善债券市场发行规则与监管标准。</w:t>
                  </w:r>
                  <w:r w:rsidRPr="00CB21DF">
                    <w:rPr>
                      <w:rFonts w:asciiTheme="minorEastAsia" w:eastAsiaTheme="minorEastAsia" w:hAnsiTheme="minorEastAsia"/>
                    </w:rPr>
                    <w:br/>
                    <w:t xml:space="preserve">　　四、发挥保险保障和融资功能，促进经济社会稳定运行</w:t>
                  </w:r>
                  <w:r w:rsidRPr="00CB21DF">
                    <w:rPr>
                      <w:rFonts w:asciiTheme="minorEastAsia" w:eastAsiaTheme="minorEastAsia" w:hAnsiTheme="minorEastAsia"/>
                    </w:rPr>
                    <w:br/>
                    <w:t xml:space="preserve">　　（十四）积极发展“三农”保险，进一步扩大农业保险覆盖范围，鼓励保险公司开发农业和农村小额保险及产品质量保险。稳步发展与住房、汽车消费等相关的保险。积极发展建工险、工程险等业务，为重大基础设施项目建设提供风险保障。做好灾后重建保险服务，支持灾区群众基本生活设施和公共服务基础设施恢复重建。研究开放短期出口信用保险市场，引入商业保险公司参与竞争，支持出口贸易。</w:t>
                  </w:r>
                  <w:r w:rsidRPr="00CB21DF">
                    <w:rPr>
                      <w:rFonts w:asciiTheme="minorEastAsia" w:eastAsiaTheme="minorEastAsia" w:hAnsiTheme="minorEastAsia"/>
                    </w:rPr>
                    <w:br/>
                    <w:t xml:space="preserve">　　（十五）发挥保险公司机构投资者作用和保险资金投融资功能，鼓励保险公司购买国债、金融债、企业债和公司债，引导保险公司以债权等方式投资交通、通信、能源等基础设施项目和农村基础设施项目。稳妥推进保险公司投资国有大型龙头企业股权，特别是关系国家战略的能源、资源等产业的龙头企业股权。</w:t>
                  </w:r>
                  <w:r w:rsidRPr="00CB21DF">
                    <w:rPr>
                      <w:rFonts w:asciiTheme="minorEastAsia" w:eastAsiaTheme="minorEastAsia" w:hAnsiTheme="minorEastAsia"/>
                    </w:rPr>
                    <w:br/>
                    <w:t xml:space="preserve">　　（十六）积极发展个人、团体养老等保险业务，鼓励和支持有条件企业通过商业保险建立多层次养老保障计划，研究对养老保险投保人给予延迟纳税等税收优惠。推动健康保险发展，支持相关保险机构投资医疗机构和养老实体。提高保险业参与新型农村合作医疗水平，发展适合农民需求的健康保险和意外</w:t>
                  </w:r>
                  <w:r w:rsidRPr="00CB21DF">
                    <w:rPr>
                      <w:rFonts w:asciiTheme="minorEastAsia" w:eastAsiaTheme="minorEastAsia" w:hAnsiTheme="minorEastAsia"/>
                    </w:rPr>
                    <w:lastRenderedPageBreak/>
                    <w:t>伤害保险。</w:t>
                  </w:r>
                  <w:r w:rsidRPr="00CB21DF">
                    <w:rPr>
                      <w:rFonts w:asciiTheme="minorEastAsia" w:eastAsiaTheme="minorEastAsia" w:hAnsiTheme="minorEastAsia"/>
                    </w:rPr>
                    <w:br/>
                    <w:t xml:space="preserve">　　五、创新融资方式，拓宽企业融资渠道</w:t>
                  </w:r>
                  <w:r w:rsidRPr="00CB21DF">
                    <w:rPr>
                      <w:rFonts w:asciiTheme="minorEastAsia" w:eastAsiaTheme="minorEastAsia" w:hAnsiTheme="minorEastAsia"/>
                    </w:rPr>
                    <w:br/>
                    <w:t xml:space="preserve">　　（十七）允许商业银行对境内外企业发放并购贷款。研究完善企业并购税收政策，积极推动企业兼并重组。</w:t>
                  </w:r>
                  <w:r w:rsidRPr="00CB21DF">
                    <w:rPr>
                      <w:rFonts w:asciiTheme="minorEastAsia" w:eastAsiaTheme="minorEastAsia" w:hAnsiTheme="minorEastAsia"/>
                    </w:rPr>
                    <w:br/>
                    <w:t xml:space="preserve">　　（十八）开展房地产信托投资基金试点，拓宽房地产企业融资渠道。发挥债券市场避险功能，稳步推进债券市场交易工具和相关金融产品创新。开展项目收益债券试点。</w:t>
                  </w:r>
                  <w:r w:rsidRPr="00CB21DF">
                    <w:rPr>
                      <w:rFonts w:asciiTheme="minorEastAsia" w:eastAsiaTheme="minorEastAsia" w:hAnsiTheme="minorEastAsia"/>
                    </w:rPr>
                    <w:br/>
                    <w:t xml:space="preserve">　　（十九）加强对社会资金的鼓励和引导。拓宽民间投资领域，吸引更多社会资金参与政府鼓励项目，特别是灾后基础设施重建项目。出台股权投资基金管理办法，完善工商登记、机构投资者投资、证券登记和税收等相关政策，促进股权投资基金行业规范健康发展。按照中小企业促进法关于鼓励创业投资机构增加对中小企业投资的规定，落实和完善促进创业投资企业发展的税收优惠政策。</w:t>
                  </w:r>
                  <w:r w:rsidRPr="00CB21DF">
                    <w:rPr>
                      <w:rFonts w:asciiTheme="minorEastAsia" w:eastAsiaTheme="minorEastAsia" w:hAnsiTheme="minorEastAsia"/>
                    </w:rPr>
                    <w:br/>
                    <w:t xml:space="preserve">　　（二十）充分发挥农村信用社等金融机构支农主力军作用，扩大村镇银行等新型农村金融机构试点，扩大小额贷款公司试点，规范发展民间融资，建立多层次信贷供给市场。</w:t>
                  </w:r>
                  <w:r w:rsidRPr="00CB21DF">
                    <w:rPr>
                      <w:rFonts w:asciiTheme="minorEastAsia" w:eastAsiaTheme="minorEastAsia" w:hAnsiTheme="minorEastAsia"/>
                    </w:rPr>
                    <w:br/>
                    <w:t xml:space="preserve">　　（二十一）创新信用风险管理工具。在进一步规范发展信贷资产重组、转让市场的基础上，允许在银行间债券市场试点发展以中小企业贷款、涉农贷款、国家重点建设项目贷款等为标的资产的信用风险管理工具，适度分散信贷风险。</w:t>
                  </w:r>
                  <w:r w:rsidRPr="00CB21DF">
                    <w:rPr>
                      <w:rFonts w:asciiTheme="minorEastAsia" w:eastAsiaTheme="minorEastAsia" w:hAnsiTheme="minorEastAsia"/>
                    </w:rPr>
                    <w:br/>
                    <w:t xml:space="preserve">　　六、改进外汇管理，大力推动贸易投资便利化</w:t>
                  </w:r>
                  <w:r w:rsidRPr="00CB21DF">
                    <w:rPr>
                      <w:rFonts w:asciiTheme="minorEastAsia" w:eastAsiaTheme="minorEastAsia" w:hAnsiTheme="minorEastAsia"/>
                    </w:rPr>
                    <w:br/>
                    <w:t xml:space="preserve">　　（二十二）改进贸易收结汇与贸易活动真实性、一致性审核，便利企业特别是中小企业贸易融资。加快进出口核销制度改革，简化手续，实现贸易外汇管理向总量核查、非现场核查和主体监管转变。适当提高企业预收货款结汇比例，将一般企业预收货款结汇比例从10%提高到25%，对单笔金额较小的出口预收货款不纳入结汇额度管理。调整企业延期付款年度发生额规模，由原来不得超过企业上年度进口付汇额的10%提高为25%。简化企业申请比例结汇和临时额度的审批程序，缩短审批时间。允许更多符合条件的中外资企业集团实行外汇资金集中管理，提高资金使用效率。支持香港人民币业务发展，扩大人民币在周边贸易中的计价结算规模，降低对外经济活动的汇率风险。</w:t>
                  </w:r>
                  <w:r w:rsidRPr="00CB21DF">
                    <w:rPr>
                      <w:rFonts w:asciiTheme="minorEastAsia" w:eastAsiaTheme="minorEastAsia" w:hAnsiTheme="minorEastAsia"/>
                    </w:rPr>
                    <w:br/>
                    <w:t xml:space="preserve">　　七、加快金融服务现代化建设，全面提高金融服务水平</w:t>
                  </w:r>
                  <w:r w:rsidRPr="00CB21DF">
                    <w:rPr>
                      <w:rFonts w:asciiTheme="minorEastAsia" w:eastAsiaTheme="minorEastAsia" w:hAnsiTheme="minorEastAsia"/>
                    </w:rPr>
                    <w:br/>
                    <w:t xml:space="preserve">　　（二十三）进一步丰富支付工具体系，提高支付清算效率，加快资金周转速度。进一步增强现金供应的前瞻性，科学组织发行基金调拨，确保现金供应。配合实施积极财政政策，扩大国库集中支付涉农、救灾补贴等财政补助资金范围，实现民生工程、基础设施、生态环境建设和灾后重建所需资金直达最终收款人，确保各项财政支出资金及时安全拨付到位。优化进出口产品退税的国库业务流程，提高退税资金到账速度。加快征信体系建设，继续推动中小企业和农村信用体系建设，进一步规范信贷市场和债券市场信用评级，为中小企业融资创造便利条件。</w:t>
                  </w:r>
                  <w:r w:rsidRPr="00CB21DF">
                    <w:rPr>
                      <w:rFonts w:asciiTheme="minorEastAsia" w:eastAsiaTheme="minorEastAsia" w:hAnsiTheme="minorEastAsia"/>
                    </w:rPr>
                    <w:br/>
                    <w:t xml:space="preserve">　　八、加大财税政策支持力度，增强金融业促进经济发展能力</w:t>
                  </w:r>
                  <w:r w:rsidRPr="00CB21DF">
                    <w:rPr>
                      <w:rFonts w:asciiTheme="minorEastAsia" w:eastAsiaTheme="minorEastAsia" w:hAnsiTheme="minorEastAsia"/>
                    </w:rPr>
                    <w:br/>
                    <w:t xml:space="preserve">　　（二十四）放宽金融机构对中小企业贷款和涉农贷款的呆账核销条件。授权金融机构对符合一定条件的中小企业贷款和涉农贷款进行重组和减免。借款人发生财务困难、无力及时足额偿还贷款本息的，在确保重组和减免后能如期偿还剩余债务的条件下，允许金融机构对债务进行展期或延期、减免表外利息</w:t>
                  </w:r>
                  <w:r w:rsidRPr="00CB21DF">
                    <w:rPr>
                      <w:rFonts w:asciiTheme="minorEastAsia" w:eastAsiaTheme="minorEastAsia" w:hAnsiTheme="minorEastAsia"/>
                    </w:rPr>
                    <w:lastRenderedPageBreak/>
                    <w:t>后，进一步减免本金和表内利息。</w:t>
                  </w:r>
                  <w:r w:rsidRPr="00CB21DF">
                    <w:rPr>
                      <w:rFonts w:asciiTheme="minorEastAsia" w:eastAsiaTheme="minorEastAsia" w:hAnsiTheme="minorEastAsia"/>
                    </w:rPr>
                    <w:br/>
                    <w:t xml:space="preserve">　　（二十五）简化税务部门审核金融机构呆账核销手续和程序，加快审核进度，提高审核效率，促进金融机构及时化解不良资产，防止信贷收缩。涉农贷款和中小企业贷款税前全额拨备损失准备金。对农户小额贷款、农业担保和农业保险实施优惠政策，鼓励金融机构加大对“三农”的信贷支持力度。研究金融机构抵债资产处置税收政策。结合增值税转型完善融资租赁税收政策。</w:t>
                  </w:r>
                  <w:r w:rsidRPr="00CB21DF">
                    <w:rPr>
                      <w:rFonts w:asciiTheme="minorEastAsia" w:eastAsiaTheme="minorEastAsia" w:hAnsiTheme="minorEastAsia"/>
                    </w:rPr>
                    <w:br/>
                    <w:t xml:space="preserve">　　（二十六）发挥财政资金的杠杆作用，调动银行信贷资金支持经济增长。支持地方人民政府建立中小企业贷款风险补偿基金，对银行业金融机构中小企业贷款按增量给予适度的风险补偿。鼓励金融机构建立专门为中小企业提供信贷服务的部门，增加对中小企业的信贷投放。对符合条件的企业引进先进技术和产品更新换代等方面的外汇资金需求，通过进出口银行提供优惠利率进口信贷方式给予支持。</w:t>
                  </w:r>
                  <w:r w:rsidRPr="00CB21DF">
                    <w:rPr>
                      <w:rFonts w:asciiTheme="minorEastAsia" w:eastAsiaTheme="minorEastAsia" w:hAnsiTheme="minorEastAsia"/>
                    </w:rPr>
                    <w:br/>
                    <w:t xml:space="preserve">　　九、深化金融改革，加强风险管理，切实维护金融安全稳定</w:t>
                  </w:r>
                  <w:r w:rsidRPr="00CB21DF">
                    <w:rPr>
                      <w:rFonts w:asciiTheme="minorEastAsia" w:eastAsiaTheme="minorEastAsia" w:hAnsiTheme="minorEastAsia"/>
                    </w:rPr>
                    <w:br/>
                    <w:t xml:space="preserve">　　（二十七）完善国际金融危机监测及应对工作机制。密切监测国际金融危机发展动态，研究风险的可能传播途径，及时对危机发展趋势和影响进行跟踪和评估。高度关注国内金融市场流动性状况、金融机构流动性及资产负债变化。必要时启动应对预案，包括特别流动性支持、剥离不良资产、补充资本金、对银行负债业务进行担保等，确保金融安全稳定运行。</w:t>
                  </w:r>
                  <w:r w:rsidRPr="00CB21DF">
                    <w:rPr>
                      <w:rFonts w:asciiTheme="minorEastAsia" w:eastAsiaTheme="minorEastAsia" w:hAnsiTheme="minorEastAsia"/>
                    </w:rPr>
                    <w:br/>
                    <w:t xml:space="preserve">　　（二十八）完善金融监管体系。进一步加强中央银行与金融监管部门的沟通协调，加强功能监管、审慎监管，强化资本金约束和流动性管理，完善市场信息披露制度，努力防范各种金融风险。</w:t>
                  </w:r>
                  <w:r w:rsidRPr="00CB21DF">
                    <w:rPr>
                      <w:rFonts w:asciiTheme="minorEastAsia" w:eastAsiaTheme="minorEastAsia" w:hAnsiTheme="minorEastAsia"/>
                    </w:rPr>
                    <w:br/>
                    <w:t xml:space="preserve">　　（二十九）商业银行和其他金融机构要继续深化各项改革，完善公司治理，强化基础管理、内部控制和风险防范机制，理顺落实适度宽松货币政策的传导机制。正确处理好金融促进经济发展与防范金融风险的关系，在经济下行时避免盲目惜贷。切实提高金融促进经济发展的质量，防止低水平重复建设。</w:t>
                  </w:r>
                  <w:r w:rsidRPr="00CB21DF">
                    <w:rPr>
                      <w:rFonts w:asciiTheme="minorEastAsia" w:eastAsiaTheme="minorEastAsia" w:hAnsiTheme="minorEastAsia"/>
                    </w:rPr>
                    <w:br/>
                    <w:t xml:space="preserve">　　（三十）支持和鼓励地方人民政府为改善金融服务创造良好条件。地方人民政府应在保护银行债权、防止逃废银行债务、处置抵贷资产、合法有序进行破产清算等方面营造有利环境。继续推进地方金融机构改革，维护地方金融稳定，推动地方信用体系建设，培育诚实守信的社会信用文化，促进地方金融生态环境改善。</w:t>
                  </w:r>
                </w:p>
              </w:tc>
            </w:tr>
          </w:tbl>
          <w:p w:rsidR="00CB21DF" w:rsidRPr="00CB21DF" w:rsidRDefault="00CB21DF" w:rsidP="00CB21DF">
            <w:pPr>
              <w:jc w:val="center"/>
              <w:rPr>
                <w:rFonts w:asciiTheme="minorEastAsia" w:eastAsiaTheme="minorEastAsia" w:hAnsiTheme="minorEastAsia"/>
              </w:rPr>
            </w:pPr>
          </w:p>
        </w:tc>
      </w:tr>
    </w:tbl>
    <w:p w:rsidR="00E61263" w:rsidRPr="00CB21DF" w:rsidRDefault="00E61263">
      <w:pPr>
        <w:rPr>
          <w:rFonts w:asciiTheme="minorEastAsia" w:eastAsiaTheme="minorEastAsia" w:hAnsiTheme="minorEastAsia"/>
        </w:rPr>
      </w:pPr>
    </w:p>
    <w:sectPr w:rsidR="00E61263" w:rsidRPr="00CB21DF">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263" w:rsidRDefault="00E61263" w:rsidP="00CB21DF">
      <w:r>
        <w:separator/>
      </w:r>
    </w:p>
  </w:endnote>
  <w:endnote w:type="continuationSeparator" w:id="1">
    <w:p w:rsidR="00E61263" w:rsidRDefault="00E61263" w:rsidP="00CB21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263" w:rsidRDefault="00E61263" w:rsidP="00CB21DF">
      <w:r>
        <w:separator/>
      </w:r>
    </w:p>
  </w:footnote>
  <w:footnote w:type="continuationSeparator" w:id="1">
    <w:p w:rsidR="00E61263" w:rsidRDefault="00E61263" w:rsidP="00CB21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noPunctuationKerning/>
  <w:characterSpacingControl w:val="doNotCompress"/>
  <w:hdrShapeDefaults>
    <o:shapedefaults v:ext="edit" spidmax="3074"/>
  </w:hdrShapeDefaults>
  <w:footnotePr>
    <w:footnote w:id="0"/>
    <w:footnote w:id="1"/>
  </w:footnotePr>
  <w:endnotePr>
    <w:endnote w:id="0"/>
    <w:endnote w:id="1"/>
  </w:endnotePr>
  <w:compat>
    <w:useFELayout/>
  </w:compat>
  <w:rsids>
    <w:rsidRoot w:val="00CB21DF"/>
    <w:rsid w:val="00CB21DF"/>
    <w:rsid w:val="00E612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
    <w:name w:val="content"/>
    <w:basedOn w:val="a"/>
    <w:pPr>
      <w:spacing w:before="100" w:beforeAutospacing="1" w:after="100" w:afterAutospacing="1" w:line="384" w:lineRule="auto"/>
    </w:pPr>
    <w:rPr>
      <w:sz w:val="18"/>
      <w:szCs w:val="18"/>
    </w:rPr>
  </w:style>
  <w:style w:type="paragraph" w:customStyle="1" w:styleId="mtitle">
    <w:name w:val="mtitle"/>
    <w:basedOn w:val="a"/>
    <w:pPr>
      <w:spacing w:before="100" w:beforeAutospacing="1" w:after="100" w:afterAutospacing="1" w:line="336" w:lineRule="auto"/>
    </w:pPr>
    <w:rPr>
      <w:b/>
      <w:bCs/>
      <w:smallCaps/>
      <w:color w:val="000000"/>
      <w:sz w:val="20"/>
      <w:szCs w:val="20"/>
    </w:rPr>
  </w:style>
  <w:style w:type="paragraph" w:customStyle="1" w:styleId="mnotes">
    <w:name w:val="mnotes"/>
    <w:basedOn w:val="a"/>
    <w:pPr>
      <w:shd w:val="clear" w:color="auto" w:fill="AFEEEE"/>
      <w:spacing w:before="100" w:beforeAutospacing="1" w:after="100" w:afterAutospacing="1" w:line="336" w:lineRule="auto"/>
    </w:pPr>
    <w:rPr>
      <w:smallCaps/>
      <w:color w:val="008080"/>
      <w:sz w:val="20"/>
      <w:szCs w:val="20"/>
    </w:rPr>
  </w:style>
  <w:style w:type="paragraph" w:customStyle="1" w:styleId="stitle">
    <w:name w:val="stitle"/>
    <w:basedOn w:val="a"/>
    <w:pPr>
      <w:spacing w:before="100" w:beforeAutospacing="1" w:after="100" w:afterAutospacing="1"/>
    </w:pPr>
    <w:rPr>
      <w:smallCaps/>
      <w:color w:val="000000"/>
      <w:sz w:val="20"/>
      <w:szCs w:val="20"/>
    </w:rPr>
  </w:style>
  <w:style w:type="paragraph" w:customStyle="1" w:styleId="zhang">
    <w:name w:val="zhang"/>
    <w:basedOn w:val="a"/>
    <w:pPr>
      <w:spacing w:before="100" w:beforeAutospacing="1" w:after="100" w:afterAutospacing="1"/>
    </w:pPr>
    <w:rPr>
      <w:b/>
      <w:bCs/>
      <w:smallCaps/>
      <w:color w:val="000000"/>
      <w:sz w:val="20"/>
      <w:szCs w:val="20"/>
    </w:rPr>
  </w:style>
  <w:style w:type="paragraph" w:customStyle="1" w:styleId="tiao">
    <w:name w:val="tiao"/>
    <w:basedOn w:val="a"/>
    <w:pPr>
      <w:shd w:val="clear" w:color="auto" w:fill="AFEEEE"/>
      <w:spacing w:before="100" w:beforeAutospacing="1" w:after="100" w:afterAutospacing="1"/>
    </w:pPr>
    <w:rPr>
      <w:i/>
      <w:iCs/>
      <w:smallCaps/>
      <w:color w:val="6600CC"/>
      <w:sz w:val="20"/>
      <w:szCs w:val="20"/>
    </w:rPr>
  </w:style>
  <w:style w:type="paragraph" w:customStyle="1" w:styleId="tiaonoa">
    <w:name w:val="tiaonoa"/>
    <w:basedOn w:val="a"/>
    <w:pPr>
      <w:spacing w:before="100" w:beforeAutospacing="1" w:after="100" w:afterAutospacing="1"/>
    </w:pPr>
    <w:rPr>
      <w:b/>
      <w:bCs/>
      <w:smallCaps/>
      <w:color w:val="000000"/>
      <w:sz w:val="18"/>
      <w:szCs w:val="18"/>
    </w:rPr>
  </w:style>
  <w:style w:type="paragraph" w:customStyle="1" w:styleId="tiaoyin">
    <w:name w:val="tiaoyin"/>
    <w:basedOn w:val="a"/>
    <w:pPr>
      <w:spacing w:before="100" w:beforeAutospacing="1" w:after="100" w:afterAutospacing="1"/>
    </w:pPr>
    <w:rPr>
      <w:smallCaps/>
      <w:color w:val="FF0000"/>
      <w:sz w:val="20"/>
      <w:szCs w:val="20"/>
    </w:rPr>
  </w:style>
  <w:style w:type="paragraph" w:styleId="a3">
    <w:name w:val="Normal (Web)"/>
    <w:basedOn w:val="a"/>
    <w:uiPriority w:val="99"/>
    <w:semiHidden/>
    <w:unhideWhenUsed/>
    <w:pPr>
      <w:spacing w:before="100" w:beforeAutospacing="1" w:after="100" w:afterAutospacing="1"/>
    </w:p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Char"/>
    <w:uiPriority w:val="99"/>
    <w:semiHidden/>
    <w:unhideWhenUsed/>
    <w:rsid w:val="00CB21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CB21DF"/>
    <w:rPr>
      <w:rFonts w:ascii="宋体" w:eastAsia="宋体" w:hAnsi="宋体" w:cs="宋体"/>
      <w:sz w:val="18"/>
      <w:szCs w:val="18"/>
    </w:rPr>
  </w:style>
  <w:style w:type="paragraph" w:styleId="a7">
    <w:name w:val="footer"/>
    <w:basedOn w:val="a"/>
    <w:link w:val="Char0"/>
    <w:uiPriority w:val="99"/>
    <w:semiHidden/>
    <w:unhideWhenUsed/>
    <w:rsid w:val="00CB21DF"/>
    <w:pPr>
      <w:tabs>
        <w:tab w:val="center" w:pos="4153"/>
        <w:tab w:val="right" w:pos="8306"/>
      </w:tabs>
      <w:snapToGrid w:val="0"/>
    </w:pPr>
    <w:rPr>
      <w:sz w:val="18"/>
      <w:szCs w:val="18"/>
    </w:rPr>
  </w:style>
  <w:style w:type="character" w:customStyle="1" w:styleId="Char0">
    <w:name w:val="页脚 Char"/>
    <w:basedOn w:val="a0"/>
    <w:link w:val="a7"/>
    <w:uiPriority w:val="99"/>
    <w:semiHidden/>
    <w:rsid w:val="00CB21DF"/>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8076695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716</Words>
  <Characters>4086</Characters>
  <Application>Microsoft Office Word</Application>
  <DocSecurity>0</DocSecurity>
  <Lines>34</Lines>
  <Paragraphs>9</Paragraphs>
  <ScaleCrop>false</ScaleCrop>
  <Company>Hewlett-Packard Company</Company>
  <LinksUpToDate>false</LinksUpToDate>
  <CharactersWithSpaces>4793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国务院办公厅关于当前金融促进经济发展的若干意见--北大法宝--北大法律信息网</dc:title>
  <dc:creator>user</dc:creator>
  <cp:lastModifiedBy>user</cp:lastModifiedBy>
  <cp:revision>2</cp:revision>
  <dcterms:created xsi:type="dcterms:W3CDTF">2013-01-18T11:53:00Z</dcterms:created>
  <dcterms:modified xsi:type="dcterms:W3CDTF">2013-01-18T11:53:00Z</dcterms:modified>
</cp:coreProperties>
</file>