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top w:w="45" w:type="dxa"/>
          <w:left w:w="45" w:type="dxa"/>
          <w:bottom w:w="45" w:type="dxa"/>
          <w:right w:w="45" w:type="dxa"/>
        </w:tblCellMar>
        <w:tblLook w:val="04A0"/>
      </w:tblPr>
      <w:tblGrid>
        <w:gridCol w:w="8396"/>
      </w:tblGrid>
      <w:tr w:rsidR="000E42CC" w:rsidRPr="000E42CC" w:rsidTr="000E42CC">
        <w:trPr>
          <w:tblCellSpacing w:w="0" w:type="dxa"/>
          <w:jc w:val="center"/>
        </w:trPr>
        <w:tc>
          <w:tcPr>
            <w:tcW w:w="0" w:type="auto"/>
            <w:tcBorders>
              <w:top w:val="nil"/>
              <w:left w:val="nil"/>
              <w:bottom w:val="nil"/>
              <w:right w:val="nil"/>
            </w:tcBorders>
            <w:vAlign w:val="center"/>
            <w:hideMark/>
          </w:tcPr>
          <w:p w:rsidR="000E42CC" w:rsidRPr="000E42CC" w:rsidRDefault="000E42CC" w:rsidP="000E42CC">
            <w:pPr>
              <w:widowControl/>
              <w:adjustRightInd w:val="0"/>
              <w:snapToGrid w:val="0"/>
              <w:jc w:val="center"/>
              <w:rPr>
                <w:rFonts w:ascii="黑体" w:eastAsia="黑体" w:hAnsi="黑体" w:cs="宋体"/>
                <w:kern w:val="0"/>
                <w:sz w:val="28"/>
                <w:szCs w:val="24"/>
              </w:rPr>
            </w:pPr>
            <w:r w:rsidRPr="000E42CC">
              <w:rPr>
                <w:rFonts w:ascii="黑体" w:eastAsia="黑体" w:hAnsi="黑体" w:cs="宋体"/>
                <w:bCs/>
                <w:kern w:val="0"/>
                <w:sz w:val="28"/>
                <w:szCs w:val="24"/>
              </w:rPr>
              <w:t>最高人民法院印发《关于依法保护行政诉讼当事人诉权的意见》的通知</w:t>
            </w:r>
          </w:p>
        </w:tc>
      </w:tr>
      <w:tr w:rsidR="000E42CC" w:rsidRPr="000E42CC" w:rsidTr="000E42CC">
        <w:trPr>
          <w:tblCellSpacing w:w="0" w:type="dxa"/>
          <w:jc w:val="center"/>
        </w:trPr>
        <w:tc>
          <w:tcPr>
            <w:tcW w:w="0" w:type="auto"/>
            <w:tcBorders>
              <w:top w:val="nil"/>
              <w:left w:val="nil"/>
              <w:bottom w:val="nil"/>
              <w:right w:val="nil"/>
            </w:tcBorders>
            <w:vAlign w:val="center"/>
            <w:hideMark/>
          </w:tcPr>
          <w:p w:rsidR="000E42CC" w:rsidRPr="000E42CC" w:rsidRDefault="000E42CC" w:rsidP="000E42CC">
            <w:pPr>
              <w:widowControl/>
              <w:jc w:val="center"/>
              <w:rPr>
                <w:rFonts w:ascii="宋体" w:eastAsia="宋体" w:hAnsi="宋体" w:cs="宋体"/>
                <w:kern w:val="0"/>
                <w:sz w:val="24"/>
                <w:szCs w:val="24"/>
              </w:rPr>
            </w:pPr>
            <w:r w:rsidRPr="000E42CC">
              <w:rPr>
                <w:rFonts w:ascii="宋体" w:eastAsia="宋体" w:hAnsi="宋体" w:cs="宋体"/>
                <w:kern w:val="0"/>
                <w:sz w:val="24"/>
                <w:szCs w:val="24"/>
              </w:rPr>
              <w:br/>
              <w:t xml:space="preserve">　　(2009年11月9日 法发〔2009〕54号）</w:t>
            </w:r>
          </w:p>
        </w:tc>
      </w:tr>
      <w:tr w:rsidR="000E42CC" w:rsidRPr="000E42CC" w:rsidTr="000E42CC">
        <w:trPr>
          <w:tblCellSpacing w:w="0" w:type="dxa"/>
          <w:jc w:val="center"/>
        </w:trPr>
        <w:tc>
          <w:tcPr>
            <w:tcW w:w="0" w:type="auto"/>
            <w:tcBorders>
              <w:top w:val="nil"/>
              <w:left w:val="nil"/>
              <w:bottom w:val="nil"/>
              <w:right w:val="nil"/>
            </w:tcBorders>
            <w:vAlign w:val="center"/>
            <w:hideMark/>
          </w:tcPr>
          <w:p w:rsidR="000E42CC" w:rsidRPr="000E42CC" w:rsidRDefault="000E42CC" w:rsidP="000E42CC">
            <w:pPr>
              <w:widowControl/>
              <w:jc w:val="center"/>
              <w:rPr>
                <w:rFonts w:ascii="宋体" w:eastAsia="宋体" w:hAnsi="宋体" w:cs="宋体"/>
                <w:kern w:val="0"/>
                <w:sz w:val="24"/>
                <w:szCs w:val="24"/>
              </w:rPr>
            </w:pPr>
          </w:p>
        </w:tc>
      </w:tr>
      <w:tr w:rsidR="000E42CC" w:rsidRPr="000E42CC" w:rsidTr="000E42CC">
        <w:trPr>
          <w:tblCellSpacing w:w="0" w:type="dxa"/>
          <w:jc w:val="center"/>
        </w:trPr>
        <w:tc>
          <w:tcPr>
            <w:tcW w:w="0" w:type="auto"/>
            <w:tcBorders>
              <w:top w:val="nil"/>
              <w:left w:val="nil"/>
              <w:bottom w:val="nil"/>
              <w:right w:val="nil"/>
            </w:tcBorders>
            <w:vAlign w:val="center"/>
            <w:hideMark/>
          </w:tcPr>
          <w:tbl>
            <w:tblPr>
              <w:tblW w:w="5000" w:type="pct"/>
              <w:jc w:val="center"/>
              <w:tblCellSpacing w:w="15" w:type="dxa"/>
              <w:tblCellMar>
                <w:top w:w="15" w:type="dxa"/>
                <w:left w:w="15" w:type="dxa"/>
                <w:bottom w:w="15" w:type="dxa"/>
                <w:right w:w="15" w:type="dxa"/>
              </w:tblCellMar>
              <w:tblLook w:val="04A0"/>
            </w:tblPr>
            <w:tblGrid>
              <w:gridCol w:w="8306"/>
            </w:tblGrid>
            <w:tr w:rsidR="000E42CC" w:rsidRPr="000E42CC">
              <w:trPr>
                <w:tblCellSpacing w:w="15" w:type="dxa"/>
                <w:jc w:val="center"/>
              </w:trPr>
              <w:tc>
                <w:tcPr>
                  <w:tcW w:w="0" w:type="auto"/>
                  <w:vAlign w:val="center"/>
                  <w:hideMark/>
                </w:tcPr>
                <w:p w:rsidR="000E42CC" w:rsidRPr="000E42CC" w:rsidRDefault="000E42CC" w:rsidP="000E42CC">
                  <w:pPr>
                    <w:widowControl/>
                    <w:jc w:val="left"/>
                    <w:rPr>
                      <w:rFonts w:ascii="宋体" w:eastAsia="宋体" w:hAnsi="宋体" w:cs="宋体"/>
                      <w:kern w:val="0"/>
                      <w:sz w:val="24"/>
                      <w:szCs w:val="24"/>
                    </w:rPr>
                  </w:pPr>
                  <w:r w:rsidRPr="000E42CC">
                    <w:rPr>
                      <w:rFonts w:ascii="宋体" w:eastAsia="宋体" w:hAnsi="宋体" w:cs="宋体"/>
                      <w:kern w:val="0"/>
                      <w:sz w:val="24"/>
                      <w:szCs w:val="24"/>
                    </w:rPr>
                    <w:br/>
                    <w:t xml:space="preserve">　　行政诉讼法施行以来，人民法院依法受理和审理了大量行政案件，有效化解了行政争议，维护了人民群众合法权益，促进了行政机关依法行政，行政审判的特殊职能作用日益彰显。但是，行政诉讼“告状难”现象依然存在，已经成为人民群众反映强烈的突出问题之一。为不断满足人民群众日益增长的司法需求，切实解决行政诉讼有案不收、有诉不理的问题，现就进一步重视和加强行政案件受理，依法保护当事人诉讼权利，切实解决行政诉讼“告状难”问题，提出如下意见：</w:t>
                  </w:r>
                  <w:r w:rsidRPr="000E42CC">
                    <w:rPr>
                      <w:rFonts w:ascii="宋体" w:eastAsia="宋体" w:hAnsi="宋体" w:cs="宋体"/>
                      <w:kern w:val="0"/>
                      <w:sz w:val="24"/>
                      <w:szCs w:val="24"/>
                    </w:rPr>
                    <w:br/>
                    <w:t xml:space="preserve">　　一、切实提高对行政案件受理工作重要性的认识</w:t>
                  </w:r>
                  <w:r w:rsidRPr="000E42CC">
                    <w:rPr>
                      <w:rFonts w:ascii="宋体" w:eastAsia="宋体" w:hAnsi="宋体" w:cs="宋体"/>
                      <w:kern w:val="0"/>
                      <w:sz w:val="24"/>
                      <w:szCs w:val="24"/>
                    </w:rPr>
                    <w:br/>
                    <w:t xml:space="preserve">　　行政诉讼制度是保障最广大人民群众利益最有效、最直接的法律制度之一，是新形势下解决人民内部矛盾的一种有效方式，是维护社会和谐稳定的重要手段。行政诉讼受理渠道是否畅通，是这一优良司法制度能否有效发挥功能和作用的前提。诉权保障不力，公民的合法权益就难以有效救济，人民群众日益增长的司法需求就不可能得到满足。随着社会利益格局日益多元化和复杂化，特别是受国际金融危机的影响，行政纠纷日益增多，日趋复杂多样化，有的还呈现出突发性、群体性、极端性的特点。只有畅通行政诉讼渠道，才能引导人民群众以理性合法的方式表达利益诉求，最大限度地减少社会不和谐因素，增进人民群众与政府之间的理解与信任。诉讼渠道不畅，必然导致上访增多，非理性行为加剧，必将严重影响社会和谐稳定，削弱人民法院行政审判“为大局服务，为人民司法”的职能作用。各级人民法院必须充分理解司法权源于人民、属于人民、服务人民、受人民监督的根本属性，从贯彻落实党的十七届四中全会精神和实现司法的人民性的高度，充分认识行政案件受理工作的重要性，认真抓好行政案件受理工作，切实解决行政诉讼“告状难”问题。</w:t>
                  </w:r>
                  <w:r w:rsidRPr="000E42CC">
                    <w:rPr>
                      <w:rFonts w:ascii="宋体" w:eastAsia="宋体" w:hAnsi="宋体" w:cs="宋体"/>
                      <w:kern w:val="0"/>
                      <w:sz w:val="24"/>
                      <w:szCs w:val="24"/>
                    </w:rPr>
                    <w:br/>
                    <w:t xml:space="preserve">　　二、不得随意限缩受案范围、违法增设受理条件</w:t>
                  </w:r>
                  <w:r w:rsidRPr="000E42CC">
                    <w:rPr>
                      <w:rFonts w:ascii="宋体" w:eastAsia="宋体" w:hAnsi="宋体" w:cs="宋体"/>
                      <w:kern w:val="0"/>
                      <w:sz w:val="24"/>
                      <w:szCs w:val="24"/>
                    </w:rPr>
                    <w:br/>
                    <w:t xml:space="preserve">　　行政诉讼法和相关司法解释根据我国国情和现阶段的法治发展程度，设计了符合实际的行政案件受案范围，这是人民法院受理行政诉讼案件的法定依据。各级人民法院要全面准确理解和适用，不得以任何借口随意限制受案范围。凡是行政诉讼法明确规定的可诉性事项，不得擅自加以排除;行政诉讼法没有明确规定但有单行法律、法规授权的，也要严格遵循;法律和司法解释没有明确排除的具体行政行为，应当属于人民法院行政诉讼受案范围。不仅要保护公民、法人和其他组织的人身权和财产权，也要顺应权利保障的需要，依法保护法律、法规规定可以提起诉讼的与人身权、财产权密切相关的其他经济、社会权利。要坚决清除限制行政诉讼受理的各种“土政策”，严禁以服务地方中心工作、应对金融危机等为借口，拒绝受理某类依法应当受理的行政案件。要准确理解、严格执行行政诉讼法和相关司法解释关于起诉条件、诉讼主体资格、起诉期限的规定，不得在法律规定之外另行规定限制当事人起诉的其他条件。要正确处理起诉权和胜诉权的关系，不能以当事人的诉讼请求明显不成立而限制或者剥夺当事人的诉讼权利。要正确处理诉前协调和立案审理的关系，既要充分发挥</w:t>
                  </w:r>
                  <w:r w:rsidRPr="000E42CC">
                    <w:rPr>
                      <w:rFonts w:ascii="宋体" w:eastAsia="宋体" w:hAnsi="宋体" w:cs="宋体"/>
                      <w:kern w:val="0"/>
                      <w:sz w:val="24"/>
                      <w:szCs w:val="24"/>
                    </w:rPr>
                    <w:lastRenderedPageBreak/>
                    <w:t>诉前协调的作用，又不能使之成为妨碍当事人行使诉权的附加条件。要全面正确审查起诉期限，对不属于起诉人自身原因超过起诉期限的，应当根据案件具体情况依法提供有效救济。</w:t>
                  </w:r>
                  <w:r w:rsidRPr="000E42CC">
                    <w:rPr>
                      <w:rFonts w:ascii="宋体" w:eastAsia="宋体" w:hAnsi="宋体" w:cs="宋体"/>
                      <w:kern w:val="0"/>
                      <w:sz w:val="24"/>
                      <w:szCs w:val="24"/>
                    </w:rPr>
                    <w:br/>
                    <w:t xml:space="preserve">　　三、依法积极受理新类型行政案件</w:t>
                  </w:r>
                  <w:r w:rsidRPr="000E42CC">
                    <w:rPr>
                      <w:rFonts w:ascii="宋体" w:eastAsia="宋体" w:hAnsi="宋体" w:cs="宋体"/>
                      <w:kern w:val="0"/>
                      <w:sz w:val="24"/>
                      <w:szCs w:val="24"/>
                    </w:rPr>
                    <w:br/>
                    <w:t xml:space="preserve">　　随着形势的发展和法治的进步，行政行为的方式不断丰富，行政管理的领域不断拓展，人民群众的司法需求不断增长，行政争议的特点不断变化。各级人民法院要深入了解各阶层人民群众的生活现状和思想动向，了解人民群众对行政审判工作的期待，依法受理由此引发的各种新类型案件，积极回应人民群众的现实司法需求。要依法积极受理行政给付、行政监管、行政允诺、行政不作为等新类型案件;依法积极受理教育、劳动、医疗、社会保障等事关民生的案件;依法积极受理政府信息公开等涉及公民其他社会权利的案件;积极探讨研究公益诉讼案件的受理条件和裁判方式。对新类型案件拿不准的，应当在法定期间先予立案，必要时请示上级人民法院，不得随意作出不予受理决定。</w:t>
                  </w:r>
                  <w:r w:rsidRPr="000E42CC">
                    <w:rPr>
                      <w:rFonts w:ascii="宋体" w:eastAsia="宋体" w:hAnsi="宋体" w:cs="宋体"/>
                      <w:kern w:val="0"/>
                      <w:sz w:val="24"/>
                      <w:szCs w:val="24"/>
                    </w:rPr>
                    <w:br/>
                    <w:t xml:space="preserve">　　四、完善工作机制，改进工作作风</w:t>
                  </w:r>
                  <w:r w:rsidRPr="000E42CC">
                    <w:rPr>
                      <w:rFonts w:ascii="宋体" w:eastAsia="宋体" w:hAnsi="宋体" w:cs="宋体"/>
                      <w:kern w:val="0"/>
                      <w:sz w:val="24"/>
                      <w:szCs w:val="24"/>
                    </w:rPr>
                    <w:br/>
                    <w:t xml:space="preserve">　　行政案件立案专业性较强。各级人民法院的立案庭和行政庭要在行政案件受理环节加强协调、沟通与配合。要严格执行行政诉讼法和司法解释有关受理案件的程序制度，对于当事人的起诉要在法定期限内立案或者作出裁定;不能决定是否受理的，应当先予受理，经审查确实不符合法定立案条件的，裁定驳回起诉。要认真执行《关于行政案件管辖若干问题的规定》，对于起诉人向上一级人民法院起诉的，上一级人民法院应当依法及时作出处理，符合受理条件的，督促有管辖权的人民法院立案受理，也可以直接立案后由自己审理或者指定辖区其他人民法院审理。要改进工作作风，强化便民措施，简化立案环节，丰富立案方式，方便群众诉讼。对于情况紧急且涉及人民群众切身利益或公共利益符合立案条件的案件，要及时立案，尽快审理。要大力推行诉讼引导和指导、权利告知、风险提示等措施，由于起诉人法律知识不足导致起诉状内容欠缺、错列被告等情形的，应当给予必要的指导和释明，不得未经指导和释明即以起诉不符合条件为由予以驳回。要增强司法公开和透明，对依法不予受理或驳回起诉的，必须依法出具法律文书，并在法律文书中给出令人信服的理由。</w:t>
                  </w:r>
                  <w:r w:rsidRPr="000E42CC">
                    <w:rPr>
                      <w:rFonts w:ascii="宋体" w:eastAsia="宋体" w:hAnsi="宋体" w:cs="宋体"/>
                      <w:kern w:val="0"/>
                      <w:sz w:val="24"/>
                      <w:szCs w:val="24"/>
                    </w:rPr>
                    <w:br/>
                    <w:t xml:space="preserve">　　五、加强对行政案件受理工作的监督</w:t>
                  </w:r>
                  <w:r w:rsidRPr="000E42CC">
                    <w:rPr>
                      <w:rFonts w:ascii="宋体" w:eastAsia="宋体" w:hAnsi="宋体" w:cs="宋体"/>
                      <w:kern w:val="0"/>
                      <w:sz w:val="24"/>
                      <w:szCs w:val="24"/>
                    </w:rPr>
                    <w:br/>
                    <w:t xml:space="preserve">　　上级人民法院要通过审理上诉和申诉案件、受理举报、案件评查、专项检查、通报排名等各种措施，进一步加强对下级人民法院行政案件立案受理工作的指导和监督，切实防止因当事人告状无门而引发到处上访、激化社会矛盾的事件发生。要健全完善行政审判绩效考核办法，加大因违法不受理案件导致申诉信访的考核权重。要严格执行《人民法院审判人员违法审判责任追究办法(试行)》的规定，对于违反法律规定，擅自对应当受理的案件不予受理，或者因违法失职造成严重后果的责任人员，要依法依纪严肃处理。要坚决抵制非法干预行政案件受理的各种违法行为，彻底废除各种违法限制行政案件受理的“土政策”。对于干预、阻碍人民法院受理行政案件造成恶劣影响的，应当及时向当地党委、纪检监察机关和上级人民法院反映，上级人民法院要协助党委和纪检监察机关作出严肃处理。</w:t>
                  </w:r>
                  <w:r w:rsidRPr="000E42CC">
                    <w:rPr>
                      <w:rFonts w:ascii="宋体" w:eastAsia="宋体" w:hAnsi="宋体" w:cs="宋体"/>
                      <w:kern w:val="0"/>
                      <w:sz w:val="24"/>
                      <w:szCs w:val="24"/>
                    </w:rPr>
                    <w:br/>
                    <w:t xml:space="preserve">　　六、努力营造行政案件立案受理的良好外部环境</w:t>
                  </w:r>
                  <w:r w:rsidRPr="000E42CC">
                    <w:rPr>
                      <w:rFonts w:ascii="宋体" w:eastAsia="宋体" w:hAnsi="宋体" w:cs="宋体"/>
                      <w:kern w:val="0"/>
                      <w:sz w:val="24"/>
                      <w:szCs w:val="24"/>
                    </w:rPr>
                    <w:br/>
                    <w:t xml:space="preserve">　　要通过典型案例、普法宣传、诉讼指导等多种途径，加大行政诉讼法的宣传力度，提高当事人参与行政诉讼的能力和水平，引导人民群众通过理性合法的方式主张权利;要切实提高行政案件的办案质量，千方百计降低诉讼成本，缩</w:t>
                  </w:r>
                  <w:r w:rsidRPr="000E42CC">
                    <w:rPr>
                      <w:rFonts w:ascii="宋体" w:eastAsia="宋体" w:hAnsi="宋体" w:cs="宋体"/>
                      <w:kern w:val="0"/>
                      <w:sz w:val="24"/>
                      <w:szCs w:val="24"/>
                    </w:rPr>
                    <w:lastRenderedPageBreak/>
                    <w:t>短诉讼周期，加大执行力度，增强行政审判的公信力;要进一步改进工作作风，增强服务意识，提高服务水平，为人民群众提供更加便捷的救济;要采取强有力的法律保护手段，严厉查处打击报复当事人的行为，使人民群众敢于运用法律手段维护自己的合法权益。要建议政府和有关部门正确理解和评价行政诉讼败诉现象，修改和完善相关考评制度，防止和消除由此产生的负面影响。要更加主动自觉地争取党委的领导和人大的监督，取得政府机关及社会各界的支持。通过不懈努力，使行政案件受理难、审理难、执行难问题得到根本解决，使行政诉讼制度在保护合法权益，促进依法行政，化解行政争议，维护和谐稳定中发挥更加积极的作用。</w:t>
                  </w:r>
                </w:p>
              </w:tc>
            </w:tr>
          </w:tbl>
          <w:p w:rsidR="000E42CC" w:rsidRPr="000E42CC" w:rsidRDefault="000E42CC" w:rsidP="000E42CC">
            <w:pPr>
              <w:widowControl/>
              <w:jc w:val="center"/>
              <w:rPr>
                <w:rFonts w:ascii="宋体" w:eastAsia="宋体" w:hAnsi="宋体" w:cs="宋体"/>
                <w:kern w:val="0"/>
                <w:sz w:val="24"/>
                <w:szCs w:val="24"/>
              </w:rPr>
            </w:pPr>
          </w:p>
        </w:tc>
      </w:tr>
    </w:tbl>
    <w:p w:rsidR="00CE74FF" w:rsidRPr="000E42CC" w:rsidRDefault="00CE74FF" w:rsidP="00322A8A">
      <w:pPr>
        <w:rPr>
          <w:sz w:val="24"/>
          <w:szCs w:val="24"/>
        </w:rPr>
      </w:pPr>
    </w:p>
    <w:sectPr w:rsidR="00CE74FF" w:rsidRPr="000E42CC" w:rsidSect="00CC5C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1919" w:rsidRDefault="00DE1919" w:rsidP="00170613">
      <w:r>
        <w:separator/>
      </w:r>
    </w:p>
  </w:endnote>
  <w:endnote w:type="continuationSeparator" w:id="1">
    <w:p w:rsidR="00DE1919" w:rsidRDefault="00DE1919" w:rsidP="001706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1919" w:rsidRDefault="00DE1919" w:rsidP="00170613">
      <w:r>
        <w:separator/>
      </w:r>
    </w:p>
  </w:footnote>
  <w:footnote w:type="continuationSeparator" w:id="1">
    <w:p w:rsidR="00DE1919" w:rsidRDefault="00DE1919" w:rsidP="001706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0613"/>
    <w:rsid w:val="00086BC2"/>
    <w:rsid w:val="000E42CC"/>
    <w:rsid w:val="00126BA2"/>
    <w:rsid w:val="00170613"/>
    <w:rsid w:val="00242E6D"/>
    <w:rsid w:val="002A62C7"/>
    <w:rsid w:val="00322A8A"/>
    <w:rsid w:val="00353336"/>
    <w:rsid w:val="00392EF5"/>
    <w:rsid w:val="004C00D3"/>
    <w:rsid w:val="00516C48"/>
    <w:rsid w:val="006B739B"/>
    <w:rsid w:val="008900C5"/>
    <w:rsid w:val="00890DAE"/>
    <w:rsid w:val="008B0D67"/>
    <w:rsid w:val="00CC5CB6"/>
    <w:rsid w:val="00CE74FF"/>
    <w:rsid w:val="00DE1919"/>
    <w:rsid w:val="00ED21B2"/>
    <w:rsid w:val="00FD10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C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06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0613"/>
    <w:rPr>
      <w:sz w:val="18"/>
      <w:szCs w:val="18"/>
    </w:rPr>
  </w:style>
  <w:style w:type="paragraph" w:styleId="a4">
    <w:name w:val="footer"/>
    <w:basedOn w:val="a"/>
    <w:link w:val="Char0"/>
    <w:uiPriority w:val="99"/>
    <w:semiHidden/>
    <w:unhideWhenUsed/>
    <w:rsid w:val="001706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0613"/>
    <w:rPr>
      <w:sz w:val="18"/>
      <w:szCs w:val="18"/>
    </w:rPr>
  </w:style>
  <w:style w:type="character" w:styleId="a5">
    <w:name w:val="Hyperlink"/>
    <w:basedOn w:val="a0"/>
    <w:uiPriority w:val="99"/>
    <w:semiHidden/>
    <w:unhideWhenUsed/>
    <w:rsid w:val="00242E6D"/>
    <w:rPr>
      <w:strike w:val="0"/>
      <w:dstrike w:val="0"/>
      <w:color w:val="2D4B7D"/>
      <w:u w:val="none"/>
      <w:effect w:val="none"/>
    </w:rPr>
  </w:style>
  <w:style w:type="character" w:styleId="a6">
    <w:name w:val="FollowedHyperlink"/>
    <w:basedOn w:val="a0"/>
    <w:uiPriority w:val="99"/>
    <w:semiHidden/>
    <w:unhideWhenUsed/>
    <w:rsid w:val="00242E6D"/>
    <w:rPr>
      <w:strike w:val="0"/>
      <w:dstrike w:val="0"/>
      <w:color w:val="2D4B7D"/>
      <w:u w:val="none"/>
      <w:effect w:val="none"/>
    </w:rPr>
  </w:style>
  <w:style w:type="paragraph" w:customStyle="1" w:styleId="td2">
    <w:name w:val="td2"/>
    <w:basedOn w:val="a"/>
    <w:rsid w:val="00242E6D"/>
    <w:pPr>
      <w:widowControl/>
      <w:pBdr>
        <w:top w:val="single" w:sz="4" w:space="0" w:color="BFBFBF"/>
        <w:left w:val="single" w:sz="4" w:space="0" w:color="BFBFBF"/>
        <w:bottom w:val="single" w:sz="4" w:space="0" w:color="BFBFBF"/>
        <w:right w:val="single" w:sz="4" w:space="0" w:color="BFBFBF"/>
      </w:pBdr>
      <w:spacing w:before="100" w:beforeAutospacing="1" w:after="100" w:afterAutospacing="1"/>
      <w:jc w:val="left"/>
    </w:pPr>
    <w:rPr>
      <w:rFonts w:ascii="宋体" w:eastAsia="宋体" w:hAnsi="宋体" w:cs="宋体"/>
      <w:kern w:val="0"/>
      <w:sz w:val="24"/>
      <w:szCs w:val="24"/>
    </w:rPr>
  </w:style>
  <w:style w:type="paragraph" w:customStyle="1" w:styleId="td3">
    <w:name w:val="td3"/>
    <w:basedOn w:val="a"/>
    <w:rsid w:val="00242E6D"/>
    <w:pPr>
      <w:widowControl/>
      <w:spacing w:before="100" w:beforeAutospacing="1" w:after="100" w:afterAutospacing="1"/>
      <w:jc w:val="left"/>
    </w:pPr>
    <w:rPr>
      <w:rFonts w:ascii="宋体" w:eastAsia="宋体" w:hAnsi="宋体" w:cs="宋体"/>
      <w:color w:val="5C6471"/>
      <w:kern w:val="0"/>
      <w:sz w:val="13"/>
      <w:szCs w:val="13"/>
    </w:rPr>
  </w:style>
  <w:style w:type="paragraph" w:customStyle="1" w:styleId="border1">
    <w:name w:val="border1"/>
    <w:basedOn w:val="a"/>
    <w:rsid w:val="00242E6D"/>
    <w:pPr>
      <w:widowControl/>
      <w:pBdr>
        <w:top w:val="single" w:sz="4" w:space="0" w:color="FFFFFF"/>
        <w:left w:val="single" w:sz="4" w:space="0" w:color="FFFFFF"/>
        <w:bottom w:val="single" w:sz="4" w:space="0" w:color="FFFFFF"/>
        <w:right w:val="single" w:sz="4" w:space="0" w:color="FFFFFF"/>
      </w:pBdr>
      <w:spacing w:before="100" w:beforeAutospacing="1" w:after="100" w:afterAutospacing="1"/>
      <w:jc w:val="left"/>
    </w:pPr>
    <w:rPr>
      <w:rFonts w:ascii="宋体" w:eastAsia="宋体" w:hAnsi="宋体" w:cs="宋体"/>
      <w:kern w:val="0"/>
      <w:sz w:val="24"/>
      <w:szCs w:val="24"/>
    </w:rPr>
  </w:style>
  <w:style w:type="paragraph" w:customStyle="1" w:styleId="border2">
    <w:name w:val="border2"/>
    <w:basedOn w:val="a"/>
    <w:rsid w:val="00242E6D"/>
    <w:pPr>
      <w:widowControl/>
      <w:pBdr>
        <w:top w:val="single" w:sz="4" w:space="0" w:color="595E61"/>
        <w:left w:val="single" w:sz="4" w:space="0" w:color="595E61"/>
        <w:bottom w:val="single" w:sz="4" w:space="0" w:color="595E61"/>
        <w:right w:val="single" w:sz="4" w:space="0" w:color="595E61"/>
      </w:pBdr>
      <w:spacing w:before="100" w:beforeAutospacing="1" w:after="100" w:afterAutospacing="1"/>
      <w:jc w:val="left"/>
    </w:pPr>
    <w:rPr>
      <w:rFonts w:ascii="宋体" w:eastAsia="宋体" w:hAnsi="宋体" w:cs="宋体"/>
      <w:kern w:val="0"/>
      <w:sz w:val="24"/>
      <w:szCs w:val="24"/>
    </w:rPr>
  </w:style>
  <w:style w:type="paragraph" w:customStyle="1" w:styleId="style1">
    <w:name w:val="style1"/>
    <w:basedOn w:val="a"/>
    <w:rsid w:val="00242E6D"/>
    <w:pPr>
      <w:widowControl/>
      <w:spacing w:before="100" w:beforeAutospacing="1" w:after="100" w:afterAutospacing="1"/>
      <w:jc w:val="left"/>
    </w:pPr>
    <w:rPr>
      <w:rFonts w:ascii="宋体" w:eastAsia="宋体" w:hAnsi="宋体" w:cs="宋体"/>
      <w:color w:val="FFFFFF"/>
      <w:kern w:val="0"/>
      <w:sz w:val="24"/>
      <w:szCs w:val="24"/>
    </w:rPr>
  </w:style>
  <w:style w:type="paragraph" w:customStyle="1" w:styleId="style2">
    <w:name w:val="style2"/>
    <w:basedOn w:val="a"/>
    <w:rsid w:val="00242E6D"/>
    <w:pPr>
      <w:widowControl/>
      <w:spacing w:before="100" w:beforeAutospacing="1" w:after="100" w:afterAutospacing="1"/>
      <w:jc w:val="left"/>
    </w:pPr>
    <w:rPr>
      <w:rFonts w:ascii="宋体" w:eastAsia="宋体" w:hAnsi="宋体" w:cs="宋体"/>
      <w:color w:val="595E61"/>
      <w:kern w:val="0"/>
      <w:sz w:val="24"/>
      <w:szCs w:val="24"/>
    </w:rPr>
  </w:style>
  <w:style w:type="paragraph" w:customStyle="1" w:styleId="style3">
    <w:name w:val="style3"/>
    <w:basedOn w:val="a"/>
    <w:rsid w:val="00242E6D"/>
    <w:pPr>
      <w:widowControl/>
      <w:spacing w:before="100" w:beforeAutospacing="1" w:after="100" w:afterAutospacing="1"/>
      <w:jc w:val="left"/>
    </w:pPr>
    <w:rPr>
      <w:rFonts w:ascii="宋体" w:eastAsia="宋体" w:hAnsi="宋体" w:cs="宋体"/>
      <w:color w:val="AF0303"/>
      <w:kern w:val="0"/>
      <w:sz w:val="24"/>
      <w:szCs w:val="24"/>
    </w:rPr>
  </w:style>
  <w:style w:type="paragraph" w:customStyle="1" w:styleId="style4">
    <w:name w:val="style4"/>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5">
    <w:name w:val="style5"/>
    <w:basedOn w:val="a"/>
    <w:rsid w:val="00242E6D"/>
    <w:pPr>
      <w:widowControl/>
      <w:spacing w:before="100" w:beforeAutospacing="1" w:after="100" w:afterAutospacing="1"/>
      <w:jc w:val="left"/>
    </w:pPr>
    <w:rPr>
      <w:rFonts w:ascii="宋体" w:eastAsia="宋体" w:hAnsi="宋体" w:cs="宋体"/>
      <w:color w:val="5C6471"/>
      <w:kern w:val="0"/>
      <w:sz w:val="24"/>
      <w:szCs w:val="24"/>
    </w:rPr>
  </w:style>
  <w:style w:type="paragraph" w:customStyle="1" w:styleId="style6">
    <w:name w:val="style6"/>
    <w:basedOn w:val="a"/>
    <w:rsid w:val="00242E6D"/>
    <w:pPr>
      <w:widowControl/>
      <w:spacing w:before="100" w:beforeAutospacing="1" w:after="100" w:afterAutospacing="1"/>
      <w:jc w:val="left"/>
    </w:pPr>
    <w:rPr>
      <w:rFonts w:ascii="宋体" w:eastAsia="宋体" w:hAnsi="宋体" w:cs="宋体"/>
      <w:color w:val="1A3C7C"/>
      <w:kern w:val="0"/>
      <w:sz w:val="24"/>
      <w:szCs w:val="24"/>
    </w:rPr>
  </w:style>
  <w:style w:type="paragraph" w:customStyle="1" w:styleId="style7">
    <w:name w:val="style7"/>
    <w:basedOn w:val="a"/>
    <w:rsid w:val="00242E6D"/>
    <w:pPr>
      <w:widowControl/>
      <w:spacing w:before="100" w:beforeAutospacing="1" w:after="100" w:afterAutospacing="1"/>
      <w:jc w:val="left"/>
    </w:pPr>
    <w:rPr>
      <w:rFonts w:ascii="宋体" w:eastAsia="宋体" w:hAnsi="宋体" w:cs="宋体"/>
      <w:color w:val="990000"/>
      <w:kern w:val="0"/>
      <w:sz w:val="24"/>
      <w:szCs w:val="24"/>
    </w:rPr>
  </w:style>
  <w:style w:type="paragraph" w:customStyle="1" w:styleId="style8">
    <w:name w:val="style8"/>
    <w:basedOn w:val="a"/>
    <w:rsid w:val="00242E6D"/>
    <w:pPr>
      <w:widowControl/>
      <w:spacing w:before="100" w:beforeAutospacing="1" w:after="100" w:afterAutospacing="1"/>
      <w:jc w:val="left"/>
    </w:pPr>
    <w:rPr>
      <w:rFonts w:ascii="宋体" w:eastAsia="宋体" w:hAnsi="宋体" w:cs="宋体"/>
      <w:b/>
      <w:bCs/>
      <w:color w:val="990000"/>
      <w:kern w:val="0"/>
      <w:sz w:val="24"/>
      <w:szCs w:val="24"/>
    </w:rPr>
  </w:style>
  <w:style w:type="paragraph" w:customStyle="1" w:styleId="stylespec">
    <w:name w:val="style_spec"/>
    <w:basedOn w:val="a"/>
    <w:rsid w:val="00242E6D"/>
    <w:pPr>
      <w:widowControl/>
      <w:spacing w:before="100" w:beforeAutospacing="1" w:after="100" w:afterAutospacing="1"/>
      <w:jc w:val="left"/>
    </w:pPr>
    <w:rPr>
      <w:rFonts w:ascii="宋体" w:eastAsia="宋体" w:hAnsi="宋体" w:cs="宋体"/>
      <w:color w:val="FCED00"/>
      <w:kern w:val="0"/>
      <w:sz w:val="24"/>
      <w:szCs w:val="24"/>
    </w:rPr>
  </w:style>
  <w:style w:type="paragraph" w:customStyle="1" w:styleId="stylecontent">
    <w:name w:val="style_content"/>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subtitle">
    <w:name w:val="libsubtitle"/>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libtitle">
    <w:name w:val="libtitle"/>
    <w:basedOn w:val="a"/>
    <w:rsid w:val="00242E6D"/>
    <w:pPr>
      <w:widowControl/>
      <w:spacing w:before="100" w:beforeAutospacing="1" w:after="100" w:afterAutospacing="1"/>
      <w:jc w:val="left"/>
    </w:pPr>
    <w:rPr>
      <w:rFonts w:ascii="宋体" w:eastAsia="宋体" w:hAnsi="宋体" w:cs="宋体"/>
      <w:b/>
      <w:bCs/>
      <w:color w:val="8E3250"/>
      <w:kern w:val="0"/>
      <w:sz w:val="24"/>
      <w:szCs w:val="24"/>
    </w:rPr>
  </w:style>
  <w:style w:type="paragraph" w:customStyle="1" w:styleId="stylebt">
    <w:name w:val="style_bt"/>
    <w:basedOn w:val="a"/>
    <w:rsid w:val="00242E6D"/>
    <w:pPr>
      <w:widowControl/>
      <w:spacing w:before="100" w:beforeAutospacing="1" w:after="100" w:afterAutospacing="1" w:line="288" w:lineRule="auto"/>
      <w:jc w:val="left"/>
    </w:pPr>
    <w:rPr>
      <w:rFonts w:ascii="宋体" w:eastAsia="宋体" w:hAnsi="宋体" w:cs="宋体"/>
      <w:b/>
      <w:bCs/>
      <w:color w:val="FFFFFF"/>
      <w:kern w:val="0"/>
      <w:sz w:val="15"/>
      <w:szCs w:val="15"/>
    </w:rPr>
  </w:style>
  <w:style w:type="paragraph" w:customStyle="1" w:styleId="pz">
    <w:name w:val="pz"/>
    <w:basedOn w:val="a"/>
    <w:rsid w:val="00242E6D"/>
    <w:pPr>
      <w:widowControl/>
      <w:spacing w:before="100" w:beforeAutospacing="1" w:after="100" w:afterAutospacing="1"/>
      <w:jc w:val="center"/>
    </w:pPr>
    <w:rPr>
      <w:rFonts w:ascii="ˎ̥" w:eastAsia="宋体" w:hAnsi="ˎ̥" w:cs="宋体"/>
      <w:color w:val="FFFFFF"/>
      <w:kern w:val="0"/>
      <w:sz w:val="18"/>
      <w:szCs w:val="18"/>
    </w:rPr>
  </w:style>
  <w:style w:type="paragraph" w:customStyle="1" w:styleId="inputbtn">
    <w:name w:val="input_btn"/>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8"/>
      <w:szCs w:val="18"/>
    </w:rPr>
  </w:style>
  <w:style w:type="paragraph" w:customStyle="1" w:styleId="inputbtn1">
    <w:name w:val="input_btn1"/>
    <w:basedOn w:val="a"/>
    <w:rsid w:val="00242E6D"/>
    <w:pPr>
      <w:widowControl/>
      <w:pBdr>
        <w:top w:val="single" w:sz="4" w:space="0" w:color="000000"/>
        <w:left w:val="single" w:sz="4" w:space="0" w:color="000000"/>
        <w:bottom w:val="single" w:sz="4" w:space="0" w:color="000000"/>
        <w:right w:val="single" w:sz="4" w:space="0" w:color="000000"/>
      </w:pBdr>
      <w:shd w:val="clear" w:color="auto" w:fill="D2E8FF"/>
      <w:spacing w:before="100" w:beforeAutospacing="1" w:after="100" w:afterAutospacing="1"/>
      <w:jc w:val="left"/>
    </w:pPr>
    <w:rPr>
      <w:rFonts w:ascii="宋体" w:eastAsia="宋体" w:hAnsi="宋体" w:cs="宋体"/>
      <w:kern w:val="0"/>
      <w:sz w:val="18"/>
      <w:szCs w:val="18"/>
    </w:rPr>
  </w:style>
  <w:style w:type="paragraph" w:customStyle="1" w:styleId="inputtext">
    <w:name w:val="input_text"/>
    <w:basedOn w:val="a"/>
    <w:rsid w:val="00242E6D"/>
    <w:pPr>
      <w:widowControl/>
      <w:pBdr>
        <w:top w:val="single" w:sz="4" w:space="0" w:color="000000"/>
        <w:left w:val="single" w:sz="4" w:space="0" w:color="000000"/>
        <w:bottom w:val="single" w:sz="4" w:space="0" w:color="000000"/>
        <w:right w:val="single" w:sz="4" w:space="0" w:color="000000"/>
      </w:pBdr>
      <w:shd w:val="clear" w:color="auto" w:fill="F6F6F6"/>
      <w:spacing w:before="100" w:beforeAutospacing="1" w:after="100" w:afterAutospacing="1"/>
      <w:jc w:val="left"/>
    </w:pPr>
    <w:rPr>
      <w:rFonts w:ascii="宋体" w:eastAsia="宋体" w:hAnsi="宋体" w:cs="宋体"/>
      <w:kern w:val="0"/>
      <w:sz w:val="13"/>
      <w:szCs w:val="13"/>
    </w:rPr>
  </w:style>
  <w:style w:type="paragraph" w:customStyle="1" w:styleId="navtitle">
    <w:name w:val="navtitle"/>
    <w:basedOn w:val="a"/>
    <w:rsid w:val="00242E6D"/>
    <w:pPr>
      <w:widowControl/>
      <w:spacing w:before="100" w:beforeAutospacing="1" w:after="100" w:afterAutospacing="1"/>
      <w:jc w:val="left"/>
    </w:pPr>
    <w:rPr>
      <w:rFonts w:ascii="宋体" w:eastAsia="宋体" w:hAnsi="宋体" w:cs="宋体"/>
      <w:b/>
      <w:bCs/>
      <w:color w:val="740428"/>
      <w:kern w:val="0"/>
      <w:sz w:val="14"/>
      <w:szCs w:val="14"/>
    </w:rPr>
  </w:style>
  <w:style w:type="paragraph" w:customStyle="1" w:styleId="border3">
    <w:name w:val="border3"/>
    <w:basedOn w:val="a"/>
    <w:rsid w:val="00242E6D"/>
    <w:pPr>
      <w:widowControl/>
      <w:pBdr>
        <w:top w:val="single" w:sz="4" w:space="0" w:color="740428"/>
        <w:left w:val="single" w:sz="4" w:space="0" w:color="740428"/>
        <w:bottom w:val="single" w:sz="4" w:space="0" w:color="740428"/>
      </w:pBdr>
      <w:spacing w:before="100" w:beforeAutospacing="1" w:after="100" w:afterAutospacing="1"/>
      <w:jc w:val="left"/>
    </w:pPr>
    <w:rPr>
      <w:rFonts w:ascii="宋体" w:eastAsia="宋体" w:hAnsi="宋体" w:cs="宋体"/>
      <w:kern w:val="0"/>
      <w:sz w:val="24"/>
      <w:szCs w:val="24"/>
    </w:rPr>
  </w:style>
  <w:style w:type="paragraph" w:customStyle="1" w:styleId="border4">
    <w:name w:val="border4"/>
    <w:basedOn w:val="a"/>
    <w:rsid w:val="00242E6D"/>
    <w:pPr>
      <w:widowControl/>
      <w:pBdr>
        <w:top w:val="single" w:sz="4" w:space="0" w:color="DCDCDC"/>
        <w:left w:val="single" w:sz="4" w:space="0" w:color="DCDCDC"/>
        <w:bottom w:val="single" w:sz="4" w:space="0" w:color="DCDCDC"/>
        <w:right w:val="single" w:sz="4" w:space="0" w:color="DCDCDC"/>
      </w:pBdr>
      <w:spacing w:before="100" w:beforeAutospacing="1" w:after="100" w:afterAutospacing="1"/>
      <w:jc w:val="left"/>
    </w:pPr>
    <w:rPr>
      <w:rFonts w:ascii="宋体" w:eastAsia="宋体" w:hAnsi="宋体" w:cs="宋体"/>
      <w:kern w:val="0"/>
      <w:sz w:val="24"/>
      <w:szCs w:val="24"/>
    </w:rPr>
  </w:style>
  <w:style w:type="paragraph" w:customStyle="1" w:styleId="fontred">
    <w:name w:val="font_red"/>
    <w:basedOn w:val="a"/>
    <w:rsid w:val="00242E6D"/>
    <w:pPr>
      <w:widowControl/>
      <w:spacing w:before="100" w:beforeAutospacing="1" w:after="100" w:afterAutospacing="1"/>
      <w:jc w:val="left"/>
    </w:pPr>
    <w:rPr>
      <w:rFonts w:ascii="宋体" w:eastAsia="宋体" w:hAnsi="宋体" w:cs="宋体"/>
      <w:color w:val="6C0427"/>
      <w:kern w:val="0"/>
      <w:sz w:val="24"/>
      <w:szCs w:val="24"/>
    </w:rPr>
  </w:style>
  <w:style w:type="paragraph" w:customStyle="1" w:styleId="fontblack">
    <w:name w:val="font_black"/>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bred">
    <w:name w:val="font_b_red"/>
    <w:basedOn w:val="a"/>
    <w:rsid w:val="00242E6D"/>
    <w:pPr>
      <w:widowControl/>
      <w:spacing w:before="100" w:beforeAutospacing="1" w:after="100" w:afterAutospacing="1"/>
      <w:jc w:val="left"/>
    </w:pPr>
    <w:rPr>
      <w:rFonts w:ascii="宋体" w:eastAsia="宋体" w:hAnsi="宋体" w:cs="宋体"/>
      <w:b/>
      <w:bCs/>
      <w:color w:val="760026"/>
      <w:kern w:val="0"/>
      <w:sz w:val="24"/>
      <w:szCs w:val="24"/>
    </w:rPr>
  </w:style>
  <w:style w:type="paragraph" w:customStyle="1" w:styleId="casetitle">
    <w:name w:val="casetitle"/>
    <w:basedOn w:val="a"/>
    <w:rsid w:val="00242E6D"/>
    <w:pPr>
      <w:widowControl/>
      <w:spacing w:before="100" w:beforeAutospacing="1" w:after="100" w:afterAutospacing="1" w:line="322" w:lineRule="atLeast"/>
      <w:jc w:val="left"/>
    </w:pPr>
    <w:rPr>
      <w:rFonts w:ascii="ˎ̥" w:eastAsia="宋体" w:hAnsi="ˎ̥" w:cs="宋体"/>
      <w:b/>
      <w:bCs/>
      <w:color w:val="000099"/>
      <w:kern w:val="0"/>
      <w:sz w:val="15"/>
      <w:szCs w:val="15"/>
    </w:rPr>
  </w:style>
  <w:style w:type="paragraph" w:customStyle="1" w:styleId="compertext">
    <w:name w:val="compertext"/>
    <w:basedOn w:val="a"/>
    <w:rsid w:val="00242E6D"/>
    <w:pPr>
      <w:widowControl/>
      <w:spacing w:before="100" w:beforeAutospacing="1" w:after="100" w:afterAutospacing="1"/>
      <w:jc w:val="left"/>
    </w:pPr>
    <w:rPr>
      <w:rFonts w:ascii="ˎ̥" w:eastAsia="宋体" w:hAnsi="ˎ̥" w:cs="宋体"/>
      <w:color w:val="0000FF"/>
      <w:kern w:val="0"/>
      <w:sz w:val="13"/>
      <w:szCs w:val="13"/>
    </w:rPr>
  </w:style>
  <w:style w:type="paragraph" w:customStyle="1" w:styleId="content">
    <w:name w:val="content"/>
    <w:basedOn w:val="a"/>
    <w:rsid w:val="00242E6D"/>
    <w:pPr>
      <w:widowControl/>
      <w:spacing w:before="100" w:beforeAutospacing="1" w:after="100" w:afterAutospacing="1" w:line="384" w:lineRule="auto"/>
      <w:jc w:val="left"/>
    </w:pPr>
    <w:rPr>
      <w:rFonts w:ascii="宋体" w:eastAsia="宋体" w:hAnsi="宋体" w:cs="宋体"/>
      <w:kern w:val="0"/>
      <w:sz w:val="18"/>
      <w:szCs w:val="18"/>
    </w:rPr>
  </w:style>
  <w:style w:type="paragraph" w:customStyle="1" w:styleId="mtitle">
    <w:name w:val="mtitle"/>
    <w:basedOn w:val="a"/>
    <w:rsid w:val="00242E6D"/>
    <w:pPr>
      <w:widowControl/>
      <w:spacing w:before="100" w:beforeAutospacing="1" w:after="100" w:afterAutospacing="1" w:line="336" w:lineRule="auto"/>
      <w:jc w:val="left"/>
    </w:pPr>
    <w:rPr>
      <w:rFonts w:ascii="ˎ̥" w:eastAsia="宋体" w:hAnsi="ˎ̥" w:cs="宋体"/>
      <w:b/>
      <w:bCs/>
      <w:color w:val="000000"/>
      <w:kern w:val="0"/>
      <w:sz w:val="20"/>
      <w:szCs w:val="20"/>
    </w:rPr>
  </w:style>
  <w:style w:type="paragraph" w:customStyle="1" w:styleId="stitle">
    <w:name w:val="stitle"/>
    <w:basedOn w:val="a"/>
    <w:rsid w:val="00242E6D"/>
    <w:pPr>
      <w:widowControl/>
      <w:spacing w:before="100" w:beforeAutospacing="1" w:after="100" w:afterAutospacing="1"/>
      <w:jc w:val="left"/>
    </w:pPr>
    <w:rPr>
      <w:rFonts w:ascii="ˎ̥" w:eastAsia="宋体" w:hAnsi="ˎ̥" w:cs="宋体"/>
      <w:smallCaps/>
      <w:color w:val="000000"/>
      <w:kern w:val="0"/>
      <w:sz w:val="20"/>
      <w:szCs w:val="20"/>
    </w:rPr>
  </w:style>
  <w:style w:type="paragraph" w:customStyle="1" w:styleId="zhang">
    <w:name w:val="zhang"/>
    <w:basedOn w:val="a"/>
    <w:rsid w:val="00242E6D"/>
    <w:pPr>
      <w:widowControl/>
      <w:spacing w:before="100" w:beforeAutospacing="1" w:after="100" w:afterAutospacing="1"/>
      <w:jc w:val="left"/>
    </w:pPr>
    <w:rPr>
      <w:rFonts w:ascii="ˎ̥" w:eastAsia="宋体" w:hAnsi="ˎ̥" w:cs="宋体"/>
      <w:b/>
      <w:bCs/>
      <w:smallCaps/>
      <w:color w:val="000000"/>
      <w:kern w:val="0"/>
      <w:sz w:val="20"/>
      <w:szCs w:val="20"/>
    </w:rPr>
  </w:style>
  <w:style w:type="paragraph" w:customStyle="1" w:styleId="tiao">
    <w:name w:val="tiao"/>
    <w:basedOn w:val="a"/>
    <w:rsid w:val="00242E6D"/>
    <w:pPr>
      <w:widowControl/>
      <w:shd w:val="clear" w:color="auto" w:fill="AFEEEE"/>
      <w:spacing w:before="100" w:beforeAutospacing="1" w:after="100" w:afterAutospacing="1"/>
      <w:jc w:val="left"/>
    </w:pPr>
    <w:rPr>
      <w:rFonts w:ascii="ˎ̥" w:eastAsia="宋体" w:hAnsi="ˎ̥" w:cs="宋体"/>
      <w:i/>
      <w:iCs/>
      <w:smallCaps/>
      <w:color w:val="6600CC"/>
      <w:kern w:val="0"/>
      <w:sz w:val="20"/>
      <w:szCs w:val="20"/>
    </w:rPr>
  </w:style>
  <w:style w:type="paragraph" w:customStyle="1" w:styleId="tiaonoa">
    <w:name w:val="tiaonoa"/>
    <w:basedOn w:val="a"/>
    <w:rsid w:val="00242E6D"/>
    <w:pPr>
      <w:widowControl/>
      <w:spacing w:before="100" w:beforeAutospacing="1" w:after="100" w:afterAutospacing="1"/>
      <w:jc w:val="left"/>
    </w:pPr>
    <w:rPr>
      <w:rFonts w:ascii="ˎ̥" w:eastAsia="宋体" w:hAnsi="ˎ̥" w:cs="宋体"/>
      <w:b/>
      <w:bCs/>
      <w:smallCaps/>
      <w:color w:val="000000"/>
      <w:kern w:val="0"/>
      <w:sz w:val="18"/>
      <w:szCs w:val="18"/>
    </w:rPr>
  </w:style>
  <w:style w:type="paragraph" w:customStyle="1" w:styleId="tiaoyin">
    <w:name w:val="tiaoyin"/>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zhu1">
    <w:name w:val="zhu1"/>
    <w:basedOn w:val="a"/>
    <w:rsid w:val="00242E6D"/>
    <w:pPr>
      <w:widowControl/>
      <w:spacing w:before="100" w:beforeAutospacing="1" w:after="100" w:afterAutospacing="1"/>
      <w:jc w:val="left"/>
    </w:pPr>
    <w:rPr>
      <w:rFonts w:ascii="ˎ̥" w:eastAsia="宋体" w:hAnsi="ˎ̥" w:cs="宋体"/>
      <w:smallCaps/>
      <w:color w:val="FF0000"/>
      <w:kern w:val="0"/>
      <w:sz w:val="20"/>
      <w:szCs w:val="20"/>
    </w:rPr>
  </w:style>
  <w:style w:type="paragraph" w:customStyle="1" w:styleId="border5">
    <w:name w:val="border5"/>
    <w:basedOn w:val="a"/>
    <w:rsid w:val="00242E6D"/>
    <w:pPr>
      <w:widowControl/>
      <w:pBdr>
        <w:top w:val="single" w:sz="4" w:space="0" w:color="9FBDE3"/>
        <w:left w:val="single" w:sz="4" w:space="0" w:color="9FBDE3"/>
        <w:bottom w:val="single" w:sz="4" w:space="0" w:color="9FBDE3"/>
        <w:right w:val="single" w:sz="4" w:space="0" w:color="9FBDE3"/>
      </w:pBdr>
      <w:spacing w:before="100" w:beforeAutospacing="1" w:after="100" w:afterAutospacing="1"/>
      <w:jc w:val="left"/>
    </w:pPr>
    <w:rPr>
      <w:rFonts w:ascii="宋体" w:eastAsia="宋体" w:hAnsi="宋体" w:cs="宋体"/>
      <w:kern w:val="0"/>
      <w:sz w:val="24"/>
      <w:szCs w:val="24"/>
    </w:rPr>
  </w:style>
  <w:style w:type="paragraph" w:customStyle="1" w:styleId="border6">
    <w:name w:val="border6"/>
    <w:basedOn w:val="a"/>
    <w:rsid w:val="00242E6D"/>
    <w:pPr>
      <w:widowControl/>
      <w:pBdr>
        <w:top w:val="single" w:sz="4" w:space="0" w:color="89002C"/>
        <w:left w:val="single" w:sz="4" w:space="0" w:color="89002C"/>
        <w:bottom w:val="single" w:sz="4" w:space="0" w:color="89002C"/>
        <w:right w:val="single" w:sz="4" w:space="0" w:color="89002C"/>
      </w:pBdr>
      <w:spacing w:before="100" w:beforeAutospacing="1" w:after="100" w:afterAutospacing="1"/>
      <w:jc w:val="left"/>
    </w:pPr>
    <w:rPr>
      <w:rFonts w:ascii="宋体" w:eastAsia="宋体" w:hAnsi="宋体" w:cs="宋体"/>
      <w:kern w:val="0"/>
      <w:sz w:val="24"/>
      <w:szCs w:val="24"/>
    </w:rPr>
  </w:style>
  <w:style w:type="paragraph" w:customStyle="1" w:styleId="fnlcodelevel1">
    <w:name w:val="fnl_code_level_1"/>
    <w:basedOn w:val="a"/>
    <w:rsid w:val="00242E6D"/>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nlcodelevel2">
    <w:name w:val="fnl_code_level_2"/>
    <w:basedOn w:val="a"/>
    <w:rsid w:val="00242E6D"/>
    <w:pPr>
      <w:widowControl/>
      <w:spacing w:before="100" w:beforeAutospacing="1" w:after="100" w:afterAutospacing="1"/>
      <w:jc w:val="left"/>
    </w:pPr>
    <w:rPr>
      <w:rFonts w:ascii="宋体" w:eastAsia="宋体" w:hAnsi="宋体" w:cs="宋体"/>
      <w:color w:val="8C0029"/>
      <w:kern w:val="0"/>
      <w:sz w:val="24"/>
      <w:szCs w:val="24"/>
    </w:rPr>
  </w:style>
  <w:style w:type="paragraph" w:customStyle="1" w:styleId="fnlcodelevel3">
    <w:name w:val="fnl_code_level_3"/>
    <w:basedOn w:val="a"/>
    <w:rsid w:val="00242E6D"/>
    <w:pPr>
      <w:widowControl/>
      <w:spacing w:before="100" w:beforeAutospacing="1" w:after="100" w:afterAutospacing="1"/>
      <w:jc w:val="left"/>
    </w:pPr>
    <w:rPr>
      <w:rFonts w:ascii="宋体" w:eastAsia="宋体" w:hAnsi="宋体" w:cs="宋体"/>
      <w:color w:val="29497B"/>
      <w:kern w:val="0"/>
      <w:sz w:val="24"/>
      <w:szCs w:val="24"/>
    </w:rPr>
  </w:style>
  <w:style w:type="paragraph" w:customStyle="1" w:styleId="redword">
    <w:name w:val="redword"/>
    <w:basedOn w:val="a"/>
    <w:rsid w:val="00242E6D"/>
    <w:pPr>
      <w:widowControl/>
      <w:shd w:val="clear" w:color="auto" w:fill="084DA5"/>
      <w:spacing w:before="100" w:beforeAutospacing="1" w:after="100" w:afterAutospacing="1"/>
      <w:jc w:val="left"/>
    </w:pPr>
    <w:rPr>
      <w:rFonts w:ascii="宋体" w:eastAsia="宋体" w:hAnsi="宋体" w:cs="宋体"/>
      <w:color w:val="FFFFFF"/>
      <w:kern w:val="0"/>
      <w:sz w:val="24"/>
      <w:szCs w:val="24"/>
    </w:rPr>
  </w:style>
  <w:style w:type="paragraph" w:customStyle="1" w:styleId="textcolumn">
    <w:name w:val="textcolumn"/>
    <w:basedOn w:val="a"/>
    <w:rsid w:val="00242E6D"/>
    <w:pPr>
      <w:widowControl/>
      <w:spacing w:before="100" w:beforeAutospacing="1" w:after="100" w:afterAutospacing="1"/>
      <w:jc w:val="left"/>
    </w:pPr>
    <w:rPr>
      <w:rFonts w:ascii="ˎ̥" w:eastAsia="宋体" w:hAnsi="ˎ̥" w:cs="宋体"/>
      <w:kern w:val="0"/>
      <w:sz w:val="14"/>
      <w:szCs w:val="14"/>
    </w:rPr>
  </w:style>
  <w:style w:type="paragraph" w:customStyle="1" w:styleId="biankuang">
    <w:name w:val="biankuang"/>
    <w:basedOn w:val="a"/>
    <w:rsid w:val="00242E6D"/>
    <w:pPr>
      <w:widowControl/>
      <w:pBdr>
        <w:top w:val="single" w:sz="4" w:space="0" w:color="B3D0EA"/>
        <w:left w:val="single" w:sz="4" w:space="0" w:color="B3D0EA"/>
        <w:bottom w:val="single" w:sz="4" w:space="0" w:color="B3D0EA"/>
        <w:right w:val="single" w:sz="4" w:space="0" w:color="B3D0EA"/>
      </w:pBdr>
      <w:spacing w:before="100" w:beforeAutospacing="1" w:after="100" w:afterAutospacing="1"/>
      <w:jc w:val="left"/>
    </w:pPr>
    <w:rPr>
      <w:rFonts w:ascii="宋体" w:eastAsia="宋体" w:hAnsi="宋体" w:cs="宋体"/>
      <w:kern w:val="0"/>
      <w:sz w:val="24"/>
      <w:szCs w:val="24"/>
    </w:rPr>
  </w:style>
  <w:style w:type="paragraph" w:customStyle="1" w:styleId="daohangwulianjie">
    <w:name w:val="daohangwulianjie"/>
    <w:basedOn w:val="a"/>
    <w:rsid w:val="00242E6D"/>
    <w:pPr>
      <w:widowControl/>
      <w:spacing w:before="100" w:beforeAutospacing="1" w:after="100" w:afterAutospacing="1"/>
      <w:jc w:val="left"/>
    </w:pPr>
    <w:rPr>
      <w:rFonts w:ascii="宋体" w:eastAsia="宋体" w:hAnsi="宋体" w:cs="宋体"/>
      <w:color w:val="000000"/>
      <w:kern w:val="0"/>
      <w:sz w:val="13"/>
      <w:szCs w:val="13"/>
      <w:u w:val="single"/>
    </w:rPr>
  </w:style>
  <w:style w:type="paragraph" w:customStyle="1" w:styleId="top-kong">
    <w:name w:val="top-kong"/>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1">
    <w:name w:val="top-1"/>
    <w:basedOn w:val="a"/>
    <w:rsid w:val="00242E6D"/>
    <w:pPr>
      <w:widowControl/>
      <w:spacing w:before="100" w:beforeAutospacing="1" w:after="100" w:afterAutospacing="1"/>
      <w:jc w:val="left"/>
    </w:pPr>
    <w:rPr>
      <w:rFonts w:ascii="宋体" w:eastAsia="宋体" w:hAnsi="宋体" w:cs="宋体"/>
      <w:kern w:val="0"/>
      <w:sz w:val="24"/>
      <w:szCs w:val="24"/>
    </w:rPr>
  </w:style>
  <w:style w:type="paragraph" w:customStyle="1" w:styleId="top-2">
    <w:name w:val="top-2"/>
    <w:basedOn w:val="a"/>
    <w:rsid w:val="00242E6D"/>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ain-xian1">
    <w:name w:val="main-xian1"/>
    <w:basedOn w:val="a"/>
    <w:rsid w:val="00242E6D"/>
    <w:pPr>
      <w:widowControl/>
      <w:shd w:val="clear" w:color="auto" w:fill="B3D0EA"/>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unhideWhenUsed/>
    <w:rsid w:val="00242E6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326322460">
      <w:bodyDiv w:val="1"/>
      <w:marLeft w:val="0"/>
      <w:marRight w:val="0"/>
      <w:marTop w:val="0"/>
      <w:marBottom w:val="0"/>
      <w:divBdr>
        <w:top w:val="none" w:sz="0" w:space="0" w:color="auto"/>
        <w:left w:val="none" w:sz="0" w:space="0" w:color="auto"/>
        <w:bottom w:val="none" w:sz="0" w:space="0" w:color="auto"/>
        <w:right w:val="none" w:sz="0" w:space="0" w:color="auto"/>
      </w:divBdr>
    </w:div>
    <w:div w:id="1469202160">
      <w:bodyDiv w:val="1"/>
      <w:marLeft w:val="0"/>
      <w:marRight w:val="0"/>
      <w:marTop w:val="0"/>
      <w:marBottom w:val="0"/>
      <w:divBdr>
        <w:top w:val="none" w:sz="0" w:space="0" w:color="auto"/>
        <w:left w:val="none" w:sz="0" w:space="0" w:color="auto"/>
        <w:bottom w:val="none" w:sz="0" w:space="0" w:color="auto"/>
        <w:right w:val="none" w:sz="0" w:space="0" w:color="auto"/>
      </w:divBdr>
    </w:div>
    <w:div w:id="1478187827">
      <w:bodyDiv w:val="1"/>
      <w:marLeft w:val="0"/>
      <w:marRight w:val="0"/>
      <w:marTop w:val="0"/>
      <w:marBottom w:val="0"/>
      <w:divBdr>
        <w:top w:val="none" w:sz="0" w:space="0" w:color="auto"/>
        <w:left w:val="none" w:sz="0" w:space="0" w:color="auto"/>
        <w:bottom w:val="none" w:sz="0" w:space="0" w:color="auto"/>
        <w:right w:val="none" w:sz="0" w:space="0" w:color="auto"/>
      </w:divBdr>
    </w:div>
    <w:div w:id="2051957106">
      <w:bodyDiv w:val="1"/>
      <w:marLeft w:val="0"/>
      <w:marRight w:val="0"/>
      <w:marTop w:val="0"/>
      <w:marBottom w:val="107"/>
      <w:divBdr>
        <w:top w:val="none" w:sz="0" w:space="0" w:color="auto"/>
        <w:left w:val="none" w:sz="0" w:space="0" w:color="auto"/>
        <w:bottom w:val="none" w:sz="0" w:space="0" w:color="auto"/>
        <w:right w:val="none" w:sz="0" w:space="0" w:color="auto"/>
      </w:divBdr>
      <w:divsChild>
        <w:div w:id="2078285172">
          <w:marLeft w:val="0"/>
          <w:marRight w:val="0"/>
          <w:marTop w:val="0"/>
          <w:marBottom w:val="0"/>
          <w:divBdr>
            <w:top w:val="none" w:sz="0" w:space="0" w:color="auto"/>
            <w:left w:val="none" w:sz="0" w:space="0" w:color="auto"/>
            <w:bottom w:val="none" w:sz="0" w:space="0" w:color="auto"/>
            <w:right w:val="none" w:sz="0" w:space="0" w:color="auto"/>
          </w:divBdr>
          <w:divsChild>
            <w:div w:id="64469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442</Words>
  <Characters>2525</Characters>
  <Application>Microsoft Office Word</Application>
  <DocSecurity>0</DocSecurity>
  <Lines>21</Lines>
  <Paragraphs>5</Paragraphs>
  <ScaleCrop>false</ScaleCrop>
  <Company>Hewlett-Packard Company</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2013-03-24T06:10:00Z</dcterms:created>
  <dcterms:modified xsi:type="dcterms:W3CDTF">2013-03-24T06:10:00Z</dcterms:modified>
</cp:coreProperties>
</file>