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7F31FB" w:rsidRPr="007F31FB" w:rsidTr="007F31FB">
        <w:trPr>
          <w:tblCellSpacing w:w="0" w:type="dxa"/>
          <w:jc w:val="center"/>
        </w:trPr>
        <w:tc>
          <w:tcPr>
            <w:tcW w:w="0" w:type="auto"/>
            <w:tcBorders>
              <w:top w:val="nil"/>
              <w:left w:val="nil"/>
              <w:bottom w:val="nil"/>
              <w:right w:val="nil"/>
            </w:tcBorders>
            <w:vAlign w:val="center"/>
            <w:hideMark/>
          </w:tcPr>
          <w:p w:rsidR="007F31FB" w:rsidRPr="007F31FB" w:rsidRDefault="007F31FB" w:rsidP="007F31FB">
            <w:pPr>
              <w:widowControl/>
              <w:snapToGrid w:val="0"/>
              <w:jc w:val="center"/>
              <w:rPr>
                <w:rFonts w:ascii="黑体" w:eastAsia="黑体" w:hAnsi="黑体" w:cs="宋体"/>
                <w:kern w:val="0"/>
                <w:sz w:val="28"/>
                <w:szCs w:val="24"/>
              </w:rPr>
            </w:pPr>
            <w:r w:rsidRPr="007F31FB">
              <w:rPr>
                <w:rFonts w:ascii="黑体" w:eastAsia="黑体" w:hAnsi="黑体" w:cs="宋体"/>
                <w:bCs/>
                <w:kern w:val="0"/>
                <w:sz w:val="28"/>
                <w:szCs w:val="24"/>
              </w:rPr>
              <w:t>最高人民法院关于在民事审判和执行工作中依法保护金融债权防止国有资产流失问题的通知</w:t>
            </w:r>
          </w:p>
        </w:tc>
      </w:tr>
      <w:tr w:rsidR="007F31FB" w:rsidRPr="007F31FB" w:rsidTr="007F31FB">
        <w:trPr>
          <w:tblCellSpacing w:w="0" w:type="dxa"/>
          <w:jc w:val="center"/>
        </w:trPr>
        <w:tc>
          <w:tcPr>
            <w:tcW w:w="0" w:type="auto"/>
            <w:tcBorders>
              <w:top w:val="nil"/>
              <w:left w:val="nil"/>
              <w:bottom w:val="nil"/>
              <w:right w:val="nil"/>
            </w:tcBorders>
            <w:vAlign w:val="center"/>
            <w:hideMark/>
          </w:tcPr>
          <w:p w:rsidR="007F31FB" w:rsidRPr="007F31FB" w:rsidRDefault="007F31FB" w:rsidP="007F31FB">
            <w:pPr>
              <w:widowControl/>
              <w:jc w:val="center"/>
              <w:rPr>
                <w:rFonts w:ascii="宋体" w:eastAsia="宋体" w:hAnsi="宋体" w:cs="宋体"/>
                <w:kern w:val="0"/>
                <w:sz w:val="24"/>
                <w:szCs w:val="24"/>
              </w:rPr>
            </w:pPr>
            <w:r w:rsidRPr="007F31FB">
              <w:rPr>
                <w:rFonts w:ascii="宋体" w:eastAsia="宋体" w:hAnsi="宋体" w:cs="宋体"/>
                <w:kern w:val="0"/>
                <w:sz w:val="24"/>
                <w:szCs w:val="24"/>
              </w:rPr>
              <w:br/>
              <w:t xml:space="preserve">　　(2005年3月16日 法〔2005〕32号）</w:t>
            </w:r>
          </w:p>
        </w:tc>
      </w:tr>
      <w:tr w:rsidR="007F31FB" w:rsidRPr="007F31FB" w:rsidTr="007F31FB">
        <w:trPr>
          <w:tblCellSpacing w:w="0" w:type="dxa"/>
          <w:jc w:val="center"/>
        </w:trPr>
        <w:tc>
          <w:tcPr>
            <w:tcW w:w="0" w:type="auto"/>
            <w:tcBorders>
              <w:top w:val="nil"/>
              <w:left w:val="nil"/>
              <w:bottom w:val="nil"/>
              <w:right w:val="nil"/>
            </w:tcBorders>
            <w:vAlign w:val="center"/>
            <w:hideMark/>
          </w:tcPr>
          <w:p w:rsidR="007F31FB" w:rsidRPr="007F31FB" w:rsidRDefault="007F31FB" w:rsidP="007F31FB">
            <w:pPr>
              <w:widowControl/>
              <w:jc w:val="center"/>
              <w:rPr>
                <w:rFonts w:ascii="宋体" w:eastAsia="宋体" w:hAnsi="宋体" w:cs="宋体"/>
                <w:kern w:val="0"/>
                <w:sz w:val="24"/>
                <w:szCs w:val="24"/>
              </w:rPr>
            </w:pPr>
          </w:p>
        </w:tc>
      </w:tr>
      <w:tr w:rsidR="007F31FB" w:rsidRPr="00F84716" w:rsidTr="007F31FB">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7F31FB" w:rsidRPr="00F84716">
              <w:trPr>
                <w:tblCellSpacing w:w="15" w:type="dxa"/>
                <w:jc w:val="center"/>
              </w:trPr>
              <w:tc>
                <w:tcPr>
                  <w:tcW w:w="0" w:type="auto"/>
                  <w:vAlign w:val="center"/>
                  <w:hideMark/>
                </w:tcPr>
                <w:p w:rsidR="007F31FB" w:rsidRPr="00F84716" w:rsidRDefault="007F31FB" w:rsidP="007F31FB">
                  <w:pPr>
                    <w:rPr>
                      <w:sz w:val="24"/>
                      <w:szCs w:val="24"/>
                    </w:rPr>
                  </w:pPr>
                  <w:r w:rsidRPr="00F84716">
                    <w:rPr>
                      <w:sz w:val="24"/>
                      <w:szCs w:val="24"/>
                    </w:rPr>
                    <w:br/>
                  </w:r>
                  <w:r w:rsidRPr="00F84716">
                    <w:rPr>
                      <w:sz w:val="24"/>
                      <w:szCs w:val="24"/>
                    </w:rPr>
                    <w:t xml:space="preserve">　　依法保护金融债权，防止国有资产流失，关系到国家经济安全，已经成为当前我国经济结构调整和金融体制改革过程中的重要问题。随着金融不良债权处置工作进入攻坚阶段和处置难度的加大、处置方式的多元化，人民群众和社会各界对人民法院在审理和执行涉及不良金融债权案件中如何依法保护金融债权，防止国有资产流失提出了更高的要求。为正确审理上述相关纠纷案件，保障金融不良债权处置工作的顺利进行，防止国有资产流失，现通知如下：</w:t>
                  </w:r>
                  <w:r w:rsidRPr="00F84716">
                    <w:rPr>
                      <w:sz w:val="24"/>
                      <w:szCs w:val="24"/>
                    </w:rPr>
                    <w:br/>
                  </w:r>
                  <w:r w:rsidRPr="00F84716">
                    <w:rPr>
                      <w:sz w:val="24"/>
                      <w:szCs w:val="24"/>
                    </w:rPr>
                    <w:t xml:space="preserve">　　一、充分发挥民事审判和执行工作在依法调整社会各种经济关系，维护社会主义市场经济秩序方面的职能作用。在审理和执行涉及金融不良债权案件中要严格执行民事诉讼法、合同法、担保法及本院颁布的《关于审理企业破产案件若干问题的规定》、《关于审理与企业改制相关的民事纠纷案件若干问题的规定》等一系列司法解释，准确理解和把握立法和司法解释的本意，统一司法尺度。</w:t>
                  </w:r>
                  <w:r w:rsidRPr="00F84716">
                    <w:rPr>
                      <w:sz w:val="24"/>
                      <w:szCs w:val="24"/>
                    </w:rPr>
                    <w:br/>
                  </w:r>
                  <w:r w:rsidRPr="00F84716">
                    <w:rPr>
                      <w:sz w:val="24"/>
                      <w:szCs w:val="24"/>
                    </w:rPr>
                    <w:t xml:space="preserve">　　二、各级人民法院和广大法官要增强司法能力，提高司法水平，维护国家法制的统一，摒弃和坚决抵制地方保护主义。审理涉及金融不良债权案件，要坚持办案的法律效果与社会效果的统一，妥善处理国家利益和地方利益的关系，依法保护金融债权和企业职工的合法权益。</w:t>
                  </w:r>
                  <w:r w:rsidRPr="00F84716">
                    <w:rPr>
                      <w:sz w:val="24"/>
                      <w:szCs w:val="24"/>
                    </w:rPr>
                    <w:br/>
                  </w:r>
                  <w:r w:rsidRPr="00F84716">
                    <w:rPr>
                      <w:sz w:val="24"/>
                      <w:szCs w:val="24"/>
                    </w:rPr>
                    <w:t xml:space="preserve">　　三、加强涉及金融不良债权案件的调研工作。随着我国金融体制改革的逐步深入，人民法院在审理和执行涉及金融不良债权案件中会不断遇到新情况和新问题。这些问题政策性强、社会影响大，而有关法律法规又相对滞后。人民法院要在总结经验的基础上加强调查研究，不断提高办案质量和效率。上级人民法院要加强对下级人民法院的监督指导，并开展有针对性的执法检查，发现问题及时纠正。</w:t>
                  </w:r>
                  <w:r w:rsidRPr="00F84716">
                    <w:rPr>
                      <w:sz w:val="24"/>
                      <w:szCs w:val="24"/>
                    </w:rPr>
                    <w:br/>
                  </w:r>
                  <w:r w:rsidRPr="00F84716">
                    <w:rPr>
                      <w:sz w:val="24"/>
                      <w:szCs w:val="24"/>
                    </w:rPr>
                    <w:t xml:space="preserve">　　四、在审理和执行上述案件时，需要对金融不良债权和相关财产进行评估、审计的，要严格依照法律规定委托有相应资质并信誉良好的中介机构进行，要对评估、审计程序和结果进行严格审查。对被执行人的财产进行变价时，要尽可能采取由拍卖机构公开拍卖的方式，最大限度回收金融债权。</w:t>
                  </w:r>
                  <w:r w:rsidRPr="00F84716">
                    <w:rPr>
                      <w:sz w:val="24"/>
                      <w:szCs w:val="24"/>
                    </w:rPr>
                    <w:br/>
                  </w:r>
                  <w:r w:rsidRPr="00F84716">
                    <w:rPr>
                      <w:sz w:val="24"/>
                      <w:szCs w:val="24"/>
                    </w:rPr>
                    <w:t xml:space="preserve">　　五、人民法院在民事审判和执行工作中，如发现金融机构工作人员在处置金融不良债权过程中与受让人、中介机构等恶意串通，故意违规处置金融不良债权，有经济犯罪嫌疑线索的，要及时将犯罪嫌疑线索移送检察机关查处。</w:t>
                  </w:r>
                  <w:r w:rsidRPr="00F84716">
                    <w:rPr>
                      <w:sz w:val="24"/>
                      <w:szCs w:val="24"/>
                    </w:rPr>
                    <w:br/>
                  </w:r>
                  <w:r w:rsidRPr="00F84716">
                    <w:rPr>
                      <w:sz w:val="24"/>
                      <w:szCs w:val="24"/>
                    </w:rPr>
                    <w:t xml:space="preserve">　　六、要加强与金融监管部门、国有资产管理部门的沟通和协调，对辖区内有重大影响和易引起社会关注的案件，处理前应征求上述有关部门的意见，共同做好工作。</w:t>
                  </w:r>
                  <w:r w:rsidRPr="00F84716">
                    <w:rPr>
                      <w:sz w:val="24"/>
                      <w:szCs w:val="24"/>
                    </w:rPr>
                    <w:br/>
                  </w:r>
                  <w:r w:rsidRPr="00F84716">
                    <w:rPr>
                      <w:sz w:val="24"/>
                      <w:szCs w:val="24"/>
                    </w:rPr>
                    <w:t xml:space="preserve">　　七、在执行涉及金融不良债权案件时，要做好处理突发事件的预案，防范少数不法人员煽动、组织不明真相的职工和群众冲击法院和执行现场，围攻法院工作人员和集体到党政机关上访。发生重大突发性事件，要及时向地方党委、人大和上级人民法院报告。</w:t>
                  </w:r>
                  <w:r w:rsidRPr="00F84716">
                    <w:rPr>
                      <w:sz w:val="24"/>
                      <w:szCs w:val="24"/>
                    </w:rPr>
                    <w:br/>
                  </w:r>
                  <w:r w:rsidRPr="00F84716">
                    <w:rPr>
                      <w:sz w:val="24"/>
                      <w:szCs w:val="24"/>
                    </w:rPr>
                    <w:t xml:space="preserve">　　特此通知</w:t>
                  </w:r>
                  <w:r w:rsidRPr="00F84716">
                    <w:rPr>
                      <w:rFonts w:hint="eastAsia"/>
                      <w:sz w:val="24"/>
                      <w:szCs w:val="24"/>
                    </w:rPr>
                    <w:t>。</w:t>
                  </w:r>
                  <w:r w:rsidRPr="00F84716">
                    <w:rPr>
                      <w:rFonts w:hint="eastAsia"/>
                      <w:sz w:val="24"/>
                      <w:szCs w:val="24"/>
                    </w:rPr>
                    <w:t xml:space="preserve">     </w:t>
                  </w:r>
                </w:p>
              </w:tc>
            </w:tr>
          </w:tbl>
          <w:p w:rsidR="007F31FB" w:rsidRPr="00F84716" w:rsidRDefault="007F31FB" w:rsidP="007F31FB">
            <w:pPr>
              <w:rPr>
                <w:sz w:val="24"/>
                <w:szCs w:val="24"/>
              </w:rPr>
            </w:pPr>
          </w:p>
        </w:tc>
      </w:tr>
    </w:tbl>
    <w:p w:rsidR="00D55E8D" w:rsidRPr="00F84716" w:rsidRDefault="00D55E8D" w:rsidP="007F31FB">
      <w:pPr>
        <w:rPr>
          <w:sz w:val="24"/>
          <w:szCs w:val="24"/>
        </w:rPr>
      </w:pPr>
    </w:p>
    <w:sectPr w:rsidR="00D55E8D" w:rsidRPr="00F84716" w:rsidSect="002D53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8D1" w:rsidRDefault="00F248D1" w:rsidP="00C45BDC">
      <w:r>
        <w:separator/>
      </w:r>
    </w:p>
  </w:endnote>
  <w:endnote w:type="continuationSeparator" w:id="1">
    <w:p w:rsidR="00F248D1" w:rsidRDefault="00F248D1" w:rsidP="00C45B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8D1" w:rsidRDefault="00F248D1" w:rsidP="00C45BDC">
      <w:r>
        <w:separator/>
      </w:r>
    </w:p>
  </w:footnote>
  <w:footnote w:type="continuationSeparator" w:id="1">
    <w:p w:rsidR="00F248D1" w:rsidRDefault="00F248D1" w:rsidP="00C45B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BDC"/>
    <w:rsid w:val="00176377"/>
    <w:rsid w:val="00191F88"/>
    <w:rsid w:val="001D5351"/>
    <w:rsid w:val="001D7992"/>
    <w:rsid w:val="00261534"/>
    <w:rsid w:val="002D53A7"/>
    <w:rsid w:val="00465128"/>
    <w:rsid w:val="004823C7"/>
    <w:rsid w:val="005160B6"/>
    <w:rsid w:val="006E6232"/>
    <w:rsid w:val="007F31FB"/>
    <w:rsid w:val="008B7FB1"/>
    <w:rsid w:val="008C602A"/>
    <w:rsid w:val="008C6E88"/>
    <w:rsid w:val="0091217C"/>
    <w:rsid w:val="009373B6"/>
    <w:rsid w:val="009B1ADE"/>
    <w:rsid w:val="00A66D90"/>
    <w:rsid w:val="00C2237B"/>
    <w:rsid w:val="00C45BDC"/>
    <w:rsid w:val="00D260CF"/>
    <w:rsid w:val="00D55E8D"/>
    <w:rsid w:val="00F248D1"/>
    <w:rsid w:val="00F37C6F"/>
    <w:rsid w:val="00F84716"/>
    <w:rsid w:val="00FE41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3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5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5BDC"/>
    <w:rPr>
      <w:sz w:val="18"/>
      <w:szCs w:val="18"/>
    </w:rPr>
  </w:style>
  <w:style w:type="paragraph" w:styleId="a4">
    <w:name w:val="footer"/>
    <w:basedOn w:val="a"/>
    <w:link w:val="Char0"/>
    <w:uiPriority w:val="99"/>
    <w:semiHidden/>
    <w:unhideWhenUsed/>
    <w:rsid w:val="00C45B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5BDC"/>
    <w:rPr>
      <w:sz w:val="18"/>
      <w:szCs w:val="18"/>
    </w:rPr>
  </w:style>
</w:styles>
</file>

<file path=word/webSettings.xml><?xml version="1.0" encoding="utf-8"?>
<w:webSettings xmlns:r="http://schemas.openxmlformats.org/officeDocument/2006/relationships" xmlns:w="http://schemas.openxmlformats.org/wordprocessingml/2006/main">
  <w:divs>
    <w:div w:id="862092842">
      <w:bodyDiv w:val="1"/>
      <w:marLeft w:val="0"/>
      <w:marRight w:val="0"/>
      <w:marTop w:val="0"/>
      <w:marBottom w:val="0"/>
      <w:divBdr>
        <w:top w:val="none" w:sz="0" w:space="0" w:color="auto"/>
        <w:left w:val="none" w:sz="0" w:space="0" w:color="auto"/>
        <w:bottom w:val="none" w:sz="0" w:space="0" w:color="auto"/>
        <w:right w:val="none" w:sz="0" w:space="0" w:color="auto"/>
      </w:divBdr>
    </w:div>
    <w:div w:id="921380003">
      <w:bodyDiv w:val="1"/>
      <w:marLeft w:val="0"/>
      <w:marRight w:val="0"/>
      <w:marTop w:val="0"/>
      <w:marBottom w:val="0"/>
      <w:divBdr>
        <w:top w:val="none" w:sz="0" w:space="0" w:color="auto"/>
        <w:left w:val="none" w:sz="0" w:space="0" w:color="auto"/>
        <w:bottom w:val="none" w:sz="0" w:space="0" w:color="auto"/>
        <w:right w:val="none" w:sz="0" w:space="0" w:color="auto"/>
      </w:divBdr>
    </w:div>
    <w:div w:id="1004820657">
      <w:bodyDiv w:val="1"/>
      <w:marLeft w:val="0"/>
      <w:marRight w:val="0"/>
      <w:marTop w:val="0"/>
      <w:marBottom w:val="0"/>
      <w:divBdr>
        <w:top w:val="none" w:sz="0" w:space="0" w:color="auto"/>
        <w:left w:val="none" w:sz="0" w:space="0" w:color="auto"/>
        <w:bottom w:val="none" w:sz="0" w:space="0" w:color="auto"/>
        <w:right w:val="none" w:sz="0" w:space="0" w:color="auto"/>
      </w:divBdr>
    </w:div>
    <w:div w:id="1249532884">
      <w:bodyDiv w:val="1"/>
      <w:marLeft w:val="0"/>
      <w:marRight w:val="0"/>
      <w:marTop w:val="0"/>
      <w:marBottom w:val="0"/>
      <w:divBdr>
        <w:top w:val="none" w:sz="0" w:space="0" w:color="auto"/>
        <w:left w:val="none" w:sz="0" w:space="0" w:color="auto"/>
        <w:bottom w:val="none" w:sz="0" w:space="0" w:color="auto"/>
        <w:right w:val="none" w:sz="0" w:space="0" w:color="auto"/>
      </w:divBdr>
    </w:div>
    <w:div w:id="1821649173">
      <w:bodyDiv w:val="1"/>
      <w:marLeft w:val="0"/>
      <w:marRight w:val="0"/>
      <w:marTop w:val="0"/>
      <w:marBottom w:val="0"/>
      <w:divBdr>
        <w:top w:val="none" w:sz="0" w:space="0" w:color="auto"/>
        <w:left w:val="none" w:sz="0" w:space="0" w:color="auto"/>
        <w:bottom w:val="none" w:sz="0" w:space="0" w:color="auto"/>
        <w:right w:val="none" w:sz="0" w:space="0" w:color="auto"/>
      </w:divBdr>
    </w:div>
    <w:div w:id="1845972545">
      <w:bodyDiv w:val="1"/>
      <w:marLeft w:val="0"/>
      <w:marRight w:val="0"/>
      <w:marTop w:val="0"/>
      <w:marBottom w:val="0"/>
      <w:divBdr>
        <w:top w:val="none" w:sz="0" w:space="0" w:color="auto"/>
        <w:left w:val="none" w:sz="0" w:space="0" w:color="auto"/>
        <w:bottom w:val="none" w:sz="0" w:space="0" w:color="auto"/>
        <w:right w:val="none" w:sz="0" w:space="0" w:color="auto"/>
      </w:divBdr>
    </w:div>
    <w:div w:id="1882982179">
      <w:bodyDiv w:val="1"/>
      <w:marLeft w:val="0"/>
      <w:marRight w:val="0"/>
      <w:marTop w:val="0"/>
      <w:marBottom w:val="0"/>
      <w:divBdr>
        <w:top w:val="none" w:sz="0" w:space="0" w:color="auto"/>
        <w:left w:val="none" w:sz="0" w:space="0" w:color="auto"/>
        <w:bottom w:val="none" w:sz="0" w:space="0" w:color="auto"/>
        <w:right w:val="none" w:sz="0" w:space="0" w:color="auto"/>
      </w:divBdr>
    </w:div>
    <w:div w:id="1914662754">
      <w:bodyDiv w:val="1"/>
      <w:marLeft w:val="0"/>
      <w:marRight w:val="0"/>
      <w:marTop w:val="0"/>
      <w:marBottom w:val="0"/>
      <w:divBdr>
        <w:top w:val="none" w:sz="0" w:space="0" w:color="auto"/>
        <w:left w:val="none" w:sz="0" w:space="0" w:color="auto"/>
        <w:bottom w:val="none" w:sz="0" w:space="0" w:color="auto"/>
        <w:right w:val="none" w:sz="0" w:space="0" w:color="auto"/>
      </w:divBdr>
    </w:div>
    <w:div w:id="194657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Words>
  <Characters>1015</Characters>
  <Application>Microsoft Office Word</Application>
  <DocSecurity>0</DocSecurity>
  <Lines>8</Lines>
  <Paragraphs>2</Paragraphs>
  <ScaleCrop>false</ScaleCrop>
  <Company>Hewlett-Packard Company</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2013-01-19T09:04:00Z</dcterms:created>
  <dcterms:modified xsi:type="dcterms:W3CDTF">2013-01-19T09:04:00Z</dcterms:modified>
</cp:coreProperties>
</file>