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000000">
        <w:trPr>
          <w:tblCellSpacing w:w="0" w:type="dxa"/>
          <w:jc w:val="center"/>
        </w:trPr>
        <w:tc>
          <w:tcPr>
            <w:tcW w:w="0" w:type="auto"/>
            <w:vAlign w:val="center"/>
            <w:hideMark/>
          </w:tcPr>
          <w:p w:rsidR="00000000" w:rsidRDefault="00DC30E4">
            <w:pPr>
              <w:jc w:val="center"/>
              <w:rPr>
                <w:rFonts w:ascii="黑体" w:eastAsia="黑体" w:hAnsi="黑体"/>
                <w:sz w:val="28"/>
              </w:rPr>
            </w:pPr>
            <w:r>
              <w:rPr>
                <w:rFonts w:ascii="黑体" w:eastAsia="黑体" w:hAnsi="黑体" w:hint="eastAsia"/>
                <w:bCs/>
                <w:sz w:val="28"/>
              </w:rPr>
              <w:t>最高人民法院关于依法审理和执行被风险处置证券公司相关案件的通知</w:t>
            </w:r>
          </w:p>
        </w:tc>
      </w:tr>
      <w:tr w:rsidR="00000000">
        <w:trPr>
          <w:tblCellSpacing w:w="0" w:type="dxa"/>
          <w:jc w:val="center"/>
        </w:trPr>
        <w:tc>
          <w:tcPr>
            <w:tcW w:w="0" w:type="auto"/>
            <w:vAlign w:val="center"/>
            <w:hideMark/>
          </w:tcPr>
          <w:p w:rsidR="00000000" w:rsidRDefault="00DC30E4">
            <w:pPr>
              <w:jc w:val="center"/>
            </w:pPr>
            <w:r>
              <w:rPr>
                <w:rFonts w:hint="eastAsia"/>
              </w:rPr>
              <w:br/>
            </w:r>
            <w:r>
              <w:rPr>
                <w:rFonts w:hint="eastAsia"/>
              </w:rPr>
              <w:t xml:space="preserve">　　</w:t>
            </w:r>
            <w:r>
              <w:rPr>
                <w:rFonts w:hint="eastAsia"/>
              </w:rPr>
              <w:t>(2009</w:t>
            </w:r>
            <w:r>
              <w:rPr>
                <w:rFonts w:hint="eastAsia"/>
              </w:rPr>
              <w:t>年</w:t>
            </w:r>
            <w:r>
              <w:rPr>
                <w:rFonts w:hint="eastAsia"/>
              </w:rPr>
              <w:t>5</w:t>
            </w:r>
            <w:r>
              <w:rPr>
                <w:rFonts w:hint="eastAsia"/>
              </w:rPr>
              <w:t>月</w:t>
            </w:r>
            <w:r>
              <w:rPr>
                <w:rFonts w:hint="eastAsia"/>
              </w:rPr>
              <w:t>26</w:t>
            </w:r>
            <w:r>
              <w:rPr>
                <w:rFonts w:hint="eastAsia"/>
              </w:rPr>
              <w:t>日</w:t>
            </w:r>
            <w:r>
              <w:rPr>
                <w:rFonts w:hint="eastAsia"/>
              </w:rPr>
              <w:t xml:space="preserve"> </w:t>
            </w:r>
            <w:r>
              <w:rPr>
                <w:rFonts w:hint="eastAsia"/>
              </w:rPr>
              <w:t>法发〔</w:t>
            </w:r>
            <w:r>
              <w:rPr>
                <w:rFonts w:hint="eastAsia"/>
              </w:rPr>
              <w:t>2009</w:t>
            </w:r>
            <w:r>
              <w:rPr>
                <w:rFonts w:hint="eastAsia"/>
              </w:rPr>
              <w:t>〕</w:t>
            </w:r>
            <w:r>
              <w:rPr>
                <w:rFonts w:hint="eastAsia"/>
              </w:rPr>
              <w:t>35</w:t>
            </w:r>
            <w:r>
              <w:rPr>
                <w:rFonts w:hint="eastAsia"/>
              </w:rPr>
              <w:t>号）</w:t>
            </w:r>
          </w:p>
        </w:tc>
      </w:tr>
      <w:tr w:rsidR="00000000">
        <w:trPr>
          <w:tblCellSpacing w:w="0" w:type="dxa"/>
          <w:jc w:val="center"/>
        </w:trPr>
        <w:tc>
          <w:tcPr>
            <w:tcW w:w="0" w:type="auto"/>
            <w:vAlign w:val="center"/>
            <w:hideMark/>
          </w:tcPr>
          <w:p w:rsidR="00000000" w:rsidRDefault="00DC30E4">
            <w:pPr>
              <w:rPr>
                <w:rFonts w:ascii="Times New Roman" w:hAnsi="Times New Roman" w:cs="Times New Roman"/>
                <w:sz w:val="20"/>
                <w:szCs w:val="20"/>
              </w:rPr>
            </w:pPr>
          </w:p>
        </w:tc>
      </w:tr>
      <w:tr w:rsidR="00000000">
        <w:trPr>
          <w:tblCellSpacing w:w="0" w:type="dxa"/>
          <w:jc w:val="center"/>
        </w:trPr>
        <w:tc>
          <w:tcPr>
            <w:tcW w:w="0" w:type="auto"/>
            <w:vAlign w:val="center"/>
            <w:hideMark/>
          </w:tcPr>
          <w:tbl>
            <w:tblPr>
              <w:tblW w:w="5000" w:type="pct"/>
              <w:jc w:val="center"/>
              <w:tblCellSpacing w:w="15" w:type="dxa"/>
              <w:tblLook w:val="04A0"/>
            </w:tblPr>
            <w:tblGrid>
              <w:gridCol w:w="8306"/>
            </w:tblGrid>
            <w:tr w:rsidR="00000000">
              <w:trPr>
                <w:tblCellSpacing w:w="15" w:type="dxa"/>
                <w:jc w:val="center"/>
              </w:trPr>
              <w:tc>
                <w:tcPr>
                  <w:tcW w:w="0" w:type="auto"/>
                  <w:tcMar>
                    <w:top w:w="15" w:type="dxa"/>
                    <w:left w:w="15" w:type="dxa"/>
                    <w:bottom w:w="15" w:type="dxa"/>
                    <w:right w:w="15" w:type="dxa"/>
                  </w:tcMar>
                  <w:vAlign w:val="center"/>
                  <w:hideMark/>
                </w:tcPr>
                <w:p w:rsidR="00000000" w:rsidRDefault="00DC30E4">
                  <w:r>
                    <w:rPr>
                      <w:rFonts w:hint="eastAsia"/>
                    </w:rPr>
                    <w:br/>
                  </w:r>
                  <w:r>
                    <w:rPr>
                      <w:rFonts w:hint="eastAsia"/>
                    </w:rPr>
                    <w:t xml:space="preserve">　　各省、自治区、直辖市高级人民法院，解放军军事法院，新疆维吾尔自治区高级人民法院生产建设兵团分院：</w:t>
                  </w:r>
                  <w:r>
                    <w:rPr>
                      <w:rFonts w:hint="eastAsia"/>
                    </w:rPr>
                    <w:br/>
                  </w:r>
                  <w:r>
                    <w:rPr>
                      <w:rFonts w:hint="eastAsia"/>
                    </w:rPr>
                    <w:t xml:space="preserve">　　为维护证券市场和社会的稳定，依法审理和执行被风险处置证券公司的相关案件，现就有关问题通知如下：</w:t>
                  </w:r>
                  <w:r>
                    <w:rPr>
                      <w:rFonts w:hint="eastAsia"/>
                    </w:rPr>
                    <w:br/>
                  </w:r>
                  <w:r>
                    <w:rPr>
                      <w:rFonts w:hint="eastAsia"/>
                    </w:rPr>
                    <w:t xml:space="preserve">　　一、为统一、规范证券公司风险处置中个人债权的处理，保持证券市场运行的连续性和稳定性，中国人民银行、财政部、中国银行业监督管理委员会、中国证券监督管理委员会联合制定发布了《个人债权及客户证券交易结算资金收购意见》。国家对个人债权和客户交易结算资金的收购，是国家有关行政部门和金融监管机构采取的特殊行政手段。相关债权是否属于应当收购的个人债权或者客户交易结算资金范畴，系由中国人民银行、金融监管机构以及依据《个人债权及客户证券交易结算资金收购意见》成立的甄别确认小组予以确认的，不属人民法院审理的范畴。因此，有关</w:t>
                  </w:r>
                  <w:r>
                    <w:rPr>
                      <w:rFonts w:hint="eastAsia"/>
                    </w:rPr>
                    <w:t>当事人因上述执行机关在风险处置过程中甄别确认其债权不属于国家收购范围的个人债权或者客户证券交易结算资金，向人民法院提起诉讼，请求确认其债权应纳入国家收购范围的，人民法院不予受理。国家收购范围之外的债权，有关权利人可以在相关证券公司进入破产程序后向人民法院申报。</w:t>
                  </w:r>
                  <w:r>
                    <w:rPr>
                      <w:rFonts w:hint="eastAsia"/>
                    </w:rPr>
                    <w:br/>
                  </w:r>
                  <w:r>
                    <w:rPr>
                      <w:rFonts w:hint="eastAsia"/>
                    </w:rPr>
                    <w:t xml:space="preserve">　　二、托管是相关监管部门对高风险证券公司的证券经纪业务等涉及公众客户的业务采取的行政措施，托管机构仅对被托管证券公司的经纪业务行使经营管理权，不因托管而承继被托管证券公司的债务。因此，有关权利人仅以托管为由向人民法院提起诉讼，请求判令托管机构承担被</w:t>
                  </w:r>
                  <w:r>
                    <w:rPr>
                      <w:rFonts w:hint="eastAsia"/>
                    </w:rPr>
                    <w:t>托管证券公司债务的，人民法院不予受理。</w:t>
                  </w:r>
                  <w:r>
                    <w:rPr>
                      <w:rFonts w:hint="eastAsia"/>
                    </w:rPr>
                    <w:br/>
                  </w:r>
                  <w:r>
                    <w:rPr>
                      <w:rFonts w:hint="eastAsia"/>
                    </w:rPr>
                    <w:t xml:space="preserve">　　三、处置证券类资产是行政处置过程中的一个重要环节，行政清算组依照法律、行政法规及国家相关政策，对证券类资产采取市场交易方式予以处置，在合理估价的基础上转让证券类资产，受让人支付相应的对价。因此，证券公司的债权人向人民法院提起诉讼，请求判令买受人承担证券公司债务偿还责任的，人民法院对其诉讼请求不予支持。</w:t>
                  </w:r>
                  <w:r>
                    <w:rPr>
                      <w:rFonts w:hint="eastAsia"/>
                    </w:rPr>
                    <w:br/>
                  </w:r>
                  <w:r>
                    <w:rPr>
                      <w:rFonts w:hint="eastAsia"/>
                    </w:rPr>
                    <w:t xml:space="preserve">　　四、破产程序作为司法权介入的特殊偿债程序，是在债务人财产不足以清偿债务的情况下，以法定的程序和方法，为所有债权人创造获得公平受偿的条件和机会，以使所有债权人共同</w:t>
                  </w:r>
                  <w:r>
                    <w:rPr>
                      <w:rFonts w:hint="eastAsia"/>
                    </w:rPr>
                    <w:t>享有利益、共同分担损失。鉴此，根据企业破产法第十九条的规定，人民法院受理证券公司的破产申请后，有关证券公司财产的保全措施应当解除，执行程序应当中止。具体如下：</w:t>
                  </w:r>
                  <w:r>
                    <w:rPr>
                      <w:rFonts w:hint="eastAsia"/>
                    </w:rPr>
                    <w:br/>
                  </w:r>
                  <w:r>
                    <w:rPr>
                      <w:rFonts w:hint="eastAsia"/>
                    </w:rPr>
                    <w:t xml:space="preserve">　　</w:t>
                  </w:r>
                  <w:r>
                    <w:rPr>
                      <w:rFonts w:hint="eastAsia"/>
                    </w:rPr>
                    <w:t>1.</w:t>
                  </w:r>
                  <w:r>
                    <w:rPr>
                      <w:rFonts w:hint="eastAsia"/>
                    </w:rPr>
                    <w:t>人民法院受理破产申请后，已对证券公司有关财产采取了保全措施，包括执行程序中的查封、冻结、扣押措施的人民法院应当解除相应措施。人民法院解除有关证券公司财产的保全措施时，应当及时通知破产案件管理人并将有关财产移交管理人接管，管理人可以向受理破产案件的人民法院申请保全。</w:t>
                  </w:r>
                  <w:r>
                    <w:rPr>
                      <w:rFonts w:hint="eastAsia"/>
                    </w:rPr>
                    <w:br/>
                  </w:r>
                  <w:r>
                    <w:rPr>
                      <w:rFonts w:hint="eastAsia"/>
                    </w:rPr>
                    <w:t xml:space="preserve">　　</w:t>
                  </w:r>
                  <w:r>
                    <w:rPr>
                      <w:rFonts w:hint="eastAsia"/>
                    </w:rPr>
                    <w:t>2.</w:t>
                  </w:r>
                  <w:r>
                    <w:rPr>
                      <w:rFonts w:hint="eastAsia"/>
                    </w:rPr>
                    <w:t>人民法院受理破产申请后，已经受理有关证券公司执行案件的人民法院，对证券</w:t>
                  </w:r>
                  <w:r>
                    <w:rPr>
                      <w:rFonts w:hint="eastAsia"/>
                    </w:rPr>
                    <w:t>公司财产尚未执行或者尚未执行完毕的程序应当中止执行。当事人在破产申请受理后向有关法院申请对证券公司财产强制执行的，有关法院对其</w:t>
                  </w:r>
                  <w:r>
                    <w:rPr>
                      <w:rFonts w:hint="eastAsia"/>
                    </w:rPr>
                    <w:lastRenderedPageBreak/>
                    <w:t>申请不予受理，并告知其依法向破产案件管理人申报债权。破产申请受理后人民法院未中止执行的，对于已经执行了的证券公司财产，执行法院应当依法执行回转，并交由管理人作为破产财产统一分配。</w:t>
                  </w:r>
                  <w:r>
                    <w:rPr>
                      <w:rFonts w:hint="eastAsia"/>
                    </w:rPr>
                    <w:br/>
                  </w:r>
                  <w:r>
                    <w:rPr>
                      <w:rFonts w:hint="eastAsia"/>
                    </w:rPr>
                    <w:t xml:space="preserve">　　</w:t>
                  </w:r>
                  <w:r>
                    <w:rPr>
                      <w:rFonts w:hint="eastAsia"/>
                    </w:rPr>
                    <w:t>3.</w:t>
                  </w:r>
                  <w:r>
                    <w:rPr>
                      <w:rFonts w:hint="eastAsia"/>
                    </w:rPr>
                    <w:t>管理人接管证券公司财产、调查证券公司财产状况后，发现有关法院仍然对证券公司财产进行保全或者继续执行，向采取保全措施或执行措施的人民法院提出申请的，有关人民法院应当依法及时解除保全或中止执行。</w:t>
                  </w:r>
                  <w:r>
                    <w:rPr>
                      <w:rFonts w:hint="eastAsia"/>
                    </w:rPr>
                    <w:br/>
                  </w:r>
                  <w:r>
                    <w:rPr>
                      <w:rFonts w:hint="eastAsia"/>
                    </w:rPr>
                    <w:t xml:space="preserve">　　</w:t>
                  </w:r>
                  <w:r>
                    <w:rPr>
                      <w:rFonts w:hint="eastAsia"/>
                    </w:rPr>
                    <w:t>4</w:t>
                  </w:r>
                  <w:r>
                    <w:rPr>
                      <w:rFonts w:hint="eastAsia"/>
                    </w:rPr>
                    <w:t>.</w:t>
                  </w:r>
                  <w:r>
                    <w:rPr>
                      <w:rFonts w:hint="eastAsia"/>
                    </w:rPr>
                    <w:t>受理破产申请的人民法院在破产宣告前裁定驳回申请人的破产申请，并终结证券公司破产程序的，应当在作出终结破产程序的裁定前，告知管理人通知原对证券公司财产采取保全措施的人民法院恢复原有的保全措施，有轮候保全的，以原采取保全措施的时间确定轮候顺位。对恢复受理证券公司为被执行人的执行案件，适用申请执行时效中断的规定。</w:t>
                  </w:r>
                  <w:r>
                    <w:rPr>
                      <w:rFonts w:hint="eastAsia"/>
                    </w:rPr>
                    <w:br/>
                  </w:r>
                  <w:r>
                    <w:rPr>
                      <w:rFonts w:hint="eastAsia"/>
                    </w:rPr>
                    <w:t xml:space="preserve">　　五、证券公司进入破产程序后，人民法院作出的刑事附带民事赔偿或者涉及追缴赃款赃物的判决应当中止执行，由相关权利人在破产程序中以申报债权等方式行使权利；刑事判决中罚金、没收财产等处罚，应当在破产程序债</w:t>
                  </w:r>
                  <w:r>
                    <w:rPr>
                      <w:rFonts w:hint="eastAsia"/>
                    </w:rPr>
                    <w:t>权人获得全额清偿后的剩余财产中执行。</w:t>
                  </w:r>
                  <w:r>
                    <w:rPr>
                      <w:rFonts w:hint="eastAsia"/>
                    </w:rPr>
                    <w:br/>
                  </w:r>
                  <w:r>
                    <w:rPr>
                      <w:rFonts w:hint="eastAsia"/>
                    </w:rPr>
                    <w:t xml:space="preserve">　　六、要进一步严格贯彻最高人民法院、最高人民检察院、公安部、中国证监会《关于查询、冻结、扣划证券和证券交易结算资金有关问题的通知》（法发〔</w:t>
                  </w:r>
                  <w:r>
                    <w:rPr>
                      <w:rFonts w:hint="eastAsia"/>
                    </w:rPr>
                    <w:t>2008</w:t>
                  </w:r>
                  <w:r>
                    <w:rPr>
                      <w:rFonts w:hint="eastAsia"/>
                    </w:rPr>
                    <w:t>〕</w:t>
                  </w:r>
                  <w:r>
                    <w:rPr>
                      <w:rFonts w:hint="eastAsia"/>
                    </w:rPr>
                    <w:t>4</w:t>
                  </w:r>
                  <w:r>
                    <w:rPr>
                      <w:rFonts w:hint="eastAsia"/>
                    </w:rPr>
                    <w:t>号），依法执行有关证券和证券交易结算资金。</w:t>
                  </w:r>
                  <w:r>
                    <w:rPr>
                      <w:rFonts w:hint="eastAsia"/>
                    </w:rPr>
                    <w:br/>
                  </w:r>
                  <w:r>
                    <w:rPr>
                      <w:rFonts w:hint="eastAsia"/>
                    </w:rPr>
                    <w:t xml:space="preserve">　　各高级人民法院要及时组织辖区内法院有关部门认真学习和贯彻落实本通知精神，并依法监督下级法院严格执行，对未按照上述规定审理和执行有关案件的，上级人民法院应当依法予以纠正并追究相关人员的责任。</w:t>
                  </w:r>
                </w:p>
              </w:tc>
            </w:tr>
          </w:tbl>
          <w:p w:rsidR="00000000" w:rsidRDefault="00DC30E4">
            <w:pPr>
              <w:jc w:val="center"/>
              <w:rPr>
                <w:rFonts w:ascii="Times New Roman" w:hAnsi="Times New Roman" w:cs="Times New Roman"/>
                <w:sz w:val="20"/>
                <w:szCs w:val="20"/>
              </w:rPr>
            </w:pPr>
          </w:p>
        </w:tc>
      </w:tr>
    </w:tbl>
    <w:p w:rsidR="00DC30E4" w:rsidRDefault="00DC30E4"/>
    <w:sectPr w:rsidR="00DC30E4">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0E4" w:rsidRDefault="00DC30E4">
      <w:pPr>
        <w:rPr>
          <w:rFonts w:hint="eastAsia"/>
        </w:rPr>
      </w:pPr>
      <w:r>
        <w:separator/>
      </w:r>
    </w:p>
  </w:endnote>
  <w:endnote w:type="continuationSeparator" w:id="1">
    <w:p w:rsidR="00DC30E4" w:rsidRDefault="00DC30E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0E4" w:rsidRDefault="00DC30E4">
      <w:r>
        <w:separator/>
      </w:r>
    </w:p>
  </w:footnote>
  <w:footnote w:type="continuationSeparator" w:id="1">
    <w:p w:rsidR="00DC30E4" w:rsidRDefault="00DC30E4">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9A1B62"/>
    <w:rsid w:val="009A1B62"/>
    <w:rsid w:val="00DC30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styleId="a6">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Pr>
      <w:rFonts w:ascii="宋体" w:eastAsia="宋体" w:hAnsi="宋体" w:cs="宋体" w:hint="eastAsia"/>
      <w:sz w:val="18"/>
      <w:szCs w:val="18"/>
    </w:rPr>
  </w:style>
  <w:style w:type="paragraph" w:styleId="a7">
    <w:name w:val="footer"/>
    <w:basedOn w:val="a"/>
    <w:link w:val="Char0"/>
    <w:uiPriority w:val="99"/>
    <w:semiHidden/>
    <w:unhideWhenUsed/>
    <w:pPr>
      <w:tabs>
        <w:tab w:val="center" w:pos="4153"/>
        <w:tab w:val="right" w:pos="8306"/>
      </w:tabs>
      <w:snapToGrid w:val="0"/>
    </w:pPr>
    <w:rPr>
      <w:sz w:val="18"/>
      <w:szCs w:val="18"/>
    </w:rPr>
  </w:style>
  <w:style w:type="character" w:customStyle="1" w:styleId="Char0">
    <w:name w:val="页脚 Char"/>
    <w:basedOn w:val="a0"/>
    <w:link w:val="a7"/>
    <w:uiPriority w:val="99"/>
    <w:semiHidden/>
    <w:locked/>
    <w:rPr>
      <w:rFonts w:ascii="宋体" w:eastAsia="宋体" w:hAnsi="宋体" w:cs="宋体" w:hint="eastAsia"/>
      <w:sz w:val="18"/>
      <w:szCs w:val="18"/>
    </w:rPr>
  </w:style>
  <w:style w:type="paragraph" w:customStyle="1" w:styleId="content">
    <w:name w:val="content"/>
    <w:basedOn w:val="a"/>
    <w:uiPriority w:val="99"/>
    <w:semiHidden/>
    <w:pPr>
      <w:spacing w:before="100" w:beforeAutospacing="1" w:after="100" w:afterAutospacing="1" w:line="384" w:lineRule="auto"/>
    </w:pPr>
    <w:rPr>
      <w:sz w:val="18"/>
      <w:szCs w:val="18"/>
    </w:rPr>
  </w:style>
  <w:style w:type="paragraph" w:customStyle="1" w:styleId="mtitle">
    <w:name w:val="mtitle"/>
    <w:basedOn w:val="a"/>
    <w:uiPriority w:val="99"/>
    <w:semiHidden/>
    <w:pPr>
      <w:spacing w:before="100" w:beforeAutospacing="1" w:after="100" w:afterAutospacing="1" w:line="336" w:lineRule="auto"/>
    </w:pPr>
    <w:rPr>
      <w:b/>
      <w:bCs/>
      <w:smallCaps/>
      <w:color w:val="000000"/>
      <w:sz w:val="20"/>
      <w:szCs w:val="20"/>
    </w:rPr>
  </w:style>
  <w:style w:type="paragraph" w:customStyle="1" w:styleId="mnotes">
    <w:name w:val="mnotes"/>
    <w:basedOn w:val="a"/>
    <w:uiPriority w:val="99"/>
    <w:semiHidden/>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uiPriority w:val="99"/>
    <w:semiHidden/>
    <w:pPr>
      <w:spacing w:before="100" w:beforeAutospacing="1" w:after="100" w:afterAutospacing="1"/>
    </w:pPr>
    <w:rPr>
      <w:smallCaps/>
      <w:color w:val="000000"/>
      <w:sz w:val="20"/>
      <w:szCs w:val="20"/>
    </w:rPr>
  </w:style>
  <w:style w:type="paragraph" w:customStyle="1" w:styleId="zhang">
    <w:name w:val="zhang"/>
    <w:basedOn w:val="a"/>
    <w:uiPriority w:val="99"/>
    <w:semiHidden/>
    <w:pPr>
      <w:spacing w:before="100" w:beforeAutospacing="1" w:after="100" w:afterAutospacing="1"/>
    </w:pPr>
    <w:rPr>
      <w:b/>
      <w:bCs/>
      <w:smallCaps/>
      <w:color w:val="000000"/>
      <w:sz w:val="20"/>
      <w:szCs w:val="20"/>
    </w:rPr>
  </w:style>
  <w:style w:type="paragraph" w:customStyle="1" w:styleId="tiao">
    <w:name w:val="tiao"/>
    <w:basedOn w:val="a"/>
    <w:uiPriority w:val="99"/>
    <w:semiHidden/>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uiPriority w:val="99"/>
    <w:semiHidden/>
    <w:pPr>
      <w:spacing w:before="100" w:beforeAutospacing="1" w:after="100" w:afterAutospacing="1"/>
    </w:pPr>
    <w:rPr>
      <w:b/>
      <w:bCs/>
      <w:smallCaps/>
      <w:color w:val="000000"/>
      <w:sz w:val="18"/>
      <w:szCs w:val="18"/>
    </w:rPr>
  </w:style>
  <w:style w:type="paragraph" w:customStyle="1" w:styleId="tiaoyin">
    <w:name w:val="tiaoyin"/>
    <w:basedOn w:val="a"/>
    <w:uiPriority w:val="99"/>
    <w:semiHidden/>
    <w:pPr>
      <w:spacing w:before="100" w:beforeAutospacing="1" w:after="100" w:afterAutospacing="1"/>
    </w:pPr>
    <w:rPr>
      <w:smallCaps/>
      <w:color w:val="FF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1634</Characters>
  <Application>Microsoft Office Word</Application>
  <DocSecurity>0</DocSecurity>
  <Lines>13</Lines>
  <Paragraphs>3</Paragraphs>
  <ScaleCrop>false</ScaleCrop>
  <Company>Hewlett-Packard Company</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最高人民法院关于依法审理和执行被风险处置证券公司相关案件的通知--北大法宝--北大法律信息网</dc:title>
  <dc:creator>user</dc:creator>
  <cp:lastModifiedBy>user</cp:lastModifiedBy>
  <cp:revision>2</cp:revision>
  <dcterms:created xsi:type="dcterms:W3CDTF">2013-01-19T08:27:00Z</dcterms:created>
  <dcterms:modified xsi:type="dcterms:W3CDTF">2013-01-19T08:27:00Z</dcterms:modified>
</cp:coreProperties>
</file>