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中华人民共和国民营经济促进法"/>
      <w:bookmarkEnd w:id="0"/>
      <w:r>
        <w:rPr>
          <w:rFonts w:ascii="方正小标宋简体" w:eastAsia="方正小标宋简体" w:hAnsi="方正小标宋简体" w:cs="方正小标宋简体" w:hint="eastAsia"/>
          <w:color w:val="333333"/>
          <w:sz w:val="44"/>
          <w:szCs w:val="44"/>
          <w:shd w:val="clear" w:color="auto" w:fill="FFFFFF"/>
        </w:rPr>
        <w:t>中华人民共和国民营经济促进法</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（2025年4月30日第十四届全国人民代表大会常务委员会第十五次会议通过）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公平竞争</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投资融资促进</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科技创新</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规范经营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服务保障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权益保护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优化民营经济发展环境，保证各类经济组织公平参与市场竞争，促进民营经济健康发展和民营经济人士健康成长，构建高水平社会主义市场经济体制，发挥民营经济在国民经济和社会发展中的重要作用，根据宪法，制定本法。</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促进民营经济发展工作坚持中国共产党的领导，坚持以人民为中心，坚持中国特色社会主义制度，确保民营经济发展的正确政治方向。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坚持和完善公有制为主体、多种所有制经济共同发展，按劳分配为主体、多种分配方式并存，社会主义市场经济体制等社会主义基本经济制度；毫不动摇巩固和发展公有制经济，毫不动摇鼓励、支持、引导非公有制经济发展；充分发挥市场在资源配置中的决定性作用，更好发挥政府作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民营经济是社会主义市场经济的重要组成部分，是推进中国式现代化的生力军，是高质量发展的重要基础，是推动我国全面建成社会主义现代化强国、实现中华民族伟大复兴的重要力量。促进民营经济持续、健康、高质量发展，是国家长期坚持的重大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国家坚持依法鼓励、支持、引导民营经济发展，更好发挥法治固根本、稳预期、利长远的保障作用。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国家坚持平等对待、公平竞争、同等保护、共同发展的原则，促进民营经济发展壮大。民营经济组织与其他各类经济组织享有平等的法律地位、市场机会和发展权利。</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国务院和县级以上地方人民政府将促进民营经济发展工作纳入国民经济和社会发展规划，建立促进民营经济发展工作协调机制，制定完善政策措施，协调解决民营经济发展中的重大问题。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国务院发展改革部门负责统筹协调促进民营经济发展工作。国务院其他有关部门在各自职责范围内，负责促进民营经济发展相关工作。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县级以上地方人民政府有关部门依照法律法规和本级人民政府确定的职责分工，开展促进民营经济发展工作。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民营经济组织及其经营者应当拥护中国共产党的领导，坚持中国特色社会主义制度，积极投身社会主义现代化强国建设。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加强民营经济组织经营者队伍建设，加强思想政治引领，发挥其在经济社会发展中的重要作用；培育和弘扬企业家精神，引导民营经济组织经营者践行社会主义核心价值观，爱国敬业、守法经营、创业创新、回报社会，坚定做中国特色社会主义的建设者、中国式现代化的促进者。</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民营经济组织及其经营者从事生产经营活动，应当遵守法律法规，遵守社会公德、商业道德，诚实守信、公平竞争，履行社会责任，保障劳动者合法权益，维护国家利益和社会公共利益，接受政府和社会监督。</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工商业联合会发挥在促进民营经济健康发展和民营经济人士健康成长中的重要作用，加强民营经济组织经营者思想政治建设，引导民营经济组织依法经营，提高服务民营经济水平。</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加强对民营经济组织及其经营者创新创造等先进事迹的宣传报道，支持民营经济组织及其经营者参与评选表彰，引导形成尊重劳动、尊重创造、尊重企业家的社会环境，营造全社会关心、支持、促进民营经济发展的氛围。</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国家建立健全民营经济统计制度，对民营经济发展情况进行统计分析，定期发布有关信息。</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二章 公平竞争"/>
      <w:bookmarkEnd w:id="13"/>
      <w:r>
        <w:rPr>
          <w:rFonts w:ascii="Times New Roman" w:eastAsia="黑体" w:hAnsi="Times New Roman" w:cs="黑体" w:hint="eastAsia"/>
          <w:szCs w:val="32"/>
        </w:rPr>
        <w:t>第二章　公平竞争</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国家实行全国统一的市场准入负面清单制度。市场准入负面清单以外的领域，包括民营经济组织在内的各类经济组织可以依法平等进入。</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落实公平竞争审查制度，制定涉及经营主体生产经营活动的政策措施应当经过公平竞争审查，并定期评估，及时清理、废除含有妨碍全国统一市场和公平竞争内容的政策措施，保障民营经济组织公平参与市场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市场监督管理部门负责受理对违反公平竞争审查制度政策措施的举报，并依法处理。</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国家保障民营经济组织依法平等使用资金、技术、人力资源、数据、土地及其他自然资源等各类生产要素和公共服务资源，依法平等适用国家支持发展的政策。</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依照法定权限，在制定、实施政府资金安排、土地供应、排污指标、公共数据开放、资质许可、标准制定、项目申报、职称评定、评优评先、人力资源等方面的政策措施时，平等对待民营经济组织。</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公共资源交易活动应当公开透明、公平公正，依法平等对待包括民营经济组织在内的各类经济组织。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除法律另有规定外，招标投标、政府采购等公共资源交易不得有限制或者排斥民营经济组织的行为。</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反垄断和反不正当竞争执法机构按照职责权限，预防和制止市场经济活动中的垄断、不正当竞争行为，对滥用行政权力排除、限制竞争的行为依法处理，为民营经济组织提供良好的市场环境。</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投资融资促进"/>
      <w:bookmarkEnd w:id="20"/>
      <w:r>
        <w:rPr>
          <w:rFonts w:ascii="Times New Roman" w:eastAsia="黑体" w:hAnsi="Times New Roman" w:cs="黑体" w:hint="eastAsia"/>
          <w:szCs w:val="32"/>
        </w:rPr>
        <w:t>第三章　投资融资促进</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支持民营经济组织参与国家重大战略和重大工程。支持民营经济组织在战略性新兴产业、未来产业等领域投资和创业，鼓励开展传统产业技术改造和转型升级，参与现代化基础设施投资建设。</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国务院有关部门根据国家重大发展战略、发展规划、产业政策等，统筹研究制定促进民营经济投资政策措施，发布鼓励民营经济投资重大项目信息，引导民营经济投资重点领域。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民营经济组织投资建设符合国家战略方向的固定资产投资项目，依法享受国家支持政策。</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支持民营经济组织通过多种方式盘活存量资产，提高再投资能力，提升资产质量和效益。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各级人民政府及其有关部门支持民营经济组织参与政府和社会资本合作项目。政府和社会资本合作项目应当合理设置双方权利义务，明确投资收益获得方式、风险分担机制、纠纷解决方式等事项。</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各级人民政府及其有关部门在项目推介对接、前期工作和报建审批事项办理、要素获取和政府投资支持等方面，为民营经济组织投资提供规范高效便利的服务。</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国务院有关部门依据职责发挥货币政策工具和宏观信贷政策的激励约束作用，按照市场化、法治化原则，对金融机构向小型微型民营经济组织提供金融服务实施差异化政策，督促引导金融机构合理设置不良贷款容忍度、建立健全尽职免责机制、提升专业服务能力，提高为民营经济组织提供金融服务的水平。</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银行业金融机构等依据法律法规，接受符合贷款业务需要的担保方式，并为民营经济组织提供应收账款、仓单、股权、知识产权等权利质押贷款。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各级人民政府及其有关部门应当为动产和权利质押登记、估值、交易流通、信息共享等提供支持和便利。</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国家推动构建完善民营经济组织融资风险的市场化分担机制，支持银行业金融机构与融资担保机构有序扩大业务合作，共同服务民营经济组织。</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金融机构在依法合规前提下，按照市场化、可持续发展原则开发和提供适合民营经济特点的金融产品和服务，为资信良好的民营经济组织融资提供便利条件，增强信贷供给、贷款周期与民营经济组织融资需求、资金使用周期的适配性，提升金融服务可获得性和便利度。</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金融机构在授信、信贷管理、风控管理、服务收费等方面应当平等对待民营经济组织。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金融机构违反与民营经济组织借款人的约定，单方面增加发放贷款条件、中止发放贷款或者提前收回贷款的，依法承担违约责任。</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健全多层次资本市场体系，支持符合条件的民营经济组织通过发行股票、债券等方式平等获得直接融资。</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建立健全信用信息归集共享机制，支持征信机构为民营经济组织融资提供征信服务，支持信用评级机构优化民营经济组织的评级方法，增加信用评级有效供给，为民营经济组织获得融资提供便利。</w:t>
      </w:r>
    </w:p>
    <w:p>
      <w:pPr>
        <w:rPr>
          <w:rFonts w:ascii="Times New Roman" w:eastAsia="宋体" w:hAnsi="Times New Roman" w:cs="宋体"/>
          <w:szCs w:val="32"/>
        </w:rPr>
      </w:pPr>
    </w:p>
    <w:p>
      <w:pPr>
        <w:jc w:val="center"/>
        <w:rPr>
          <w:rFonts w:ascii="Times New Roman" w:eastAsia="黑体" w:hAnsi="Times New Roman" w:cs="黑体"/>
          <w:szCs w:val="32"/>
        </w:rPr>
      </w:pPr>
      <w:bookmarkStart w:id="32" w:name="第四章 科技创新"/>
      <w:bookmarkEnd w:id="32"/>
      <w:r>
        <w:rPr>
          <w:rFonts w:ascii="Times New Roman" w:eastAsia="黑体" w:hAnsi="Times New Roman" w:cs="黑体" w:hint="eastAsia"/>
          <w:szCs w:val="32"/>
        </w:rPr>
        <w:t>第四章　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国家鼓励、支持民营经济组织在推动科技创新、培育新质生产力、建设现代化产业体系中积极发挥作用。引导民营经济组织根据国家战略需要、行业发展趋势和世界科技前沿，加强基础性、前沿性研究，开发关键核心技术、共性基础技术和前沿交叉技术，推动科技创新和产业创新融合发展，催生新产业、新模式、新动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引导非营利性基金依法资助民营经济组织开展基础研究、前沿技术研究和社会公益性技术研究。</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支持民营经济组织参与国家科技攻关项目，支持有能力的民营经济组织牵头承担国家重大技术攻关任务，向民营经济组织开放国家重大科研基础设施，支持公共研究开发平台、共性技术平台开放共享，为民营经济组织技术创新平等提供服务，鼓励各类企业和高等学校、科研院所、职业学校与民营经济组织创新合作机制，开展技术交流和成果转移转化，推动产学研深度融合。</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支持民营经济组织依法参与数字化、智能化共性技术研发和数据要素市场建设，依法合理使用数据，对开放的公共数据资源依法进行开发利用，增强数据要素共享性、普惠性、安全性，充分发挥数据赋能作用。</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国家保障民营经济组织依法参与标准制定工作，强化标准制定的信息公开和社会监督。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国家为民营经济组织提供科研基础设施、技术验证、标准规范、质量认证、检验检测、知识产权、示范应用等方面的服务和便利。</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支持民营经济组织加强新技术应用，开展新技术、新产品、新服务、新模式应用试验，发挥技术市场、中介服务机构作用，通过多种方式推动科技成果应用推广。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鼓励民营经济组织在投资过程中基于商业规则自愿开展技术合作。技术合作的条件由投资各方遵循公平原则协商确定。</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鼓励民营经济组织积极培养使用知识型、技能型、创新型人才，在关键岗位、关键工序培养使用高技能人才，推动产业工人队伍建设。</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国家加强对民营经济组织及其经营者原始创新的保护。加大创新成果知识产权保护力度，实施知识产权侵权惩罚性赔偿制度，依法查处侵犯商标专用权、专利权、著作权和侵犯商业秘密、仿冒混淆等违法行为。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加强知识产权保护的区域、部门协作，为民营经济组织提供知识产权快速协同保护、多元纠纷解决、维权援助以及海外知识产权纠纷应对指导和风险预警等服务。</w:t>
      </w:r>
    </w:p>
    <w:p>
      <w:pPr>
        <w:rPr>
          <w:rFonts w:ascii="Times New Roman" w:eastAsia="宋体" w:hAnsi="Times New Roman" w:cs="宋体"/>
          <w:szCs w:val="32"/>
        </w:rPr>
      </w:pPr>
    </w:p>
    <w:p>
      <w:pPr>
        <w:jc w:val="center"/>
        <w:rPr>
          <w:rFonts w:ascii="Times New Roman" w:eastAsia="黑体" w:hAnsi="Times New Roman" w:cs="黑体"/>
          <w:szCs w:val="32"/>
        </w:rPr>
      </w:pPr>
      <w:bookmarkStart w:id="40" w:name="第五章 规范经营"/>
      <w:bookmarkEnd w:id="40"/>
      <w:r>
        <w:rPr>
          <w:rFonts w:ascii="Times New Roman" w:eastAsia="黑体" w:hAnsi="Times New Roman" w:cs="黑体" w:hint="eastAsia"/>
          <w:szCs w:val="32"/>
        </w:rPr>
        <w:t>第五章　规范经营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民营经济组织中的中国共产党的组织和党员，按照中国共产党章程和有关党内法规开展党的活动，在促进民营经济组织健康发展中发挥党组织的政治引领作用和党员先锋模范作用。</w:t>
      </w:r>
    </w:p>
    <w:p>
      <w:pPr>
        <w:ind w:firstLine="640" w:firstLineChars="200"/>
        <w:rPr>
          <w:rFonts w:ascii="Times New Roman" w:hAnsi="Times New Roman" w:cs="仿宋_GB2312"/>
          <w:sz w:val="32"/>
          <w:szCs w:val="32"/>
        </w:rPr>
      </w:pPr>
      <w:bookmarkStart w:id="42" w:name="第三十五条"/>
      <w:bookmarkEnd w:id="42"/>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民营经济组织应当围绕国家工作大局，在发展经济、扩大就业、改善民生、科技创新等方面积极发挥作用，为满足人民日益增长的美好生活需要贡献力量。</w:t>
      </w:r>
    </w:p>
    <w:p>
      <w:pPr>
        <w:ind w:firstLine="640" w:firstLineChars="200"/>
        <w:rPr>
          <w:rFonts w:ascii="Times New Roman" w:hAnsi="Times New Roman" w:cs="仿宋_GB2312"/>
          <w:sz w:val="32"/>
          <w:szCs w:val="32"/>
        </w:rPr>
      </w:pPr>
      <w:bookmarkStart w:id="43" w:name="第三十六条"/>
      <w:bookmarkEnd w:id="43"/>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民营经济组织从事生产经营活动应当遵守劳动用工、安全生产、职业卫生、社会保障、生态环境、质量标准、知识产权、网络和数据安全、财政税收、金融等方面的法律法规；不得通过贿赂和欺诈等手段牟取不正当利益，不得妨害市场和金融秩序、破坏生态环境、损害劳动者合法权益和社会公共利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国家机关依法对民营经济组织生产经营活动实施监督管理。</w:t>
      </w: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支持民营资本服务经济社会发展，完善资本行为制度规则，依法规范和引导民营资本健康发展，维护社会主义市场经济秩序和社会公共利益。支持民营经济组织加强风险防范管理，鼓励民营经济组织做优主业、做强实业，提升核心竞争力。</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民营经济组织应当完善治理结构和管理制度、规范经营者行为、强化内部监督，实现规范治理；依法建立健全以职工代表大会为基本形式的民主管理制度。鼓励有条件的民营经济组织建立完善中国特色现代企业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民营经济组织中的工会等群团组织依照法律和章程开展活动，加强职工思想政治引领，维护职工合法权益，发挥在企业民主管理中的作用，推动完善企业工资集体协商制度，促进构建和谐劳动关系。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民营经济组织的组织形式、组织机构及其活动准则，适用《中华人民共和国公司法》、《中华人民共和国合伙企业法》、《中华人民共和国个人独资企业法》等法律的规定。</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国家推动构建民营经济组织源头防范和治理腐败的体制机制，支持引导民营经济组织建立健全内部审计制度，加强廉洁风险防控，推动民营经济组织提升依法合规经营管理水平，及时预防、发现、治理经营中违法违规等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民营经济组织应当加强对工作人员的法治教育，营造诚信廉洁、守法合规的文化氛围。</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民营经济组织应当依照法律、行政法规和国家统一的会计制度，加强财务管理，规范会计核算，防止财务造假，并区分民营经济组织生产经营收支与民营经济组织经营者个人收支，实现民营经济组织财产与民营经济组织经营者个人财产分离。</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支持民营经济组织通过加强技能培训、扩大吸纳就业、完善工资分配制度等，促进员工共享发展成果。</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探索建立民营经济组织的社会责任评价体系和激励机制，鼓励、引导民营经济组织积极履行社会责任，自愿参与公益慈善事业、应急救灾等活动。</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民营经济组织及其经营者在海外投资经营应当遵守所在国家或者地区的法律，尊重当地习俗和文化传统，维护国家形象，不得从事损害国家安全和国家利益的活动。</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服务保障"/>
      <w:bookmarkEnd w:id="51"/>
      <w:r>
        <w:rPr>
          <w:rFonts w:ascii="Times New Roman" w:eastAsia="黑体" w:hAnsi="Times New Roman" w:cs="黑体" w:hint="eastAsia"/>
          <w:szCs w:val="32"/>
        </w:rPr>
        <w:t>第六章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国家机关及其工作人员在促进民营经济发展工作中，应当依法履职尽责。国家机关工作人员与民营经济组织经营者在工作交往中，应当遵纪守法，保持清正廉洁。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各级人民政府及其有关部门建立畅通有效的政企沟通机制，及时听取包括民营经济组织在内各类经济组织的意见建议，解决其反映的合理问题。</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家机关制定与经营主体生产经营活动密切相关的法律、法规、规章和其他规范性文件，最高人民法院、最高人民检察院作出属于审判、检察工作中具体应用法律的相关解释，或者作出有关重大决策，应当注重听取包括民营经济组织在内各类经济组织、行业协会商会的意见建议；在实施前应当根据实际情况留出必要的适应调整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根据《中华人民共和国立法法》的规定，与经营主体生产经营活动密切相关的法律、法规、规章和其他规范性文件，属于审判、检察工作中具体应用法律的解释，不溯及既往，但为了更好地保护公民、法人和其他组织的权利和利益而作的特别规定除外。</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各级人民政府及其有关部门应当及时向社会公开涉及经营主体的优惠政策适用范围、标准、条件和申请程序等，为民营经济组织申请享受有关优惠政策提供便利。</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各级人民政府及其有关部门制定鼓励民营经济组织创业的政策，提供公共服务，鼓励创业带动就业。</w:t>
      </w:r>
    </w:p>
    <w:p>
      <w:pPr>
        <w:ind w:firstLine="640" w:firstLineChars="200"/>
        <w:rPr>
          <w:rFonts w:ascii="Times New Roman" w:hAnsi="Times New Roman" w:cs="仿宋_GB2312"/>
          <w:sz w:val="32"/>
          <w:szCs w:val="32"/>
        </w:rPr>
      </w:pPr>
      <w:bookmarkStart w:id="56" w:name="第四十八条"/>
      <w:bookmarkEnd w:id="56"/>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登记机关应当为包括民营经济组织在内的各类经济组织提供依法合规、规范统一、公开透明、便捷高效的设立、变更、注销等登记服务，降低市场进入和退出成本。</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个体工商户可以自愿依法转型为企业。登记机关、税务机关和有关部门为个体工商户转型为企业提供指引和便利。</w:t>
      </w:r>
    </w:p>
    <w:p>
      <w:pPr>
        <w:ind w:firstLine="640" w:firstLineChars="200"/>
        <w:rPr>
          <w:rFonts w:ascii="Times New Roman" w:hAnsi="Times New Roman" w:cs="仿宋_GB2312"/>
          <w:sz w:val="32"/>
          <w:szCs w:val="32"/>
        </w:rPr>
      </w:pPr>
      <w:bookmarkStart w:id="57" w:name="第四十九条"/>
      <w:bookmarkEnd w:id="57"/>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鼓励、支持高等学校、科研院所、职业学校、公共实训基地和各类职业技能培训机构创新人才培养模式，加强职业教育和培训，培养符合民营经济高质量发展需求的专业人才和产业工人。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人力资源和社会保障部门建立健全人力资源服务机制，搭建用工和求职信息对接平台，为民营经济组织招工用工提供便利。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各级人民政府及其有关部门完善人才激励和服务保障政策措施，畅通民营经济组织职称评审渠道，为民营经济组织引进、培养高层次及紧缺人才提供支持。</w:t>
      </w: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行政机关坚持依法行政。行政机关开展执法活动应当避免或者尽量减少对民营经济组织正常生产经营活动的影响，并对其合理、合法诉求及时响应、处置。</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对民营经济组织及其经营者违法行为的行政处罚应当按照与其他经济组织及其经营者同等原则实施。对违法行为依法需要实施行政处罚或者采取其他措施的，应当与违法行为的事实、性质、情节以及社会危害程度相当。违法行为具有《中华人民共和国行政处罚法》规定的从轻、减轻或者不予处罚情形的，依照其规定从轻、减轻或者不予处罚。</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各级人民政府及其有关部门推动监管信息共享互认，根据民营经济组织的信用状况实施分级分类监管，提升监管效能。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直接涉及公共安全和人民群众生命健康等特殊行业、重点领域依法依规实行全覆盖的重点监管外，市场监管领域相关部门的行政检查应当通过随机抽取检查对象、随机选派执法检查人员的方式进行，抽查事项及查处结果及时向社会公开。针对同一检查对象的多个检查事项，应当尽可能合并或者纳入跨部门联合检查范围。</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各级人民政府及其有关部门建立健全行政执法违法行为投诉举报处理机制，及时受理并依法处理投诉举报，保护民营经济组织及其经营者合法权益。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司法行政部门建立涉企行政执法诉求沟通机制，组织开展行政执法检查，加强对行政执法活动的监督，及时纠正不当行政执法行为。</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健全失信惩戒和信用修复制度。实施失信惩戒，应当依照法律、法规和有关规定，并根据失信行为的事实、性质、轻重程度等采取适度的惩戒措施。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营经济组织及其经营者纠正失信行为、消除不良影响、符合信用修复条件的，可以提出信用修复申请。有关国家机关应当依法及时解除惩戒措施，移除或者终止失信信息公示，并在相关公共信用信息平台实现协同修复。</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建立健全矛盾纠纷多元化解机制，为民营经济组织维护合法权益提供便利。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司法行政部门组织协调律师、公证、司法鉴定、基层法律服务、人民调解、商事调解、仲裁等相关机构和法律咨询专家，参与涉及民营经济组织纠纷的化解，为民营经济组织提供有针对性的法律服务。</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有关行业协会商会依照法律、法规和章程，发挥协调和自律作用，及时反映行业诉求，为民营经济组织及其经营者提供信息咨询、宣传培训、市场拓展、权益保护、纠纷处理等方面的服务。</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国家坚持高水平对外开放，加快构建以国内大循环为主体、国内国际双循环相互促进的新发展格局；支持、引导民营经济组织拓展国际交流合作，在海外依法合规开展投资经营等活动；加强法律、金融、物流等海外综合服务，完善海外利益保障机制，维护民营经济组织及其经营者海外合法权益。</w:t>
      </w:r>
    </w:p>
    <w:p>
      <w:pPr>
        <w:rPr>
          <w:rFonts w:ascii="Times New Roman" w:eastAsia="宋体" w:hAnsi="Times New Roman" w:cs="宋体"/>
          <w:szCs w:val="32"/>
        </w:rPr>
      </w:pPr>
    </w:p>
    <w:p>
      <w:pPr>
        <w:jc w:val="center"/>
        <w:rPr>
          <w:rFonts w:ascii="Times New Roman" w:eastAsia="黑体" w:hAnsi="Times New Roman" w:cs="黑体"/>
          <w:szCs w:val="32"/>
        </w:rPr>
      </w:pPr>
      <w:bookmarkStart w:id="66" w:name="第七章 权益保护"/>
      <w:bookmarkEnd w:id="66"/>
      <w:r>
        <w:rPr>
          <w:rFonts w:ascii="Times New Roman" w:eastAsia="黑体" w:hAnsi="Times New Roman" w:cs="黑体" w:hint="eastAsia"/>
          <w:szCs w:val="32"/>
        </w:rPr>
        <w:t>第七章　权益保护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民营经济组织及其经营者的人身权利、财产权利以及经营自主权等合法权益受法律保护，任何单位和个人不得侵犯。</w:t>
      </w:r>
    </w:p>
    <w:p>
      <w:pPr>
        <w:ind w:firstLine="640" w:firstLineChars="200"/>
        <w:rPr>
          <w:rFonts w:ascii="Times New Roman" w:hAnsi="Times New Roman" w:cs="仿宋_GB2312"/>
          <w:sz w:val="32"/>
          <w:szCs w:val="32"/>
        </w:rPr>
      </w:pPr>
      <w:bookmarkStart w:id="68" w:name="第五十九条"/>
      <w:bookmarkEnd w:id="68"/>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民营经济组织的名称权、名誉权、荣誉权和民营经济组织经营者的名誉权、荣誉权、隐私权、个人信息等人格权益受法律保护。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个人不得利用互联网等传播渠道，以侮辱、诽谤等方式恶意侵害民营经济组织及其经营者的人格权益。网络服务提供者应当依照有关法律法规规定，加强网络信息内容管理，建立健全投诉、举报机制，及时处置恶意侵害当事人合法权益的违法信息，并向有关主管部门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格权益受到恶意侵害的民营经济组织及其经营者有权依法向人民法院申请采取责令行为人停止有关行为的措施。民营经济组织及其经营者的人格权益受到恶意侵害致使民营经济组织生产经营、投资融资等活动遭受实际损失的，侵权人依法承担赔偿责任。</w:t>
      </w: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国家机关及其工作人员依法开展调查或者要求协助调查，应当避免或者尽量减少对正常生产经营活动产生影响。实施限制人身自由的强制措施，应当严格依照法定权限、条件和程序进行。</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征收、征用财产，应当严格依照法定权限、条件和程序进行。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为了公共利益的需要，依照法律规定征收、征用财产的，应当给予公平、合理的补偿。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任何单位不得违反法律、法规向民营经济组织收取费用，不得实施没有法律、法规依据的罚款，不得向民营经济组织摊派财物。</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查封、扣押、冻结涉案财物，应当遵守法定权限、条件和程序，严格区分违法所得、其他涉案财物与合法财产，民营经济组织财产与民营经济组织经营者个人财产，涉案人财产与案外人财产，不得超权限、超范围、超数额、超时限查封、扣押、冻结财物。对查封、扣押的涉案财物，应当妥善保管。</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办理案件应当严格区分经济纠纷与经济犯罪，遵守法律关于追诉期限的规定；生产经营活动未违反刑法规定的，不以犯罪论处；事实不清、证据不足或者依法不追究刑事责任的，应当依法撤销案件、不起诉、终止审理或者宣告无罪。</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禁止利用行政或者刑事手段违法干预经济纠纷。</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规范异地执法行为，建立健全异地执法协助制度。办理案件需要异地执法的，应当遵守法定权限、条件和程序。国家机关之间对案件管辖有争议的，可以进行协商，协商不成的，提请共同的上级机关决定，法律另有规定的从其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禁止为经济利益等目的滥用职权实施异地执法。</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民营经济组织及其经营者对生产经营活动是否违法，以及国家机关实施的强制措施存在异议的，可以依法向有关机关反映情况、申诉，依法申请行政复议、提起诉讼。</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检察机关依法对涉及民营经济组织及其经营者的诉讼活动实施法律监督，及时受理并审查有关申诉、控告。发现存在违法情形的，应当依法提出抗诉、纠正意见、检察建议。</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国有企业应当依法或者依合同约定及时向民营经济组织支付账款，不得以人员变更、履行内部付款流程或者在合同未作约定情况下以等待竣工验收批复、决算审计等为由，拒绝或者拖延支付民营经济组织账款；除法律、行政法规另有规定外，不得强制要求以审计结果作为结算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审计机关依法对国家机关、事业单位和国有企业支付民营经济组织账款情况进行审计监督。</w:t>
      </w:r>
    </w:p>
    <w:p>
      <w:pPr>
        <w:ind w:firstLine="640" w:firstLineChars="200"/>
        <w:rPr>
          <w:rFonts w:ascii="Times New Roman" w:hAnsi="Times New Roman" w:cs="仿宋_GB2312"/>
          <w:sz w:val="32"/>
          <w:szCs w:val="32"/>
        </w:rPr>
      </w:pPr>
      <w:bookmarkStart w:id="77" w:name="第六十八条"/>
      <w:bookmarkEnd w:id="77"/>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大型企业向中小民营经济组织采购货物、工程、服务等，应当合理约定付款期限并及时支付账款，不得以收到第三方付款作为向中小民营经济组织支付账款的条件。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人民法院对拖欠中小民营经济组织账款案件依法及时立案、审理、执行，可以根据自愿和合法的原则进行调解，保障中小民营经济组织合法权益。</w:t>
      </w:r>
    </w:p>
    <w:p>
      <w:pPr>
        <w:ind w:firstLine="640" w:firstLineChars="200"/>
        <w:rPr>
          <w:rFonts w:ascii="Times New Roman" w:hAnsi="Times New Roman" w:cs="仿宋_GB2312"/>
          <w:sz w:val="32"/>
          <w:szCs w:val="32"/>
        </w:rPr>
      </w:pPr>
      <w:bookmarkStart w:id="78" w:name="第六十九条"/>
      <w:bookmarkEnd w:id="78"/>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账款支付保障工作，预防和清理拖欠民营经济组织账款；强化预算管理，政府采购项目应当严格按照批准的预算执行；加强对拖欠账款处置工作的统筹指导，对有争议的鼓励各方协商解决，对存在重大分歧的组织协商、调解。协商、调解应当发挥工商业联合会、律师协会等组织的作用。</w:t>
      </w: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地方各级人民政府及其有关部门应当履行依法向民营经济组织作出的政策承诺和与民营经济组织订立的合同，不得以行政区划调整、政府换届、机构或者职能调整以及相关人员更替等为由违约、毁约。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因国家利益、社会公共利益需要改变政策承诺、合同约定的，应当依照法定权限和程序进行，并对民营经济组织因此受到的损失予以补偿。</w:t>
      </w:r>
    </w:p>
    <w:p>
      <w:pPr>
        <w:rPr>
          <w:rFonts w:ascii="Times New Roman" w:eastAsia="宋体" w:hAnsi="Times New Roman" w:cs="宋体"/>
          <w:szCs w:val="32"/>
        </w:rPr>
      </w:pPr>
    </w:p>
    <w:p>
      <w:pPr>
        <w:jc w:val="center"/>
        <w:rPr>
          <w:rFonts w:ascii="Times New Roman" w:eastAsia="黑体" w:hAnsi="Times New Roman" w:cs="黑体"/>
          <w:szCs w:val="32"/>
        </w:rPr>
      </w:pPr>
      <w:bookmarkStart w:id="80" w:name="第八章 法律责任"/>
      <w:bookmarkEnd w:id="80"/>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违反本法规定，有下列情形之一的，由有权机关责令改正，造成不良后果或者影响的，对负有责任的领导人员和直接责任人员依法给予处分：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（一）未经公平竞争审查或者未通过公平竞争审查出台政策措施；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（二）在招标投标、政府采购等公共资源交易中限制或者排斥民营经济组织。</w:t>
      </w:r>
    </w:p>
    <w:p>
      <w:pPr>
        <w:ind w:firstLine="640" w:firstLineChars="200"/>
        <w:rPr>
          <w:rFonts w:ascii="Times New Roman" w:hAnsi="Times New Roman" w:cs="仿宋_GB2312"/>
          <w:sz w:val="32"/>
          <w:szCs w:val="32"/>
        </w:rPr>
      </w:pPr>
      <w:bookmarkStart w:id="82" w:name="第七十二条"/>
      <w:bookmarkEnd w:id="82"/>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违反法律规定实施征收、征用或者查封、扣押、冻结等措施的，由有权机关责令改正，造成损失的，依法予以赔偿；造成不良后果或者影响的，对负有责任的领导人员和直接责任人员依法给予处分。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违反法律规定实施异地执法的，由有权机关责令改正，造成不良后果或者影响的，对负有责任的领导人员和直接责任人员依法给予处分。</w:t>
      </w:r>
    </w:p>
    <w:p>
      <w:pPr>
        <w:ind w:firstLine="640" w:firstLineChars="200"/>
        <w:rPr>
          <w:rFonts w:ascii="Times New Roman" w:hAnsi="Times New Roman" w:cs="仿宋_GB2312"/>
          <w:sz w:val="32"/>
          <w:szCs w:val="32"/>
        </w:rPr>
      </w:pPr>
      <w:bookmarkStart w:id="83" w:name="第七十三条"/>
      <w:bookmarkEnd w:id="83"/>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国家机关、事业单位、国有企业违反法律、行政法规规定或者合同约定，拒绝或者拖延支付民营经济组织账款，地方各级人民政府及其有关部门不履行向民营经济组织依法作出的政策承诺、依法订立的合同的，由有权机关予以纠正，造成损失的，依法予以赔偿；造成不良后果或者影响的，对负有责任的领导人员和直接责任人员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大型企业违反法律、行政法规规定或者合同约定，拒绝或者拖延支付中小民营经济组织账款的，依法承担法律责任。</w:t>
      </w:r>
    </w:p>
    <w:p>
      <w:pPr>
        <w:ind w:firstLine="640" w:firstLineChars="200"/>
        <w:rPr>
          <w:rFonts w:ascii="Times New Roman" w:hAnsi="Times New Roman" w:cs="仿宋_GB2312"/>
          <w:sz w:val="32"/>
          <w:szCs w:val="32"/>
        </w:rPr>
      </w:pPr>
      <w:bookmarkStart w:id="84" w:name="第七十四条"/>
      <w:bookmarkEnd w:id="84"/>
      <w:r>
        <w:rPr>
          <w:rFonts w:ascii="Times New Roman" w:eastAsia="黑体" w:hAnsi="Times New Roman" w:cs="黑体" w:hint="eastAsia"/>
          <w:sz w:val="32"/>
          <w:szCs w:val="32"/>
        </w:rPr>
        <w:t>第七十四条</w:t>
      </w:r>
      <w:r>
        <w:rPr>
          <w:rFonts w:ascii="Times New Roman" w:hAnsi="Times New Roman" w:cs="仿宋_GB2312" w:hint="eastAsia"/>
          <w:sz w:val="32"/>
          <w:szCs w:val="32"/>
        </w:rPr>
        <w:t>　</w:t>
      </w:r>
      <w:r>
        <w:rPr>
          <w:rFonts w:ascii="Times New Roman" w:hAnsi="Times New Roman" w:cs="仿宋_GB2312" w:hint="eastAsia"/>
          <w:sz w:val="32"/>
          <w:szCs w:val="32"/>
        </w:rPr>
        <w:t>违反本法规定，侵害民营经济组织及其经营者合法权益，其他法律、法规规定行政处罚的，从其规定；造成人身损害或者财产损失的，依法承担民事责任；构成犯罪的，依法追究刑事责任。</w:t>
      </w:r>
    </w:p>
    <w:p>
      <w:pPr>
        <w:ind w:firstLine="640" w:firstLineChars="200"/>
        <w:rPr>
          <w:rFonts w:ascii="Times New Roman" w:hAnsi="Times New Roman" w:cs="仿宋_GB2312"/>
          <w:sz w:val="32"/>
          <w:szCs w:val="32"/>
        </w:rPr>
      </w:pPr>
      <w:bookmarkStart w:id="85" w:name="第七十五条"/>
      <w:bookmarkEnd w:id="85"/>
      <w:r>
        <w:rPr>
          <w:rFonts w:ascii="Times New Roman" w:eastAsia="黑体" w:hAnsi="Times New Roman" w:cs="黑体" w:hint="eastAsia"/>
          <w:sz w:val="32"/>
          <w:szCs w:val="32"/>
        </w:rPr>
        <w:t>第七十五条</w:t>
      </w:r>
      <w:r>
        <w:rPr>
          <w:rFonts w:ascii="Times New Roman" w:hAnsi="Times New Roman" w:cs="仿宋_GB2312" w:hint="eastAsia"/>
          <w:sz w:val="32"/>
          <w:szCs w:val="32"/>
        </w:rPr>
        <w:t>　</w:t>
      </w:r>
      <w:r>
        <w:rPr>
          <w:rFonts w:ascii="Times New Roman" w:hAnsi="Times New Roman" w:cs="仿宋_GB2312" w:hint="eastAsia"/>
          <w:sz w:val="32"/>
          <w:szCs w:val="32"/>
        </w:rPr>
        <w:t>民营经济组织及其经营者生产经营活动违反法律、法规规定，由有权机关责令改正，依法予以行政处罚；造成人身损害或者财产损失的，依法承担民事责任；构成犯罪的，依法追究刑事责任。</w:t>
      </w:r>
    </w:p>
    <w:p>
      <w:pPr>
        <w:ind w:firstLine="640" w:firstLineChars="200"/>
        <w:rPr>
          <w:rFonts w:ascii="Times New Roman" w:hAnsi="Times New Roman" w:cs="仿宋_GB2312"/>
          <w:sz w:val="32"/>
          <w:szCs w:val="32"/>
        </w:rPr>
      </w:pPr>
      <w:bookmarkStart w:id="86" w:name="第七十六条"/>
      <w:bookmarkEnd w:id="86"/>
      <w:r>
        <w:rPr>
          <w:rFonts w:ascii="Times New Roman" w:eastAsia="黑体" w:hAnsi="Times New Roman" w:cs="黑体" w:hint="eastAsia"/>
          <w:sz w:val="32"/>
          <w:szCs w:val="32"/>
        </w:rPr>
        <w:t>第七十六条</w:t>
      </w:r>
      <w:r>
        <w:rPr>
          <w:rFonts w:ascii="Times New Roman" w:hAnsi="Times New Roman" w:cs="仿宋_GB2312" w:hint="eastAsia"/>
          <w:sz w:val="32"/>
          <w:szCs w:val="32"/>
        </w:rPr>
        <w:t>　</w:t>
      </w:r>
      <w:r>
        <w:rPr>
          <w:rFonts w:ascii="Times New Roman" w:hAnsi="Times New Roman" w:cs="仿宋_GB2312" w:hint="eastAsia"/>
          <w:sz w:val="32"/>
          <w:szCs w:val="32"/>
        </w:rPr>
        <w:t>民营经济组织及其经营者采取欺诈等不正当手段骗取表彰荣誉、优惠政策等的，应当撤销已获表彰荣誉、取消享受的政策待遇，依法予以处罚；构成犯罪的，依法追究刑事责任。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bookmarkStart w:id="87" w:name="第九章 附则"/>
      <w:bookmarkEnd w:id="87"/>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8" w:name="第七十七条"/>
      <w:bookmarkEnd w:id="88"/>
      <w:r>
        <w:rPr>
          <w:rFonts w:ascii="Times New Roman" w:eastAsia="黑体" w:hAnsi="Times New Roman" w:cs="黑体" w:hint="eastAsia"/>
          <w:sz w:val="32"/>
          <w:szCs w:val="32"/>
        </w:rPr>
        <w:t>第七十七条</w:t>
      </w:r>
      <w:r>
        <w:rPr>
          <w:rFonts w:ascii="Times New Roman" w:hAnsi="Times New Roman" w:cs="仿宋_GB2312" w:hint="eastAsia"/>
          <w:sz w:val="32"/>
          <w:szCs w:val="32"/>
        </w:rPr>
        <w:t>　</w:t>
      </w:r>
      <w:r>
        <w:rPr>
          <w:rFonts w:ascii="Times New Roman" w:hAnsi="Times New Roman" w:cs="仿宋_GB2312" w:hint="eastAsia"/>
          <w:sz w:val="32"/>
          <w:szCs w:val="32"/>
        </w:rPr>
        <w:t>本法所称民营经济组织，是指在中华人民共和国境内依法设立的由中国公民控股或者实际控制的营利法人、非法人组织和个体工商户，以及前述组织控股或者实际控制的营利法人、非法人组织。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民营经济组织涉及外商投资的，同时适用外商投资法律法规的相关规定。</w:t>
      </w:r>
    </w:p>
    <w:p>
      <w:pPr>
        <w:ind w:firstLine="640" w:firstLineChars="200"/>
        <w:rPr>
          <w:rFonts w:ascii="Times New Roman" w:hAnsi="Times New Roman" w:cs="仿宋_GB2312"/>
          <w:sz w:val="32"/>
          <w:szCs w:val="32"/>
        </w:rPr>
      </w:pPr>
      <w:bookmarkStart w:id="89" w:name="第七十八条"/>
      <w:bookmarkEnd w:id="89"/>
      <w:r>
        <w:rPr>
          <w:rFonts w:ascii="Times New Roman" w:eastAsia="黑体" w:hAnsi="Times New Roman" w:cs="黑体" w:hint="eastAsia"/>
          <w:sz w:val="32"/>
          <w:szCs w:val="32"/>
        </w:rPr>
        <w:t>第七十八条</w:t>
      </w:r>
      <w:r>
        <w:rPr>
          <w:rFonts w:ascii="Times New Roman" w:hAnsi="Times New Roman" w:cs="仿宋_GB2312" w:hint="eastAsia"/>
          <w:sz w:val="32"/>
          <w:szCs w:val="32"/>
        </w:rPr>
        <w:t>　</w:t>
      </w:r>
      <w:r>
        <w:rPr>
          <w:rFonts w:ascii="Times New Roman" w:hAnsi="Times New Roman" w:cs="仿宋_GB2312" w:hint="eastAsia"/>
          <w:sz w:val="32"/>
          <w:szCs w:val="32"/>
        </w:rPr>
        <w:t>本法自2025年5月20日起施行。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