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20" w:afterLines="0"/>
        <w:jc w:val="center"/>
        <w:rPr>
          <w:rFonts w:ascii="宋体" w:hAnsi="宋体"/>
          <w:b/>
          <w:sz w:val="28"/>
          <w:szCs w:val="28"/>
        </w:rPr>
      </w:pPr>
      <w:bookmarkStart w:id="0" w:name="_GoBack"/>
      <w:bookmarkEnd w:id="0"/>
      <w:r>
        <w:rPr>
          <w:rFonts w:hint="eastAsia" w:ascii="宋体" w:hAnsi="宋体"/>
          <w:b/>
          <w:sz w:val="28"/>
          <w:szCs w:val="28"/>
        </w:rPr>
        <w:t>基金持有人</w:t>
      </w:r>
      <w:r>
        <w:rPr>
          <w:rFonts w:ascii="宋体" w:hAnsi="宋体"/>
          <w:b/>
          <w:sz w:val="28"/>
          <w:szCs w:val="28"/>
        </w:rPr>
        <w:t>名册格式说明</w:t>
      </w:r>
    </w:p>
    <w:p>
      <w:pPr>
        <w:widowControl/>
        <w:spacing w:line="600" w:lineRule="exact"/>
        <w:ind w:firstLine="420" w:firstLineChars="200"/>
        <w:rPr>
          <w:rFonts w:ascii="宋体" w:hAnsi="宋体"/>
          <w:szCs w:val="21"/>
        </w:rPr>
      </w:pPr>
      <w:r>
        <w:rPr>
          <w:rFonts w:hint="eastAsia" w:ascii="宋体" w:hAnsi="宋体"/>
          <w:szCs w:val="21"/>
        </w:rPr>
        <w:t>基金管理</w:t>
      </w:r>
      <w:r>
        <w:rPr>
          <w:rFonts w:ascii="宋体" w:hAnsi="宋体"/>
          <w:szCs w:val="21"/>
        </w:rPr>
        <w:t>公司</w:t>
      </w:r>
      <w:r>
        <w:rPr>
          <w:rFonts w:hint="eastAsia" w:ascii="宋体" w:hAnsi="宋体"/>
          <w:szCs w:val="21"/>
        </w:rPr>
        <w:t>须将从中国证券登记结算有限责任公司获取的全体基金持有人名册提供给上证所信息网络有限公司（以下简称信息公司），格式为XLS格式。基金持有人名册中至少包括以下</w:t>
      </w:r>
      <w:r>
        <w:rPr>
          <w:rFonts w:ascii="宋体" w:hAnsi="宋体"/>
          <w:szCs w:val="21"/>
        </w:rPr>
        <w:t>字段</w:t>
      </w:r>
      <w:r>
        <w:rPr>
          <w:rFonts w:hint="eastAsia" w:ascii="宋体" w:hAnsi="宋体"/>
          <w:szCs w:val="21"/>
        </w:rPr>
        <w:t>，具体</w:t>
      </w:r>
      <w:r>
        <w:rPr>
          <w:rFonts w:ascii="宋体" w:hAnsi="宋体"/>
          <w:szCs w:val="21"/>
        </w:rPr>
        <w:t>说明如下：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36"/>
        <w:gridCol w:w="1318"/>
        <w:gridCol w:w="1260"/>
        <w:gridCol w:w="760"/>
        <w:gridCol w:w="2080"/>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NO</w:t>
            </w:r>
          </w:p>
        </w:tc>
        <w:tc>
          <w:tcPr>
            <w:tcW w:w="1318" w:type="dxa"/>
            <w:tcBorders>
              <w:top w:val="single" w:color="auto" w:sz="4" w:space="0"/>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字段名</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类型</w:t>
            </w:r>
          </w:p>
        </w:tc>
        <w:tc>
          <w:tcPr>
            <w:tcW w:w="760" w:type="dxa"/>
            <w:tcBorders>
              <w:top w:val="single" w:color="auto" w:sz="4" w:space="0"/>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长度</w:t>
            </w:r>
          </w:p>
        </w:tc>
        <w:tc>
          <w:tcPr>
            <w:tcW w:w="2080" w:type="dxa"/>
            <w:tcBorders>
              <w:top w:val="single" w:color="auto" w:sz="4" w:space="0"/>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说明</w:t>
            </w:r>
          </w:p>
        </w:tc>
        <w:tc>
          <w:tcPr>
            <w:tcW w:w="2788" w:type="dxa"/>
            <w:tcBorders>
              <w:top w:val="single" w:color="auto" w:sz="4" w:space="0"/>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ZQZH</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证券账户号码</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2</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ZQZH2</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一级证券账户号码</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3</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TZRMC</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130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持有人名称</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4</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TZRMC2</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130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一级持有人名称</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5</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ZJDM</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50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证件代码</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6</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ZJDM2</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50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一级机构证件代码</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7</w:t>
            </w:r>
          </w:p>
        </w:tc>
        <w:tc>
          <w:tcPr>
            <w:tcW w:w="1318"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ZQDM</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6</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证券代码</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8</w:t>
            </w:r>
          </w:p>
        </w:tc>
        <w:tc>
          <w:tcPr>
            <w:tcW w:w="1318"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LTLX</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流通类型</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9</w:t>
            </w:r>
          </w:p>
        </w:tc>
        <w:tc>
          <w:tcPr>
            <w:tcW w:w="1318"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CYSL</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Numeric</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16,0</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持有数量</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持有数量为整数,不含小数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70" w:hRule="atLeast"/>
        </w:trPr>
        <w:tc>
          <w:tcPr>
            <w:tcW w:w="436" w:type="dxa"/>
            <w:tcBorders>
              <w:top w:val="nil"/>
              <w:left w:val="single" w:color="auto" w:sz="4" w:space="0"/>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10</w:t>
            </w:r>
          </w:p>
        </w:tc>
        <w:tc>
          <w:tcPr>
            <w:tcW w:w="131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DJRQ</w:t>
            </w:r>
          </w:p>
        </w:tc>
        <w:tc>
          <w:tcPr>
            <w:tcW w:w="12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Character</w:t>
            </w:r>
          </w:p>
        </w:tc>
        <w:tc>
          <w:tcPr>
            <w:tcW w:w="76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8</w:t>
            </w:r>
          </w:p>
        </w:tc>
        <w:tc>
          <w:tcPr>
            <w:tcW w:w="2080"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r>
              <w:rPr>
                <w:rFonts w:hint="eastAsia" w:ascii="宋体" w:hAnsi="宋体" w:cs="宋体"/>
                <w:color w:val="000000"/>
                <w:kern w:val="0"/>
                <w:szCs w:val="21"/>
              </w:rPr>
              <w:t>权益登记日期</w:t>
            </w:r>
          </w:p>
        </w:tc>
        <w:tc>
          <w:tcPr>
            <w:tcW w:w="2788" w:type="dxa"/>
            <w:tcBorders>
              <w:top w:val="nil"/>
              <w:left w:val="nil"/>
              <w:bottom w:val="single" w:color="auto" w:sz="4" w:space="0"/>
              <w:right w:val="single" w:color="auto" w:sz="4" w:space="0"/>
            </w:tcBorders>
            <w:noWrap w:val="0"/>
            <w:vAlign w:val="center"/>
          </w:tcPr>
          <w:p>
            <w:pPr>
              <w:widowControl/>
              <w:spacing w:line="600" w:lineRule="exact"/>
              <w:rPr>
                <w:rFonts w:ascii="宋体" w:hAnsi="宋体" w:cs="宋体"/>
                <w:color w:val="000000"/>
                <w:kern w:val="0"/>
                <w:szCs w:val="21"/>
              </w:rPr>
            </w:pPr>
          </w:p>
        </w:tc>
      </w:tr>
    </w:tbl>
    <w:p>
      <w:pPr>
        <w:widowControl/>
        <w:spacing w:line="600" w:lineRule="exact"/>
        <w:ind w:firstLine="420" w:firstLineChars="200"/>
        <w:rPr>
          <w:rFonts w:ascii="宋体" w:hAnsi="宋体"/>
          <w:szCs w:val="21"/>
        </w:rPr>
      </w:pPr>
      <w:r>
        <w:rPr>
          <w:rFonts w:hint="eastAsia" w:ascii="宋体" w:hAnsi="宋体"/>
          <w:szCs w:val="21"/>
        </w:rPr>
        <w:t>以上信息仅供参考，具体以中国证券登记结算有限责任公司提供的名册为准。</w:t>
      </w:r>
    </w:p>
    <w:p>
      <w:pPr>
        <w:widowControl/>
        <w:spacing w:line="600" w:lineRule="exact"/>
        <w:rPr>
          <w:rFonts w:ascii="宋体" w:hAnsi="宋体"/>
          <w:b/>
          <w:szCs w:val="21"/>
        </w:rPr>
      </w:pPr>
      <w:r>
        <w:rPr>
          <w:rFonts w:hint="eastAsia" w:ascii="宋体" w:hAnsi="宋体"/>
          <w:b/>
          <w:szCs w:val="21"/>
        </w:rPr>
        <w:t>基金</w:t>
      </w:r>
      <w:r>
        <w:rPr>
          <w:rFonts w:ascii="宋体" w:hAnsi="宋体"/>
          <w:b/>
          <w:szCs w:val="21"/>
        </w:rPr>
        <w:t>持有人</w:t>
      </w:r>
      <w:r>
        <w:rPr>
          <w:rFonts w:hint="eastAsia" w:ascii="宋体" w:hAnsi="宋体"/>
          <w:b/>
          <w:szCs w:val="21"/>
        </w:rPr>
        <w:t>名册发送方式：</w:t>
      </w:r>
    </w:p>
    <w:p>
      <w:pPr>
        <w:widowControl/>
        <w:spacing w:line="600" w:lineRule="exact"/>
        <w:ind w:firstLine="420" w:firstLineChars="200"/>
        <w:rPr>
          <w:rFonts w:ascii="宋体" w:hAnsi="宋体"/>
          <w:bCs/>
          <w:szCs w:val="21"/>
        </w:rPr>
      </w:pPr>
      <w:r>
        <w:rPr>
          <w:rFonts w:hint="eastAsia" w:ascii="宋体" w:hAnsi="宋体"/>
          <w:szCs w:val="21"/>
        </w:rPr>
        <w:t>基金管理公司应</w:t>
      </w:r>
      <w:r>
        <w:rPr>
          <w:rFonts w:ascii="宋体" w:hAnsi="宋体"/>
          <w:szCs w:val="21"/>
        </w:rPr>
        <w:t>将</w:t>
      </w:r>
      <w:r>
        <w:rPr>
          <w:rFonts w:hint="eastAsia" w:ascii="宋体" w:hAnsi="宋体"/>
          <w:szCs w:val="21"/>
        </w:rPr>
        <w:t>基金份额权益登记日的全部基金持有人数据</w:t>
      </w:r>
      <w:r>
        <w:rPr>
          <w:rFonts w:ascii="宋体" w:hAnsi="宋体"/>
          <w:szCs w:val="21"/>
        </w:rPr>
        <w:t>通过有效手段进行加密后，以邮件</w:t>
      </w:r>
      <w:r>
        <w:rPr>
          <w:rFonts w:hint="eastAsia" w:ascii="宋体" w:hAnsi="宋体"/>
          <w:szCs w:val="21"/>
        </w:rPr>
        <w:t>或数据</w:t>
      </w:r>
      <w:r>
        <w:rPr>
          <w:rFonts w:ascii="宋体" w:hAnsi="宋体"/>
          <w:szCs w:val="21"/>
        </w:rPr>
        <w:t>介质方式发送给</w:t>
      </w:r>
      <w:r>
        <w:rPr>
          <w:rFonts w:hint="eastAsia" w:ascii="宋体" w:hAnsi="宋体"/>
          <w:szCs w:val="21"/>
        </w:rPr>
        <w:t>信息公司。</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6CD4C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Char"/>
    <w:basedOn w:val="5"/>
    <w:link w:val="2"/>
    <w:uiPriority w:val="99"/>
    <w:rPr>
      <w:sz w:val="18"/>
      <w:szCs w:val="18"/>
    </w:rPr>
  </w:style>
  <w:style w:type="character" w:customStyle="1" w:styleId="7">
    <w:name w:val="页眉 Char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456</Characters>
  <Lines>3</Lines>
  <Paragraphs>1</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2020-08-21T08:27:00Z</dcterms:created>
  <dc:creator>蒋亦凡</dc:creator>
  <cp:lastModifiedBy> 壮壮虎 </cp:lastModifiedBy>
  <dcterms:modified xsi:type="dcterms:W3CDTF">2022-04-22T10:13:33Z</dcterms:modified>
  <dc:title>基金持有人名册格式说明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