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04DB5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"/>
        </w:rPr>
      </w:pPr>
      <w:r>
        <w:rPr>
          <w:rFonts w:hint="eastAsia" w:ascii="黑体" w:hAnsi="黑体" w:eastAsia="黑体" w:cs="黑体"/>
          <w:sz w:val="32"/>
          <w:szCs w:val="32"/>
          <w:lang w:val="en-US" w:eastAsia="zh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"/>
        </w:rPr>
        <w:t>2</w:t>
      </w:r>
    </w:p>
    <w:p w14:paraId="6F71DF0C">
      <w:pPr>
        <w:spacing w:line="560" w:lineRule="exact"/>
        <w:jc w:val="center"/>
        <w:rPr>
          <w:rFonts w:hint="default" w:ascii="方正大标宋简体" w:hAnsi="方正大标宋简体" w:eastAsia="方正大标宋简体" w:cs="方正大标宋简体"/>
          <w:spacing w:val="-4"/>
          <w:sz w:val="44"/>
          <w:szCs w:val="44"/>
          <w:lang w:val="en-US" w:eastAsia="zh-CN"/>
        </w:rPr>
      </w:pPr>
    </w:p>
    <w:p w14:paraId="7E58EBF5">
      <w:pPr>
        <w:spacing w:line="560" w:lineRule="exact"/>
        <w:jc w:val="center"/>
        <w:rPr>
          <w:rFonts w:ascii="方正大标宋简体" w:hAnsi="方正大标宋简体" w:eastAsia="方正大标宋简体" w:cs="方正大标宋简体"/>
          <w:spacing w:val="-4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pacing w:val="-4"/>
          <w:sz w:val="44"/>
          <w:szCs w:val="44"/>
        </w:rPr>
        <w:t>《上</w:t>
      </w:r>
      <w:r>
        <w:rPr>
          <w:rFonts w:ascii="Times New Roman" w:hAnsi="Times New Roman" w:eastAsia="方正大标宋简体" w:cs="Times New Roman"/>
          <w:spacing w:val="-4"/>
          <w:sz w:val="44"/>
          <w:szCs w:val="44"/>
        </w:rPr>
        <w:t>海证券交易所发行上市审核规则适用指引第</w:t>
      </w:r>
      <w:r>
        <w:rPr>
          <w:rFonts w:hint="eastAsia" w:ascii="Times New Roman" w:hAnsi="Times New Roman" w:eastAsia="方正大标宋简体" w:cs="Times New Roman"/>
          <w:spacing w:val="-4"/>
          <w:sz w:val="44"/>
          <w:szCs w:val="44"/>
          <w:lang w:val="en-US" w:eastAsia="zh-CN"/>
        </w:rPr>
        <w:t>8</w:t>
      </w:r>
      <w:r>
        <w:rPr>
          <w:rFonts w:ascii="Times New Roman" w:hAnsi="Times New Roman" w:eastAsia="方正大标宋简体" w:cs="Times New Roman"/>
          <w:spacing w:val="-4"/>
          <w:sz w:val="44"/>
          <w:szCs w:val="44"/>
        </w:rPr>
        <w:t>号</w:t>
      </w:r>
      <w:r>
        <w:rPr>
          <w:rFonts w:hint="eastAsia" w:ascii="Times New Roman" w:hAnsi="Times New Roman" w:eastAsia="方正大标宋简体" w:cs="Times New Roman"/>
          <w:spacing w:val="-4"/>
          <w:sz w:val="44"/>
          <w:szCs w:val="44"/>
          <w:lang w:eastAsia="zh"/>
        </w:rPr>
        <w:t>——</w:t>
      </w:r>
      <w:r>
        <w:rPr>
          <w:rFonts w:ascii="Times New Roman" w:hAnsi="Times New Roman" w:eastAsia="方正大标宋简体" w:cs="Times New Roman"/>
          <w:spacing w:val="-4"/>
          <w:sz w:val="44"/>
          <w:szCs w:val="44"/>
        </w:rPr>
        <w:t>资深专业机构</w:t>
      </w:r>
      <w:r>
        <w:rPr>
          <w:rFonts w:hint="eastAsia" w:ascii="方正大标宋简体" w:hAnsi="方正大标宋简体" w:eastAsia="方正大标宋简体" w:cs="方正大标宋简体"/>
          <w:spacing w:val="-4"/>
          <w:sz w:val="44"/>
          <w:szCs w:val="44"/>
        </w:rPr>
        <w:t>投资者》起草说明</w:t>
      </w:r>
    </w:p>
    <w:p w14:paraId="6AE85AA9">
      <w:pPr>
        <w:spacing w:line="560" w:lineRule="exact"/>
        <w:jc w:val="center"/>
        <w:rPr>
          <w:rFonts w:ascii="Times New Roman" w:hAnsi="Times New Roman" w:eastAsia="方正大标宋简体" w:cs="Times New Roman"/>
          <w:spacing w:val="-4"/>
          <w:sz w:val="44"/>
          <w:szCs w:val="44"/>
        </w:rPr>
      </w:pPr>
      <w:bookmarkStart w:id="0" w:name="_GoBack"/>
      <w:bookmarkEnd w:id="0"/>
    </w:p>
    <w:p w14:paraId="7FAEAA21">
      <w:pPr>
        <w:snapToGrid w:val="0"/>
        <w:spacing w:line="560" w:lineRule="exact"/>
        <w:ind w:firstLine="640" w:firstLineChars="200"/>
        <w:outlineLvl w:val="9"/>
        <w:rPr>
          <w:rFonts w:ascii="Times New Roman" w:hAnsi="仿宋_GB2312" w:eastAsia="仿宋_GB2312" w:cs="仿宋_GB2312"/>
          <w:kern w:val="0"/>
          <w:sz w:val="32"/>
          <w:szCs w:val="32"/>
        </w:rPr>
      </w:pPr>
      <w:r>
        <w:rPr>
          <w:rFonts w:hint="eastAsia" w:ascii="Times New Roman" w:hAnsi="仿宋_GB2312" w:eastAsia="仿宋_GB2312" w:cs="仿宋_GB2312"/>
          <w:kern w:val="0"/>
          <w:sz w:val="32"/>
          <w:szCs w:val="32"/>
        </w:rPr>
        <w:t>为了落实《中国证监会关于在科创板设置科创成长层 增强制度包容性适应性的意见》，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规范资深专业机构投资者的认定及信息披露要求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健全精准识别优质科技型企业的制度机制，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发挥市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场功能，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更好服务科技创新和新质生产力发展</w:t>
      </w:r>
      <w:r>
        <w:rPr>
          <w:rFonts w:hint="eastAsia" w:ascii="Times New Roman" w:hAnsi="仿宋_GB2312" w:eastAsia="仿宋_GB2312" w:cs="仿宋_GB2312"/>
          <w:kern w:val="0"/>
          <w:sz w:val="32"/>
          <w:szCs w:val="32"/>
        </w:rPr>
        <w:t>，上海证券交易所（以下简称本所）</w:t>
      </w:r>
      <w:r>
        <w:rPr>
          <w:rFonts w:hint="eastAsia" w:ascii="Times New Roman" w:hAnsi="仿宋_GB2312" w:eastAsia="仿宋_GB2312" w:cs="仿宋_GB2312"/>
          <w:kern w:val="0"/>
          <w:sz w:val="32"/>
          <w:szCs w:val="32"/>
          <w:lang w:eastAsia="zh-CN"/>
        </w:rPr>
        <w:t>制定</w:t>
      </w:r>
      <w:r>
        <w:rPr>
          <w:rFonts w:hint="eastAsia" w:ascii="Times New Roman" w:hAnsi="仿宋_GB2312" w:eastAsia="仿宋_GB2312" w:cs="仿宋_GB2312"/>
          <w:kern w:val="0"/>
          <w:sz w:val="32"/>
          <w:szCs w:val="32"/>
        </w:rPr>
        <w:t>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《上海证券交易所发行上市审核规则适用指引第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"/>
        </w:rPr>
        <w:t>——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资深专业机构投资者》</w:t>
      </w:r>
      <w:r>
        <w:rPr>
          <w:rFonts w:hint="eastAsia" w:ascii="Times New Roman" w:hAnsi="仿宋_GB2312" w:eastAsia="仿宋_GB2312" w:cs="仿宋_GB2312"/>
          <w:kern w:val="0"/>
          <w:sz w:val="32"/>
          <w:szCs w:val="32"/>
        </w:rPr>
        <w:t>（以下简称《指引》）。现将有关情况说明如下。</w:t>
      </w:r>
    </w:p>
    <w:p w14:paraId="04154F97">
      <w:pPr>
        <w:snapToGrid w:val="0"/>
        <w:spacing w:line="560" w:lineRule="exact"/>
        <w:ind w:firstLine="640" w:firstLineChars="200"/>
        <w:outlineLvl w:val="0"/>
        <w:rPr>
          <w:rFonts w:ascii="Times New Roman" w:hAnsi="仿宋_GB2312" w:eastAsia="仿宋_GB2312" w:cs="仿宋_GB2312"/>
          <w:kern w:val="0"/>
          <w:sz w:val="32"/>
          <w:szCs w:val="32"/>
        </w:rPr>
      </w:pPr>
      <w:r>
        <w:rPr>
          <w:rFonts w:hint="eastAsia" w:ascii="Times New Roman" w:hAnsi="黑体" w:eastAsia="黑体" w:cs="黑体"/>
          <w:sz w:val="32"/>
          <w:szCs w:val="32"/>
        </w:rPr>
        <w:t>一、起草背景</w:t>
      </w:r>
    </w:p>
    <w:p w14:paraId="37537796">
      <w:pPr>
        <w:snapToGrid w:val="0"/>
        <w:spacing w:line="560" w:lineRule="exact"/>
        <w:ind w:firstLine="640" w:firstLineChars="200"/>
        <w:outlineLvl w:val="9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科创板在设立之初就推出了“市值+研发”的第五套上市标准，选择适用该套上市标准的企业通常具有研发投入高、经营业绩不确定性大、转盈利周期长、一旦成功有可能爆发式增长等特点，投资价值与投资风险较难判断。资深专业机构投资者往往具有较为丰富的投资经验，对科技创新领域具有较为深入的了解，对投资入股科创企业有一套相对成熟的识别筛选机制。本所在运用好向科技创新咨询委员会咨询、征求行业相关部门意见等现有机制的基础上，积极探索有效市场与有为政府相结合的途径，借鉴成熟市场经验，在科创板试点引入</w:t>
      </w:r>
      <w:r>
        <w:rPr>
          <w:rFonts w:hint="eastAsia" w:ascii="Times New Roman" w:hAnsi="仿宋_GB2312" w:eastAsia="仿宋_GB2312" w:cs="仿宋_GB2312"/>
          <w:kern w:val="0"/>
          <w:sz w:val="32"/>
          <w:szCs w:val="32"/>
        </w:rPr>
        <w:t>资深专业机构投资者制度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，发挥资深专业投资者等市场主体的识别作用，更好服务科技自立自强和新质生产力发展。</w:t>
      </w:r>
      <w:r>
        <w:rPr>
          <w:rFonts w:hint="eastAsia" w:ascii="Times New Roman" w:hAnsi="仿宋_GB2312" w:eastAsia="仿宋_GB2312" w:cs="仿宋_GB2312"/>
          <w:kern w:val="0"/>
          <w:sz w:val="32"/>
          <w:szCs w:val="32"/>
        </w:rPr>
        <w:t>为稳妥起步，先从</w:t>
      </w:r>
      <w:r>
        <w:rPr>
          <w:rFonts w:hint="eastAsia" w:ascii="Times New Roman" w:hAnsi="仿宋_GB2312" w:eastAsia="仿宋_GB2312" w:cs="仿宋_GB2312"/>
          <w:kern w:val="0"/>
          <w:sz w:val="32"/>
          <w:szCs w:val="32"/>
          <w:lang w:eastAsia="zh"/>
        </w:rPr>
        <w:t>适用</w:t>
      </w:r>
      <w:r>
        <w:rPr>
          <w:rFonts w:hint="eastAsia" w:ascii="Times New Roman" w:hAnsi="仿宋_GB2312" w:eastAsia="仿宋_GB2312" w:cs="仿宋_GB2312"/>
          <w:kern w:val="0"/>
          <w:sz w:val="32"/>
          <w:szCs w:val="32"/>
        </w:rPr>
        <w:t>科创板第五套上市标准</w:t>
      </w:r>
      <w:r>
        <w:rPr>
          <w:rFonts w:hint="eastAsia" w:ascii="Times New Roman" w:hAnsi="仿宋_GB2312" w:eastAsia="仿宋_GB2312" w:cs="仿宋_GB2312"/>
          <w:kern w:val="0"/>
          <w:sz w:val="32"/>
          <w:szCs w:val="32"/>
          <w:lang w:eastAsia="zh"/>
        </w:rPr>
        <w:t>的申报</w:t>
      </w:r>
      <w:r>
        <w:rPr>
          <w:rFonts w:hint="eastAsia" w:ascii="Times New Roman" w:hAnsi="仿宋_GB2312" w:eastAsia="仿宋_GB2312" w:cs="仿宋_GB2312"/>
          <w:kern w:val="0"/>
          <w:sz w:val="32"/>
          <w:szCs w:val="32"/>
        </w:rPr>
        <w:t>企业开展试点，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鼓励发行人自主认定并充分披露资深专业机构投资者入股情况。</w:t>
      </w:r>
    </w:p>
    <w:p w14:paraId="5CAC28D6">
      <w:pPr>
        <w:numPr>
          <w:ilvl w:val="0"/>
          <w:numId w:val="1"/>
        </w:numPr>
        <w:snapToGrid w:val="0"/>
        <w:spacing w:line="560" w:lineRule="exact"/>
        <w:ind w:firstLine="640" w:firstLineChars="200"/>
        <w:outlineLvl w:val="0"/>
        <w:rPr>
          <w:rFonts w:ascii="Times New Roman" w:hAnsi="黑体" w:eastAsia="黑体" w:cs="黑体"/>
          <w:sz w:val="32"/>
          <w:szCs w:val="32"/>
        </w:rPr>
      </w:pPr>
      <w:r>
        <w:rPr>
          <w:rFonts w:hint="eastAsia" w:ascii="Times New Roman" w:hAnsi="黑体" w:eastAsia="黑体" w:cs="黑体"/>
          <w:sz w:val="32"/>
          <w:szCs w:val="32"/>
        </w:rPr>
        <w:t>主要内容</w:t>
      </w:r>
    </w:p>
    <w:p w14:paraId="725C60E6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仿宋_GB2312" w:eastAsia="仿宋_GB2312" w:cs="仿宋_GB2312"/>
          <w:kern w:val="0"/>
          <w:sz w:val="32"/>
          <w:szCs w:val="32"/>
        </w:rPr>
        <w:t>《指引》</w:t>
      </w:r>
      <w:r>
        <w:rPr>
          <w:rFonts w:ascii="Times New Roman" w:hAnsi="Times New Roman" w:eastAsia="仿宋_GB2312" w:cs="Times New Roman"/>
          <w:sz w:val="32"/>
          <w:szCs w:val="32"/>
        </w:rPr>
        <w:t>共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13</w:t>
      </w:r>
      <w:r>
        <w:rPr>
          <w:rFonts w:ascii="Times New Roman" w:hAnsi="Times New Roman" w:eastAsia="仿宋_GB2312" w:cs="Times New Roman"/>
          <w:sz w:val="32"/>
          <w:szCs w:val="32"/>
        </w:rPr>
        <w:t>条，主要包括以下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方面内容：</w:t>
      </w:r>
    </w:p>
    <w:p w14:paraId="2EFF8E7B">
      <w:pPr>
        <w:snapToGrid w:val="0"/>
        <w:spacing w:line="560" w:lineRule="exact"/>
        <w:ind w:firstLine="64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（一）关于资深专业机构投资者的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范围界定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ascii="Times New Roman" w:hAnsi="Times New Roman" w:eastAsia="仿宋_GB2312"/>
          <w:sz w:val="32"/>
          <w:szCs w:val="32"/>
          <w:highlight w:val="none"/>
        </w:rPr>
        <w:t>治理结构健全、管理资产规模较大、具有良好诚信记录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包括私募基金、政府出资设立的基金、链主企业及其设立的投资机构等主体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具备较为丰富的投资经验，已投资的科技型企业中，近5年有5家以上已在科创板上市或者10家以上已在境内外主要证券交易所上市；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依法设立、运作合规，不存在最近三年</w:t>
      </w:r>
      <w:r>
        <w:rPr>
          <w:rFonts w:ascii="Times New Roman" w:hAnsi="Times New Roman" w:eastAsia="仿宋_GB2312"/>
          <w:sz w:val="32"/>
          <w:szCs w:val="32"/>
        </w:rPr>
        <w:t>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受到行政处罚</w:t>
      </w:r>
      <w:r>
        <w:rPr>
          <w:rFonts w:hint="eastAsia" w:ascii="Times New Roman" w:hAnsi="Times New Roman" w:eastAsia="仿宋_GB2312"/>
          <w:sz w:val="32"/>
          <w:szCs w:val="32"/>
        </w:rPr>
        <w:t>或者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被追究刑事责任，或者正被司法机关立案侦查、被</w:t>
      </w:r>
      <w:r>
        <w:rPr>
          <w:rFonts w:ascii="Times New Roman" w:hAnsi="Times New Roman" w:eastAsia="仿宋_GB2312"/>
          <w:sz w:val="32"/>
          <w:szCs w:val="32"/>
        </w:rPr>
        <w:t>行政机关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立案调查等情形。</w:t>
      </w:r>
    </w:p>
    <w:p w14:paraId="2C627933">
      <w:pPr>
        <w:snapToGrid w:val="0"/>
        <w:spacing w:line="560" w:lineRule="exact"/>
        <w:ind w:firstLine="64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（二）关于资深专业机构投资者持股及独立性要求。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明确持股要求，规定应于发行人IPO申报前24个月即入股，且各自持续持有发行人3%以上的股份或不低于5亿元的投资金额；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明确独立性要求，规定与发行人之间不得存在影响投资独立性的关联关系。</w:t>
      </w:r>
    </w:p>
    <w:p w14:paraId="586139B8"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（三）关于资深专业机构投资者的认定、信息披露及核查要求。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仿宋_GB2312"/>
          <w:sz w:val="32"/>
          <w:szCs w:val="32"/>
        </w:rPr>
        <w:t>规定由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发行人根据《指引》的规定，自主认定资深专业机构投资者；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明确发行人应在招股说明书中披露认定依据、投资入股情况、独立性及合规性情况、相关承诺等事项；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保荐人、发行人律师应对发行人自主认定和披露的相关事项进行审慎核查。</w:t>
      </w:r>
    </w:p>
    <w:p w14:paraId="31CDB520">
      <w:pPr>
        <w:numPr>
          <w:ilvl w:val="255"/>
          <w:numId w:val="0"/>
        </w:num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（四）关于作为审核参考因素。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明确本所将发行人披露的资深专业机构投资者相关事项，作为判断发行人是否符合市场认可度和成长性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要求的审核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参考因素，但不表明其符合科创属性要求或发行上市条件；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规定发行人未认定资深专业机构投资者，不影响其适用第五套上市标准申报科创板。</w:t>
      </w:r>
    </w:p>
    <w:p w14:paraId="014475B4">
      <w:pPr>
        <w:snapToGrid w:val="0"/>
        <w:spacing w:line="560" w:lineRule="exact"/>
        <w:ind w:firstLine="64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（五）关于违规监管。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加强监管与规范，严厉打击股份代持、不当入股、利益输送、商业腐败等违法违规行为。出现相关违规行为的，本所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按规定采取监管措施或实施纪律处分，并可以根据情况通报中国证监会及其派出机构、地方政府和行业自律组织，情节严重的，报告中国证监会查处。</w:t>
      </w:r>
    </w:p>
    <w:p w14:paraId="0BE029B5">
      <w:pPr>
        <w:snapToGrid w:val="0"/>
        <w:spacing w:line="560" w:lineRule="exact"/>
        <w:ind w:firstLine="641"/>
        <w:outlineLvl w:val="9"/>
        <w:rPr>
          <w:rFonts w:ascii="Times New Roman" w:hAnsi="黑体" w:eastAsia="黑体" w:cs="黑体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508E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8AD8D3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8AD8D3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A49F2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469F05"/>
    <w:multiLevelType w:val="singleLevel"/>
    <w:tmpl w:val="A9469F0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65C76"/>
    <w:rsid w:val="00024CD1"/>
    <w:rsid w:val="000D72BC"/>
    <w:rsid w:val="001C7A94"/>
    <w:rsid w:val="00224126"/>
    <w:rsid w:val="00276FDC"/>
    <w:rsid w:val="002C606B"/>
    <w:rsid w:val="002E6702"/>
    <w:rsid w:val="00352FFA"/>
    <w:rsid w:val="003D688A"/>
    <w:rsid w:val="00500A80"/>
    <w:rsid w:val="0058565C"/>
    <w:rsid w:val="00680777"/>
    <w:rsid w:val="006D04D2"/>
    <w:rsid w:val="007B6ECA"/>
    <w:rsid w:val="007E0889"/>
    <w:rsid w:val="008C7666"/>
    <w:rsid w:val="00936711"/>
    <w:rsid w:val="009B3775"/>
    <w:rsid w:val="009B6D61"/>
    <w:rsid w:val="00B541E0"/>
    <w:rsid w:val="00D052AE"/>
    <w:rsid w:val="00D35C3F"/>
    <w:rsid w:val="00D719DA"/>
    <w:rsid w:val="00E91D93"/>
    <w:rsid w:val="00EC3A4A"/>
    <w:rsid w:val="00EE5DC7"/>
    <w:rsid w:val="00F063F1"/>
    <w:rsid w:val="00F16A88"/>
    <w:rsid w:val="00F83044"/>
    <w:rsid w:val="02D00AB2"/>
    <w:rsid w:val="04967D16"/>
    <w:rsid w:val="0A565C76"/>
    <w:rsid w:val="0D8017E1"/>
    <w:rsid w:val="0E27553C"/>
    <w:rsid w:val="0F01135B"/>
    <w:rsid w:val="0F165C71"/>
    <w:rsid w:val="12814D69"/>
    <w:rsid w:val="134B0F1A"/>
    <w:rsid w:val="16B16C2B"/>
    <w:rsid w:val="177517D8"/>
    <w:rsid w:val="18C54150"/>
    <w:rsid w:val="1E7C38B7"/>
    <w:rsid w:val="1FF02C39"/>
    <w:rsid w:val="237E2289"/>
    <w:rsid w:val="25C16A69"/>
    <w:rsid w:val="263C0662"/>
    <w:rsid w:val="27BC6441"/>
    <w:rsid w:val="28285016"/>
    <w:rsid w:val="2CD10B1C"/>
    <w:rsid w:val="309709A0"/>
    <w:rsid w:val="339F22F5"/>
    <w:rsid w:val="3821593A"/>
    <w:rsid w:val="38835AEC"/>
    <w:rsid w:val="38D62BC9"/>
    <w:rsid w:val="3BFB3A95"/>
    <w:rsid w:val="3D33796B"/>
    <w:rsid w:val="436E0F2D"/>
    <w:rsid w:val="43FA2D8B"/>
    <w:rsid w:val="45DE0C82"/>
    <w:rsid w:val="48100435"/>
    <w:rsid w:val="483A4989"/>
    <w:rsid w:val="4DBC3CE3"/>
    <w:rsid w:val="4EFEA5B9"/>
    <w:rsid w:val="50CF7342"/>
    <w:rsid w:val="581F411A"/>
    <w:rsid w:val="58617606"/>
    <w:rsid w:val="59904106"/>
    <w:rsid w:val="5A6373D1"/>
    <w:rsid w:val="62F77F15"/>
    <w:rsid w:val="638649BB"/>
    <w:rsid w:val="638F3414"/>
    <w:rsid w:val="63A26112"/>
    <w:rsid w:val="694E199B"/>
    <w:rsid w:val="69B343B3"/>
    <w:rsid w:val="69D15562"/>
    <w:rsid w:val="6BF57F7C"/>
    <w:rsid w:val="6DD239F6"/>
    <w:rsid w:val="6E562470"/>
    <w:rsid w:val="6F443351"/>
    <w:rsid w:val="75E642BE"/>
    <w:rsid w:val="77111058"/>
    <w:rsid w:val="77BF38C2"/>
    <w:rsid w:val="77F340B9"/>
    <w:rsid w:val="78C07861"/>
    <w:rsid w:val="7E1D41F2"/>
    <w:rsid w:val="7ECB2645"/>
    <w:rsid w:val="7EFB0CB2"/>
    <w:rsid w:val="7F7F34FD"/>
    <w:rsid w:val="7FEEE580"/>
    <w:rsid w:val="A5FEB557"/>
    <w:rsid w:val="D04EA97C"/>
    <w:rsid w:val="EFCE6B4E"/>
    <w:rsid w:val="F1E1B7F7"/>
    <w:rsid w:val="FDFFB186"/>
    <w:rsid w:val="FEF9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customStyle="1" w:styleId="1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2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1319</Words>
  <Characters>1325</Characters>
  <Lines>10</Lines>
  <Paragraphs>2</Paragraphs>
  <TotalTime>37</TotalTime>
  <ScaleCrop>false</ScaleCrop>
  <LinksUpToDate>false</LinksUpToDate>
  <CharactersWithSpaces>1326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2025-06-01T00:52:00Z</dcterms:created>
  <dc:creator>sse</dc:creator>
  <cp:lastModifiedBy>whxu</cp:lastModifiedBy>
  <cp:lastPrinted>2025-06-20T01:06:00Z</cp:lastPrinted>
  <dcterms:modified xsi:type="dcterms:W3CDTF">2025-07-11T11:02:21Z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ED408F27C05C7FAE6F777068838F8A68_43</vt:lpwstr>
  </property>
  <property fmtid="{D5CDD505-2E9C-101B-9397-08002B2CF9AE}" pid="4" name="KSOTemplateDocerSaveRecord">
    <vt:lpwstr>eyJoZGlkIjoiYzdjNzQ5ZWY5OTU3Y2JmOGQyMzY3OTkyZmJlNjZhNjIiLCJ1c2VySWQiOiIxNTgxNzM5NDc2In0=</vt:lpwstr>
  </property>
</Properties>
</file>