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2D9A4">
      <w:pPr>
        <w:spacing w:line="560" w:lineRule="exact"/>
        <w:jc w:val="left"/>
        <w:rPr>
          <w:rFonts w:ascii="仿宋" w:hAnsi="仿宋" w:eastAsia="仿宋" w:cs="仿宋"/>
          <w:b/>
          <w:bCs/>
          <w:sz w:val="32"/>
          <w:szCs w:val="32"/>
        </w:rPr>
      </w:pPr>
      <w:r>
        <w:rPr>
          <w:rFonts w:hint="eastAsia" w:ascii="黑体" w:hAnsi="黑体" w:eastAsia="黑体" w:cs="黑体"/>
          <w:sz w:val="32"/>
          <w:szCs w:val="32"/>
        </w:rPr>
        <w:t>附件1</w:t>
      </w:r>
    </w:p>
    <w:p w14:paraId="3D3B2775">
      <w:pPr>
        <w:spacing w:line="560" w:lineRule="exact"/>
        <w:ind w:firstLine="643" w:firstLineChars="200"/>
        <w:jc w:val="left"/>
        <w:rPr>
          <w:rFonts w:ascii="仿宋" w:hAnsi="仿宋" w:eastAsia="仿宋" w:cs="仿宋"/>
          <w:b/>
          <w:bCs/>
          <w:sz w:val="32"/>
          <w:szCs w:val="32"/>
        </w:rPr>
      </w:pPr>
    </w:p>
    <w:p w14:paraId="5C966E0A">
      <w:pPr>
        <w:snapToGrid w:val="0"/>
        <w:jc w:val="center"/>
        <w:rPr>
          <w:rFonts w:eastAsia="方正大标宋简体"/>
          <w:sz w:val="44"/>
          <w:szCs w:val="44"/>
        </w:rPr>
      </w:pPr>
      <w:r>
        <w:rPr>
          <w:rFonts w:eastAsia="方正大标宋简体"/>
          <w:sz w:val="44"/>
          <w:szCs w:val="44"/>
        </w:rPr>
        <w:t>以上市公司质量为导向的保荐机构执业质量</w:t>
      </w:r>
    </w:p>
    <w:p w14:paraId="56123F70">
      <w:pPr>
        <w:snapToGrid w:val="0"/>
        <w:jc w:val="center"/>
        <w:rPr>
          <w:rFonts w:eastAsia="方正大标宋简体"/>
          <w:sz w:val="44"/>
          <w:szCs w:val="44"/>
        </w:rPr>
      </w:pPr>
      <w:r>
        <w:rPr>
          <w:rFonts w:eastAsia="方正大标宋简体"/>
          <w:sz w:val="44"/>
          <w:szCs w:val="44"/>
        </w:rPr>
        <w:t>评价实施办法（试行）（2025年修订）</w:t>
      </w:r>
    </w:p>
    <w:p w14:paraId="4282DEB1">
      <w:pPr>
        <w:spacing w:line="560" w:lineRule="exact"/>
        <w:ind w:firstLine="640" w:firstLineChars="200"/>
        <w:rPr>
          <w:rFonts w:ascii="仿宋" w:hAnsi="仿宋" w:eastAsia="仿宋" w:cs="仿宋"/>
          <w:sz w:val="32"/>
          <w:szCs w:val="32"/>
        </w:rPr>
      </w:pPr>
    </w:p>
    <w:p w14:paraId="541FA976">
      <w:pPr>
        <w:spacing w:after="93" w:afterLines="30" w:line="560" w:lineRule="exact"/>
        <w:jc w:val="center"/>
        <w:outlineLvl w:val="0"/>
        <w:rPr>
          <w:sz w:val="32"/>
          <w:szCs w:val="32"/>
        </w:rPr>
      </w:pPr>
      <w:r>
        <w:rPr>
          <w:rFonts w:eastAsia="黑体"/>
          <w:sz w:val="32"/>
          <w:szCs w:val="32"/>
        </w:rPr>
        <w:t>第一章  总 则</w:t>
      </w:r>
    </w:p>
    <w:p w14:paraId="2371E9CB">
      <w:pPr>
        <w:spacing w:line="560" w:lineRule="exact"/>
        <w:ind w:firstLine="640" w:firstLineChars="200"/>
        <w:rPr>
          <w:rFonts w:eastAsia="仿宋_GB2312"/>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eastAsia="仿宋_GB2312"/>
          <w:sz w:val="32"/>
          <w:szCs w:val="32"/>
        </w:rPr>
        <w:t>为适应全面注册制改革需要，提升保荐机构执业水平，提高首次公开发行股票或存托凭证并上市保荐项目（以下简称首发保荐项目）质量，根据《首次公开发行股票注册管理办法》《证券发行上市保荐业务管理办法》《关于注册制下督促证券公司从事投行业务归位尽责的指导意</w:t>
      </w:r>
      <w:bookmarkStart w:id="0" w:name="_GoBack"/>
      <w:bookmarkEnd w:id="0"/>
      <w:r>
        <w:rPr>
          <w:rFonts w:eastAsia="仿宋_GB2312"/>
          <w:sz w:val="32"/>
          <w:szCs w:val="32"/>
        </w:rPr>
        <w:t>见》《上海证券交易所股票发行上市审核规则》《深圳证券交易所股票发行上市审核规则》等规定，制定本办法。</w:t>
      </w:r>
    </w:p>
    <w:p w14:paraId="1FDB3C42">
      <w:pPr>
        <w:spacing w:line="560" w:lineRule="exact"/>
        <w:ind w:firstLine="640" w:firstLineChars="200"/>
        <w:rPr>
          <w:rFonts w:eastAsia="仿宋_GB2312"/>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w:t>
      </w:r>
      <w:r>
        <w:rPr>
          <w:rFonts w:eastAsia="仿宋_GB2312"/>
          <w:sz w:val="32"/>
          <w:szCs w:val="32"/>
        </w:rPr>
        <w:t>上海证券交易所、深圳证券交易所（以下统称沪深交易所）对在境内从事主板、科创板及创业板首发保荐业务的保荐机构开展以上市公司质量为导向的执业质量评价适用本办法。</w:t>
      </w:r>
    </w:p>
    <w:p w14:paraId="0FBFF5FF">
      <w:pPr>
        <w:spacing w:line="560" w:lineRule="exact"/>
        <w:ind w:firstLine="640" w:firstLineChars="200"/>
        <w:rPr>
          <w:rFonts w:eastAsia="仿宋_GB2312"/>
          <w:sz w:val="32"/>
          <w:szCs w:val="32"/>
        </w:rPr>
      </w:pPr>
      <w:r>
        <w:rPr>
          <w:rFonts w:eastAsia="仿宋_GB2312"/>
          <w:sz w:val="32"/>
          <w:szCs w:val="32"/>
        </w:rPr>
        <w:t>本办法未作规定的，适用中国证券监督管理委员会（以下简称中国证监会）和沪深交易所的其他规定。</w:t>
      </w:r>
    </w:p>
    <w:p w14:paraId="59AF56BE">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第三条</w:t>
      </w:r>
      <w:r>
        <w:rPr>
          <w:rFonts w:hint="eastAsia" w:ascii="仿宋_GB2312" w:hAnsi="仿宋" w:eastAsia="仿宋_GB2312" w:cs="仿宋"/>
          <w:sz w:val="32"/>
          <w:szCs w:val="32"/>
        </w:rPr>
        <w:t xml:space="preserve"> 本办法所称以上市公司质量为导向的保荐机构执业质量评价，是指沪深交易所按照科学、合理、客观的原则，基于上市公司质量和保荐业务质量等评价内容，形成对保荐机构首发保荐项目执业质量的综合评价。</w:t>
      </w:r>
    </w:p>
    <w:p w14:paraId="631340D2">
      <w:pPr>
        <w:spacing w:line="560" w:lineRule="exact"/>
        <w:ind w:firstLine="640" w:firstLineChars="200"/>
        <w:rPr>
          <w:rFonts w:eastAsia="仿宋_GB2312"/>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w:t>
      </w:r>
      <w:r>
        <w:rPr>
          <w:rFonts w:eastAsia="仿宋_GB2312"/>
          <w:sz w:val="32"/>
          <w:szCs w:val="32"/>
        </w:rPr>
        <w:t>上市公司质量的评价范围，为保荐机构T-5年当年保荐上市的公司（T为评价年度，下同）。保荐业务质量的评价范围，为T年进入审核注册环节的首发保荐项目。</w:t>
      </w:r>
    </w:p>
    <w:p w14:paraId="4C895509">
      <w:pPr>
        <w:spacing w:line="560" w:lineRule="exact"/>
        <w:ind w:firstLine="640" w:firstLineChars="200"/>
        <w:rPr>
          <w:rFonts w:eastAsia="仿宋_GB2312"/>
          <w:sz w:val="32"/>
          <w:szCs w:val="32"/>
        </w:rPr>
      </w:pPr>
      <w:r>
        <w:rPr>
          <w:rFonts w:eastAsia="仿宋_GB2312"/>
          <w:sz w:val="32"/>
          <w:szCs w:val="32"/>
        </w:rPr>
        <w:t>评价期间为相应年度的1月1日至12月31日。</w:t>
      </w:r>
    </w:p>
    <w:p w14:paraId="3A540130">
      <w:pPr>
        <w:spacing w:line="560" w:lineRule="exact"/>
        <w:ind w:firstLine="640" w:firstLineChars="200"/>
        <w:rPr>
          <w:rFonts w:ascii="仿宋_GB2312" w:hAnsi="仿宋" w:eastAsia="仿宋_GB2312"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_GB2312" w:hAnsi="仿宋" w:eastAsia="仿宋_GB2312" w:cs="仿宋"/>
          <w:sz w:val="32"/>
          <w:szCs w:val="32"/>
        </w:rPr>
        <w:t>评价工作重点突出投资者投资决策需求，聚焦上市公司质量。</w:t>
      </w:r>
    </w:p>
    <w:p w14:paraId="2DC1CC64">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w:t>
      </w:r>
      <w:r>
        <w:rPr>
          <w:rFonts w:hint="eastAsia" w:ascii="仿宋_GB2312" w:hAnsi="仿宋" w:eastAsia="仿宋_GB2312" w:cs="仿宋"/>
          <w:sz w:val="32"/>
          <w:szCs w:val="32"/>
        </w:rPr>
        <w:t>评价工作每年定期开展一次。</w:t>
      </w:r>
    </w:p>
    <w:p w14:paraId="1C57FF69">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第七条</w:t>
      </w:r>
      <w:r>
        <w:rPr>
          <w:rFonts w:hint="eastAsia" w:ascii="仿宋_GB2312" w:hAnsi="仿宋" w:eastAsia="仿宋_GB2312" w:cs="仿宋"/>
          <w:sz w:val="32"/>
          <w:szCs w:val="32"/>
        </w:rPr>
        <w:t xml:space="preserve"> 项目涉及联合保荐的，上市公司质量得分及保荐业务质量得分，计入联合保荐机构各自得分。</w:t>
      </w:r>
    </w:p>
    <w:p w14:paraId="592B2E2D">
      <w:pPr>
        <w:spacing w:line="560" w:lineRule="exact"/>
        <w:ind w:firstLine="640" w:firstLineChars="200"/>
        <w:rPr>
          <w:rFonts w:ascii="仿宋_GB2312" w:hAnsi="仿宋" w:eastAsia="仿宋_GB2312"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w:t>
      </w:r>
      <w:r>
        <w:rPr>
          <w:rFonts w:hint="eastAsia" w:ascii="仿宋_GB2312" w:hAnsi="仿宋" w:eastAsia="仿宋_GB2312" w:cs="仿宋"/>
          <w:sz w:val="32"/>
          <w:szCs w:val="32"/>
        </w:rPr>
        <w:t>评价工作坚持公开、公平、公正的原则。参与评价的工作人员应当具备相应的专业素质、业务能力和监管经验。</w:t>
      </w:r>
    </w:p>
    <w:p w14:paraId="52D2C1A9">
      <w:pPr>
        <w:spacing w:line="560" w:lineRule="exact"/>
        <w:jc w:val="center"/>
        <w:rPr>
          <w:rFonts w:ascii="仿宋" w:hAnsi="仿宋" w:eastAsia="仿宋" w:cs="仿宋"/>
          <w:sz w:val="32"/>
          <w:szCs w:val="32"/>
        </w:rPr>
      </w:pPr>
    </w:p>
    <w:p w14:paraId="56B59048">
      <w:pPr>
        <w:spacing w:after="93" w:afterLines="30" w:line="560" w:lineRule="exact"/>
        <w:jc w:val="center"/>
        <w:outlineLvl w:val="0"/>
        <w:rPr>
          <w:rFonts w:eastAsia="黑体"/>
          <w:sz w:val="32"/>
          <w:szCs w:val="32"/>
        </w:rPr>
      </w:pPr>
      <w:r>
        <w:rPr>
          <w:rFonts w:eastAsia="黑体"/>
          <w:sz w:val="32"/>
          <w:szCs w:val="32"/>
        </w:rPr>
        <w:t>第二章  评价内容与指标</w:t>
      </w:r>
    </w:p>
    <w:p w14:paraId="1103A871">
      <w:pPr>
        <w:spacing w:line="560" w:lineRule="exact"/>
        <w:ind w:firstLine="640" w:firstLineChars="200"/>
        <w:rPr>
          <w:rFonts w:eastAsia="仿宋_GB2312"/>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w:t>
      </w:r>
      <w:r>
        <w:rPr>
          <w:rFonts w:eastAsia="仿宋_GB2312"/>
          <w:sz w:val="32"/>
          <w:szCs w:val="32"/>
        </w:rPr>
        <w:t>评价体系包括上市公司质量评价（权重占比70%）、保荐业务质量评价（权重占比30%）和评价得分调整（不设权重）三个部分。</w:t>
      </w:r>
    </w:p>
    <w:p w14:paraId="66608DF0">
      <w:pPr>
        <w:spacing w:line="560" w:lineRule="exact"/>
        <w:ind w:firstLine="640" w:firstLineChars="200"/>
        <w:rPr>
          <w:rFonts w:eastAsia="仿宋_GB2312"/>
          <w:sz w:val="32"/>
          <w:szCs w:val="32"/>
        </w:rPr>
      </w:pPr>
      <w:r>
        <w:rPr>
          <w:rFonts w:eastAsia="仿宋_GB2312"/>
          <w:sz w:val="32"/>
          <w:szCs w:val="32"/>
        </w:rPr>
        <w:t>评价体系构成及权重分布见附件1。</w:t>
      </w:r>
    </w:p>
    <w:p w14:paraId="035615EB">
      <w:pPr>
        <w:spacing w:line="560" w:lineRule="exact"/>
        <w:ind w:firstLine="640" w:firstLineChars="200"/>
        <w:rPr>
          <w:rFonts w:eastAsia="仿宋_GB2312"/>
          <w:sz w:val="32"/>
          <w:szCs w:val="32"/>
        </w:rPr>
      </w:pPr>
      <w:r>
        <w:rPr>
          <w:rFonts w:hint="eastAsia" w:ascii="黑体" w:hAnsi="黑体" w:eastAsia="黑体" w:cs="黑体"/>
          <w:sz w:val="32"/>
          <w:szCs w:val="32"/>
        </w:rPr>
        <w:t>第十条</w:t>
      </w:r>
      <w:r>
        <w:rPr>
          <w:rFonts w:hint="eastAsia" w:ascii="仿宋" w:hAnsi="仿宋" w:eastAsia="仿宋" w:cs="仿宋"/>
          <w:b/>
          <w:bCs/>
          <w:sz w:val="32"/>
          <w:szCs w:val="32"/>
        </w:rPr>
        <w:t xml:space="preserve"> </w:t>
      </w:r>
      <w:r>
        <w:rPr>
          <w:rFonts w:eastAsia="仿宋_GB2312"/>
          <w:sz w:val="32"/>
          <w:szCs w:val="32"/>
        </w:rPr>
        <w:t>上市公司质量评价主要衡量公司的经营质量、市场表现及治理质量等情况。</w:t>
      </w:r>
    </w:p>
    <w:p w14:paraId="781A2D05">
      <w:pPr>
        <w:spacing w:line="560" w:lineRule="exact"/>
        <w:ind w:firstLine="640" w:firstLineChars="200"/>
        <w:rPr>
          <w:rFonts w:eastAsia="仿宋_GB2312"/>
          <w:sz w:val="32"/>
          <w:szCs w:val="32"/>
        </w:rPr>
      </w:pPr>
      <w:r>
        <w:rPr>
          <w:rFonts w:eastAsia="仿宋_GB2312"/>
          <w:sz w:val="32"/>
          <w:szCs w:val="32"/>
        </w:rPr>
        <w:t>公司经营质量包括盈利能力、成长能力、创新能力三部分。盈利能力下设扣非归母净利润规模、经营活动净现金流占营业收入比重、销售净利率、净资产收益率四个指标；成长能力下设营业收入增速、扣非归母净利润增速、业绩下滑调整三个指标；创新能力下设研发支出占比、研发人员数量两个指标。</w:t>
      </w:r>
    </w:p>
    <w:p w14:paraId="32B028DD">
      <w:pPr>
        <w:spacing w:line="560" w:lineRule="exact"/>
        <w:ind w:firstLine="640" w:firstLineChars="200"/>
        <w:rPr>
          <w:rFonts w:eastAsia="仿宋_GB2312"/>
          <w:sz w:val="32"/>
          <w:szCs w:val="32"/>
        </w:rPr>
      </w:pPr>
      <w:r>
        <w:rPr>
          <w:rFonts w:eastAsia="仿宋_GB2312"/>
          <w:sz w:val="32"/>
          <w:szCs w:val="32"/>
        </w:rPr>
        <w:t>市场表现包括投资者回报和市场估值两部分。投资者回报下设现金分红比例、年化回报率两个指标；市场估值下设市净率、总市值两个指标。</w:t>
      </w:r>
    </w:p>
    <w:p w14:paraId="2FC3919D">
      <w:pPr>
        <w:spacing w:line="560" w:lineRule="exact"/>
        <w:ind w:firstLine="640" w:firstLineChars="200"/>
        <w:rPr>
          <w:rFonts w:eastAsia="仿宋_GB2312"/>
          <w:sz w:val="32"/>
          <w:szCs w:val="32"/>
        </w:rPr>
      </w:pPr>
      <w:r>
        <w:rPr>
          <w:rFonts w:eastAsia="仿宋_GB2312"/>
          <w:sz w:val="32"/>
          <w:szCs w:val="32"/>
        </w:rPr>
        <w:t>公司治理质量包括信息披露和监管合规两个部分，分别设置信息披露评级和行政监管处罚两个指标。</w:t>
      </w:r>
    </w:p>
    <w:p w14:paraId="7533A6E9">
      <w:pPr>
        <w:spacing w:line="560" w:lineRule="exact"/>
        <w:ind w:firstLine="640" w:firstLineChars="200"/>
        <w:rPr>
          <w:rFonts w:eastAsia="仿宋_GB2312"/>
          <w:sz w:val="32"/>
          <w:szCs w:val="32"/>
        </w:rPr>
      </w:pPr>
      <w:r>
        <w:rPr>
          <w:rFonts w:hint="eastAsia" w:ascii="黑体" w:hAnsi="黑体" w:eastAsia="黑体" w:cs="黑体"/>
          <w:sz w:val="32"/>
          <w:szCs w:val="32"/>
        </w:rPr>
        <w:t>第十一条</w:t>
      </w:r>
      <w:r>
        <w:rPr>
          <w:rFonts w:hint="eastAsia" w:ascii="仿宋" w:hAnsi="仿宋" w:eastAsia="仿宋" w:cs="仿宋"/>
          <w:b/>
          <w:bCs/>
          <w:sz w:val="32"/>
          <w:szCs w:val="32"/>
        </w:rPr>
        <w:t xml:space="preserve"> </w:t>
      </w:r>
      <w:r>
        <w:rPr>
          <w:rFonts w:eastAsia="仿宋_GB2312"/>
          <w:sz w:val="32"/>
          <w:szCs w:val="32"/>
        </w:rPr>
        <w:t>保荐业务质量基于申报文件质量、保荐机构工作质量、项目审核结果等维度，衡量保荐机构首发项目尽职调查、信息披露、问询回复等执业质量情况，下设项目质量一个综合性指标。</w:t>
      </w:r>
    </w:p>
    <w:p w14:paraId="2FBFDDA5">
      <w:pPr>
        <w:spacing w:line="560" w:lineRule="exact"/>
        <w:ind w:firstLine="640" w:firstLineChars="200"/>
        <w:rPr>
          <w:rFonts w:eastAsia="仿宋_GB2312"/>
          <w:sz w:val="32"/>
          <w:szCs w:val="32"/>
        </w:rPr>
      </w:pPr>
      <w:r>
        <w:rPr>
          <w:rFonts w:eastAsia="仿宋_GB2312"/>
          <w:sz w:val="32"/>
          <w:szCs w:val="32"/>
        </w:rPr>
        <w:t>指标具体构成按照中国证券业协会发布的《证券公司投行业务质量评价办法》中股票保荐业务执业质量评价的履职尽责相关指标执行。</w:t>
      </w:r>
    </w:p>
    <w:p w14:paraId="27267097">
      <w:pPr>
        <w:spacing w:line="560" w:lineRule="exact"/>
        <w:ind w:firstLine="640" w:firstLineChars="200"/>
        <w:rPr>
          <w:rFonts w:eastAsia="仿宋_GB2312"/>
          <w:sz w:val="32"/>
          <w:szCs w:val="32"/>
        </w:rPr>
      </w:pPr>
      <w:r>
        <w:rPr>
          <w:rFonts w:hint="eastAsia" w:ascii="黑体" w:hAnsi="黑体" w:eastAsia="黑体" w:cs="黑体"/>
          <w:sz w:val="32"/>
          <w:szCs w:val="32"/>
        </w:rPr>
        <w:t>第十二条</w:t>
      </w:r>
      <w:r>
        <w:rPr>
          <w:rFonts w:eastAsia="仿宋_GB2312"/>
          <w:b/>
          <w:bCs/>
          <w:sz w:val="32"/>
          <w:szCs w:val="32"/>
        </w:rPr>
        <w:t xml:space="preserve"> </w:t>
      </w:r>
      <w:r>
        <w:rPr>
          <w:rFonts w:eastAsia="仿宋_GB2312"/>
          <w:sz w:val="32"/>
          <w:szCs w:val="32"/>
        </w:rPr>
        <w:t>评价得分调整主要衡量保荐机构执业规模和执业风险，对评价得分作出调整。</w:t>
      </w:r>
    </w:p>
    <w:p w14:paraId="3E716326">
      <w:pPr>
        <w:spacing w:line="560" w:lineRule="exact"/>
        <w:ind w:firstLine="640" w:firstLineChars="200"/>
        <w:rPr>
          <w:rFonts w:eastAsia="仿宋_GB2312"/>
          <w:sz w:val="32"/>
          <w:szCs w:val="32"/>
        </w:rPr>
      </w:pPr>
      <w:r>
        <w:rPr>
          <w:rFonts w:eastAsia="仿宋_GB2312"/>
          <w:sz w:val="32"/>
          <w:szCs w:val="32"/>
        </w:rPr>
        <w:t>评价得分调整包括规模调整、风险调整及降档调整三部分。规模调整下设保荐项目数量一个指标；风险调整下设风险警示公司占比、强制退市公司占比两个指标；降档调整下设重大执业质量问题一个指标。</w:t>
      </w:r>
    </w:p>
    <w:p w14:paraId="66292FF5">
      <w:pPr>
        <w:spacing w:line="560" w:lineRule="exact"/>
        <w:ind w:firstLine="640" w:firstLineChars="200"/>
        <w:rPr>
          <w:rFonts w:eastAsia="仿宋_GB2312"/>
          <w:sz w:val="32"/>
          <w:szCs w:val="32"/>
        </w:rPr>
      </w:pPr>
      <w:r>
        <w:rPr>
          <w:rFonts w:eastAsia="仿宋_GB2312"/>
          <w:sz w:val="32"/>
          <w:szCs w:val="32"/>
        </w:rPr>
        <w:t>评价指标的具体内容见附件2。</w:t>
      </w:r>
    </w:p>
    <w:p w14:paraId="5D1D417B">
      <w:pPr>
        <w:spacing w:line="560" w:lineRule="exact"/>
        <w:ind w:firstLine="640" w:firstLineChars="200"/>
        <w:rPr>
          <w:rFonts w:ascii="仿宋" w:hAnsi="仿宋" w:eastAsia="仿宋" w:cs="仿宋"/>
          <w:sz w:val="32"/>
          <w:szCs w:val="32"/>
        </w:rPr>
      </w:pPr>
    </w:p>
    <w:p w14:paraId="4B3FC5CB">
      <w:pPr>
        <w:spacing w:after="93" w:afterLines="30" w:line="560" w:lineRule="exact"/>
        <w:jc w:val="center"/>
        <w:outlineLvl w:val="0"/>
        <w:rPr>
          <w:rFonts w:eastAsia="黑体"/>
          <w:sz w:val="32"/>
          <w:szCs w:val="32"/>
        </w:rPr>
      </w:pPr>
      <w:r>
        <w:rPr>
          <w:rFonts w:eastAsia="黑体"/>
          <w:sz w:val="32"/>
          <w:szCs w:val="32"/>
        </w:rPr>
        <w:t>第三章  评价方法与程序</w:t>
      </w:r>
    </w:p>
    <w:p w14:paraId="6AA83834">
      <w:pPr>
        <w:spacing w:line="560" w:lineRule="exact"/>
        <w:ind w:firstLine="640" w:firstLineChars="200"/>
        <w:rPr>
          <w:rFonts w:eastAsia="仿宋_GB2312"/>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eastAsia="仿宋_GB2312"/>
          <w:sz w:val="32"/>
          <w:szCs w:val="32"/>
        </w:rPr>
        <w:t>与上市公司质量相关的指标，以公司上市后五个完整会计年度的表现作为赋值基础，并划分为两个时段。其中，前三个会计年度的表现占比80%，后两个会计年度的表现占比20%。</w:t>
      </w:r>
    </w:p>
    <w:p w14:paraId="720637E3">
      <w:pPr>
        <w:spacing w:line="560" w:lineRule="exact"/>
        <w:ind w:firstLine="640" w:firstLineChars="200"/>
        <w:rPr>
          <w:rFonts w:eastAsia="仿宋_GB2312"/>
          <w:sz w:val="32"/>
          <w:szCs w:val="32"/>
        </w:rPr>
      </w:pPr>
      <w:r>
        <w:rPr>
          <w:rFonts w:eastAsia="仿宋_GB2312"/>
          <w:sz w:val="32"/>
          <w:szCs w:val="32"/>
        </w:rPr>
        <w:t>指标赋值时，业绩下滑调整指标按实际得分赋值，其他指标根据指标在所有同行业可比上市公司中的排序，按相对值赋值。计算得分时，将按相对值赋值的各指标按权重加总，并结合业绩下滑扣分进行调整，得到单个上市公司单年质量得分。将单个上市公司前三年的质量得分均值与后两年的质量得分均值按权重加总，得到单个上市公司最终质量得分。该保荐机构纳入评价范围的所有上市公司的最终质量得分均值，即为该保荐机构的上市公司质量得分。</w:t>
      </w:r>
    </w:p>
    <w:p w14:paraId="1922020D">
      <w:pPr>
        <w:spacing w:line="560" w:lineRule="exact"/>
        <w:ind w:firstLine="640" w:firstLineChars="200"/>
        <w:rPr>
          <w:rFonts w:eastAsia="仿宋_GB2312"/>
          <w:sz w:val="32"/>
          <w:szCs w:val="32"/>
        </w:rPr>
      </w:pPr>
      <w:r>
        <w:rPr>
          <w:rFonts w:eastAsia="仿宋_GB2312"/>
          <w:sz w:val="32"/>
          <w:szCs w:val="32"/>
        </w:rPr>
        <w:t>在计算上市公司质量得分时，行业分类以中国上市公司协会公布的行业统计分类指引为基础。</w:t>
      </w:r>
    </w:p>
    <w:p w14:paraId="24079047">
      <w:pPr>
        <w:spacing w:line="560" w:lineRule="exact"/>
        <w:ind w:firstLine="640" w:firstLineChars="200"/>
        <w:rPr>
          <w:rFonts w:ascii="仿宋_GB2312" w:hAnsi="仿宋" w:eastAsia="仿宋_GB2312" w:cs="仿宋"/>
          <w:sz w:val="32"/>
          <w:szCs w:val="32"/>
        </w:rPr>
      </w:pPr>
      <w:r>
        <w:rPr>
          <w:rFonts w:hint="eastAsia" w:ascii="黑体" w:hAnsi="黑体" w:eastAsia="黑体" w:cs="黑体"/>
          <w:sz w:val="32"/>
          <w:szCs w:val="32"/>
        </w:rPr>
        <w:t>第十四条</w:t>
      </w:r>
      <w:r>
        <w:rPr>
          <w:rFonts w:hint="eastAsia" w:ascii="仿宋" w:hAnsi="仿宋" w:eastAsia="仿宋" w:cs="仿宋"/>
          <w:b/>
          <w:bCs/>
          <w:sz w:val="32"/>
          <w:szCs w:val="32"/>
        </w:rPr>
        <w:t xml:space="preserve"> </w:t>
      </w:r>
      <w:r>
        <w:rPr>
          <w:rFonts w:hint="eastAsia" w:ascii="仿宋_GB2312" w:hAnsi="仿宋" w:eastAsia="仿宋_GB2312" w:cs="仿宋"/>
          <w:sz w:val="32"/>
          <w:szCs w:val="32"/>
        </w:rPr>
        <w:t>与保荐业务质量相关的指标，按照中国证券业协会发布的《证券公司投行业务质量评价办法》中股票保荐业务执业质量评价的履职尽责相关指标执行，以中国证监会和沪深交易所根据审核注册工作对首发项目的质量评分为基础。</w:t>
      </w:r>
    </w:p>
    <w:p w14:paraId="5354DE51">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b/>
          <w:bCs/>
          <w:sz w:val="32"/>
          <w:szCs w:val="32"/>
        </w:rPr>
        <w:t xml:space="preserve"> </w:t>
      </w:r>
      <w:r>
        <w:rPr>
          <w:rFonts w:hint="eastAsia" w:ascii="仿宋_GB2312" w:hAnsi="仿宋" w:eastAsia="仿宋_GB2312" w:cs="仿宋"/>
          <w:sz w:val="32"/>
          <w:szCs w:val="32"/>
        </w:rPr>
        <w:t>与评价得分调整有关的指标，如保荐项目数量、风险警示公司占比、强制退市公司占比，根据实际发生值进行赋值；重大执业质量问题指标根据保荐机构已保荐的公司是否涉及欺诈发行，或已保荐的公司上市三年内是否存在重大财务造假等重大违法行为进行赋值，并在保荐机构被立案年度的评价中对保荐机构进行扣分处理。</w:t>
      </w:r>
    </w:p>
    <w:p w14:paraId="1FB81507">
      <w:pPr>
        <w:spacing w:line="560" w:lineRule="exact"/>
        <w:ind w:firstLine="600" w:firstLineChars="200"/>
        <w:rPr>
          <w:rFonts w:eastAsia="仿宋_GB2312"/>
          <w:sz w:val="32"/>
          <w:szCs w:val="32"/>
        </w:rPr>
      </w:pPr>
      <w:r>
        <w:rPr>
          <w:rFonts w:hint="eastAsia" w:ascii="黑体" w:hAnsi="黑体" w:eastAsia="黑体" w:cs="黑体"/>
          <w:sz w:val="30"/>
          <w:szCs w:val="30"/>
        </w:rPr>
        <w:t>第十六条</w:t>
      </w:r>
      <w:r>
        <w:rPr>
          <w:rFonts w:hint="eastAsia" w:ascii="仿宋" w:hAnsi="仿宋" w:eastAsia="仿宋" w:cs="仿宋"/>
          <w:b/>
          <w:bCs/>
          <w:sz w:val="32"/>
          <w:szCs w:val="32"/>
        </w:rPr>
        <w:t xml:space="preserve"> </w:t>
      </w:r>
      <w:r>
        <w:rPr>
          <w:rFonts w:eastAsia="仿宋_GB2312"/>
          <w:sz w:val="32"/>
          <w:szCs w:val="32"/>
        </w:rPr>
        <w:t>保荐机构执业质量最终得分，为其保荐的上市公司质量得分、保荐业务质量得分及评价得分调整分值的总和。</w:t>
      </w:r>
    </w:p>
    <w:p w14:paraId="2DC9B64F">
      <w:pPr>
        <w:spacing w:line="560" w:lineRule="exact"/>
        <w:ind w:firstLine="640" w:firstLineChars="200"/>
        <w:rPr>
          <w:rFonts w:eastAsia="仿宋_GB2312"/>
          <w:sz w:val="32"/>
          <w:szCs w:val="32"/>
        </w:rPr>
      </w:pPr>
      <w:r>
        <w:rPr>
          <w:rFonts w:eastAsia="仿宋_GB2312"/>
          <w:sz w:val="32"/>
          <w:szCs w:val="32"/>
        </w:rPr>
        <w:t>各评价指标的赋值方式见附件2。</w:t>
      </w:r>
    </w:p>
    <w:p w14:paraId="559DF8F5">
      <w:pPr>
        <w:spacing w:line="560" w:lineRule="exact"/>
        <w:ind w:firstLine="640" w:firstLineChars="200"/>
        <w:rPr>
          <w:rFonts w:eastAsia="仿宋_GB2312"/>
          <w:sz w:val="32"/>
          <w:szCs w:val="32"/>
        </w:rPr>
      </w:pPr>
      <w:r>
        <w:rPr>
          <w:rFonts w:eastAsia="仿宋_GB2312"/>
          <w:sz w:val="32"/>
          <w:szCs w:val="32"/>
        </w:rPr>
        <w:t>各评价指标的计算方式见附件3。</w:t>
      </w:r>
    </w:p>
    <w:p w14:paraId="487525A7">
      <w:pPr>
        <w:spacing w:line="560" w:lineRule="exact"/>
        <w:ind w:firstLine="600" w:firstLineChars="200"/>
        <w:rPr>
          <w:rFonts w:ascii="仿宋_GB2312" w:hAnsi="仿宋" w:eastAsia="仿宋_GB2312" w:cs="仿宋"/>
          <w:sz w:val="32"/>
          <w:szCs w:val="32"/>
        </w:rPr>
      </w:pPr>
      <w:r>
        <w:rPr>
          <w:rFonts w:hint="eastAsia" w:ascii="黑体" w:hAnsi="黑体" w:eastAsia="黑体" w:cs="黑体"/>
          <w:sz w:val="30"/>
          <w:szCs w:val="30"/>
        </w:rPr>
        <w:t>第十七条</w:t>
      </w:r>
      <w:r>
        <w:rPr>
          <w:rFonts w:hint="eastAsia" w:ascii="仿宋" w:hAnsi="仿宋" w:eastAsia="仿宋" w:cs="仿宋"/>
          <w:sz w:val="32"/>
          <w:szCs w:val="32"/>
        </w:rPr>
        <w:t xml:space="preserve"> </w:t>
      </w:r>
      <w:r>
        <w:rPr>
          <w:rFonts w:hint="eastAsia" w:ascii="仿宋_GB2312" w:hAnsi="仿宋" w:eastAsia="仿宋_GB2312" w:cs="仿宋"/>
          <w:sz w:val="32"/>
          <w:szCs w:val="32"/>
        </w:rPr>
        <w:t>指标因数据缺失等原因难以赋值时，其分值按相对权重向同一层级下其他指标分配。</w:t>
      </w:r>
    </w:p>
    <w:p w14:paraId="31145E6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科创板、创业板上市公司首发申报选择的上市标准如不涉及营业收入或净利润指标，则与营业收入或净利润相关的指标分值，按相对权重向同一层级下其他指标分配。</w:t>
      </w:r>
    </w:p>
    <w:p w14:paraId="0FB5DF96">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同一事项在不同评价期间不重复计分。</w:t>
      </w:r>
    </w:p>
    <w:p w14:paraId="464E186B">
      <w:pPr>
        <w:spacing w:line="560" w:lineRule="exact"/>
        <w:rPr>
          <w:rFonts w:ascii="仿宋_GB2312" w:hAnsi="仿宋" w:eastAsia="仿宋_GB2312" w:cs="仿宋"/>
          <w:sz w:val="32"/>
          <w:szCs w:val="32"/>
        </w:rPr>
      </w:pPr>
    </w:p>
    <w:p w14:paraId="26C131CA">
      <w:pPr>
        <w:spacing w:after="93" w:afterLines="30" w:line="560" w:lineRule="exact"/>
        <w:jc w:val="center"/>
        <w:outlineLvl w:val="0"/>
        <w:rPr>
          <w:rFonts w:eastAsia="仿宋_GB2312"/>
          <w:sz w:val="32"/>
          <w:szCs w:val="32"/>
        </w:rPr>
      </w:pPr>
      <w:r>
        <w:rPr>
          <w:rFonts w:eastAsia="黑体"/>
          <w:sz w:val="32"/>
          <w:szCs w:val="32"/>
        </w:rPr>
        <w:t>第四章  评价结果与运用</w:t>
      </w:r>
    </w:p>
    <w:p w14:paraId="7A6E6731">
      <w:pPr>
        <w:spacing w:line="560" w:lineRule="exact"/>
        <w:ind w:firstLine="600" w:firstLineChars="200"/>
        <w:rPr>
          <w:rFonts w:eastAsia="仿宋_GB2312"/>
          <w:sz w:val="32"/>
          <w:szCs w:val="32"/>
        </w:rPr>
      </w:pPr>
      <w:r>
        <w:rPr>
          <w:rFonts w:hint="eastAsia" w:ascii="黑体" w:hAnsi="黑体" w:eastAsia="黑体" w:cs="黑体"/>
          <w:sz w:val="30"/>
          <w:szCs w:val="30"/>
        </w:rPr>
        <w:t>第十八条</w:t>
      </w:r>
      <w:r>
        <w:rPr>
          <w:rFonts w:hint="eastAsia" w:ascii="仿宋" w:hAnsi="仿宋" w:eastAsia="仿宋" w:cs="仿宋"/>
          <w:sz w:val="32"/>
          <w:szCs w:val="32"/>
        </w:rPr>
        <w:t xml:space="preserve"> </w:t>
      </w:r>
      <w:r>
        <w:rPr>
          <w:rFonts w:eastAsia="仿宋_GB2312"/>
          <w:sz w:val="32"/>
          <w:szCs w:val="32"/>
        </w:rPr>
        <w:t>参与评价的保荐机构的保荐业务执业质量划分为A类、B类、C类三个等级。执业质量得分排序前20%的为A类，后20%的为C类，其余为B类。</w:t>
      </w:r>
    </w:p>
    <w:p w14:paraId="46B46205">
      <w:pPr>
        <w:spacing w:line="560" w:lineRule="exact"/>
        <w:ind w:firstLine="640" w:firstLineChars="200"/>
        <w:rPr>
          <w:rFonts w:eastAsia="仿宋_GB2312"/>
          <w:sz w:val="32"/>
          <w:szCs w:val="32"/>
        </w:rPr>
      </w:pPr>
      <w:r>
        <w:rPr>
          <w:rFonts w:eastAsia="仿宋_GB2312"/>
          <w:sz w:val="32"/>
          <w:szCs w:val="32"/>
        </w:rPr>
        <w:t>保荐机构在评价年度内没有符合本办法第四条规定的评价内容的，不参与评价，统一确定为N类。</w:t>
      </w:r>
    </w:p>
    <w:p w14:paraId="5D5BA0CD">
      <w:pPr>
        <w:spacing w:line="560" w:lineRule="exact"/>
        <w:ind w:firstLine="640" w:firstLineChars="200"/>
        <w:rPr>
          <w:rFonts w:eastAsia="仿宋_GB2312"/>
          <w:sz w:val="32"/>
          <w:szCs w:val="32"/>
        </w:rPr>
      </w:pPr>
      <w:r>
        <w:rPr>
          <w:rFonts w:eastAsia="仿宋_GB2312"/>
          <w:sz w:val="32"/>
          <w:szCs w:val="32"/>
        </w:rPr>
        <w:t>评价结果为A类的保荐机构，原则上评价年度纳入上市公司质量评价范围的保荐上市项目数量不低于3家。</w:t>
      </w:r>
    </w:p>
    <w:p w14:paraId="0690249B">
      <w:pPr>
        <w:spacing w:line="560" w:lineRule="exact"/>
        <w:ind w:firstLine="600" w:firstLineChars="200"/>
        <w:rPr>
          <w:rFonts w:eastAsia="仿宋_GB2312"/>
          <w:sz w:val="32"/>
          <w:szCs w:val="32"/>
        </w:rPr>
      </w:pPr>
      <w:r>
        <w:rPr>
          <w:rFonts w:hint="eastAsia" w:ascii="黑体" w:hAnsi="黑体" w:eastAsia="黑体" w:cs="黑体"/>
          <w:sz w:val="30"/>
          <w:szCs w:val="30"/>
        </w:rPr>
        <w:t>第十九条</w:t>
      </w:r>
      <w:r>
        <w:rPr>
          <w:rFonts w:hint="eastAsia" w:ascii="仿宋" w:hAnsi="仿宋" w:eastAsia="仿宋" w:cs="仿宋"/>
          <w:b/>
          <w:bCs/>
          <w:sz w:val="32"/>
          <w:szCs w:val="32"/>
        </w:rPr>
        <w:t xml:space="preserve"> </w:t>
      </w:r>
      <w:r>
        <w:rPr>
          <w:rFonts w:eastAsia="仿宋_GB2312"/>
          <w:sz w:val="32"/>
          <w:szCs w:val="32"/>
        </w:rPr>
        <w:t>评价年度保荐机构因重大执业质量问题被立案的，评价结果应当为C类。经有关部门认定，保荐机构及其工作人员存在发行上市领域行贿行为的，该保荐机构当年评价结果应当为C类。</w:t>
      </w:r>
    </w:p>
    <w:p w14:paraId="418990E9">
      <w:pPr>
        <w:spacing w:line="560" w:lineRule="exact"/>
        <w:ind w:firstLine="600" w:firstLineChars="200"/>
        <w:rPr>
          <w:rFonts w:eastAsia="仿宋_GB2312"/>
          <w:sz w:val="32"/>
          <w:szCs w:val="32"/>
        </w:rPr>
      </w:pPr>
      <w:r>
        <w:rPr>
          <w:rFonts w:hint="eastAsia" w:ascii="黑体" w:hAnsi="黑体" w:eastAsia="黑体" w:cs="黑体"/>
          <w:sz w:val="30"/>
          <w:szCs w:val="30"/>
        </w:rPr>
        <w:t>第二十条</w:t>
      </w:r>
      <w:r>
        <w:rPr>
          <w:rFonts w:hint="eastAsia" w:ascii="仿宋" w:hAnsi="仿宋" w:eastAsia="仿宋" w:cs="仿宋"/>
          <w:sz w:val="32"/>
          <w:szCs w:val="32"/>
        </w:rPr>
        <w:t xml:space="preserve"> </w:t>
      </w:r>
      <w:r>
        <w:rPr>
          <w:rFonts w:eastAsia="仿宋_GB2312"/>
          <w:sz w:val="32"/>
          <w:szCs w:val="32"/>
        </w:rPr>
        <w:t>评价工作完成后，沪深交易所将及时向中国证监会报送评价结果，同时抄送中国证监会各派出机构，作为监管参考。</w:t>
      </w:r>
    </w:p>
    <w:p w14:paraId="781CB1E1">
      <w:pPr>
        <w:spacing w:line="560" w:lineRule="exact"/>
        <w:ind w:firstLine="600" w:firstLineChars="200"/>
        <w:rPr>
          <w:rFonts w:eastAsia="仿宋_GB2312"/>
          <w:sz w:val="32"/>
          <w:szCs w:val="32"/>
        </w:rPr>
      </w:pPr>
      <w:r>
        <w:rPr>
          <w:rFonts w:hint="eastAsia" w:ascii="黑体" w:hAnsi="黑体" w:eastAsia="黑体" w:cs="黑体"/>
          <w:sz w:val="30"/>
          <w:szCs w:val="30"/>
        </w:rPr>
        <w:t>第二十一条</w:t>
      </w:r>
      <w:r>
        <w:rPr>
          <w:rFonts w:hint="eastAsia" w:ascii="仿宋" w:hAnsi="仿宋" w:eastAsia="仿宋" w:cs="仿宋"/>
          <w:sz w:val="32"/>
          <w:szCs w:val="32"/>
        </w:rPr>
        <w:t xml:space="preserve"> </w:t>
      </w:r>
      <w:r>
        <w:rPr>
          <w:rFonts w:eastAsia="仿宋_GB2312"/>
          <w:sz w:val="32"/>
          <w:szCs w:val="32"/>
        </w:rPr>
        <w:t>沪深交易所根据评价结果，在下一年度评价结果发布前，对处于交易所审核阶段的相关首发保荐项目实施分类监管安排。</w:t>
      </w:r>
    </w:p>
    <w:p w14:paraId="1236A944">
      <w:pPr>
        <w:spacing w:line="560" w:lineRule="exact"/>
        <w:ind w:firstLine="640" w:firstLineChars="200"/>
        <w:rPr>
          <w:rFonts w:eastAsia="仿宋_GB2312"/>
          <w:sz w:val="32"/>
          <w:szCs w:val="32"/>
        </w:rPr>
      </w:pPr>
      <w:r>
        <w:rPr>
          <w:rFonts w:eastAsia="仿宋_GB2312"/>
          <w:sz w:val="32"/>
          <w:szCs w:val="32"/>
        </w:rPr>
        <w:t>保荐机构评价结果为A类的，沪深交易所对其保荐的首发项目降低非问题导向类现场督导比例。</w:t>
      </w:r>
    </w:p>
    <w:p w14:paraId="55220542">
      <w:pPr>
        <w:spacing w:line="560" w:lineRule="exact"/>
        <w:ind w:firstLine="640" w:firstLineChars="200"/>
        <w:rPr>
          <w:rFonts w:eastAsia="仿宋_GB2312"/>
          <w:sz w:val="32"/>
          <w:szCs w:val="32"/>
        </w:rPr>
      </w:pPr>
      <w:r>
        <w:rPr>
          <w:rFonts w:eastAsia="仿宋_GB2312"/>
          <w:sz w:val="32"/>
          <w:szCs w:val="32"/>
        </w:rPr>
        <w:t>保荐机构评价结果为C类的，沪深交易所依照有关规定加大对其保荐的首发项目审核问询力度，同时加大非问题导向类现场督导比例。连续三次评价结果为C类的，原则上全部开展现场督导或按规定开展现场检查。</w:t>
      </w:r>
    </w:p>
    <w:p w14:paraId="71700FE7">
      <w:pPr>
        <w:spacing w:line="560" w:lineRule="exact"/>
        <w:ind w:firstLine="600" w:firstLineChars="200"/>
        <w:rPr>
          <w:rFonts w:ascii="仿宋_GB2312" w:hAnsi="仿宋" w:eastAsia="仿宋_GB2312" w:cs="仿宋"/>
          <w:sz w:val="32"/>
          <w:szCs w:val="32"/>
        </w:rPr>
      </w:pPr>
      <w:r>
        <w:rPr>
          <w:rFonts w:hint="eastAsia" w:ascii="黑体" w:hAnsi="黑体" w:eastAsia="黑体" w:cs="黑体"/>
          <w:sz w:val="30"/>
          <w:szCs w:val="30"/>
        </w:rPr>
        <w:t>第二十二条</w:t>
      </w:r>
      <w:r>
        <w:rPr>
          <w:rFonts w:hint="eastAsia" w:ascii="仿宋" w:hAnsi="仿宋" w:eastAsia="仿宋" w:cs="仿宋"/>
          <w:sz w:val="32"/>
          <w:szCs w:val="32"/>
        </w:rPr>
        <w:t xml:space="preserve"> </w:t>
      </w:r>
      <w:r>
        <w:rPr>
          <w:rFonts w:hint="eastAsia" w:ascii="仿宋_GB2312" w:hAnsi="仿宋" w:eastAsia="仿宋_GB2312" w:cs="仿宋"/>
          <w:sz w:val="32"/>
          <w:szCs w:val="32"/>
        </w:rPr>
        <w:t>除本办法第二十条、二十一条规定的用途外，保荐机构不得将评价结果用于广告宣传、营销推广等商业目的。</w:t>
      </w:r>
    </w:p>
    <w:p w14:paraId="427B4784">
      <w:pPr>
        <w:spacing w:line="560" w:lineRule="exact"/>
        <w:ind w:firstLine="640" w:firstLineChars="200"/>
        <w:rPr>
          <w:rFonts w:ascii="仿宋" w:hAnsi="仿宋" w:eastAsia="仿宋" w:cs="仿宋"/>
          <w:sz w:val="32"/>
          <w:szCs w:val="32"/>
        </w:rPr>
      </w:pPr>
    </w:p>
    <w:p w14:paraId="6B99444A">
      <w:pPr>
        <w:spacing w:after="93" w:afterLines="30" w:line="560" w:lineRule="exact"/>
        <w:jc w:val="center"/>
        <w:outlineLvl w:val="0"/>
        <w:rPr>
          <w:rFonts w:eastAsia="黑体"/>
          <w:sz w:val="32"/>
          <w:szCs w:val="32"/>
        </w:rPr>
      </w:pPr>
      <w:r>
        <w:rPr>
          <w:rFonts w:eastAsia="黑体"/>
          <w:sz w:val="32"/>
          <w:szCs w:val="32"/>
        </w:rPr>
        <w:t>第五章  评价组织与实施</w:t>
      </w:r>
    </w:p>
    <w:p w14:paraId="65A16DC5">
      <w:pPr>
        <w:spacing w:line="560" w:lineRule="exact"/>
        <w:ind w:firstLine="600" w:firstLineChars="200"/>
        <w:rPr>
          <w:rFonts w:ascii="仿宋" w:hAnsi="仿宋" w:eastAsia="仿宋" w:cs="仿宋"/>
          <w:sz w:val="32"/>
          <w:szCs w:val="32"/>
        </w:rPr>
      </w:pPr>
      <w:r>
        <w:rPr>
          <w:rFonts w:hint="eastAsia" w:ascii="黑体" w:hAnsi="黑体" w:eastAsia="黑体" w:cs="黑体"/>
          <w:sz w:val="30"/>
          <w:szCs w:val="30"/>
        </w:rPr>
        <w:t>第二十三条</w:t>
      </w:r>
      <w:r>
        <w:rPr>
          <w:rFonts w:hint="eastAsia" w:ascii="仿宋" w:hAnsi="仿宋" w:eastAsia="仿宋" w:cs="仿宋"/>
          <w:b/>
          <w:bCs/>
          <w:sz w:val="32"/>
          <w:szCs w:val="32"/>
        </w:rPr>
        <w:t xml:space="preserve"> </w:t>
      </w:r>
      <w:r>
        <w:rPr>
          <w:rFonts w:hint="eastAsia" w:ascii="仿宋_GB2312" w:hAnsi="仿宋" w:eastAsia="仿宋_GB2312" w:cs="仿宋"/>
          <w:sz w:val="32"/>
          <w:szCs w:val="32"/>
        </w:rPr>
        <w:t>沪深交易所成立联合工作组开展评价工作，按照本办法的要求进行数据整理、统计计算及结果复核。</w:t>
      </w:r>
    </w:p>
    <w:p w14:paraId="46FC071C">
      <w:pPr>
        <w:spacing w:line="560" w:lineRule="exact"/>
        <w:ind w:firstLine="600" w:firstLineChars="200"/>
        <w:rPr>
          <w:rFonts w:ascii="仿宋_GB2312" w:hAnsi="仿宋" w:eastAsia="仿宋_GB2312" w:cs="仿宋"/>
          <w:sz w:val="32"/>
          <w:szCs w:val="32"/>
        </w:rPr>
      </w:pPr>
      <w:r>
        <w:rPr>
          <w:rFonts w:hint="eastAsia" w:ascii="黑体" w:hAnsi="黑体" w:eastAsia="黑体" w:cs="黑体"/>
          <w:sz w:val="30"/>
          <w:szCs w:val="30"/>
        </w:rPr>
        <w:t>第二十四条</w:t>
      </w:r>
      <w:r>
        <w:rPr>
          <w:rFonts w:hint="eastAsia" w:ascii="仿宋" w:hAnsi="仿宋" w:eastAsia="仿宋" w:cs="仿宋"/>
          <w:sz w:val="32"/>
          <w:szCs w:val="32"/>
        </w:rPr>
        <w:t xml:space="preserve"> </w:t>
      </w:r>
      <w:r>
        <w:rPr>
          <w:rFonts w:hint="eastAsia" w:ascii="仿宋_GB2312" w:hAnsi="仿宋" w:eastAsia="仿宋_GB2312" w:cs="仿宋"/>
          <w:sz w:val="32"/>
          <w:szCs w:val="32"/>
        </w:rPr>
        <w:t>沪深交易所每年第三季度开展上一年度保荐机构执业质量评价工作。</w:t>
      </w:r>
    </w:p>
    <w:p w14:paraId="5C0C2110">
      <w:pPr>
        <w:spacing w:line="560" w:lineRule="exact"/>
        <w:ind w:firstLine="600" w:firstLineChars="200"/>
        <w:rPr>
          <w:rFonts w:ascii="仿宋" w:hAnsi="仿宋" w:eastAsia="仿宋" w:cs="仿宋"/>
          <w:b/>
          <w:bCs/>
          <w:sz w:val="32"/>
          <w:szCs w:val="32"/>
        </w:rPr>
      </w:pPr>
      <w:r>
        <w:rPr>
          <w:rFonts w:hint="eastAsia" w:ascii="黑体" w:hAnsi="黑体" w:eastAsia="黑体" w:cs="黑体"/>
          <w:sz w:val="30"/>
          <w:szCs w:val="30"/>
        </w:rPr>
        <w:t>第二十五条</w:t>
      </w:r>
      <w:r>
        <w:rPr>
          <w:rFonts w:hint="eastAsia" w:ascii="仿宋" w:hAnsi="仿宋" w:eastAsia="仿宋" w:cs="仿宋"/>
          <w:sz w:val="32"/>
          <w:szCs w:val="32"/>
        </w:rPr>
        <w:t xml:space="preserve"> </w:t>
      </w:r>
      <w:r>
        <w:rPr>
          <w:rFonts w:hint="eastAsia" w:ascii="仿宋_GB2312" w:hAnsi="仿宋" w:eastAsia="仿宋_GB2312" w:cs="仿宋"/>
          <w:sz w:val="32"/>
          <w:szCs w:val="32"/>
        </w:rPr>
        <w:t>沪深交易所每年第三季度末前通过交易所网站公布评价结果。</w:t>
      </w:r>
    </w:p>
    <w:p w14:paraId="71D54022">
      <w:pPr>
        <w:spacing w:line="560" w:lineRule="exact"/>
        <w:ind w:firstLine="600" w:firstLineChars="200"/>
        <w:rPr>
          <w:rFonts w:ascii="仿宋" w:hAnsi="仿宋" w:eastAsia="仿宋" w:cs="仿宋"/>
          <w:sz w:val="32"/>
          <w:szCs w:val="32"/>
        </w:rPr>
      </w:pPr>
      <w:r>
        <w:rPr>
          <w:rFonts w:hint="eastAsia" w:ascii="黑体" w:hAnsi="黑体" w:eastAsia="黑体" w:cs="黑体"/>
          <w:sz w:val="30"/>
          <w:szCs w:val="30"/>
        </w:rPr>
        <w:t>第二十六条</w:t>
      </w:r>
      <w:r>
        <w:rPr>
          <w:rFonts w:hint="eastAsia" w:ascii="仿宋" w:hAnsi="仿宋" w:eastAsia="仿宋" w:cs="仿宋"/>
          <w:b/>
          <w:bCs/>
          <w:sz w:val="32"/>
          <w:szCs w:val="32"/>
        </w:rPr>
        <w:t xml:space="preserve"> </w:t>
      </w:r>
      <w:r>
        <w:rPr>
          <w:rFonts w:hint="eastAsia" w:ascii="仿宋_GB2312" w:hAnsi="仿宋" w:eastAsia="仿宋_GB2312" w:cs="仿宋"/>
          <w:sz w:val="32"/>
          <w:szCs w:val="32"/>
        </w:rPr>
        <w:t>沪深交易所开展评价工作接受中国证监会指导与监督。</w:t>
      </w:r>
    </w:p>
    <w:p w14:paraId="1C29BD81">
      <w:pPr>
        <w:spacing w:line="560" w:lineRule="exact"/>
        <w:ind w:firstLine="600" w:firstLineChars="200"/>
        <w:rPr>
          <w:rFonts w:ascii="仿宋" w:hAnsi="仿宋" w:eastAsia="仿宋" w:cs="仿宋"/>
          <w:sz w:val="32"/>
          <w:szCs w:val="32"/>
        </w:rPr>
      </w:pPr>
      <w:r>
        <w:rPr>
          <w:rFonts w:hint="eastAsia" w:ascii="黑体" w:hAnsi="黑体" w:eastAsia="黑体" w:cs="黑体"/>
          <w:sz w:val="30"/>
          <w:szCs w:val="30"/>
        </w:rPr>
        <w:t>第二十七条</w:t>
      </w:r>
      <w:r>
        <w:rPr>
          <w:rFonts w:hint="eastAsia" w:ascii="仿宋" w:hAnsi="仿宋" w:eastAsia="仿宋" w:cs="仿宋"/>
          <w:sz w:val="32"/>
          <w:szCs w:val="32"/>
        </w:rPr>
        <w:t xml:space="preserve"> </w:t>
      </w:r>
      <w:r>
        <w:rPr>
          <w:rFonts w:eastAsia="仿宋_GB2312"/>
          <w:sz w:val="32"/>
          <w:szCs w:val="32"/>
        </w:rPr>
        <w:t>保荐机构对评价结果有异议的，可以自结果公布之日起10个工作日内，向沪深交易所提出书面申述。沪深交易所应在收到申述后10个工作日内予以答复。</w:t>
      </w:r>
    </w:p>
    <w:p w14:paraId="590824B6">
      <w:pPr>
        <w:spacing w:line="560" w:lineRule="exact"/>
        <w:ind w:firstLine="600" w:firstLineChars="200"/>
        <w:rPr>
          <w:rFonts w:ascii="仿宋" w:hAnsi="仿宋" w:eastAsia="仿宋" w:cs="仿宋"/>
          <w:sz w:val="32"/>
          <w:szCs w:val="32"/>
        </w:rPr>
      </w:pPr>
      <w:r>
        <w:rPr>
          <w:rFonts w:hint="eastAsia" w:ascii="黑体" w:hAnsi="黑体" w:eastAsia="黑体" w:cs="黑体"/>
          <w:sz w:val="30"/>
          <w:szCs w:val="30"/>
        </w:rPr>
        <w:t>第二十八条</w:t>
      </w:r>
      <w:r>
        <w:rPr>
          <w:rFonts w:hint="eastAsia" w:ascii="仿宋" w:hAnsi="仿宋" w:eastAsia="仿宋" w:cs="仿宋"/>
          <w:sz w:val="32"/>
          <w:szCs w:val="32"/>
        </w:rPr>
        <w:t xml:space="preserve"> </w:t>
      </w:r>
      <w:r>
        <w:rPr>
          <w:rFonts w:hint="eastAsia" w:ascii="仿宋_GB2312" w:hAnsi="仿宋" w:eastAsia="仿宋_GB2312" w:cs="仿宋"/>
          <w:sz w:val="32"/>
          <w:szCs w:val="32"/>
        </w:rPr>
        <w:t>沪深交易所可以基于投资者需求、保荐机构业务发展情况和监管工作要求，履行相应程序，对评价体系、评价指标和评价方法等予以调整。</w:t>
      </w:r>
    </w:p>
    <w:p w14:paraId="5504DA1F">
      <w:pPr>
        <w:spacing w:line="560" w:lineRule="exact"/>
        <w:ind w:firstLine="640" w:firstLineChars="200"/>
        <w:rPr>
          <w:rFonts w:ascii="仿宋" w:hAnsi="仿宋" w:eastAsia="仿宋" w:cs="仿宋"/>
          <w:sz w:val="32"/>
          <w:szCs w:val="32"/>
        </w:rPr>
      </w:pPr>
    </w:p>
    <w:p w14:paraId="3ED4C31C">
      <w:pPr>
        <w:numPr>
          <w:ilvl w:val="255"/>
          <w:numId w:val="0"/>
        </w:numPr>
        <w:spacing w:after="93" w:afterLines="30" w:line="560" w:lineRule="exact"/>
        <w:jc w:val="center"/>
        <w:outlineLvl w:val="0"/>
        <w:rPr>
          <w:rFonts w:eastAsia="黑体"/>
          <w:sz w:val="32"/>
          <w:szCs w:val="32"/>
        </w:rPr>
      </w:pPr>
      <w:r>
        <w:rPr>
          <w:rFonts w:hint="eastAsia" w:eastAsia="黑体"/>
          <w:sz w:val="32"/>
          <w:szCs w:val="32"/>
        </w:rPr>
        <w:t xml:space="preserve">第六章  </w:t>
      </w:r>
      <w:r>
        <w:rPr>
          <w:rFonts w:eastAsia="黑体"/>
          <w:sz w:val="32"/>
          <w:szCs w:val="32"/>
        </w:rPr>
        <w:t>附 则</w:t>
      </w:r>
    </w:p>
    <w:p w14:paraId="0D3FF385">
      <w:pPr>
        <w:spacing w:line="560" w:lineRule="exact"/>
        <w:ind w:firstLine="600" w:firstLineChars="200"/>
        <w:rPr>
          <w:rFonts w:ascii="仿宋_GB2312" w:hAnsi="仿宋" w:eastAsia="仿宋_GB2312" w:cs="仿宋"/>
          <w:sz w:val="32"/>
          <w:szCs w:val="32"/>
        </w:rPr>
      </w:pPr>
      <w:r>
        <w:rPr>
          <w:rFonts w:hint="eastAsia" w:ascii="黑体" w:hAnsi="黑体" w:eastAsia="黑体" w:cs="黑体"/>
          <w:sz w:val="30"/>
          <w:szCs w:val="30"/>
        </w:rPr>
        <w:t>第二十九条</w:t>
      </w:r>
      <w:r>
        <w:rPr>
          <w:rFonts w:hint="eastAsia" w:ascii="仿宋" w:hAnsi="仿宋" w:eastAsia="仿宋" w:cs="仿宋"/>
          <w:sz w:val="32"/>
          <w:szCs w:val="32"/>
        </w:rPr>
        <w:t xml:space="preserve"> </w:t>
      </w:r>
      <w:r>
        <w:rPr>
          <w:rFonts w:hint="eastAsia" w:ascii="仿宋_GB2312" w:hAnsi="仿宋" w:eastAsia="仿宋_GB2312" w:cs="仿宋"/>
          <w:sz w:val="32"/>
          <w:szCs w:val="32"/>
        </w:rPr>
        <w:t>本办法由沪深交易所解释。</w:t>
      </w:r>
    </w:p>
    <w:p w14:paraId="0ABBFB4F">
      <w:pPr>
        <w:spacing w:line="560" w:lineRule="exact"/>
        <w:ind w:firstLine="600" w:firstLineChars="200"/>
        <w:rPr>
          <w:rFonts w:ascii="仿宋" w:hAnsi="仿宋" w:eastAsia="仿宋" w:cs="仿宋"/>
          <w:sz w:val="30"/>
          <w:szCs w:val="30"/>
        </w:rPr>
      </w:pPr>
      <w:r>
        <w:rPr>
          <w:rFonts w:hint="eastAsia" w:ascii="黑体" w:hAnsi="黑体" w:eastAsia="黑体" w:cs="黑体"/>
          <w:sz w:val="30"/>
          <w:szCs w:val="30"/>
        </w:rPr>
        <w:t>第三十条</w:t>
      </w:r>
      <w:r>
        <w:rPr>
          <w:rFonts w:hint="eastAsia" w:ascii="仿宋" w:hAnsi="仿宋" w:eastAsia="仿宋" w:cs="仿宋"/>
          <w:sz w:val="32"/>
          <w:szCs w:val="32"/>
        </w:rPr>
        <w:t xml:space="preserve"> </w:t>
      </w:r>
      <w:r>
        <w:rPr>
          <w:rFonts w:eastAsia="仿宋_GB2312"/>
          <w:sz w:val="32"/>
          <w:szCs w:val="32"/>
        </w:rPr>
        <w:t>本办法自发布之日起施行。沪深交易所于2023年7月21日联合发布的《以上市公司质量为导向的保荐机构执业质量评价实施办法（试行）》（上证发〔2023〕117号）同时废止。</w:t>
      </w:r>
    </w:p>
    <w:p w14:paraId="59BFD639">
      <w:pPr>
        <w:spacing w:line="560" w:lineRule="exact"/>
        <w:rPr>
          <w:rFonts w:ascii="仿宋" w:hAnsi="仿宋" w:eastAsia="仿宋" w:cs="仿宋"/>
          <w:sz w:val="30"/>
          <w:szCs w:val="30"/>
        </w:rPr>
      </w:pPr>
    </w:p>
    <w:p w14:paraId="38908ACA">
      <w:pPr>
        <w:tabs>
          <w:tab w:val="left" w:pos="7596"/>
        </w:tabs>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附件：1 评价体系构成及权重分布</w:t>
      </w:r>
    </w:p>
    <w:p w14:paraId="5A2CB263">
      <w:pPr>
        <w:tabs>
          <w:tab w:val="left" w:pos="7596"/>
        </w:tabs>
        <w:autoSpaceDE w:val="0"/>
        <w:autoSpaceDN w:val="0"/>
        <w:adjustRightInd w:val="0"/>
        <w:spacing w:line="560" w:lineRule="exact"/>
        <w:ind w:firstLine="1600" w:firstLineChars="500"/>
        <w:rPr>
          <w:rFonts w:eastAsia="仿宋_GB2312"/>
          <w:kern w:val="0"/>
          <w:sz w:val="32"/>
          <w:szCs w:val="32"/>
        </w:rPr>
      </w:pPr>
      <w:r>
        <w:rPr>
          <w:rFonts w:eastAsia="仿宋_GB2312"/>
          <w:kern w:val="0"/>
          <w:sz w:val="32"/>
          <w:szCs w:val="32"/>
        </w:rPr>
        <w:t>2 评价指标内容及赋值方式</w:t>
      </w:r>
    </w:p>
    <w:p w14:paraId="5F0B00CC">
      <w:pPr>
        <w:tabs>
          <w:tab w:val="left" w:pos="7596"/>
        </w:tabs>
        <w:autoSpaceDE w:val="0"/>
        <w:autoSpaceDN w:val="0"/>
        <w:adjustRightInd w:val="0"/>
        <w:spacing w:line="560" w:lineRule="exact"/>
        <w:ind w:firstLine="1600" w:firstLineChars="500"/>
        <w:rPr>
          <w:rFonts w:eastAsia="仿宋_GB2312"/>
          <w:kern w:val="0"/>
          <w:sz w:val="32"/>
          <w:szCs w:val="32"/>
        </w:rPr>
      </w:pPr>
      <w:r>
        <w:rPr>
          <w:rFonts w:eastAsia="仿宋_GB2312"/>
          <w:kern w:val="0"/>
          <w:sz w:val="32"/>
          <w:szCs w:val="32"/>
        </w:rPr>
        <w:t>3 评价指标具体计算方式</w:t>
      </w:r>
    </w:p>
    <w:p w14:paraId="34B63F8D">
      <w:pPr>
        <w:spacing w:line="20" w:lineRule="exact"/>
        <w:rPr>
          <w:rFonts w:ascii="仿宋_GB2312" w:eastAsia="仿宋_GB2312"/>
          <w:bCs/>
          <w:sz w:val="30"/>
          <w:szCs w:val="30"/>
        </w:rPr>
      </w:pPr>
    </w:p>
    <w:p w14:paraId="7DEBF241">
      <w:pPr>
        <w:spacing w:line="600" w:lineRule="exact"/>
        <w:rPr>
          <w:rFonts w:ascii="仿宋_GB2312" w:eastAsia="仿宋_GB2312"/>
          <w:bCs/>
          <w:sz w:val="30"/>
          <w:szCs w:val="30"/>
        </w:rPr>
        <w:sectPr>
          <w:footerReference r:id="rId3" w:type="default"/>
          <w:footerReference r:id="rId4" w:type="even"/>
          <w:pgSz w:w="11906" w:h="16838"/>
          <w:pgMar w:top="2098" w:right="1474" w:bottom="1984" w:left="1587" w:header="851" w:footer="992" w:gutter="0"/>
          <w:pgNumType w:start="1"/>
          <w:cols w:space="720" w:num="1"/>
          <w:docGrid w:type="lines" w:linePitch="312" w:charSpace="0"/>
        </w:sectPr>
      </w:pPr>
    </w:p>
    <w:p w14:paraId="4E41C9A6">
      <w:pPr>
        <w:spacing w:line="560" w:lineRule="exact"/>
        <w:jc w:val="left"/>
        <w:outlineLvl w:val="0"/>
        <w:rPr>
          <w:rFonts w:ascii="黑体" w:hAnsi="黑体" w:eastAsia="黑体" w:cs="黑体"/>
          <w:sz w:val="32"/>
          <w:szCs w:val="32"/>
        </w:rPr>
      </w:pPr>
      <w:r>
        <w:rPr>
          <w:rFonts w:hint="eastAsia" w:ascii="黑体" w:hAnsi="黑体" w:eastAsia="黑体" w:cs="黑体"/>
          <w:sz w:val="32"/>
          <w:szCs w:val="32"/>
        </w:rPr>
        <w:t>附件1</w:t>
      </w:r>
    </w:p>
    <w:p w14:paraId="4256584A">
      <w:pPr>
        <w:spacing w:line="560" w:lineRule="exact"/>
        <w:jc w:val="left"/>
        <w:outlineLvl w:val="0"/>
        <w:rPr>
          <w:rFonts w:ascii="黑体" w:hAnsi="黑体" w:eastAsia="黑体" w:cs="黑体"/>
          <w:sz w:val="32"/>
          <w:szCs w:val="32"/>
        </w:rPr>
      </w:pPr>
    </w:p>
    <w:p w14:paraId="25250670">
      <w:pPr>
        <w:jc w:val="center"/>
        <w:rPr>
          <w:rFonts w:ascii="方正大标宋简体" w:hAnsi="方正小标宋简体" w:eastAsia="方正大标宋简体" w:cs="方正小标宋简体"/>
          <w:sz w:val="42"/>
          <w:szCs w:val="42"/>
        </w:rPr>
      </w:pPr>
      <w:r>
        <w:rPr>
          <w:rFonts w:hint="eastAsia" w:ascii="方正大标宋简体" w:hAnsi="方正小标宋简体" w:eastAsia="方正大标宋简体" w:cs="方正小标宋简体"/>
          <w:sz w:val="42"/>
          <w:szCs w:val="42"/>
        </w:rPr>
        <w:t>评价体系构成及权重分布</w:t>
      </w:r>
    </w:p>
    <w:p w14:paraId="4E06151A">
      <w:pPr>
        <w:widowControl/>
        <w:tabs>
          <w:tab w:val="left" w:pos="1056"/>
        </w:tabs>
        <w:jc w:val="left"/>
        <w:rPr>
          <w:rFonts w:ascii="仿宋_GB2312" w:hAnsi="仿宋_GB2312" w:cs="仿宋_GB2312"/>
          <w:b/>
          <w:bCs/>
          <w:sz w:val="30"/>
          <w:szCs w:val="30"/>
        </w:rPr>
      </w:pPr>
    </w:p>
    <w:p w14:paraId="19C05D9D">
      <w:pPr>
        <w:widowControl/>
        <w:tabs>
          <w:tab w:val="left" w:pos="1056"/>
        </w:tabs>
        <w:jc w:val="left"/>
        <w:rPr>
          <w:rFonts w:ascii="仿宋_GB2312" w:hAnsi="仿宋_GB2312" w:cs="仿宋_GB2312"/>
          <w:b/>
          <w:bCs/>
          <w:sz w:val="30"/>
          <w:szCs w:val="30"/>
        </w:rPr>
        <w:sectPr>
          <w:pgSz w:w="16838" w:h="11906" w:orient="landscape"/>
          <w:pgMar w:top="1588" w:right="1440" w:bottom="1474" w:left="1440" w:header="851" w:footer="992" w:gutter="0"/>
          <w:cols w:space="425" w:num="1"/>
          <w:docGrid w:type="lines" w:linePitch="435" w:charSpace="0"/>
        </w:sectPr>
      </w:pPr>
      <w:r>
        <w:drawing>
          <wp:anchor distT="0" distB="0" distL="114300" distR="114300" simplePos="0" relativeHeight="251660288" behindDoc="1" locked="0" layoutInCell="1" allowOverlap="1">
            <wp:simplePos x="0" y="0"/>
            <wp:positionH relativeFrom="column">
              <wp:posOffset>-609600</wp:posOffset>
            </wp:positionH>
            <wp:positionV relativeFrom="paragraph">
              <wp:posOffset>-523240</wp:posOffset>
            </wp:positionV>
            <wp:extent cx="10528935" cy="4679950"/>
            <wp:effectExtent l="0" t="0" r="1905" b="13970"/>
            <wp:wrapNone/>
            <wp:docPr id="19371174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1744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528935" cy="4679950"/>
                    </a:xfrm>
                    <a:prstGeom prst="rect">
                      <a:avLst/>
                    </a:prstGeom>
                    <a:noFill/>
                    <a:ln>
                      <a:noFill/>
                    </a:ln>
                  </pic:spPr>
                </pic:pic>
              </a:graphicData>
            </a:graphic>
          </wp:anchor>
        </w:drawing>
      </w:r>
    </w:p>
    <w:p w14:paraId="25223685">
      <w:pPr>
        <w:widowControl/>
        <w:spacing w:line="560" w:lineRule="exact"/>
        <w:jc w:val="left"/>
        <w:outlineLvl w:val="0"/>
        <w:rPr>
          <w:rFonts w:ascii="黑体" w:hAnsi="黑体" w:eastAsia="黑体" w:cs="黑体"/>
          <w:sz w:val="32"/>
          <w:szCs w:val="32"/>
        </w:rPr>
      </w:pPr>
      <w:r>
        <w:rPr>
          <w:rFonts w:hint="eastAsia" w:ascii="黑体" w:hAnsi="黑体" w:eastAsia="黑体" w:cs="黑体"/>
          <w:sz w:val="32"/>
          <w:szCs w:val="32"/>
        </w:rPr>
        <w:t>附件2</w:t>
      </w:r>
    </w:p>
    <w:p w14:paraId="16D41260">
      <w:pPr>
        <w:widowControl/>
        <w:spacing w:line="560" w:lineRule="exact"/>
        <w:jc w:val="left"/>
        <w:outlineLvl w:val="0"/>
        <w:rPr>
          <w:rFonts w:ascii="黑体" w:hAnsi="黑体" w:eastAsia="黑体" w:cs="黑体"/>
          <w:sz w:val="32"/>
          <w:szCs w:val="32"/>
        </w:rPr>
      </w:pPr>
    </w:p>
    <w:p w14:paraId="566A60B5">
      <w:pPr>
        <w:jc w:val="center"/>
        <w:rPr>
          <w:rFonts w:ascii="方正大标宋简体" w:hAnsi="方正小标宋简体" w:eastAsia="方正大标宋简体" w:cs="方正小标宋简体"/>
          <w:sz w:val="42"/>
          <w:szCs w:val="42"/>
        </w:rPr>
      </w:pPr>
      <w:r>
        <w:rPr>
          <w:rFonts w:hint="eastAsia" w:ascii="方正大标宋简体" w:hAnsi="方正小标宋简体" w:eastAsia="方正大标宋简体" w:cs="方正小标宋简体"/>
          <w:sz w:val="42"/>
          <w:szCs w:val="42"/>
        </w:rPr>
        <w:t>评价指标内容及赋值方式</w:t>
      </w:r>
    </w:p>
    <w:p w14:paraId="5E0B1146">
      <w:pPr>
        <w:jc w:val="center"/>
        <w:rPr>
          <w:rFonts w:ascii="方正大标宋简体" w:hAnsi="方正小标宋简体" w:eastAsia="方正大标宋简体" w:cs="方正小标宋简体"/>
          <w:sz w:val="42"/>
          <w:szCs w:val="42"/>
        </w:rPr>
      </w:pPr>
    </w:p>
    <w:tbl>
      <w:tblPr>
        <w:tblStyle w:val="21"/>
        <w:tblW w:w="9691" w:type="dxa"/>
        <w:jc w:val="center"/>
        <w:tblLayout w:type="fixed"/>
        <w:tblCellMar>
          <w:top w:w="0" w:type="dxa"/>
          <w:left w:w="108" w:type="dxa"/>
          <w:bottom w:w="0" w:type="dxa"/>
          <w:right w:w="108" w:type="dxa"/>
        </w:tblCellMar>
      </w:tblPr>
      <w:tblGrid>
        <w:gridCol w:w="1149"/>
        <w:gridCol w:w="1503"/>
        <w:gridCol w:w="1888"/>
        <w:gridCol w:w="2742"/>
        <w:gridCol w:w="2409"/>
      </w:tblGrid>
      <w:tr w14:paraId="5277F9CC">
        <w:tblPrEx>
          <w:tblCellMar>
            <w:top w:w="0" w:type="dxa"/>
            <w:left w:w="108" w:type="dxa"/>
            <w:bottom w:w="0" w:type="dxa"/>
            <w:right w:w="108" w:type="dxa"/>
          </w:tblCellMar>
        </w:tblPrEx>
        <w:trPr>
          <w:trHeight w:val="667" w:hRule="atLeast"/>
          <w:tblHeader/>
          <w:jc w:val="center"/>
        </w:trPr>
        <w:tc>
          <w:tcPr>
            <w:tcW w:w="1149" w:type="dxa"/>
            <w:tcBorders>
              <w:top w:val="single" w:color="auto" w:sz="8" w:space="0"/>
              <w:left w:val="single" w:color="auto" w:sz="8" w:space="0"/>
              <w:bottom w:val="single" w:color="auto" w:sz="8" w:space="0"/>
              <w:right w:val="single" w:color="auto" w:sz="8" w:space="0"/>
            </w:tcBorders>
            <w:vAlign w:val="center"/>
          </w:tcPr>
          <w:p w14:paraId="1FC9EDD9">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内容</w:t>
            </w:r>
          </w:p>
        </w:tc>
        <w:tc>
          <w:tcPr>
            <w:tcW w:w="1503" w:type="dxa"/>
            <w:tcBorders>
              <w:top w:val="single" w:color="auto" w:sz="8" w:space="0"/>
              <w:left w:val="nil"/>
              <w:bottom w:val="single" w:color="auto" w:sz="8" w:space="0"/>
              <w:right w:val="single" w:color="auto" w:sz="8" w:space="0"/>
            </w:tcBorders>
            <w:vAlign w:val="center"/>
          </w:tcPr>
          <w:p w14:paraId="6A22CC3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二级指标</w:t>
            </w:r>
          </w:p>
        </w:tc>
        <w:tc>
          <w:tcPr>
            <w:tcW w:w="1888" w:type="dxa"/>
            <w:tcBorders>
              <w:top w:val="single" w:color="auto" w:sz="8" w:space="0"/>
              <w:left w:val="nil"/>
              <w:bottom w:val="single" w:color="auto" w:sz="8" w:space="0"/>
              <w:right w:val="single" w:color="auto" w:sz="8" w:space="0"/>
            </w:tcBorders>
            <w:vAlign w:val="center"/>
          </w:tcPr>
          <w:p w14:paraId="70D1FD57">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三级指标</w:t>
            </w:r>
          </w:p>
        </w:tc>
        <w:tc>
          <w:tcPr>
            <w:tcW w:w="2742" w:type="dxa"/>
            <w:tcBorders>
              <w:top w:val="single" w:color="auto" w:sz="8" w:space="0"/>
              <w:left w:val="nil"/>
              <w:bottom w:val="single" w:color="auto" w:sz="8" w:space="0"/>
              <w:right w:val="single" w:color="auto" w:sz="8" w:space="0"/>
            </w:tcBorders>
            <w:vAlign w:val="center"/>
          </w:tcPr>
          <w:p w14:paraId="4050E96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四级指标</w:t>
            </w:r>
          </w:p>
        </w:tc>
        <w:tc>
          <w:tcPr>
            <w:tcW w:w="2409" w:type="dxa"/>
            <w:tcBorders>
              <w:top w:val="single" w:color="auto" w:sz="8" w:space="0"/>
              <w:left w:val="nil"/>
              <w:bottom w:val="single" w:color="auto" w:sz="8" w:space="0"/>
              <w:right w:val="single" w:color="auto" w:sz="8" w:space="0"/>
            </w:tcBorders>
            <w:vAlign w:val="center"/>
          </w:tcPr>
          <w:p w14:paraId="273B92D6">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赋值方式</w:t>
            </w:r>
          </w:p>
        </w:tc>
      </w:tr>
      <w:tr w14:paraId="4D27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49" w:type="dxa"/>
            <w:vMerge w:val="restart"/>
            <w:noWrap/>
            <w:vAlign w:val="center"/>
          </w:tcPr>
          <w:p w14:paraId="30F2ACB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上市公司质量（70%）</w:t>
            </w:r>
          </w:p>
        </w:tc>
        <w:tc>
          <w:tcPr>
            <w:tcW w:w="1503" w:type="dxa"/>
            <w:vMerge w:val="restart"/>
            <w:vAlign w:val="center"/>
          </w:tcPr>
          <w:p w14:paraId="74DDC0B8">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公司经营质量（35%）</w:t>
            </w:r>
          </w:p>
        </w:tc>
        <w:tc>
          <w:tcPr>
            <w:tcW w:w="1888" w:type="dxa"/>
            <w:vMerge w:val="restart"/>
            <w:vAlign w:val="center"/>
          </w:tcPr>
          <w:p w14:paraId="2974535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盈利能力（15%）</w:t>
            </w:r>
          </w:p>
        </w:tc>
        <w:tc>
          <w:tcPr>
            <w:tcW w:w="2742" w:type="dxa"/>
            <w:vAlign w:val="center"/>
          </w:tcPr>
          <w:p w14:paraId="1180043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扣非归母净利润规模（+）（3.75%）</w:t>
            </w:r>
          </w:p>
        </w:tc>
        <w:tc>
          <w:tcPr>
            <w:tcW w:w="2409" w:type="dxa"/>
            <w:vMerge w:val="restart"/>
            <w:vAlign w:val="center"/>
          </w:tcPr>
          <w:p w14:paraId="7C55657A">
            <w:pPr>
              <w:widowControl/>
              <w:rPr>
                <w:rFonts w:ascii="仿宋" w:hAnsi="仿宋" w:eastAsia="仿宋" w:cs="仿宋"/>
                <w:color w:val="000000"/>
                <w:kern w:val="0"/>
                <w:szCs w:val="21"/>
              </w:rPr>
            </w:pPr>
            <w:r>
              <w:rPr>
                <w:rFonts w:hint="eastAsia" w:ascii="仿宋" w:hAnsi="仿宋" w:eastAsia="仿宋" w:cs="仿宋"/>
                <w:color w:val="000000"/>
                <w:kern w:val="0"/>
                <w:szCs w:val="21"/>
              </w:rPr>
              <w:t>1.按指标值在同行业可比公司排序的分位数赋分。例如，某公司某年营收增速在同行业可比公司中位于第15%分位（按由高到低排序），则赋值85分。</w:t>
            </w:r>
          </w:p>
          <w:p w14:paraId="2CE99974">
            <w:pPr>
              <w:widowControl/>
              <w:rPr>
                <w:rFonts w:ascii="仿宋" w:hAnsi="仿宋" w:eastAsia="仿宋" w:cs="仿宋"/>
                <w:color w:val="000000"/>
                <w:kern w:val="0"/>
                <w:szCs w:val="21"/>
              </w:rPr>
            </w:pPr>
            <w:r>
              <w:rPr>
                <w:rFonts w:hint="eastAsia" w:ascii="仿宋" w:hAnsi="仿宋" w:eastAsia="仿宋" w:cs="仿宋"/>
                <w:color w:val="000000"/>
                <w:kern w:val="0"/>
                <w:szCs w:val="21"/>
              </w:rPr>
              <w:t>2.业绩下滑调整为扣分指标。营业收入或扣非归母净利润同比下滑超过50%的，当年上市公司质量得分扣5分。</w:t>
            </w:r>
          </w:p>
        </w:tc>
      </w:tr>
      <w:tr w14:paraId="6CC5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49" w:type="dxa"/>
            <w:vMerge w:val="continue"/>
            <w:noWrap/>
            <w:vAlign w:val="center"/>
          </w:tcPr>
          <w:p w14:paraId="7A917CA0">
            <w:pPr>
              <w:widowControl/>
              <w:jc w:val="center"/>
              <w:rPr>
                <w:rFonts w:ascii="仿宋" w:hAnsi="仿宋" w:eastAsia="仿宋" w:cs="仿宋"/>
                <w:color w:val="000000"/>
                <w:kern w:val="0"/>
                <w:szCs w:val="21"/>
              </w:rPr>
            </w:pPr>
          </w:p>
        </w:tc>
        <w:tc>
          <w:tcPr>
            <w:tcW w:w="1503" w:type="dxa"/>
            <w:vMerge w:val="continue"/>
            <w:vAlign w:val="center"/>
          </w:tcPr>
          <w:p w14:paraId="1878A6E2">
            <w:pPr>
              <w:widowControl/>
              <w:jc w:val="center"/>
              <w:rPr>
                <w:rFonts w:ascii="仿宋" w:hAnsi="仿宋" w:eastAsia="仿宋" w:cs="仿宋"/>
                <w:color w:val="000000"/>
                <w:kern w:val="0"/>
                <w:szCs w:val="21"/>
              </w:rPr>
            </w:pPr>
          </w:p>
        </w:tc>
        <w:tc>
          <w:tcPr>
            <w:tcW w:w="1888" w:type="dxa"/>
            <w:vMerge w:val="continue"/>
            <w:vAlign w:val="center"/>
          </w:tcPr>
          <w:p w14:paraId="070E5506">
            <w:pPr>
              <w:widowControl/>
              <w:jc w:val="center"/>
              <w:rPr>
                <w:rFonts w:ascii="仿宋" w:hAnsi="仿宋" w:eastAsia="仿宋" w:cs="仿宋"/>
                <w:color w:val="000000"/>
                <w:kern w:val="0"/>
                <w:szCs w:val="21"/>
              </w:rPr>
            </w:pPr>
          </w:p>
        </w:tc>
        <w:tc>
          <w:tcPr>
            <w:tcW w:w="2742" w:type="dxa"/>
            <w:vAlign w:val="center"/>
          </w:tcPr>
          <w:p w14:paraId="46433FA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经营活动净现金流占营业收入比重（+）（3.75%）</w:t>
            </w:r>
          </w:p>
        </w:tc>
        <w:tc>
          <w:tcPr>
            <w:tcW w:w="2409" w:type="dxa"/>
            <w:vMerge w:val="continue"/>
            <w:vAlign w:val="center"/>
          </w:tcPr>
          <w:p w14:paraId="6D11A32F">
            <w:pPr>
              <w:widowControl/>
              <w:jc w:val="center"/>
              <w:rPr>
                <w:rFonts w:ascii="仿宋" w:hAnsi="仿宋" w:eastAsia="仿宋" w:cs="仿宋"/>
                <w:color w:val="000000"/>
                <w:kern w:val="0"/>
                <w:szCs w:val="21"/>
              </w:rPr>
            </w:pPr>
          </w:p>
        </w:tc>
      </w:tr>
      <w:tr w14:paraId="5CA5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49" w:type="dxa"/>
            <w:vMerge w:val="continue"/>
            <w:noWrap/>
            <w:vAlign w:val="center"/>
          </w:tcPr>
          <w:p w14:paraId="5BF1F502">
            <w:pPr>
              <w:widowControl/>
              <w:jc w:val="center"/>
              <w:rPr>
                <w:rFonts w:ascii="仿宋" w:hAnsi="仿宋" w:eastAsia="仿宋" w:cs="仿宋"/>
                <w:color w:val="000000"/>
                <w:kern w:val="0"/>
                <w:szCs w:val="21"/>
              </w:rPr>
            </w:pPr>
          </w:p>
        </w:tc>
        <w:tc>
          <w:tcPr>
            <w:tcW w:w="1503" w:type="dxa"/>
            <w:vMerge w:val="continue"/>
            <w:vAlign w:val="center"/>
          </w:tcPr>
          <w:p w14:paraId="49E4F936">
            <w:pPr>
              <w:widowControl/>
              <w:jc w:val="center"/>
              <w:rPr>
                <w:rFonts w:ascii="仿宋" w:hAnsi="仿宋" w:eastAsia="仿宋" w:cs="仿宋"/>
                <w:color w:val="000000"/>
                <w:kern w:val="0"/>
                <w:szCs w:val="21"/>
              </w:rPr>
            </w:pPr>
          </w:p>
        </w:tc>
        <w:tc>
          <w:tcPr>
            <w:tcW w:w="1888" w:type="dxa"/>
            <w:vMerge w:val="continue"/>
            <w:vAlign w:val="center"/>
          </w:tcPr>
          <w:p w14:paraId="762E239D">
            <w:pPr>
              <w:widowControl/>
              <w:jc w:val="center"/>
              <w:rPr>
                <w:rFonts w:ascii="仿宋" w:hAnsi="仿宋" w:eastAsia="仿宋" w:cs="仿宋"/>
                <w:color w:val="000000"/>
                <w:kern w:val="0"/>
                <w:szCs w:val="21"/>
              </w:rPr>
            </w:pPr>
          </w:p>
        </w:tc>
        <w:tc>
          <w:tcPr>
            <w:tcW w:w="2742" w:type="dxa"/>
            <w:vAlign w:val="center"/>
          </w:tcPr>
          <w:p w14:paraId="3743F84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销售净利率（+）（3.75%）</w:t>
            </w:r>
          </w:p>
        </w:tc>
        <w:tc>
          <w:tcPr>
            <w:tcW w:w="2409" w:type="dxa"/>
            <w:vMerge w:val="continue"/>
            <w:vAlign w:val="center"/>
          </w:tcPr>
          <w:p w14:paraId="6B47F310">
            <w:pPr>
              <w:widowControl/>
              <w:jc w:val="center"/>
              <w:rPr>
                <w:rFonts w:ascii="仿宋" w:hAnsi="仿宋" w:eastAsia="仿宋" w:cs="仿宋"/>
                <w:color w:val="000000"/>
                <w:kern w:val="0"/>
                <w:szCs w:val="21"/>
              </w:rPr>
            </w:pPr>
          </w:p>
        </w:tc>
      </w:tr>
      <w:tr w14:paraId="17AF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149" w:type="dxa"/>
            <w:vMerge w:val="continue"/>
            <w:vAlign w:val="center"/>
          </w:tcPr>
          <w:p w14:paraId="56DF993A">
            <w:pPr>
              <w:widowControl/>
              <w:jc w:val="center"/>
              <w:rPr>
                <w:rFonts w:ascii="仿宋" w:hAnsi="仿宋" w:eastAsia="仿宋" w:cs="仿宋"/>
                <w:color w:val="000000"/>
                <w:kern w:val="0"/>
                <w:szCs w:val="21"/>
              </w:rPr>
            </w:pPr>
          </w:p>
        </w:tc>
        <w:tc>
          <w:tcPr>
            <w:tcW w:w="1503" w:type="dxa"/>
            <w:vMerge w:val="continue"/>
            <w:vAlign w:val="center"/>
          </w:tcPr>
          <w:p w14:paraId="72A74CC4">
            <w:pPr>
              <w:widowControl/>
              <w:jc w:val="left"/>
              <w:rPr>
                <w:rFonts w:ascii="仿宋" w:hAnsi="仿宋" w:eastAsia="仿宋" w:cs="仿宋"/>
                <w:color w:val="000000"/>
                <w:kern w:val="0"/>
                <w:szCs w:val="21"/>
              </w:rPr>
            </w:pPr>
          </w:p>
        </w:tc>
        <w:tc>
          <w:tcPr>
            <w:tcW w:w="1888" w:type="dxa"/>
            <w:vMerge w:val="continue"/>
            <w:vAlign w:val="center"/>
          </w:tcPr>
          <w:p w14:paraId="1CF34BCE">
            <w:pPr>
              <w:widowControl/>
              <w:jc w:val="left"/>
              <w:rPr>
                <w:rFonts w:ascii="仿宋" w:hAnsi="仿宋" w:eastAsia="仿宋" w:cs="仿宋"/>
                <w:color w:val="000000"/>
                <w:kern w:val="0"/>
                <w:szCs w:val="21"/>
              </w:rPr>
            </w:pPr>
          </w:p>
        </w:tc>
        <w:tc>
          <w:tcPr>
            <w:tcW w:w="2742" w:type="dxa"/>
            <w:vAlign w:val="center"/>
          </w:tcPr>
          <w:p w14:paraId="2F447F7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净资产收益率（+）（3.75%）</w:t>
            </w:r>
          </w:p>
        </w:tc>
        <w:tc>
          <w:tcPr>
            <w:tcW w:w="2409" w:type="dxa"/>
            <w:vMerge w:val="continue"/>
            <w:vAlign w:val="center"/>
          </w:tcPr>
          <w:p w14:paraId="1D2A3D63">
            <w:pPr>
              <w:jc w:val="center"/>
              <w:rPr>
                <w:rFonts w:ascii="仿宋" w:hAnsi="仿宋" w:eastAsia="仿宋" w:cs="仿宋"/>
                <w:color w:val="000000"/>
                <w:kern w:val="0"/>
                <w:szCs w:val="21"/>
              </w:rPr>
            </w:pPr>
          </w:p>
        </w:tc>
      </w:tr>
      <w:tr w14:paraId="2E33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49" w:type="dxa"/>
            <w:vMerge w:val="continue"/>
            <w:vAlign w:val="center"/>
          </w:tcPr>
          <w:p w14:paraId="653D77D1">
            <w:pPr>
              <w:widowControl/>
              <w:jc w:val="center"/>
              <w:rPr>
                <w:rFonts w:ascii="仿宋" w:hAnsi="仿宋" w:eastAsia="仿宋" w:cs="仿宋"/>
                <w:color w:val="000000"/>
                <w:kern w:val="0"/>
                <w:szCs w:val="21"/>
              </w:rPr>
            </w:pPr>
          </w:p>
        </w:tc>
        <w:tc>
          <w:tcPr>
            <w:tcW w:w="1503" w:type="dxa"/>
            <w:vMerge w:val="continue"/>
            <w:vAlign w:val="center"/>
          </w:tcPr>
          <w:p w14:paraId="277BF07E">
            <w:pPr>
              <w:widowControl/>
              <w:jc w:val="left"/>
              <w:rPr>
                <w:rFonts w:ascii="仿宋" w:hAnsi="仿宋" w:eastAsia="仿宋" w:cs="仿宋"/>
                <w:color w:val="000000"/>
                <w:kern w:val="0"/>
                <w:szCs w:val="21"/>
              </w:rPr>
            </w:pPr>
          </w:p>
        </w:tc>
        <w:tc>
          <w:tcPr>
            <w:tcW w:w="1888" w:type="dxa"/>
            <w:vMerge w:val="restart"/>
            <w:vAlign w:val="center"/>
          </w:tcPr>
          <w:p w14:paraId="4D90A5D5">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成长能力（10%）</w:t>
            </w:r>
          </w:p>
        </w:tc>
        <w:tc>
          <w:tcPr>
            <w:tcW w:w="2742" w:type="dxa"/>
            <w:vAlign w:val="center"/>
          </w:tcPr>
          <w:p w14:paraId="2C95DB7C">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营业收入增速（+）（5%）</w:t>
            </w:r>
          </w:p>
        </w:tc>
        <w:tc>
          <w:tcPr>
            <w:tcW w:w="2409" w:type="dxa"/>
            <w:vMerge w:val="continue"/>
            <w:vAlign w:val="center"/>
          </w:tcPr>
          <w:p w14:paraId="1ACE9581">
            <w:pPr>
              <w:jc w:val="center"/>
              <w:rPr>
                <w:rFonts w:ascii="仿宋" w:hAnsi="仿宋" w:eastAsia="仿宋" w:cs="仿宋"/>
                <w:color w:val="000000"/>
                <w:kern w:val="0"/>
                <w:szCs w:val="21"/>
              </w:rPr>
            </w:pPr>
          </w:p>
        </w:tc>
      </w:tr>
      <w:tr w14:paraId="2B3F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49" w:type="dxa"/>
            <w:vMerge w:val="continue"/>
            <w:vAlign w:val="center"/>
          </w:tcPr>
          <w:p w14:paraId="7917478A">
            <w:pPr>
              <w:widowControl/>
              <w:jc w:val="center"/>
              <w:rPr>
                <w:rFonts w:ascii="仿宋" w:hAnsi="仿宋" w:eastAsia="仿宋" w:cs="仿宋"/>
                <w:color w:val="000000"/>
                <w:kern w:val="0"/>
                <w:szCs w:val="21"/>
              </w:rPr>
            </w:pPr>
          </w:p>
        </w:tc>
        <w:tc>
          <w:tcPr>
            <w:tcW w:w="1503" w:type="dxa"/>
            <w:vMerge w:val="continue"/>
            <w:vAlign w:val="center"/>
          </w:tcPr>
          <w:p w14:paraId="4A61FB20">
            <w:pPr>
              <w:widowControl/>
              <w:jc w:val="left"/>
              <w:rPr>
                <w:rFonts w:ascii="仿宋" w:hAnsi="仿宋" w:eastAsia="仿宋" w:cs="仿宋"/>
                <w:color w:val="000000"/>
                <w:kern w:val="0"/>
                <w:szCs w:val="21"/>
              </w:rPr>
            </w:pPr>
          </w:p>
        </w:tc>
        <w:tc>
          <w:tcPr>
            <w:tcW w:w="1888" w:type="dxa"/>
            <w:vMerge w:val="continue"/>
            <w:vAlign w:val="center"/>
          </w:tcPr>
          <w:p w14:paraId="389ECA22">
            <w:pPr>
              <w:widowControl/>
              <w:jc w:val="left"/>
              <w:rPr>
                <w:rFonts w:ascii="仿宋" w:hAnsi="仿宋" w:eastAsia="仿宋" w:cs="仿宋"/>
                <w:color w:val="000000"/>
                <w:kern w:val="0"/>
                <w:szCs w:val="21"/>
              </w:rPr>
            </w:pPr>
          </w:p>
        </w:tc>
        <w:tc>
          <w:tcPr>
            <w:tcW w:w="2742" w:type="dxa"/>
            <w:vAlign w:val="center"/>
          </w:tcPr>
          <w:p w14:paraId="7E392C5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扣非归母净利润增速（+）（5%）</w:t>
            </w:r>
          </w:p>
        </w:tc>
        <w:tc>
          <w:tcPr>
            <w:tcW w:w="2409" w:type="dxa"/>
            <w:vMerge w:val="continue"/>
            <w:vAlign w:val="center"/>
          </w:tcPr>
          <w:p w14:paraId="4E3376AB">
            <w:pPr>
              <w:jc w:val="center"/>
              <w:rPr>
                <w:rFonts w:ascii="仿宋" w:hAnsi="仿宋" w:eastAsia="仿宋" w:cs="仿宋"/>
                <w:color w:val="000000"/>
                <w:kern w:val="0"/>
                <w:szCs w:val="21"/>
              </w:rPr>
            </w:pPr>
          </w:p>
        </w:tc>
      </w:tr>
      <w:tr w14:paraId="4C94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49" w:type="dxa"/>
            <w:vMerge w:val="continue"/>
            <w:vAlign w:val="center"/>
          </w:tcPr>
          <w:p w14:paraId="014B1380">
            <w:pPr>
              <w:widowControl/>
              <w:jc w:val="center"/>
              <w:rPr>
                <w:rFonts w:ascii="仿宋" w:hAnsi="仿宋" w:eastAsia="仿宋" w:cs="仿宋"/>
                <w:color w:val="000000"/>
                <w:kern w:val="0"/>
                <w:szCs w:val="21"/>
              </w:rPr>
            </w:pPr>
          </w:p>
        </w:tc>
        <w:tc>
          <w:tcPr>
            <w:tcW w:w="1503" w:type="dxa"/>
            <w:vMerge w:val="continue"/>
            <w:vAlign w:val="center"/>
          </w:tcPr>
          <w:p w14:paraId="74F57CA0">
            <w:pPr>
              <w:widowControl/>
              <w:jc w:val="left"/>
              <w:rPr>
                <w:rFonts w:ascii="仿宋" w:hAnsi="仿宋" w:eastAsia="仿宋" w:cs="仿宋"/>
                <w:color w:val="000000"/>
                <w:kern w:val="0"/>
                <w:szCs w:val="21"/>
              </w:rPr>
            </w:pPr>
          </w:p>
        </w:tc>
        <w:tc>
          <w:tcPr>
            <w:tcW w:w="1888" w:type="dxa"/>
            <w:vMerge w:val="continue"/>
            <w:vAlign w:val="center"/>
          </w:tcPr>
          <w:p w14:paraId="0494A4F4">
            <w:pPr>
              <w:widowControl/>
              <w:jc w:val="left"/>
              <w:rPr>
                <w:rFonts w:ascii="仿宋" w:hAnsi="仿宋" w:eastAsia="仿宋" w:cs="仿宋"/>
                <w:color w:val="000000"/>
                <w:kern w:val="0"/>
                <w:szCs w:val="21"/>
              </w:rPr>
            </w:pPr>
          </w:p>
        </w:tc>
        <w:tc>
          <w:tcPr>
            <w:tcW w:w="2742" w:type="dxa"/>
            <w:vAlign w:val="center"/>
          </w:tcPr>
          <w:p w14:paraId="0F5B4A21">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业绩下滑调整（-）</w:t>
            </w:r>
          </w:p>
        </w:tc>
        <w:tc>
          <w:tcPr>
            <w:tcW w:w="2409" w:type="dxa"/>
            <w:vMerge w:val="continue"/>
            <w:vAlign w:val="center"/>
          </w:tcPr>
          <w:p w14:paraId="65D8D1BB">
            <w:pPr>
              <w:jc w:val="center"/>
              <w:rPr>
                <w:rFonts w:ascii="仿宋" w:hAnsi="仿宋" w:eastAsia="仿宋" w:cs="仿宋"/>
                <w:color w:val="000000"/>
                <w:kern w:val="0"/>
                <w:szCs w:val="21"/>
              </w:rPr>
            </w:pPr>
          </w:p>
        </w:tc>
      </w:tr>
      <w:tr w14:paraId="6484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vMerge w:val="continue"/>
            <w:vAlign w:val="center"/>
          </w:tcPr>
          <w:p w14:paraId="338E4326">
            <w:pPr>
              <w:widowControl/>
              <w:jc w:val="center"/>
              <w:rPr>
                <w:rFonts w:ascii="仿宋" w:hAnsi="仿宋" w:eastAsia="仿宋" w:cs="仿宋"/>
                <w:color w:val="000000"/>
                <w:kern w:val="0"/>
                <w:szCs w:val="21"/>
              </w:rPr>
            </w:pPr>
          </w:p>
        </w:tc>
        <w:tc>
          <w:tcPr>
            <w:tcW w:w="1503" w:type="dxa"/>
            <w:vMerge w:val="continue"/>
            <w:vAlign w:val="center"/>
          </w:tcPr>
          <w:p w14:paraId="03181E60">
            <w:pPr>
              <w:widowControl/>
              <w:jc w:val="left"/>
              <w:rPr>
                <w:rFonts w:ascii="仿宋" w:hAnsi="仿宋" w:eastAsia="仿宋" w:cs="仿宋"/>
                <w:color w:val="000000"/>
                <w:kern w:val="0"/>
                <w:szCs w:val="21"/>
              </w:rPr>
            </w:pPr>
          </w:p>
        </w:tc>
        <w:tc>
          <w:tcPr>
            <w:tcW w:w="1888" w:type="dxa"/>
            <w:vMerge w:val="restart"/>
            <w:vAlign w:val="center"/>
          </w:tcPr>
          <w:p w14:paraId="0977D47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创新能力（10%）</w:t>
            </w:r>
          </w:p>
        </w:tc>
        <w:tc>
          <w:tcPr>
            <w:tcW w:w="2742" w:type="dxa"/>
            <w:vAlign w:val="center"/>
          </w:tcPr>
          <w:p w14:paraId="21BADDF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研发支出占比（+）（5%）</w:t>
            </w:r>
          </w:p>
        </w:tc>
        <w:tc>
          <w:tcPr>
            <w:tcW w:w="2409" w:type="dxa"/>
            <w:vMerge w:val="continue"/>
            <w:vAlign w:val="center"/>
          </w:tcPr>
          <w:p w14:paraId="6C5A0435">
            <w:pPr>
              <w:jc w:val="center"/>
              <w:rPr>
                <w:rFonts w:ascii="仿宋" w:hAnsi="仿宋" w:eastAsia="仿宋" w:cs="仿宋"/>
                <w:color w:val="000000"/>
                <w:kern w:val="0"/>
                <w:szCs w:val="21"/>
              </w:rPr>
            </w:pPr>
          </w:p>
        </w:tc>
      </w:tr>
      <w:tr w14:paraId="6DD7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dxa"/>
            <w:vMerge w:val="continue"/>
            <w:vAlign w:val="center"/>
          </w:tcPr>
          <w:p w14:paraId="7ADB44DE">
            <w:pPr>
              <w:widowControl/>
              <w:jc w:val="center"/>
              <w:rPr>
                <w:rFonts w:ascii="仿宋" w:hAnsi="仿宋" w:eastAsia="仿宋" w:cs="仿宋"/>
                <w:color w:val="000000"/>
                <w:kern w:val="0"/>
                <w:szCs w:val="21"/>
              </w:rPr>
            </w:pPr>
          </w:p>
        </w:tc>
        <w:tc>
          <w:tcPr>
            <w:tcW w:w="1503" w:type="dxa"/>
            <w:vMerge w:val="continue"/>
            <w:vAlign w:val="center"/>
          </w:tcPr>
          <w:p w14:paraId="28AEEF9D">
            <w:pPr>
              <w:widowControl/>
              <w:jc w:val="left"/>
              <w:rPr>
                <w:rFonts w:ascii="仿宋" w:hAnsi="仿宋" w:eastAsia="仿宋" w:cs="仿宋"/>
                <w:color w:val="000000"/>
                <w:kern w:val="0"/>
                <w:szCs w:val="21"/>
              </w:rPr>
            </w:pPr>
          </w:p>
        </w:tc>
        <w:tc>
          <w:tcPr>
            <w:tcW w:w="1888" w:type="dxa"/>
            <w:vMerge w:val="continue"/>
            <w:vAlign w:val="center"/>
          </w:tcPr>
          <w:p w14:paraId="3921BFB3">
            <w:pPr>
              <w:widowControl/>
              <w:jc w:val="left"/>
              <w:rPr>
                <w:rFonts w:ascii="仿宋" w:hAnsi="仿宋" w:eastAsia="仿宋" w:cs="仿宋"/>
                <w:color w:val="000000"/>
                <w:kern w:val="0"/>
                <w:szCs w:val="21"/>
              </w:rPr>
            </w:pPr>
          </w:p>
        </w:tc>
        <w:tc>
          <w:tcPr>
            <w:tcW w:w="2742" w:type="dxa"/>
            <w:vAlign w:val="center"/>
          </w:tcPr>
          <w:p w14:paraId="3E9E835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研发人员数量（+）（5%）</w:t>
            </w:r>
          </w:p>
        </w:tc>
        <w:tc>
          <w:tcPr>
            <w:tcW w:w="2409" w:type="dxa"/>
            <w:vMerge w:val="continue"/>
            <w:vAlign w:val="center"/>
          </w:tcPr>
          <w:p w14:paraId="31B25EEE">
            <w:pPr>
              <w:jc w:val="center"/>
              <w:rPr>
                <w:rFonts w:ascii="仿宋" w:hAnsi="仿宋" w:eastAsia="仿宋" w:cs="仿宋"/>
                <w:color w:val="000000"/>
                <w:kern w:val="0"/>
                <w:szCs w:val="21"/>
              </w:rPr>
            </w:pPr>
          </w:p>
        </w:tc>
      </w:tr>
      <w:tr w14:paraId="67E4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49" w:type="dxa"/>
            <w:vMerge w:val="continue"/>
            <w:vAlign w:val="center"/>
          </w:tcPr>
          <w:p w14:paraId="752E5E97">
            <w:pPr>
              <w:widowControl/>
              <w:jc w:val="center"/>
              <w:rPr>
                <w:rFonts w:ascii="仿宋" w:hAnsi="仿宋" w:eastAsia="仿宋" w:cs="仿宋"/>
                <w:color w:val="000000"/>
                <w:kern w:val="0"/>
                <w:szCs w:val="21"/>
              </w:rPr>
            </w:pPr>
          </w:p>
        </w:tc>
        <w:tc>
          <w:tcPr>
            <w:tcW w:w="1503" w:type="dxa"/>
            <w:vMerge w:val="restart"/>
            <w:vAlign w:val="center"/>
          </w:tcPr>
          <w:p w14:paraId="18A89C30">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市场表现评价（15%）</w:t>
            </w:r>
          </w:p>
        </w:tc>
        <w:tc>
          <w:tcPr>
            <w:tcW w:w="1888" w:type="dxa"/>
            <w:vMerge w:val="restart"/>
            <w:vAlign w:val="center"/>
          </w:tcPr>
          <w:p w14:paraId="2AB6DCE4">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市场估值（5%）</w:t>
            </w:r>
          </w:p>
        </w:tc>
        <w:tc>
          <w:tcPr>
            <w:tcW w:w="2742" w:type="dxa"/>
            <w:vAlign w:val="center"/>
          </w:tcPr>
          <w:p w14:paraId="5EDE5278">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市净率（+）（2.5%）</w:t>
            </w:r>
          </w:p>
        </w:tc>
        <w:tc>
          <w:tcPr>
            <w:tcW w:w="2409" w:type="dxa"/>
            <w:vMerge w:val="continue"/>
            <w:vAlign w:val="center"/>
          </w:tcPr>
          <w:p w14:paraId="3B4C3979">
            <w:pPr>
              <w:jc w:val="center"/>
              <w:rPr>
                <w:rFonts w:ascii="仿宋" w:hAnsi="仿宋" w:eastAsia="仿宋" w:cs="仿宋"/>
                <w:color w:val="000000"/>
                <w:kern w:val="0"/>
                <w:szCs w:val="21"/>
              </w:rPr>
            </w:pPr>
          </w:p>
        </w:tc>
      </w:tr>
      <w:tr w14:paraId="3C91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49" w:type="dxa"/>
            <w:vMerge w:val="continue"/>
            <w:vAlign w:val="center"/>
          </w:tcPr>
          <w:p w14:paraId="5D5C46C3">
            <w:pPr>
              <w:widowControl/>
              <w:jc w:val="center"/>
              <w:rPr>
                <w:rFonts w:ascii="仿宋" w:hAnsi="仿宋" w:eastAsia="仿宋" w:cs="仿宋"/>
                <w:color w:val="000000"/>
                <w:kern w:val="0"/>
                <w:szCs w:val="21"/>
              </w:rPr>
            </w:pPr>
          </w:p>
        </w:tc>
        <w:tc>
          <w:tcPr>
            <w:tcW w:w="1503" w:type="dxa"/>
            <w:vMerge w:val="continue"/>
            <w:vAlign w:val="center"/>
          </w:tcPr>
          <w:p w14:paraId="4EC152FB">
            <w:pPr>
              <w:widowControl/>
              <w:jc w:val="center"/>
              <w:rPr>
                <w:rFonts w:ascii="仿宋" w:hAnsi="仿宋" w:eastAsia="仿宋" w:cs="仿宋"/>
                <w:color w:val="000000"/>
                <w:kern w:val="0"/>
                <w:szCs w:val="21"/>
              </w:rPr>
            </w:pPr>
          </w:p>
        </w:tc>
        <w:tc>
          <w:tcPr>
            <w:tcW w:w="1888" w:type="dxa"/>
            <w:vMerge w:val="continue"/>
            <w:vAlign w:val="center"/>
          </w:tcPr>
          <w:p w14:paraId="62A4898C">
            <w:pPr>
              <w:widowControl/>
              <w:jc w:val="center"/>
              <w:rPr>
                <w:rFonts w:ascii="仿宋" w:hAnsi="仿宋" w:eastAsia="仿宋" w:cs="仿宋"/>
                <w:color w:val="000000"/>
                <w:kern w:val="0"/>
                <w:szCs w:val="21"/>
              </w:rPr>
            </w:pPr>
          </w:p>
        </w:tc>
        <w:tc>
          <w:tcPr>
            <w:tcW w:w="2742" w:type="dxa"/>
            <w:vAlign w:val="center"/>
          </w:tcPr>
          <w:p w14:paraId="686FC7E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总市值（+）（2.5%）</w:t>
            </w:r>
          </w:p>
        </w:tc>
        <w:tc>
          <w:tcPr>
            <w:tcW w:w="2409" w:type="dxa"/>
            <w:vMerge w:val="continue"/>
            <w:vAlign w:val="center"/>
          </w:tcPr>
          <w:p w14:paraId="56D41FE9">
            <w:pPr>
              <w:jc w:val="center"/>
              <w:rPr>
                <w:rFonts w:ascii="仿宋" w:hAnsi="仿宋" w:eastAsia="仿宋" w:cs="仿宋"/>
                <w:color w:val="000000"/>
                <w:kern w:val="0"/>
                <w:szCs w:val="21"/>
              </w:rPr>
            </w:pPr>
          </w:p>
        </w:tc>
      </w:tr>
      <w:tr w14:paraId="7BE5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9" w:type="dxa"/>
            <w:vMerge w:val="continue"/>
            <w:vAlign w:val="center"/>
          </w:tcPr>
          <w:p w14:paraId="37EF74CB">
            <w:pPr>
              <w:widowControl/>
              <w:jc w:val="center"/>
              <w:rPr>
                <w:rFonts w:ascii="仿宋" w:hAnsi="仿宋" w:eastAsia="仿宋" w:cs="仿宋"/>
                <w:color w:val="000000"/>
                <w:kern w:val="0"/>
                <w:szCs w:val="21"/>
              </w:rPr>
            </w:pPr>
          </w:p>
        </w:tc>
        <w:tc>
          <w:tcPr>
            <w:tcW w:w="1503" w:type="dxa"/>
            <w:vMerge w:val="continue"/>
            <w:vAlign w:val="center"/>
          </w:tcPr>
          <w:p w14:paraId="1F1C2E14">
            <w:pPr>
              <w:widowControl/>
              <w:jc w:val="left"/>
              <w:rPr>
                <w:rFonts w:ascii="仿宋" w:hAnsi="仿宋" w:eastAsia="仿宋" w:cs="仿宋"/>
                <w:color w:val="000000"/>
                <w:kern w:val="0"/>
                <w:szCs w:val="21"/>
              </w:rPr>
            </w:pPr>
          </w:p>
        </w:tc>
        <w:tc>
          <w:tcPr>
            <w:tcW w:w="1888" w:type="dxa"/>
            <w:vMerge w:val="restart"/>
            <w:vAlign w:val="center"/>
          </w:tcPr>
          <w:p w14:paraId="6193C7A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投资者回报（10%）</w:t>
            </w:r>
          </w:p>
        </w:tc>
        <w:tc>
          <w:tcPr>
            <w:tcW w:w="2742" w:type="dxa"/>
            <w:vAlign w:val="center"/>
          </w:tcPr>
          <w:p w14:paraId="1134946D">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年化回报率（+）（5%）</w:t>
            </w:r>
          </w:p>
        </w:tc>
        <w:tc>
          <w:tcPr>
            <w:tcW w:w="2409" w:type="dxa"/>
            <w:vMerge w:val="continue"/>
            <w:vAlign w:val="center"/>
          </w:tcPr>
          <w:p w14:paraId="51E3D92D">
            <w:pPr>
              <w:widowControl/>
              <w:jc w:val="center"/>
              <w:rPr>
                <w:rFonts w:ascii="仿宋" w:hAnsi="仿宋" w:eastAsia="仿宋" w:cs="仿宋"/>
                <w:color w:val="000000"/>
                <w:kern w:val="0"/>
                <w:szCs w:val="21"/>
              </w:rPr>
            </w:pPr>
          </w:p>
        </w:tc>
      </w:tr>
      <w:tr w14:paraId="7CC4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49" w:type="dxa"/>
            <w:vMerge w:val="continue"/>
            <w:vAlign w:val="center"/>
          </w:tcPr>
          <w:p w14:paraId="6267412F">
            <w:pPr>
              <w:widowControl/>
              <w:jc w:val="center"/>
              <w:rPr>
                <w:rFonts w:ascii="仿宋" w:hAnsi="仿宋" w:eastAsia="仿宋" w:cs="仿宋"/>
                <w:color w:val="000000"/>
                <w:kern w:val="0"/>
                <w:szCs w:val="21"/>
              </w:rPr>
            </w:pPr>
          </w:p>
        </w:tc>
        <w:tc>
          <w:tcPr>
            <w:tcW w:w="1503" w:type="dxa"/>
            <w:vMerge w:val="continue"/>
            <w:vAlign w:val="center"/>
          </w:tcPr>
          <w:p w14:paraId="66D2E5F0">
            <w:pPr>
              <w:widowControl/>
              <w:jc w:val="left"/>
              <w:rPr>
                <w:rFonts w:ascii="仿宋" w:hAnsi="仿宋" w:eastAsia="仿宋" w:cs="仿宋"/>
                <w:color w:val="000000"/>
                <w:kern w:val="0"/>
                <w:szCs w:val="21"/>
              </w:rPr>
            </w:pPr>
          </w:p>
        </w:tc>
        <w:tc>
          <w:tcPr>
            <w:tcW w:w="1888" w:type="dxa"/>
            <w:vMerge w:val="continue"/>
            <w:vAlign w:val="center"/>
          </w:tcPr>
          <w:p w14:paraId="5198D91E">
            <w:pPr>
              <w:widowControl/>
              <w:jc w:val="center"/>
              <w:rPr>
                <w:rFonts w:ascii="仿宋" w:hAnsi="仿宋" w:eastAsia="仿宋" w:cs="仿宋"/>
                <w:color w:val="000000"/>
                <w:kern w:val="0"/>
                <w:szCs w:val="21"/>
              </w:rPr>
            </w:pPr>
          </w:p>
        </w:tc>
        <w:tc>
          <w:tcPr>
            <w:tcW w:w="2742" w:type="dxa"/>
            <w:vAlign w:val="center"/>
          </w:tcPr>
          <w:p w14:paraId="0B678B3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现金分红比例（+）（5%）</w:t>
            </w:r>
          </w:p>
        </w:tc>
        <w:tc>
          <w:tcPr>
            <w:tcW w:w="2409" w:type="dxa"/>
            <w:vMerge w:val="continue"/>
            <w:vAlign w:val="center"/>
          </w:tcPr>
          <w:p w14:paraId="69737F21">
            <w:pPr>
              <w:widowControl/>
              <w:jc w:val="center"/>
              <w:rPr>
                <w:rFonts w:ascii="仿宋" w:hAnsi="仿宋" w:eastAsia="仿宋" w:cs="仿宋"/>
                <w:color w:val="000000"/>
                <w:kern w:val="0"/>
                <w:szCs w:val="21"/>
              </w:rPr>
            </w:pPr>
          </w:p>
        </w:tc>
      </w:tr>
      <w:tr w14:paraId="5DA8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49" w:type="dxa"/>
            <w:vMerge w:val="continue"/>
            <w:vAlign w:val="center"/>
          </w:tcPr>
          <w:p w14:paraId="3A5F9199">
            <w:pPr>
              <w:widowControl/>
              <w:jc w:val="center"/>
              <w:rPr>
                <w:rFonts w:ascii="仿宋" w:hAnsi="仿宋" w:eastAsia="仿宋" w:cs="仿宋"/>
                <w:color w:val="000000"/>
                <w:kern w:val="0"/>
                <w:szCs w:val="21"/>
              </w:rPr>
            </w:pPr>
          </w:p>
        </w:tc>
        <w:tc>
          <w:tcPr>
            <w:tcW w:w="1503" w:type="dxa"/>
            <w:vMerge w:val="restart"/>
            <w:vAlign w:val="center"/>
          </w:tcPr>
          <w:p w14:paraId="4C56E54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公司治理质量（20%）</w:t>
            </w:r>
          </w:p>
        </w:tc>
        <w:tc>
          <w:tcPr>
            <w:tcW w:w="1888" w:type="dxa"/>
            <w:vAlign w:val="center"/>
          </w:tcPr>
          <w:p w14:paraId="574ACB2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信息披露（10%）</w:t>
            </w:r>
          </w:p>
        </w:tc>
        <w:tc>
          <w:tcPr>
            <w:tcW w:w="2742" w:type="dxa"/>
            <w:vAlign w:val="center"/>
          </w:tcPr>
          <w:p w14:paraId="77EA66A5">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信息披露评级（+）（10%）</w:t>
            </w:r>
          </w:p>
        </w:tc>
        <w:tc>
          <w:tcPr>
            <w:tcW w:w="2409" w:type="dxa"/>
            <w:vAlign w:val="center"/>
          </w:tcPr>
          <w:p w14:paraId="22F099C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A类赋值100，B类赋值60，C类赋值30，D类赋值0</w:t>
            </w:r>
          </w:p>
        </w:tc>
      </w:tr>
      <w:tr w14:paraId="3B7F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49" w:type="dxa"/>
            <w:vMerge w:val="continue"/>
            <w:vAlign w:val="center"/>
          </w:tcPr>
          <w:p w14:paraId="0AE8E2C1">
            <w:pPr>
              <w:widowControl/>
              <w:jc w:val="center"/>
              <w:rPr>
                <w:rFonts w:ascii="仿宋" w:hAnsi="仿宋" w:eastAsia="仿宋" w:cs="仿宋"/>
                <w:color w:val="000000"/>
                <w:kern w:val="0"/>
                <w:szCs w:val="21"/>
              </w:rPr>
            </w:pPr>
          </w:p>
        </w:tc>
        <w:tc>
          <w:tcPr>
            <w:tcW w:w="1503" w:type="dxa"/>
            <w:vMerge w:val="continue"/>
            <w:vAlign w:val="center"/>
          </w:tcPr>
          <w:p w14:paraId="574FF45B">
            <w:pPr>
              <w:widowControl/>
              <w:jc w:val="left"/>
              <w:rPr>
                <w:rFonts w:ascii="仿宋" w:hAnsi="仿宋" w:eastAsia="仿宋" w:cs="仿宋"/>
                <w:color w:val="000000"/>
                <w:kern w:val="0"/>
                <w:szCs w:val="21"/>
              </w:rPr>
            </w:pPr>
          </w:p>
        </w:tc>
        <w:tc>
          <w:tcPr>
            <w:tcW w:w="1888" w:type="dxa"/>
            <w:vAlign w:val="center"/>
          </w:tcPr>
          <w:p w14:paraId="39C09BDD">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监管合规（10%）</w:t>
            </w:r>
          </w:p>
        </w:tc>
        <w:tc>
          <w:tcPr>
            <w:tcW w:w="2742" w:type="dxa"/>
            <w:vAlign w:val="center"/>
          </w:tcPr>
          <w:p w14:paraId="43265F1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行政监管处罚（-）（10%）</w:t>
            </w:r>
          </w:p>
        </w:tc>
        <w:tc>
          <w:tcPr>
            <w:tcW w:w="2409" w:type="dxa"/>
            <w:vAlign w:val="center"/>
          </w:tcPr>
          <w:p w14:paraId="7023D6BA">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初始赋值100分，按照处罚次数累加扣分。其中，行政监管措施扣20分，行政处罚扣40分</w:t>
            </w:r>
          </w:p>
        </w:tc>
      </w:tr>
      <w:tr w14:paraId="3F3D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49" w:type="dxa"/>
            <w:vAlign w:val="center"/>
          </w:tcPr>
          <w:p w14:paraId="2036CE14">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保荐业务质量</w:t>
            </w:r>
          </w:p>
          <w:p w14:paraId="09E6B121">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1503" w:type="dxa"/>
            <w:vAlign w:val="center"/>
          </w:tcPr>
          <w:p w14:paraId="001BE6A0">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投行业务质量</w:t>
            </w:r>
          </w:p>
          <w:p w14:paraId="75B11C91">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1888" w:type="dxa"/>
            <w:vAlign w:val="center"/>
          </w:tcPr>
          <w:p w14:paraId="384A6801">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项目质量（30%）</w:t>
            </w:r>
          </w:p>
        </w:tc>
        <w:tc>
          <w:tcPr>
            <w:tcW w:w="2742" w:type="dxa"/>
            <w:vAlign w:val="center"/>
          </w:tcPr>
          <w:p w14:paraId="068165B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项目质量评分（+）（30%）</w:t>
            </w:r>
          </w:p>
        </w:tc>
        <w:tc>
          <w:tcPr>
            <w:tcW w:w="2409" w:type="dxa"/>
            <w:vAlign w:val="center"/>
          </w:tcPr>
          <w:p w14:paraId="6A0D005E">
            <w:pPr>
              <w:rPr>
                <w:rFonts w:ascii="仿宋" w:hAnsi="仿宋" w:eastAsia="仿宋" w:cs="仿宋"/>
                <w:color w:val="000000"/>
                <w:kern w:val="0"/>
                <w:szCs w:val="21"/>
              </w:rPr>
            </w:pPr>
            <w:r>
              <w:rPr>
                <w:rFonts w:hint="eastAsia" w:ascii="仿宋" w:hAnsi="仿宋" w:eastAsia="仿宋" w:cs="仿宋"/>
                <w:color w:val="000000"/>
                <w:kern w:val="0"/>
                <w:szCs w:val="21"/>
              </w:rPr>
              <w:t>按评分结果赋值。具体评分方式参见中国证券业协会发布的《证券公司投行业务质量评价办法》中股票保荐业务执业质量评价的履职尽责相关指标说明。</w:t>
            </w:r>
          </w:p>
        </w:tc>
      </w:tr>
      <w:tr w14:paraId="224F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9" w:type="dxa"/>
            <w:vMerge w:val="restart"/>
            <w:vAlign w:val="center"/>
          </w:tcPr>
          <w:p w14:paraId="7AED039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评价调整</w:t>
            </w:r>
          </w:p>
        </w:tc>
        <w:tc>
          <w:tcPr>
            <w:tcW w:w="1503" w:type="dxa"/>
            <w:vMerge w:val="restart"/>
            <w:vAlign w:val="center"/>
          </w:tcPr>
          <w:p w14:paraId="176740C4">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评价得分调整</w:t>
            </w:r>
          </w:p>
        </w:tc>
        <w:tc>
          <w:tcPr>
            <w:tcW w:w="1888" w:type="dxa"/>
            <w:vAlign w:val="center"/>
          </w:tcPr>
          <w:p w14:paraId="0B5CDB7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规模调整</w:t>
            </w:r>
          </w:p>
          <w:p w14:paraId="7F07BEE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（加分，共5分）</w:t>
            </w:r>
          </w:p>
        </w:tc>
        <w:tc>
          <w:tcPr>
            <w:tcW w:w="2742" w:type="dxa"/>
            <w:vAlign w:val="center"/>
          </w:tcPr>
          <w:p w14:paraId="111B324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保荐项目数量（+）</w:t>
            </w:r>
          </w:p>
        </w:tc>
        <w:tc>
          <w:tcPr>
            <w:tcW w:w="2409" w:type="dxa"/>
            <w:vAlign w:val="center"/>
          </w:tcPr>
          <w:p w14:paraId="104FA7E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5分 * 保荐项目数量/保荐数量最多的保荐机构保荐家数</w:t>
            </w:r>
          </w:p>
        </w:tc>
      </w:tr>
      <w:tr w14:paraId="397B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49" w:type="dxa"/>
            <w:vMerge w:val="continue"/>
            <w:vAlign w:val="center"/>
          </w:tcPr>
          <w:p w14:paraId="49951EF1">
            <w:pPr>
              <w:widowControl/>
              <w:jc w:val="center"/>
              <w:rPr>
                <w:rFonts w:ascii="仿宋" w:hAnsi="仿宋" w:eastAsia="仿宋" w:cs="仿宋"/>
                <w:color w:val="000000"/>
                <w:kern w:val="0"/>
                <w:szCs w:val="21"/>
              </w:rPr>
            </w:pPr>
          </w:p>
        </w:tc>
        <w:tc>
          <w:tcPr>
            <w:tcW w:w="1503" w:type="dxa"/>
            <w:vMerge w:val="continue"/>
            <w:vAlign w:val="center"/>
          </w:tcPr>
          <w:p w14:paraId="320406CE">
            <w:pPr>
              <w:widowControl/>
              <w:jc w:val="center"/>
              <w:rPr>
                <w:rFonts w:ascii="仿宋" w:hAnsi="仿宋" w:eastAsia="仿宋" w:cs="仿宋"/>
                <w:color w:val="000000"/>
                <w:kern w:val="0"/>
                <w:szCs w:val="21"/>
              </w:rPr>
            </w:pPr>
          </w:p>
        </w:tc>
        <w:tc>
          <w:tcPr>
            <w:tcW w:w="1888" w:type="dxa"/>
            <w:vMerge w:val="restart"/>
            <w:vAlign w:val="center"/>
          </w:tcPr>
          <w:p w14:paraId="1C4D0724">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风险调整</w:t>
            </w:r>
          </w:p>
          <w:p w14:paraId="59A0D07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（减分，共30分）</w:t>
            </w:r>
          </w:p>
        </w:tc>
        <w:tc>
          <w:tcPr>
            <w:tcW w:w="2742" w:type="dxa"/>
            <w:vAlign w:val="center"/>
          </w:tcPr>
          <w:p w14:paraId="38B71F1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风险警示公司占比（-）</w:t>
            </w:r>
          </w:p>
        </w:tc>
        <w:tc>
          <w:tcPr>
            <w:tcW w:w="2409" w:type="dxa"/>
            <w:vAlign w:val="center"/>
          </w:tcPr>
          <w:p w14:paraId="3F4F68AC">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扣分：比例 * 10分</w:t>
            </w:r>
          </w:p>
        </w:tc>
      </w:tr>
      <w:tr w14:paraId="4D36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49" w:type="dxa"/>
            <w:vMerge w:val="continue"/>
            <w:vAlign w:val="center"/>
          </w:tcPr>
          <w:p w14:paraId="466BFE90">
            <w:pPr>
              <w:widowControl/>
              <w:jc w:val="center"/>
              <w:rPr>
                <w:rFonts w:ascii="仿宋" w:hAnsi="仿宋" w:eastAsia="仿宋" w:cs="仿宋"/>
              </w:rPr>
            </w:pPr>
          </w:p>
        </w:tc>
        <w:tc>
          <w:tcPr>
            <w:tcW w:w="1503" w:type="dxa"/>
            <w:vMerge w:val="continue"/>
            <w:vAlign w:val="center"/>
          </w:tcPr>
          <w:p w14:paraId="32FA1794">
            <w:pPr>
              <w:widowControl/>
              <w:jc w:val="center"/>
              <w:rPr>
                <w:rFonts w:ascii="仿宋" w:hAnsi="仿宋" w:eastAsia="仿宋" w:cs="仿宋"/>
              </w:rPr>
            </w:pPr>
          </w:p>
        </w:tc>
        <w:tc>
          <w:tcPr>
            <w:tcW w:w="1888" w:type="dxa"/>
            <w:vMerge w:val="continue"/>
            <w:vAlign w:val="center"/>
          </w:tcPr>
          <w:p w14:paraId="0D86F33E">
            <w:pPr>
              <w:widowControl/>
              <w:jc w:val="center"/>
              <w:rPr>
                <w:rFonts w:ascii="仿宋" w:hAnsi="仿宋" w:eastAsia="仿宋" w:cs="仿宋"/>
              </w:rPr>
            </w:pPr>
          </w:p>
        </w:tc>
        <w:tc>
          <w:tcPr>
            <w:tcW w:w="2742" w:type="dxa"/>
            <w:vAlign w:val="center"/>
          </w:tcPr>
          <w:p w14:paraId="5DAAFE4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强制退市公司占比（-）</w:t>
            </w:r>
          </w:p>
        </w:tc>
        <w:tc>
          <w:tcPr>
            <w:tcW w:w="2409" w:type="dxa"/>
            <w:vAlign w:val="center"/>
          </w:tcPr>
          <w:p w14:paraId="7049ECD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扣分：比例 * 20分</w:t>
            </w:r>
          </w:p>
        </w:tc>
      </w:tr>
      <w:tr w14:paraId="44D6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49" w:type="dxa"/>
            <w:vMerge w:val="continue"/>
            <w:vAlign w:val="center"/>
          </w:tcPr>
          <w:p w14:paraId="2347CEC3">
            <w:pPr>
              <w:widowControl/>
              <w:jc w:val="center"/>
              <w:rPr>
                <w:rFonts w:ascii="仿宋" w:hAnsi="仿宋" w:eastAsia="仿宋" w:cs="仿宋"/>
                <w:color w:val="000000"/>
                <w:kern w:val="0"/>
                <w:szCs w:val="21"/>
              </w:rPr>
            </w:pPr>
          </w:p>
        </w:tc>
        <w:tc>
          <w:tcPr>
            <w:tcW w:w="1503" w:type="dxa"/>
            <w:vMerge w:val="continue"/>
            <w:vAlign w:val="center"/>
          </w:tcPr>
          <w:p w14:paraId="6E3893AB">
            <w:pPr>
              <w:widowControl/>
              <w:jc w:val="center"/>
              <w:rPr>
                <w:rFonts w:ascii="仿宋" w:hAnsi="仿宋" w:eastAsia="仿宋" w:cs="仿宋"/>
                <w:color w:val="000000"/>
                <w:kern w:val="0"/>
                <w:szCs w:val="21"/>
              </w:rPr>
            </w:pPr>
          </w:p>
        </w:tc>
        <w:tc>
          <w:tcPr>
            <w:tcW w:w="1888" w:type="dxa"/>
            <w:vAlign w:val="center"/>
          </w:tcPr>
          <w:p w14:paraId="35FF6D54">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降档调整</w:t>
            </w:r>
          </w:p>
          <w:p w14:paraId="71F5159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（减分，共10分）</w:t>
            </w:r>
          </w:p>
        </w:tc>
        <w:tc>
          <w:tcPr>
            <w:tcW w:w="2742" w:type="dxa"/>
            <w:vAlign w:val="center"/>
          </w:tcPr>
          <w:p w14:paraId="25DD993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重大执业质量问题（-）</w:t>
            </w:r>
          </w:p>
        </w:tc>
        <w:tc>
          <w:tcPr>
            <w:tcW w:w="2409" w:type="dxa"/>
            <w:vAlign w:val="center"/>
          </w:tcPr>
          <w:p w14:paraId="596AD6F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扣分：10分</w:t>
            </w:r>
          </w:p>
        </w:tc>
      </w:tr>
    </w:tbl>
    <w:p w14:paraId="6DEE4AE6">
      <w:pPr>
        <w:rPr>
          <w:rFonts w:ascii="仿宋" w:hAnsi="仿宋" w:eastAsia="仿宋" w:cs="仿宋"/>
          <w:sz w:val="30"/>
          <w:szCs w:val="30"/>
        </w:rPr>
      </w:pPr>
      <w:r>
        <w:rPr>
          <w:rFonts w:hint="eastAsia" w:ascii="仿宋" w:hAnsi="仿宋" w:eastAsia="仿宋" w:cs="仿宋"/>
          <w:sz w:val="30"/>
          <w:szCs w:val="30"/>
        </w:rPr>
        <w:br w:type="page"/>
      </w:r>
    </w:p>
    <w:p w14:paraId="771BE3FF">
      <w:pPr>
        <w:widowControl/>
        <w:spacing w:line="560" w:lineRule="exact"/>
        <w:jc w:val="left"/>
        <w:outlineLvl w:val="0"/>
        <w:rPr>
          <w:rFonts w:ascii="黑体" w:hAnsi="黑体" w:eastAsia="黑体" w:cs="黑体"/>
          <w:sz w:val="32"/>
          <w:szCs w:val="32"/>
        </w:rPr>
      </w:pPr>
      <w:r>
        <w:rPr>
          <w:rFonts w:hint="eastAsia" w:ascii="黑体" w:hAnsi="黑体" w:eastAsia="黑体" w:cs="黑体"/>
          <w:sz w:val="32"/>
          <w:szCs w:val="32"/>
        </w:rPr>
        <w:t>附件3</w:t>
      </w:r>
    </w:p>
    <w:p w14:paraId="73D4EC5F">
      <w:pPr>
        <w:widowControl/>
        <w:spacing w:line="560" w:lineRule="exact"/>
        <w:jc w:val="left"/>
        <w:outlineLvl w:val="0"/>
        <w:rPr>
          <w:rFonts w:ascii="黑体" w:hAnsi="黑体" w:eastAsia="黑体" w:cs="黑体"/>
          <w:sz w:val="32"/>
          <w:szCs w:val="32"/>
        </w:rPr>
      </w:pPr>
    </w:p>
    <w:p w14:paraId="727BA6FF">
      <w:pPr>
        <w:jc w:val="center"/>
        <w:rPr>
          <w:rFonts w:ascii="方正大标宋简体" w:hAnsi="方正小标宋简体" w:eastAsia="方正大标宋简体" w:cs="方正小标宋简体"/>
          <w:sz w:val="44"/>
          <w:szCs w:val="44"/>
        </w:rPr>
      </w:pPr>
      <w:r>
        <w:rPr>
          <w:rFonts w:hint="eastAsia" w:ascii="方正大标宋简体" w:hAnsi="方正小标宋简体" w:eastAsia="方正大标宋简体" w:cs="方正小标宋简体"/>
          <w:sz w:val="44"/>
          <w:szCs w:val="44"/>
        </w:rPr>
        <w:t>评价指标具体计算方式</w:t>
      </w:r>
    </w:p>
    <w:p w14:paraId="6B2BCFAA">
      <w:pPr>
        <w:spacing w:line="560" w:lineRule="exact"/>
        <w:jc w:val="center"/>
        <w:rPr>
          <w:rFonts w:ascii="仿宋" w:hAnsi="仿宋" w:eastAsia="仿宋" w:cs="仿宋"/>
          <w:sz w:val="42"/>
          <w:szCs w:val="42"/>
        </w:rPr>
      </w:pPr>
    </w:p>
    <w:p w14:paraId="4B06D930">
      <w:pPr>
        <w:numPr>
          <w:ilvl w:val="255"/>
          <w:numId w:val="0"/>
        </w:numPr>
        <w:spacing w:line="560" w:lineRule="exact"/>
        <w:ind w:firstLine="640" w:firstLineChars="200"/>
        <w:rPr>
          <w:rFonts w:eastAsia="仿宋_GB2312"/>
          <w:sz w:val="32"/>
          <w:szCs w:val="32"/>
        </w:rPr>
      </w:pPr>
      <w:r>
        <w:rPr>
          <w:rFonts w:eastAsia="仿宋_GB2312"/>
          <w:sz w:val="32"/>
          <w:szCs w:val="32"/>
        </w:rPr>
        <w:t>1.扣非归母净利润规模指标，根据公司年报披露的“归属于上市公司股东的扣除非经常性损益的净利润”的本期金额计算。</w:t>
      </w:r>
    </w:p>
    <w:p w14:paraId="750AFE4C">
      <w:pPr>
        <w:spacing w:line="560" w:lineRule="exact"/>
        <w:ind w:firstLine="640" w:firstLineChars="200"/>
        <w:rPr>
          <w:rFonts w:eastAsia="仿宋_GB2312"/>
          <w:sz w:val="32"/>
          <w:szCs w:val="32"/>
        </w:rPr>
      </w:pPr>
      <w:r>
        <w:rPr>
          <w:rFonts w:eastAsia="仿宋_GB2312"/>
          <w:sz w:val="32"/>
          <w:szCs w:val="32"/>
        </w:rPr>
        <w:t>2.经营活动净现金流占营业收入比重指标，根据公司年报现金流量表中“经营活动产生的现金流量净额”项目的本期发生额，除以公司年报利润表中“营业收入”项目的本期发生额计算。</w:t>
      </w:r>
    </w:p>
    <w:p w14:paraId="41C45329">
      <w:pPr>
        <w:spacing w:line="560" w:lineRule="exact"/>
        <w:ind w:firstLine="640" w:firstLineChars="200"/>
        <w:rPr>
          <w:rFonts w:eastAsia="仿宋_GB2312"/>
          <w:sz w:val="32"/>
          <w:szCs w:val="32"/>
        </w:rPr>
      </w:pPr>
      <w:r>
        <w:rPr>
          <w:rFonts w:eastAsia="仿宋_GB2312"/>
          <w:sz w:val="32"/>
          <w:szCs w:val="32"/>
        </w:rPr>
        <w:t>3.销售净利率指标，根据公司年报利润表中“净利润”项目的本期金额，除以公司年报利润表中“营业收入”项目的本期发生额计算。</w:t>
      </w:r>
    </w:p>
    <w:p w14:paraId="66E909EF">
      <w:pPr>
        <w:spacing w:line="560" w:lineRule="exact"/>
        <w:ind w:firstLine="640" w:firstLineChars="200"/>
        <w:rPr>
          <w:rFonts w:eastAsia="仿宋_GB2312"/>
          <w:sz w:val="32"/>
          <w:szCs w:val="32"/>
        </w:rPr>
      </w:pPr>
      <w:r>
        <w:rPr>
          <w:rFonts w:eastAsia="仿宋_GB2312"/>
          <w:sz w:val="32"/>
          <w:szCs w:val="32"/>
        </w:rPr>
        <w:t>4.净资产收益率指标，根据公司年报利润表中“</w:t>
      </w:r>
      <w:r>
        <w:rPr>
          <w:rFonts w:eastAsia="仿宋_GB2312"/>
          <w:sz w:val="32"/>
          <w:szCs w:val="32"/>
          <w:lang w:val="zh-CN"/>
        </w:rPr>
        <w:t>归属母公司股东</w:t>
      </w:r>
      <w:r>
        <w:rPr>
          <w:rFonts w:eastAsia="仿宋_GB2312"/>
          <w:sz w:val="32"/>
          <w:szCs w:val="32"/>
        </w:rPr>
        <w:t>的</w:t>
      </w:r>
      <w:r>
        <w:rPr>
          <w:rFonts w:eastAsia="仿宋_GB2312"/>
          <w:sz w:val="32"/>
          <w:szCs w:val="32"/>
          <w:lang w:val="zh-CN"/>
        </w:rPr>
        <w:t>净利润</w:t>
      </w:r>
      <w:r>
        <w:rPr>
          <w:rFonts w:eastAsia="仿宋_GB2312"/>
          <w:sz w:val="32"/>
          <w:szCs w:val="32"/>
        </w:rPr>
        <w:t>”项目的本期金额，除以公司年报所有者权益表中“</w:t>
      </w:r>
      <w:r>
        <w:rPr>
          <w:rFonts w:eastAsia="仿宋_GB2312"/>
          <w:sz w:val="32"/>
          <w:szCs w:val="32"/>
          <w:lang w:val="zh-CN"/>
        </w:rPr>
        <w:t>归属母公司股东的权益</w:t>
      </w:r>
      <w:r>
        <w:rPr>
          <w:rFonts w:eastAsia="仿宋_GB2312"/>
          <w:sz w:val="32"/>
          <w:szCs w:val="32"/>
        </w:rPr>
        <w:t>”项目的期初余额与期末余额的平均值计算。</w:t>
      </w:r>
    </w:p>
    <w:p w14:paraId="03900153">
      <w:pPr>
        <w:spacing w:line="560" w:lineRule="exact"/>
        <w:ind w:firstLine="640" w:firstLineChars="200"/>
        <w:rPr>
          <w:rFonts w:eastAsia="仿宋_GB2312"/>
          <w:sz w:val="32"/>
          <w:szCs w:val="32"/>
        </w:rPr>
      </w:pPr>
      <w:r>
        <w:rPr>
          <w:rFonts w:eastAsia="仿宋_GB2312"/>
          <w:sz w:val="32"/>
          <w:szCs w:val="32"/>
        </w:rPr>
        <w:t>5.营业收入增速指标，根据公司年报利润表中“营业收入”项目的本期发生额减上期发生额，除以上期发生额计算。</w:t>
      </w:r>
    </w:p>
    <w:p w14:paraId="34DC4232">
      <w:pPr>
        <w:spacing w:line="560" w:lineRule="exact"/>
        <w:ind w:firstLine="640" w:firstLineChars="200"/>
        <w:rPr>
          <w:rFonts w:eastAsia="仿宋_GB2312"/>
          <w:sz w:val="32"/>
          <w:szCs w:val="32"/>
        </w:rPr>
      </w:pPr>
      <w:r>
        <w:rPr>
          <w:rFonts w:eastAsia="仿宋_GB2312"/>
          <w:sz w:val="32"/>
          <w:szCs w:val="32"/>
        </w:rPr>
        <w:t>6.扣非归母净利润增速指标，根据公司年报披露的“归属于上市公司股东的扣除非经常性损益的净利润”的本期金额减上期金额，除以上期金额的绝对值计算。</w:t>
      </w:r>
    </w:p>
    <w:p w14:paraId="08BDD734">
      <w:pPr>
        <w:spacing w:line="560" w:lineRule="exact"/>
        <w:ind w:firstLine="640" w:firstLineChars="200"/>
        <w:rPr>
          <w:rFonts w:eastAsia="仿宋_GB2312"/>
          <w:sz w:val="32"/>
          <w:szCs w:val="32"/>
        </w:rPr>
      </w:pPr>
      <w:r>
        <w:rPr>
          <w:rFonts w:eastAsia="仿宋_GB2312"/>
          <w:sz w:val="32"/>
          <w:szCs w:val="32"/>
        </w:rPr>
        <w:t>7.业绩下滑调整指标，根据公司年报披露的“营业收入”“归属于上市公司股东的扣除非经常性损益的净利润”本期金额的同比变动情况计算。</w:t>
      </w:r>
    </w:p>
    <w:p w14:paraId="62471EF3">
      <w:pPr>
        <w:spacing w:line="560" w:lineRule="exact"/>
        <w:ind w:firstLine="640" w:firstLineChars="200"/>
        <w:rPr>
          <w:rFonts w:eastAsia="仿宋_GB2312"/>
          <w:sz w:val="32"/>
          <w:szCs w:val="32"/>
        </w:rPr>
      </w:pPr>
      <w:r>
        <w:rPr>
          <w:rFonts w:eastAsia="仿宋_GB2312"/>
          <w:sz w:val="32"/>
          <w:szCs w:val="32"/>
        </w:rPr>
        <w:t>8.研发支出占比指标，根据公司年报披露的“研发投入金额”项目的本期发生额，除以公司年报利润表中“营业收入”项目的本期发生额计算。</w:t>
      </w:r>
    </w:p>
    <w:p w14:paraId="7E17DBC3">
      <w:pPr>
        <w:spacing w:line="560" w:lineRule="exact"/>
        <w:ind w:firstLine="640" w:firstLineChars="200"/>
        <w:rPr>
          <w:rFonts w:eastAsia="仿宋_GB2312"/>
          <w:sz w:val="32"/>
          <w:szCs w:val="32"/>
        </w:rPr>
      </w:pPr>
      <w:r>
        <w:rPr>
          <w:rFonts w:eastAsia="仿宋_GB2312"/>
          <w:sz w:val="32"/>
          <w:szCs w:val="32"/>
        </w:rPr>
        <w:t>9.研发人员数量指标，根据公司年报披露的“研发人员数量”计算。</w:t>
      </w:r>
    </w:p>
    <w:p w14:paraId="1CAF6949">
      <w:pPr>
        <w:spacing w:line="560" w:lineRule="exact"/>
        <w:ind w:firstLine="640" w:firstLineChars="200"/>
        <w:rPr>
          <w:rFonts w:eastAsia="仿宋_GB2312"/>
          <w:sz w:val="32"/>
          <w:szCs w:val="32"/>
        </w:rPr>
      </w:pPr>
      <w:r>
        <w:rPr>
          <w:rFonts w:eastAsia="仿宋_GB2312"/>
          <w:sz w:val="32"/>
          <w:szCs w:val="32"/>
        </w:rPr>
        <w:t>10. 市净率指标，根据期末二十个交易日公司股票收盘价平均值乘以年度最后一个交易日公司总股本数，除以公司年报所有者权益表中“归属于母公司股东的权益”项目的期末余额计算。</w:t>
      </w:r>
    </w:p>
    <w:p w14:paraId="38346026">
      <w:pPr>
        <w:spacing w:line="560" w:lineRule="exact"/>
        <w:ind w:firstLine="640" w:firstLineChars="200"/>
        <w:rPr>
          <w:rFonts w:eastAsia="仿宋_GB2312"/>
          <w:sz w:val="32"/>
          <w:szCs w:val="32"/>
        </w:rPr>
      </w:pPr>
      <w:r>
        <w:rPr>
          <w:rFonts w:eastAsia="仿宋_GB2312"/>
          <w:sz w:val="32"/>
          <w:szCs w:val="32"/>
        </w:rPr>
        <w:t>11.总市值指标，根据期末二十个交易日公司收盘市值平均值计算。</w:t>
      </w:r>
    </w:p>
    <w:p w14:paraId="70D91F14">
      <w:pPr>
        <w:spacing w:line="560" w:lineRule="exact"/>
        <w:ind w:firstLine="640" w:firstLineChars="200"/>
        <w:rPr>
          <w:rFonts w:eastAsia="仿宋_GB2312"/>
          <w:sz w:val="32"/>
          <w:szCs w:val="32"/>
        </w:rPr>
      </w:pPr>
      <w:r>
        <w:rPr>
          <w:rFonts w:eastAsia="仿宋_GB2312"/>
          <w:sz w:val="32"/>
          <w:szCs w:val="32"/>
        </w:rPr>
        <w:t>12.年化回报率指标，根据期末二十个交易日公司股票收盘复权价平均值减期初二十个交易日开盘复权价平均值，除以期初二十个交易日开盘复权价平均值计算。</w:t>
      </w:r>
    </w:p>
    <w:p w14:paraId="1F5CAACA">
      <w:pPr>
        <w:spacing w:line="560" w:lineRule="exact"/>
        <w:ind w:firstLine="640" w:firstLineChars="200"/>
        <w:rPr>
          <w:rFonts w:eastAsia="仿宋_GB2312"/>
          <w:sz w:val="32"/>
          <w:szCs w:val="32"/>
        </w:rPr>
      </w:pPr>
      <w:r>
        <w:rPr>
          <w:rFonts w:eastAsia="仿宋_GB2312"/>
          <w:sz w:val="32"/>
          <w:szCs w:val="32"/>
        </w:rPr>
        <w:t>13.现金分红比例指标，根据</w:t>
      </w:r>
      <w:r>
        <w:rPr>
          <w:rFonts w:eastAsia="仿宋_GB2312"/>
          <w:sz w:val="32"/>
          <w:szCs w:val="32"/>
          <w:lang w:val="zh-CN"/>
        </w:rPr>
        <w:t>公司披露的现金派息</w:t>
      </w:r>
      <w:r>
        <w:rPr>
          <w:rFonts w:eastAsia="仿宋_GB2312"/>
          <w:sz w:val="32"/>
          <w:szCs w:val="32"/>
        </w:rPr>
        <w:t>金额，除以公司年报利润表中“</w:t>
      </w:r>
      <w:r>
        <w:rPr>
          <w:rFonts w:eastAsia="仿宋_GB2312"/>
          <w:sz w:val="32"/>
          <w:szCs w:val="32"/>
          <w:lang w:val="zh-CN"/>
        </w:rPr>
        <w:t>归属母公司股东</w:t>
      </w:r>
      <w:r>
        <w:rPr>
          <w:rFonts w:eastAsia="仿宋_GB2312"/>
          <w:sz w:val="32"/>
          <w:szCs w:val="32"/>
        </w:rPr>
        <w:t>的</w:t>
      </w:r>
      <w:r>
        <w:rPr>
          <w:rFonts w:eastAsia="仿宋_GB2312"/>
          <w:sz w:val="32"/>
          <w:szCs w:val="32"/>
          <w:lang w:val="zh-CN"/>
        </w:rPr>
        <w:t>净利润</w:t>
      </w:r>
      <w:r>
        <w:rPr>
          <w:rFonts w:eastAsia="仿宋_GB2312"/>
          <w:sz w:val="32"/>
          <w:szCs w:val="32"/>
        </w:rPr>
        <w:t>”项目的金额计算。</w:t>
      </w:r>
    </w:p>
    <w:p w14:paraId="7A66985C">
      <w:pPr>
        <w:spacing w:line="560" w:lineRule="exact"/>
        <w:ind w:firstLine="640" w:firstLineChars="200"/>
        <w:rPr>
          <w:rFonts w:eastAsia="仿宋_GB2312"/>
          <w:sz w:val="32"/>
          <w:szCs w:val="32"/>
        </w:rPr>
      </w:pPr>
      <w:r>
        <w:rPr>
          <w:rFonts w:eastAsia="仿宋_GB2312"/>
          <w:sz w:val="32"/>
          <w:szCs w:val="32"/>
        </w:rPr>
        <w:t>14.信息披露评级指标，根据沪深交易所公布的上市公司信息披露质量分类结果计算，共分为A、B、C、D四类。</w:t>
      </w:r>
    </w:p>
    <w:p w14:paraId="2AEFC831">
      <w:pPr>
        <w:spacing w:line="560" w:lineRule="exact"/>
        <w:ind w:firstLine="640" w:firstLineChars="200"/>
        <w:rPr>
          <w:rFonts w:eastAsia="仿宋_GB2312"/>
          <w:sz w:val="32"/>
          <w:szCs w:val="32"/>
        </w:rPr>
      </w:pPr>
      <w:r>
        <w:rPr>
          <w:rFonts w:eastAsia="仿宋_GB2312"/>
          <w:sz w:val="32"/>
          <w:szCs w:val="32"/>
        </w:rPr>
        <w:t>15.行政监管处罚指标，根据证监会、证监局对上市公司采取的监管措施及实施的行政处罚计算。其中，监管措施包括警示函、监管谈话和责令改正等，行政处罚包括警告、罚款等。</w:t>
      </w:r>
    </w:p>
    <w:p w14:paraId="53D4A680">
      <w:pPr>
        <w:spacing w:line="560" w:lineRule="exact"/>
        <w:ind w:firstLine="640" w:firstLineChars="200"/>
        <w:rPr>
          <w:rFonts w:eastAsia="仿宋_GB2312"/>
          <w:sz w:val="32"/>
          <w:szCs w:val="32"/>
        </w:rPr>
      </w:pPr>
      <w:r>
        <w:rPr>
          <w:rFonts w:eastAsia="仿宋_GB2312"/>
          <w:sz w:val="32"/>
          <w:szCs w:val="32"/>
        </w:rPr>
        <w:t>16.项目质量评分指标，根据中国证监会和沪深交易所依照审核注册工作对保荐机构首发项目的保荐质量评分计算。具体方式按照中国证券业协会发布的《证券公司投行业务质量评价办法》股票保荐业务执业质量评价的履职尽责相关指标说明执行。</w:t>
      </w:r>
    </w:p>
    <w:p w14:paraId="5943DC42">
      <w:pPr>
        <w:spacing w:line="560" w:lineRule="exact"/>
        <w:ind w:firstLine="640" w:firstLineChars="200"/>
        <w:rPr>
          <w:rFonts w:eastAsia="仿宋_GB2312"/>
          <w:sz w:val="32"/>
          <w:szCs w:val="32"/>
        </w:rPr>
      </w:pPr>
      <w:r>
        <w:rPr>
          <w:rFonts w:eastAsia="仿宋_GB2312"/>
          <w:sz w:val="32"/>
          <w:szCs w:val="32"/>
        </w:rPr>
        <w:t>17.保荐项目数量指标，根据评价年度保荐机构纳入上市公司质量评价范围的保荐上市项目的数量计算。</w:t>
      </w:r>
    </w:p>
    <w:p w14:paraId="4AAA6830">
      <w:pPr>
        <w:spacing w:line="560" w:lineRule="exact"/>
        <w:ind w:firstLine="640" w:firstLineChars="200"/>
        <w:rPr>
          <w:rFonts w:eastAsia="仿宋_GB2312"/>
          <w:sz w:val="32"/>
          <w:szCs w:val="32"/>
        </w:rPr>
      </w:pPr>
      <w:r>
        <w:rPr>
          <w:rFonts w:eastAsia="仿宋_GB2312"/>
          <w:sz w:val="32"/>
          <w:szCs w:val="32"/>
        </w:rPr>
        <w:t>18.风险警示公司占比指标，根据截至评价年度末，保荐机构纳入上市公司质量评价的保荐上市项目中，风险警示公司（ST、*ST类）的数量占比计算。</w:t>
      </w:r>
    </w:p>
    <w:p w14:paraId="21415C82">
      <w:pPr>
        <w:spacing w:line="560" w:lineRule="exact"/>
        <w:ind w:firstLine="640" w:firstLineChars="200"/>
        <w:rPr>
          <w:rFonts w:eastAsia="仿宋_GB2312"/>
          <w:sz w:val="32"/>
          <w:szCs w:val="32"/>
        </w:rPr>
      </w:pPr>
      <w:r>
        <w:rPr>
          <w:rFonts w:eastAsia="仿宋_GB2312"/>
          <w:sz w:val="32"/>
          <w:szCs w:val="32"/>
        </w:rPr>
        <w:t>19.强制退市公司占比指标，根据截至评价年度末，保荐机构纳入上市公司质量评价的保荐上市项目中，强制退市公司的数量占比计算。因不可抗力触发财务退市的，不纳入强制退市公司数量统计。</w:t>
      </w:r>
    </w:p>
    <w:p w14:paraId="7D15E960">
      <w:pPr>
        <w:spacing w:line="560" w:lineRule="exact"/>
        <w:ind w:firstLine="640" w:firstLineChars="200"/>
        <w:rPr>
          <w:rFonts w:eastAsia="仿宋_GB2312"/>
          <w:sz w:val="32"/>
          <w:szCs w:val="32"/>
        </w:rPr>
      </w:pPr>
      <w:r>
        <w:rPr>
          <w:rFonts w:eastAsia="仿宋_GB2312"/>
          <w:sz w:val="32"/>
          <w:szCs w:val="32"/>
        </w:rPr>
        <w:t>20.重大执业质量问题指标，根据评价年度保荐机构保荐的公司是否涉及欺诈发行、重大财务造假或其他重大违法行为计算。重大财务造假或其他重大违法行为发生在公司上市满3年后的，不纳入重大执业质量问题统计。</w:t>
      </w:r>
    </w:p>
    <w:sectPr>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00000000000000000"/>
    <w:charset w:val="86"/>
    <w:family w:val="modern"/>
    <w:pitch w:val="default"/>
    <w:sig w:usb0="A00002BF" w:usb1="184F6CFA" w:usb2="00000012"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MingLiU">
    <w:altName w:val="宋体"/>
    <w:panose1 w:val="02010609000101010101"/>
    <w:charset w:val="88"/>
    <w:family w:val="modern"/>
    <w:pitch w:val="default"/>
    <w:sig w:usb0="00000000" w:usb1="00000000" w:usb2="00000016" w:usb3="00000000" w:csb0="00100001" w:csb1="00000000"/>
  </w:font>
  <w:font w:name="Arial Narrow">
    <w:altName w:val="Times New Roman"/>
    <w:panose1 w:val="020B0606020202030204"/>
    <w:charset w:val="00"/>
    <w:family w:val="swiss"/>
    <w:pitch w:val="default"/>
    <w:sig w:usb0="00000000" w:usb1="00000000" w:usb2="00000000" w:usb3="00000000" w:csb0="0000009F" w:csb1="00000000"/>
  </w:font>
  <w:font w:name="Courier New">
    <w:altName w:val="DejaVu Sans"/>
    <w:panose1 w:val="02070309020205020404"/>
    <w:charset w:val="00"/>
    <w:family w:val="modern"/>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B82C">
    <w:pPr>
      <w:pStyle w:val="14"/>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E5C60">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AE5C60">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13E4DAE">
    <w:pPr>
      <w:pStyle w:val="1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75102">
    <w:pPr>
      <w:pStyle w:val="14"/>
      <w:rPr>
        <w:rStyle w:val="24"/>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76A86">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7E76A86">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6427CB4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92FF">
    <w:pPr>
      <w:pStyle w:val="14"/>
      <w:jc w:val="right"/>
      <w:rPr>
        <w:rFonts w:eastAsia="仿宋_GB2312"/>
        <w:bCs/>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710F">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998710F">
                    <w:pPr>
                      <w:pStyle w:val="1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1A2B24A4">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formatting="1"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EF"/>
    <w:rsid w:val="00000129"/>
    <w:rsid w:val="000035C2"/>
    <w:rsid w:val="00003A68"/>
    <w:rsid w:val="00003D8E"/>
    <w:rsid w:val="00003DA0"/>
    <w:rsid w:val="00003E8C"/>
    <w:rsid w:val="00004430"/>
    <w:rsid w:val="00005A79"/>
    <w:rsid w:val="00005B23"/>
    <w:rsid w:val="00006674"/>
    <w:rsid w:val="00006A85"/>
    <w:rsid w:val="00006FFE"/>
    <w:rsid w:val="00007067"/>
    <w:rsid w:val="0000709F"/>
    <w:rsid w:val="00011692"/>
    <w:rsid w:val="0001288B"/>
    <w:rsid w:val="00012B1F"/>
    <w:rsid w:val="00012C3E"/>
    <w:rsid w:val="00014629"/>
    <w:rsid w:val="000151C4"/>
    <w:rsid w:val="00015958"/>
    <w:rsid w:val="00017136"/>
    <w:rsid w:val="000239F1"/>
    <w:rsid w:val="000240B8"/>
    <w:rsid w:val="00024B3B"/>
    <w:rsid w:val="00025142"/>
    <w:rsid w:val="0002620E"/>
    <w:rsid w:val="000262E6"/>
    <w:rsid w:val="00026687"/>
    <w:rsid w:val="000276E7"/>
    <w:rsid w:val="00027727"/>
    <w:rsid w:val="0002778D"/>
    <w:rsid w:val="000305CD"/>
    <w:rsid w:val="0003071F"/>
    <w:rsid w:val="00030A7C"/>
    <w:rsid w:val="00031495"/>
    <w:rsid w:val="00031571"/>
    <w:rsid w:val="0003312F"/>
    <w:rsid w:val="0003397B"/>
    <w:rsid w:val="00033D8B"/>
    <w:rsid w:val="00034985"/>
    <w:rsid w:val="000356FB"/>
    <w:rsid w:val="00037244"/>
    <w:rsid w:val="00040550"/>
    <w:rsid w:val="00041067"/>
    <w:rsid w:val="00041532"/>
    <w:rsid w:val="00042327"/>
    <w:rsid w:val="00043B16"/>
    <w:rsid w:val="00043DAC"/>
    <w:rsid w:val="0004439B"/>
    <w:rsid w:val="00044E84"/>
    <w:rsid w:val="0004684E"/>
    <w:rsid w:val="000469AE"/>
    <w:rsid w:val="00047CAF"/>
    <w:rsid w:val="00050226"/>
    <w:rsid w:val="00050476"/>
    <w:rsid w:val="00050480"/>
    <w:rsid w:val="000509C0"/>
    <w:rsid w:val="0005241E"/>
    <w:rsid w:val="00052A2D"/>
    <w:rsid w:val="00052B27"/>
    <w:rsid w:val="00052DC8"/>
    <w:rsid w:val="0005351D"/>
    <w:rsid w:val="00053789"/>
    <w:rsid w:val="00053ACC"/>
    <w:rsid w:val="00053DC1"/>
    <w:rsid w:val="00054A95"/>
    <w:rsid w:val="00054CE9"/>
    <w:rsid w:val="00055B1A"/>
    <w:rsid w:val="00057286"/>
    <w:rsid w:val="0006063E"/>
    <w:rsid w:val="00060796"/>
    <w:rsid w:val="000608C7"/>
    <w:rsid w:val="0006321A"/>
    <w:rsid w:val="000644DF"/>
    <w:rsid w:val="000656B0"/>
    <w:rsid w:val="0006590D"/>
    <w:rsid w:val="00065931"/>
    <w:rsid w:val="0006664D"/>
    <w:rsid w:val="00066CE6"/>
    <w:rsid w:val="00067052"/>
    <w:rsid w:val="00067D5D"/>
    <w:rsid w:val="000701D3"/>
    <w:rsid w:val="000705D9"/>
    <w:rsid w:val="000710C2"/>
    <w:rsid w:val="000741BF"/>
    <w:rsid w:val="000745C8"/>
    <w:rsid w:val="0007567C"/>
    <w:rsid w:val="00076245"/>
    <w:rsid w:val="00076439"/>
    <w:rsid w:val="00076992"/>
    <w:rsid w:val="00076DE4"/>
    <w:rsid w:val="00076ED9"/>
    <w:rsid w:val="0007708F"/>
    <w:rsid w:val="00077103"/>
    <w:rsid w:val="000801ED"/>
    <w:rsid w:val="000803D1"/>
    <w:rsid w:val="00082326"/>
    <w:rsid w:val="00084124"/>
    <w:rsid w:val="000842CE"/>
    <w:rsid w:val="00085817"/>
    <w:rsid w:val="0008581C"/>
    <w:rsid w:val="00085F9D"/>
    <w:rsid w:val="00086EAF"/>
    <w:rsid w:val="000900FE"/>
    <w:rsid w:val="000913E3"/>
    <w:rsid w:val="00094788"/>
    <w:rsid w:val="000951EA"/>
    <w:rsid w:val="00095222"/>
    <w:rsid w:val="00095FAE"/>
    <w:rsid w:val="0009775C"/>
    <w:rsid w:val="00097E86"/>
    <w:rsid w:val="000A0433"/>
    <w:rsid w:val="000A05C6"/>
    <w:rsid w:val="000A0986"/>
    <w:rsid w:val="000A0BAE"/>
    <w:rsid w:val="000A39D7"/>
    <w:rsid w:val="000A3FD1"/>
    <w:rsid w:val="000A44BD"/>
    <w:rsid w:val="000A5690"/>
    <w:rsid w:val="000A59AB"/>
    <w:rsid w:val="000A6652"/>
    <w:rsid w:val="000A75E6"/>
    <w:rsid w:val="000A7869"/>
    <w:rsid w:val="000A794B"/>
    <w:rsid w:val="000A7B3E"/>
    <w:rsid w:val="000A7DC8"/>
    <w:rsid w:val="000B0129"/>
    <w:rsid w:val="000B19A7"/>
    <w:rsid w:val="000B1C87"/>
    <w:rsid w:val="000B2288"/>
    <w:rsid w:val="000B333B"/>
    <w:rsid w:val="000B398E"/>
    <w:rsid w:val="000B3D07"/>
    <w:rsid w:val="000B5607"/>
    <w:rsid w:val="000B6749"/>
    <w:rsid w:val="000B7317"/>
    <w:rsid w:val="000B7E72"/>
    <w:rsid w:val="000C007F"/>
    <w:rsid w:val="000C20AC"/>
    <w:rsid w:val="000C20E3"/>
    <w:rsid w:val="000C295B"/>
    <w:rsid w:val="000C3289"/>
    <w:rsid w:val="000C3BA3"/>
    <w:rsid w:val="000C3EB6"/>
    <w:rsid w:val="000C52E2"/>
    <w:rsid w:val="000C5311"/>
    <w:rsid w:val="000C5C54"/>
    <w:rsid w:val="000C6569"/>
    <w:rsid w:val="000C7834"/>
    <w:rsid w:val="000D01F8"/>
    <w:rsid w:val="000D07F8"/>
    <w:rsid w:val="000D0E4F"/>
    <w:rsid w:val="000D1581"/>
    <w:rsid w:val="000D1BC5"/>
    <w:rsid w:val="000D2523"/>
    <w:rsid w:val="000D3CD2"/>
    <w:rsid w:val="000D3F1B"/>
    <w:rsid w:val="000D4FB5"/>
    <w:rsid w:val="000D58C2"/>
    <w:rsid w:val="000D58D0"/>
    <w:rsid w:val="000D7163"/>
    <w:rsid w:val="000D7B58"/>
    <w:rsid w:val="000D7EE6"/>
    <w:rsid w:val="000E177D"/>
    <w:rsid w:val="000E1AD8"/>
    <w:rsid w:val="000E32CB"/>
    <w:rsid w:val="000E3610"/>
    <w:rsid w:val="000E452F"/>
    <w:rsid w:val="000E594B"/>
    <w:rsid w:val="000E6442"/>
    <w:rsid w:val="000E654A"/>
    <w:rsid w:val="000E71A2"/>
    <w:rsid w:val="000E74C3"/>
    <w:rsid w:val="000E7CB5"/>
    <w:rsid w:val="000F06F0"/>
    <w:rsid w:val="000F1083"/>
    <w:rsid w:val="000F10E7"/>
    <w:rsid w:val="000F1512"/>
    <w:rsid w:val="000F1AD4"/>
    <w:rsid w:val="000F2EA0"/>
    <w:rsid w:val="000F4021"/>
    <w:rsid w:val="000F4943"/>
    <w:rsid w:val="000F532D"/>
    <w:rsid w:val="000F53FC"/>
    <w:rsid w:val="000F5480"/>
    <w:rsid w:val="000F6DE8"/>
    <w:rsid w:val="000F7152"/>
    <w:rsid w:val="000F7640"/>
    <w:rsid w:val="000F7CFE"/>
    <w:rsid w:val="0010045A"/>
    <w:rsid w:val="0010084A"/>
    <w:rsid w:val="0010205F"/>
    <w:rsid w:val="00102716"/>
    <w:rsid w:val="00103F38"/>
    <w:rsid w:val="001050AA"/>
    <w:rsid w:val="00105176"/>
    <w:rsid w:val="001055CB"/>
    <w:rsid w:val="001058F9"/>
    <w:rsid w:val="00105F64"/>
    <w:rsid w:val="00106B93"/>
    <w:rsid w:val="00106F3B"/>
    <w:rsid w:val="00107DC0"/>
    <w:rsid w:val="001107F2"/>
    <w:rsid w:val="00110957"/>
    <w:rsid w:val="00110ECF"/>
    <w:rsid w:val="00112101"/>
    <w:rsid w:val="001124BD"/>
    <w:rsid w:val="00112C85"/>
    <w:rsid w:val="0011301F"/>
    <w:rsid w:val="00114090"/>
    <w:rsid w:val="00115C99"/>
    <w:rsid w:val="001162EC"/>
    <w:rsid w:val="00116555"/>
    <w:rsid w:val="00117028"/>
    <w:rsid w:val="001172E3"/>
    <w:rsid w:val="00117411"/>
    <w:rsid w:val="00121F4A"/>
    <w:rsid w:val="00122F99"/>
    <w:rsid w:val="0012487B"/>
    <w:rsid w:val="00125365"/>
    <w:rsid w:val="001259CE"/>
    <w:rsid w:val="00125E28"/>
    <w:rsid w:val="00126D8B"/>
    <w:rsid w:val="00126F33"/>
    <w:rsid w:val="00130CB5"/>
    <w:rsid w:val="0013101E"/>
    <w:rsid w:val="0013178E"/>
    <w:rsid w:val="001317D1"/>
    <w:rsid w:val="00131CA1"/>
    <w:rsid w:val="001331EB"/>
    <w:rsid w:val="001332D9"/>
    <w:rsid w:val="00133FE3"/>
    <w:rsid w:val="001343BD"/>
    <w:rsid w:val="0013485E"/>
    <w:rsid w:val="00134A0E"/>
    <w:rsid w:val="001350B6"/>
    <w:rsid w:val="00135984"/>
    <w:rsid w:val="0014024C"/>
    <w:rsid w:val="001403A8"/>
    <w:rsid w:val="00140578"/>
    <w:rsid w:val="00140754"/>
    <w:rsid w:val="00140ABF"/>
    <w:rsid w:val="00140D30"/>
    <w:rsid w:val="00140F89"/>
    <w:rsid w:val="00141728"/>
    <w:rsid w:val="00141B57"/>
    <w:rsid w:val="00142306"/>
    <w:rsid w:val="0014264A"/>
    <w:rsid w:val="00142898"/>
    <w:rsid w:val="00142DC8"/>
    <w:rsid w:val="00143716"/>
    <w:rsid w:val="0014378A"/>
    <w:rsid w:val="001437C2"/>
    <w:rsid w:val="00143A72"/>
    <w:rsid w:val="00144CA9"/>
    <w:rsid w:val="00145439"/>
    <w:rsid w:val="001454DF"/>
    <w:rsid w:val="00145B8C"/>
    <w:rsid w:val="00146205"/>
    <w:rsid w:val="00146919"/>
    <w:rsid w:val="00146C87"/>
    <w:rsid w:val="00147986"/>
    <w:rsid w:val="0015187E"/>
    <w:rsid w:val="001518CF"/>
    <w:rsid w:val="00155995"/>
    <w:rsid w:val="00155B10"/>
    <w:rsid w:val="00155E01"/>
    <w:rsid w:val="00160F94"/>
    <w:rsid w:val="001638CA"/>
    <w:rsid w:val="00163A18"/>
    <w:rsid w:val="00164110"/>
    <w:rsid w:val="001643C8"/>
    <w:rsid w:val="00164675"/>
    <w:rsid w:val="00164754"/>
    <w:rsid w:val="001648CF"/>
    <w:rsid w:val="00164E21"/>
    <w:rsid w:val="00166367"/>
    <w:rsid w:val="001663EA"/>
    <w:rsid w:val="0016647F"/>
    <w:rsid w:val="00166760"/>
    <w:rsid w:val="00166B45"/>
    <w:rsid w:val="001678BF"/>
    <w:rsid w:val="00167D4F"/>
    <w:rsid w:val="00167D85"/>
    <w:rsid w:val="001704CD"/>
    <w:rsid w:val="001704FF"/>
    <w:rsid w:val="00170821"/>
    <w:rsid w:val="00171F06"/>
    <w:rsid w:val="00173536"/>
    <w:rsid w:val="00173732"/>
    <w:rsid w:val="00174312"/>
    <w:rsid w:val="00174F65"/>
    <w:rsid w:val="00174FE0"/>
    <w:rsid w:val="001807C2"/>
    <w:rsid w:val="00180A3B"/>
    <w:rsid w:val="0018125F"/>
    <w:rsid w:val="00181A40"/>
    <w:rsid w:val="00182EED"/>
    <w:rsid w:val="00183F42"/>
    <w:rsid w:val="00184752"/>
    <w:rsid w:val="00184B80"/>
    <w:rsid w:val="00184E7A"/>
    <w:rsid w:val="00185A25"/>
    <w:rsid w:val="00185DE0"/>
    <w:rsid w:val="0018753E"/>
    <w:rsid w:val="00187A55"/>
    <w:rsid w:val="001904EA"/>
    <w:rsid w:val="00191ACC"/>
    <w:rsid w:val="00192308"/>
    <w:rsid w:val="00192966"/>
    <w:rsid w:val="00192984"/>
    <w:rsid w:val="00192DA6"/>
    <w:rsid w:val="00192E0E"/>
    <w:rsid w:val="00193E5C"/>
    <w:rsid w:val="00193F8E"/>
    <w:rsid w:val="0019538E"/>
    <w:rsid w:val="001955EC"/>
    <w:rsid w:val="001958D2"/>
    <w:rsid w:val="001960F1"/>
    <w:rsid w:val="00196416"/>
    <w:rsid w:val="001967AF"/>
    <w:rsid w:val="00196822"/>
    <w:rsid w:val="00197493"/>
    <w:rsid w:val="001A05D1"/>
    <w:rsid w:val="001A15B0"/>
    <w:rsid w:val="001A1ADA"/>
    <w:rsid w:val="001A1ADB"/>
    <w:rsid w:val="001A1EDF"/>
    <w:rsid w:val="001A27BC"/>
    <w:rsid w:val="001A2E11"/>
    <w:rsid w:val="001A44ED"/>
    <w:rsid w:val="001A4CBF"/>
    <w:rsid w:val="001A5715"/>
    <w:rsid w:val="001A7249"/>
    <w:rsid w:val="001A72C4"/>
    <w:rsid w:val="001A7696"/>
    <w:rsid w:val="001B12BC"/>
    <w:rsid w:val="001B20AB"/>
    <w:rsid w:val="001B37CA"/>
    <w:rsid w:val="001B3DBC"/>
    <w:rsid w:val="001B4BAA"/>
    <w:rsid w:val="001B4F15"/>
    <w:rsid w:val="001B5351"/>
    <w:rsid w:val="001B59EB"/>
    <w:rsid w:val="001B5F22"/>
    <w:rsid w:val="001B63E7"/>
    <w:rsid w:val="001B763E"/>
    <w:rsid w:val="001B7891"/>
    <w:rsid w:val="001B7AC5"/>
    <w:rsid w:val="001B7BE4"/>
    <w:rsid w:val="001C00CB"/>
    <w:rsid w:val="001C03ED"/>
    <w:rsid w:val="001C0F1D"/>
    <w:rsid w:val="001C1133"/>
    <w:rsid w:val="001C1827"/>
    <w:rsid w:val="001C1D40"/>
    <w:rsid w:val="001C22D1"/>
    <w:rsid w:val="001C2C0C"/>
    <w:rsid w:val="001C30EE"/>
    <w:rsid w:val="001C323B"/>
    <w:rsid w:val="001C3AF1"/>
    <w:rsid w:val="001C4632"/>
    <w:rsid w:val="001C4D13"/>
    <w:rsid w:val="001C4D86"/>
    <w:rsid w:val="001C57D9"/>
    <w:rsid w:val="001C730D"/>
    <w:rsid w:val="001C7641"/>
    <w:rsid w:val="001C79C8"/>
    <w:rsid w:val="001C7E64"/>
    <w:rsid w:val="001D005E"/>
    <w:rsid w:val="001D0207"/>
    <w:rsid w:val="001D0752"/>
    <w:rsid w:val="001D0B04"/>
    <w:rsid w:val="001D173E"/>
    <w:rsid w:val="001D1870"/>
    <w:rsid w:val="001D1C3A"/>
    <w:rsid w:val="001D2F3F"/>
    <w:rsid w:val="001D34A0"/>
    <w:rsid w:val="001D3BC5"/>
    <w:rsid w:val="001D3D15"/>
    <w:rsid w:val="001D429C"/>
    <w:rsid w:val="001D473E"/>
    <w:rsid w:val="001D5349"/>
    <w:rsid w:val="001D5756"/>
    <w:rsid w:val="001D72A1"/>
    <w:rsid w:val="001D76F6"/>
    <w:rsid w:val="001E0163"/>
    <w:rsid w:val="001E0BDA"/>
    <w:rsid w:val="001E0E9A"/>
    <w:rsid w:val="001E2E57"/>
    <w:rsid w:val="001E2FA5"/>
    <w:rsid w:val="001E308F"/>
    <w:rsid w:val="001E36A5"/>
    <w:rsid w:val="001E4331"/>
    <w:rsid w:val="001E4738"/>
    <w:rsid w:val="001E4B8A"/>
    <w:rsid w:val="001E535D"/>
    <w:rsid w:val="001E6FA5"/>
    <w:rsid w:val="001E72C1"/>
    <w:rsid w:val="001E76A1"/>
    <w:rsid w:val="001E776C"/>
    <w:rsid w:val="001E7806"/>
    <w:rsid w:val="001F163C"/>
    <w:rsid w:val="001F1814"/>
    <w:rsid w:val="001F186C"/>
    <w:rsid w:val="001F1B53"/>
    <w:rsid w:val="001F2866"/>
    <w:rsid w:val="001F31C1"/>
    <w:rsid w:val="001F3A2B"/>
    <w:rsid w:val="001F474F"/>
    <w:rsid w:val="001F4E76"/>
    <w:rsid w:val="001F70A7"/>
    <w:rsid w:val="001F7538"/>
    <w:rsid w:val="001F7800"/>
    <w:rsid w:val="00200E30"/>
    <w:rsid w:val="002023E4"/>
    <w:rsid w:val="002028CB"/>
    <w:rsid w:val="00203454"/>
    <w:rsid w:val="00203FC6"/>
    <w:rsid w:val="00204E45"/>
    <w:rsid w:val="0020501A"/>
    <w:rsid w:val="002069A4"/>
    <w:rsid w:val="002075A7"/>
    <w:rsid w:val="00207717"/>
    <w:rsid w:val="00207C22"/>
    <w:rsid w:val="00210773"/>
    <w:rsid w:val="00210C87"/>
    <w:rsid w:val="00211A9B"/>
    <w:rsid w:val="0021284F"/>
    <w:rsid w:val="002129AA"/>
    <w:rsid w:val="00213261"/>
    <w:rsid w:val="00214126"/>
    <w:rsid w:val="002146D0"/>
    <w:rsid w:val="002151BF"/>
    <w:rsid w:val="0021564F"/>
    <w:rsid w:val="00216F60"/>
    <w:rsid w:val="00217031"/>
    <w:rsid w:val="0021705E"/>
    <w:rsid w:val="00221D59"/>
    <w:rsid w:val="00222800"/>
    <w:rsid w:val="00223789"/>
    <w:rsid w:val="00224321"/>
    <w:rsid w:val="002243E3"/>
    <w:rsid w:val="0022496D"/>
    <w:rsid w:val="00224E07"/>
    <w:rsid w:val="00225CB0"/>
    <w:rsid w:val="002261B6"/>
    <w:rsid w:val="00226536"/>
    <w:rsid w:val="00226706"/>
    <w:rsid w:val="002273C3"/>
    <w:rsid w:val="00232300"/>
    <w:rsid w:val="00232462"/>
    <w:rsid w:val="0023278A"/>
    <w:rsid w:val="00232848"/>
    <w:rsid w:val="0023330D"/>
    <w:rsid w:val="0023407D"/>
    <w:rsid w:val="00234197"/>
    <w:rsid w:val="00235B2B"/>
    <w:rsid w:val="0023626F"/>
    <w:rsid w:val="00236579"/>
    <w:rsid w:val="002365C6"/>
    <w:rsid w:val="00236DCE"/>
    <w:rsid w:val="002376B0"/>
    <w:rsid w:val="002378EE"/>
    <w:rsid w:val="00237D01"/>
    <w:rsid w:val="00240066"/>
    <w:rsid w:val="00240D7D"/>
    <w:rsid w:val="00241279"/>
    <w:rsid w:val="00242535"/>
    <w:rsid w:val="00242BC3"/>
    <w:rsid w:val="00244A2F"/>
    <w:rsid w:val="002450C6"/>
    <w:rsid w:val="002463D0"/>
    <w:rsid w:val="00246D72"/>
    <w:rsid w:val="00247537"/>
    <w:rsid w:val="0024763B"/>
    <w:rsid w:val="00250A6C"/>
    <w:rsid w:val="00250B40"/>
    <w:rsid w:val="00252066"/>
    <w:rsid w:val="00252915"/>
    <w:rsid w:val="00252A80"/>
    <w:rsid w:val="00253113"/>
    <w:rsid w:val="00253457"/>
    <w:rsid w:val="00253F31"/>
    <w:rsid w:val="00254343"/>
    <w:rsid w:val="00255321"/>
    <w:rsid w:val="00255952"/>
    <w:rsid w:val="002561BC"/>
    <w:rsid w:val="00256B50"/>
    <w:rsid w:val="002572B8"/>
    <w:rsid w:val="002576B7"/>
    <w:rsid w:val="00262330"/>
    <w:rsid w:val="0026282D"/>
    <w:rsid w:val="00262E00"/>
    <w:rsid w:val="002634D3"/>
    <w:rsid w:val="0026375E"/>
    <w:rsid w:val="00263822"/>
    <w:rsid w:val="0026432A"/>
    <w:rsid w:val="002649A0"/>
    <w:rsid w:val="0026518B"/>
    <w:rsid w:val="00265DDA"/>
    <w:rsid w:val="0026616A"/>
    <w:rsid w:val="00266F47"/>
    <w:rsid w:val="00267EB5"/>
    <w:rsid w:val="00270062"/>
    <w:rsid w:val="00271FCC"/>
    <w:rsid w:val="002722A6"/>
    <w:rsid w:val="002728D6"/>
    <w:rsid w:val="00272B69"/>
    <w:rsid w:val="00273087"/>
    <w:rsid w:val="00273189"/>
    <w:rsid w:val="00273D12"/>
    <w:rsid w:val="0027485D"/>
    <w:rsid w:val="00274CCF"/>
    <w:rsid w:val="00275E6B"/>
    <w:rsid w:val="00276557"/>
    <w:rsid w:val="00276859"/>
    <w:rsid w:val="00277147"/>
    <w:rsid w:val="00281D1F"/>
    <w:rsid w:val="00281E0F"/>
    <w:rsid w:val="00282002"/>
    <w:rsid w:val="00282BFF"/>
    <w:rsid w:val="00283776"/>
    <w:rsid w:val="00283B73"/>
    <w:rsid w:val="002846AE"/>
    <w:rsid w:val="00284A1B"/>
    <w:rsid w:val="0028568D"/>
    <w:rsid w:val="00285889"/>
    <w:rsid w:val="002872D2"/>
    <w:rsid w:val="00287A46"/>
    <w:rsid w:val="00287EB0"/>
    <w:rsid w:val="0029052A"/>
    <w:rsid w:val="00291600"/>
    <w:rsid w:val="0029245E"/>
    <w:rsid w:val="00292D03"/>
    <w:rsid w:val="00292D71"/>
    <w:rsid w:val="00294308"/>
    <w:rsid w:val="0029477F"/>
    <w:rsid w:val="002948E6"/>
    <w:rsid w:val="0029549E"/>
    <w:rsid w:val="00295AF2"/>
    <w:rsid w:val="00295F73"/>
    <w:rsid w:val="00296795"/>
    <w:rsid w:val="002A019D"/>
    <w:rsid w:val="002A01D2"/>
    <w:rsid w:val="002A0BA8"/>
    <w:rsid w:val="002A0FD7"/>
    <w:rsid w:val="002A1C82"/>
    <w:rsid w:val="002A1F31"/>
    <w:rsid w:val="002A2BC2"/>
    <w:rsid w:val="002A2E0B"/>
    <w:rsid w:val="002A413B"/>
    <w:rsid w:val="002A4B66"/>
    <w:rsid w:val="002A4C75"/>
    <w:rsid w:val="002A4D45"/>
    <w:rsid w:val="002A5FAB"/>
    <w:rsid w:val="002A6AC7"/>
    <w:rsid w:val="002A725A"/>
    <w:rsid w:val="002B05BE"/>
    <w:rsid w:val="002B0BC3"/>
    <w:rsid w:val="002B15DD"/>
    <w:rsid w:val="002B25D6"/>
    <w:rsid w:val="002B3B89"/>
    <w:rsid w:val="002B3C4E"/>
    <w:rsid w:val="002B3FEC"/>
    <w:rsid w:val="002B40AF"/>
    <w:rsid w:val="002B4ADF"/>
    <w:rsid w:val="002B5571"/>
    <w:rsid w:val="002B57FA"/>
    <w:rsid w:val="002C03EC"/>
    <w:rsid w:val="002C1419"/>
    <w:rsid w:val="002C2074"/>
    <w:rsid w:val="002C2271"/>
    <w:rsid w:val="002C2CD0"/>
    <w:rsid w:val="002C2F58"/>
    <w:rsid w:val="002C3B90"/>
    <w:rsid w:val="002C3F59"/>
    <w:rsid w:val="002C4B82"/>
    <w:rsid w:val="002C5224"/>
    <w:rsid w:val="002C547F"/>
    <w:rsid w:val="002C5B78"/>
    <w:rsid w:val="002C5CC5"/>
    <w:rsid w:val="002C6C7E"/>
    <w:rsid w:val="002C7895"/>
    <w:rsid w:val="002C7D80"/>
    <w:rsid w:val="002D060F"/>
    <w:rsid w:val="002D065D"/>
    <w:rsid w:val="002D1FC6"/>
    <w:rsid w:val="002D2D9C"/>
    <w:rsid w:val="002D3E0C"/>
    <w:rsid w:val="002D4853"/>
    <w:rsid w:val="002D4A94"/>
    <w:rsid w:val="002D4C97"/>
    <w:rsid w:val="002D4CF4"/>
    <w:rsid w:val="002D703F"/>
    <w:rsid w:val="002D7BF4"/>
    <w:rsid w:val="002E0A63"/>
    <w:rsid w:val="002E2101"/>
    <w:rsid w:val="002E2633"/>
    <w:rsid w:val="002E269F"/>
    <w:rsid w:val="002E2810"/>
    <w:rsid w:val="002E3A8B"/>
    <w:rsid w:val="002E3D09"/>
    <w:rsid w:val="002E40B1"/>
    <w:rsid w:val="002E415B"/>
    <w:rsid w:val="002E445F"/>
    <w:rsid w:val="002E477C"/>
    <w:rsid w:val="002E4DDF"/>
    <w:rsid w:val="002E50D6"/>
    <w:rsid w:val="002E5931"/>
    <w:rsid w:val="002E7431"/>
    <w:rsid w:val="002E7745"/>
    <w:rsid w:val="002E7AEC"/>
    <w:rsid w:val="002F0439"/>
    <w:rsid w:val="002F06C5"/>
    <w:rsid w:val="002F0CD9"/>
    <w:rsid w:val="002F0E03"/>
    <w:rsid w:val="002F1F3F"/>
    <w:rsid w:val="002F2683"/>
    <w:rsid w:val="002F399E"/>
    <w:rsid w:val="002F3DDF"/>
    <w:rsid w:val="002F4399"/>
    <w:rsid w:val="002F473E"/>
    <w:rsid w:val="002F4AA8"/>
    <w:rsid w:val="002F50EC"/>
    <w:rsid w:val="002F55AC"/>
    <w:rsid w:val="002F56D9"/>
    <w:rsid w:val="002F5977"/>
    <w:rsid w:val="00300057"/>
    <w:rsid w:val="003006E1"/>
    <w:rsid w:val="00300ADC"/>
    <w:rsid w:val="003010D5"/>
    <w:rsid w:val="00301577"/>
    <w:rsid w:val="0030264D"/>
    <w:rsid w:val="003043B6"/>
    <w:rsid w:val="00304524"/>
    <w:rsid w:val="003047EF"/>
    <w:rsid w:val="00304A38"/>
    <w:rsid w:val="00304DA5"/>
    <w:rsid w:val="003056B1"/>
    <w:rsid w:val="0030649C"/>
    <w:rsid w:val="00306CCA"/>
    <w:rsid w:val="003077E5"/>
    <w:rsid w:val="00307F73"/>
    <w:rsid w:val="00307F9B"/>
    <w:rsid w:val="003125BB"/>
    <w:rsid w:val="00312876"/>
    <w:rsid w:val="00312A5D"/>
    <w:rsid w:val="00312D4E"/>
    <w:rsid w:val="003133FD"/>
    <w:rsid w:val="00313BF5"/>
    <w:rsid w:val="003140FC"/>
    <w:rsid w:val="00314C69"/>
    <w:rsid w:val="00314D59"/>
    <w:rsid w:val="003164C7"/>
    <w:rsid w:val="003169CE"/>
    <w:rsid w:val="00317287"/>
    <w:rsid w:val="00317A79"/>
    <w:rsid w:val="00317F0B"/>
    <w:rsid w:val="00317FE9"/>
    <w:rsid w:val="00320776"/>
    <w:rsid w:val="00320A6F"/>
    <w:rsid w:val="00320CB5"/>
    <w:rsid w:val="00320E7B"/>
    <w:rsid w:val="003214E3"/>
    <w:rsid w:val="0032214C"/>
    <w:rsid w:val="00323438"/>
    <w:rsid w:val="003237A2"/>
    <w:rsid w:val="00323BEF"/>
    <w:rsid w:val="00323F8B"/>
    <w:rsid w:val="00324529"/>
    <w:rsid w:val="00324530"/>
    <w:rsid w:val="00324EEC"/>
    <w:rsid w:val="00325A7F"/>
    <w:rsid w:val="00325D80"/>
    <w:rsid w:val="0032607B"/>
    <w:rsid w:val="00326622"/>
    <w:rsid w:val="0032757A"/>
    <w:rsid w:val="0032799D"/>
    <w:rsid w:val="00330408"/>
    <w:rsid w:val="00332020"/>
    <w:rsid w:val="00332772"/>
    <w:rsid w:val="00332E99"/>
    <w:rsid w:val="00334365"/>
    <w:rsid w:val="00335309"/>
    <w:rsid w:val="00336A4B"/>
    <w:rsid w:val="00337022"/>
    <w:rsid w:val="003400CA"/>
    <w:rsid w:val="00341F06"/>
    <w:rsid w:val="00343EF7"/>
    <w:rsid w:val="003440DF"/>
    <w:rsid w:val="003442CC"/>
    <w:rsid w:val="003453BD"/>
    <w:rsid w:val="00345F01"/>
    <w:rsid w:val="003473CD"/>
    <w:rsid w:val="00347571"/>
    <w:rsid w:val="00347624"/>
    <w:rsid w:val="003522F9"/>
    <w:rsid w:val="0035236D"/>
    <w:rsid w:val="003544A4"/>
    <w:rsid w:val="00354796"/>
    <w:rsid w:val="00354A08"/>
    <w:rsid w:val="00354B55"/>
    <w:rsid w:val="00354D43"/>
    <w:rsid w:val="003553FC"/>
    <w:rsid w:val="003568DC"/>
    <w:rsid w:val="003568ED"/>
    <w:rsid w:val="00356AFB"/>
    <w:rsid w:val="00356CF0"/>
    <w:rsid w:val="0035784B"/>
    <w:rsid w:val="00357F3D"/>
    <w:rsid w:val="00361103"/>
    <w:rsid w:val="0036228F"/>
    <w:rsid w:val="003623FA"/>
    <w:rsid w:val="00362DA1"/>
    <w:rsid w:val="003630EC"/>
    <w:rsid w:val="00363A14"/>
    <w:rsid w:val="00364048"/>
    <w:rsid w:val="00364FA0"/>
    <w:rsid w:val="00366C76"/>
    <w:rsid w:val="00366C9F"/>
    <w:rsid w:val="00367309"/>
    <w:rsid w:val="00367489"/>
    <w:rsid w:val="00367493"/>
    <w:rsid w:val="00367DB9"/>
    <w:rsid w:val="00370147"/>
    <w:rsid w:val="00370176"/>
    <w:rsid w:val="00371235"/>
    <w:rsid w:val="003716EF"/>
    <w:rsid w:val="003722B4"/>
    <w:rsid w:val="00372B42"/>
    <w:rsid w:val="00372E08"/>
    <w:rsid w:val="00373B85"/>
    <w:rsid w:val="00373BD2"/>
    <w:rsid w:val="003755E7"/>
    <w:rsid w:val="00375CCB"/>
    <w:rsid w:val="00376D03"/>
    <w:rsid w:val="00377326"/>
    <w:rsid w:val="00380773"/>
    <w:rsid w:val="00382EAC"/>
    <w:rsid w:val="003843E2"/>
    <w:rsid w:val="003847E9"/>
    <w:rsid w:val="0038568D"/>
    <w:rsid w:val="003856D3"/>
    <w:rsid w:val="00385DA0"/>
    <w:rsid w:val="00386B9E"/>
    <w:rsid w:val="00386FC7"/>
    <w:rsid w:val="00386FF0"/>
    <w:rsid w:val="0038716E"/>
    <w:rsid w:val="00387720"/>
    <w:rsid w:val="0039049E"/>
    <w:rsid w:val="00390547"/>
    <w:rsid w:val="003908C1"/>
    <w:rsid w:val="00391017"/>
    <w:rsid w:val="00391B40"/>
    <w:rsid w:val="00391FB1"/>
    <w:rsid w:val="00392872"/>
    <w:rsid w:val="00392D2D"/>
    <w:rsid w:val="00393373"/>
    <w:rsid w:val="00393AC8"/>
    <w:rsid w:val="00394383"/>
    <w:rsid w:val="00394417"/>
    <w:rsid w:val="003947ED"/>
    <w:rsid w:val="003950AB"/>
    <w:rsid w:val="00395545"/>
    <w:rsid w:val="00395A90"/>
    <w:rsid w:val="0039681A"/>
    <w:rsid w:val="00396869"/>
    <w:rsid w:val="00397EAD"/>
    <w:rsid w:val="00397F71"/>
    <w:rsid w:val="003A32C9"/>
    <w:rsid w:val="003A35CB"/>
    <w:rsid w:val="003A3B18"/>
    <w:rsid w:val="003A40EC"/>
    <w:rsid w:val="003A41E4"/>
    <w:rsid w:val="003A4D4D"/>
    <w:rsid w:val="003A6C28"/>
    <w:rsid w:val="003A75BD"/>
    <w:rsid w:val="003A7810"/>
    <w:rsid w:val="003A7AB0"/>
    <w:rsid w:val="003B1171"/>
    <w:rsid w:val="003B1F57"/>
    <w:rsid w:val="003B25F9"/>
    <w:rsid w:val="003B2CD3"/>
    <w:rsid w:val="003B3286"/>
    <w:rsid w:val="003B35D7"/>
    <w:rsid w:val="003B3B18"/>
    <w:rsid w:val="003B3DDD"/>
    <w:rsid w:val="003B47C6"/>
    <w:rsid w:val="003B6489"/>
    <w:rsid w:val="003B6633"/>
    <w:rsid w:val="003B6D6D"/>
    <w:rsid w:val="003B73E8"/>
    <w:rsid w:val="003B78C9"/>
    <w:rsid w:val="003C0667"/>
    <w:rsid w:val="003C2158"/>
    <w:rsid w:val="003C3EA0"/>
    <w:rsid w:val="003C4E24"/>
    <w:rsid w:val="003C5A1F"/>
    <w:rsid w:val="003C7FC2"/>
    <w:rsid w:val="003D033F"/>
    <w:rsid w:val="003D09AA"/>
    <w:rsid w:val="003D0C9D"/>
    <w:rsid w:val="003D24C2"/>
    <w:rsid w:val="003D3D00"/>
    <w:rsid w:val="003D4681"/>
    <w:rsid w:val="003D5427"/>
    <w:rsid w:val="003D549D"/>
    <w:rsid w:val="003D6FD8"/>
    <w:rsid w:val="003D767A"/>
    <w:rsid w:val="003E084A"/>
    <w:rsid w:val="003E1BF8"/>
    <w:rsid w:val="003E270D"/>
    <w:rsid w:val="003E290A"/>
    <w:rsid w:val="003E3466"/>
    <w:rsid w:val="003E34E8"/>
    <w:rsid w:val="003E3719"/>
    <w:rsid w:val="003E381D"/>
    <w:rsid w:val="003E4095"/>
    <w:rsid w:val="003E4DA1"/>
    <w:rsid w:val="003E5193"/>
    <w:rsid w:val="003E6EF1"/>
    <w:rsid w:val="003E7B48"/>
    <w:rsid w:val="003F0513"/>
    <w:rsid w:val="003F0667"/>
    <w:rsid w:val="003F08EB"/>
    <w:rsid w:val="003F161C"/>
    <w:rsid w:val="003F1CA8"/>
    <w:rsid w:val="003F2E66"/>
    <w:rsid w:val="003F2F1B"/>
    <w:rsid w:val="003F3632"/>
    <w:rsid w:val="003F3C09"/>
    <w:rsid w:val="003F4C12"/>
    <w:rsid w:val="003F5582"/>
    <w:rsid w:val="003F562A"/>
    <w:rsid w:val="003F5680"/>
    <w:rsid w:val="003F652C"/>
    <w:rsid w:val="003F75C1"/>
    <w:rsid w:val="003F7F88"/>
    <w:rsid w:val="00400784"/>
    <w:rsid w:val="00400CA0"/>
    <w:rsid w:val="00401448"/>
    <w:rsid w:val="004018E2"/>
    <w:rsid w:val="00401C27"/>
    <w:rsid w:val="00403A64"/>
    <w:rsid w:val="00404720"/>
    <w:rsid w:val="00404D85"/>
    <w:rsid w:val="00405530"/>
    <w:rsid w:val="00406579"/>
    <w:rsid w:val="0040728E"/>
    <w:rsid w:val="00407AF6"/>
    <w:rsid w:val="004103EA"/>
    <w:rsid w:val="00410763"/>
    <w:rsid w:val="004109F0"/>
    <w:rsid w:val="004110EC"/>
    <w:rsid w:val="004116F7"/>
    <w:rsid w:val="00411C78"/>
    <w:rsid w:val="00412C07"/>
    <w:rsid w:val="00412C68"/>
    <w:rsid w:val="00412F9A"/>
    <w:rsid w:val="004150BB"/>
    <w:rsid w:val="00415A39"/>
    <w:rsid w:val="00415EDD"/>
    <w:rsid w:val="004165DF"/>
    <w:rsid w:val="00416967"/>
    <w:rsid w:val="00416A8F"/>
    <w:rsid w:val="00416DB8"/>
    <w:rsid w:val="004171CF"/>
    <w:rsid w:val="00420289"/>
    <w:rsid w:val="00421249"/>
    <w:rsid w:val="00421323"/>
    <w:rsid w:val="00423821"/>
    <w:rsid w:val="00423A7F"/>
    <w:rsid w:val="00424D4A"/>
    <w:rsid w:val="00424E62"/>
    <w:rsid w:val="004259DE"/>
    <w:rsid w:val="00425BF3"/>
    <w:rsid w:val="0042601A"/>
    <w:rsid w:val="0042662B"/>
    <w:rsid w:val="00426BB6"/>
    <w:rsid w:val="00427AFA"/>
    <w:rsid w:val="0043153C"/>
    <w:rsid w:val="00431EAC"/>
    <w:rsid w:val="00433E53"/>
    <w:rsid w:val="004351D6"/>
    <w:rsid w:val="00435227"/>
    <w:rsid w:val="00435583"/>
    <w:rsid w:val="004358CB"/>
    <w:rsid w:val="00436583"/>
    <w:rsid w:val="00437278"/>
    <w:rsid w:val="00437443"/>
    <w:rsid w:val="0044029C"/>
    <w:rsid w:val="004417F8"/>
    <w:rsid w:val="0044201E"/>
    <w:rsid w:val="00442620"/>
    <w:rsid w:val="00443C79"/>
    <w:rsid w:val="004455AC"/>
    <w:rsid w:val="00445A1D"/>
    <w:rsid w:val="00446931"/>
    <w:rsid w:val="00450228"/>
    <w:rsid w:val="004502C1"/>
    <w:rsid w:val="0045067D"/>
    <w:rsid w:val="00450748"/>
    <w:rsid w:val="00450CE6"/>
    <w:rsid w:val="004510B4"/>
    <w:rsid w:val="004512D0"/>
    <w:rsid w:val="00451D37"/>
    <w:rsid w:val="004548FE"/>
    <w:rsid w:val="0045620E"/>
    <w:rsid w:val="00457BEC"/>
    <w:rsid w:val="0046035C"/>
    <w:rsid w:val="0046168A"/>
    <w:rsid w:val="0046273E"/>
    <w:rsid w:val="00462748"/>
    <w:rsid w:val="00463906"/>
    <w:rsid w:val="0046434D"/>
    <w:rsid w:val="004648A5"/>
    <w:rsid w:val="00464CFB"/>
    <w:rsid w:val="00466340"/>
    <w:rsid w:val="00471E7A"/>
    <w:rsid w:val="0047337B"/>
    <w:rsid w:val="004740C9"/>
    <w:rsid w:val="00474AFE"/>
    <w:rsid w:val="00474E2A"/>
    <w:rsid w:val="00474F78"/>
    <w:rsid w:val="004775EA"/>
    <w:rsid w:val="00477863"/>
    <w:rsid w:val="00480229"/>
    <w:rsid w:val="004809A6"/>
    <w:rsid w:val="00482308"/>
    <w:rsid w:val="004824DE"/>
    <w:rsid w:val="00482665"/>
    <w:rsid w:val="00483D69"/>
    <w:rsid w:val="00483E09"/>
    <w:rsid w:val="004865FD"/>
    <w:rsid w:val="00486735"/>
    <w:rsid w:val="0048720E"/>
    <w:rsid w:val="00487544"/>
    <w:rsid w:val="004915C2"/>
    <w:rsid w:val="00491DC9"/>
    <w:rsid w:val="00492EB5"/>
    <w:rsid w:val="00494C0B"/>
    <w:rsid w:val="0049556A"/>
    <w:rsid w:val="00496012"/>
    <w:rsid w:val="004961F8"/>
    <w:rsid w:val="00496C80"/>
    <w:rsid w:val="004973D8"/>
    <w:rsid w:val="00497AF3"/>
    <w:rsid w:val="004A0028"/>
    <w:rsid w:val="004A0193"/>
    <w:rsid w:val="004A15B2"/>
    <w:rsid w:val="004A3887"/>
    <w:rsid w:val="004A49C0"/>
    <w:rsid w:val="004A5763"/>
    <w:rsid w:val="004A69AD"/>
    <w:rsid w:val="004A767A"/>
    <w:rsid w:val="004A790C"/>
    <w:rsid w:val="004B04EB"/>
    <w:rsid w:val="004B07E3"/>
    <w:rsid w:val="004B08E3"/>
    <w:rsid w:val="004B0925"/>
    <w:rsid w:val="004B0A97"/>
    <w:rsid w:val="004B128C"/>
    <w:rsid w:val="004B133B"/>
    <w:rsid w:val="004B1C6F"/>
    <w:rsid w:val="004B376D"/>
    <w:rsid w:val="004B5CD5"/>
    <w:rsid w:val="004B620A"/>
    <w:rsid w:val="004B680D"/>
    <w:rsid w:val="004B71F2"/>
    <w:rsid w:val="004B7D14"/>
    <w:rsid w:val="004C1232"/>
    <w:rsid w:val="004C1307"/>
    <w:rsid w:val="004C30F3"/>
    <w:rsid w:val="004C475C"/>
    <w:rsid w:val="004C484D"/>
    <w:rsid w:val="004C5E0D"/>
    <w:rsid w:val="004C61FE"/>
    <w:rsid w:val="004C6E08"/>
    <w:rsid w:val="004C7DE3"/>
    <w:rsid w:val="004D0563"/>
    <w:rsid w:val="004D05F2"/>
    <w:rsid w:val="004D0640"/>
    <w:rsid w:val="004D46E1"/>
    <w:rsid w:val="004D4797"/>
    <w:rsid w:val="004D5DCD"/>
    <w:rsid w:val="004D6430"/>
    <w:rsid w:val="004D64B5"/>
    <w:rsid w:val="004D7B2B"/>
    <w:rsid w:val="004E0271"/>
    <w:rsid w:val="004E0291"/>
    <w:rsid w:val="004E0731"/>
    <w:rsid w:val="004E2B8D"/>
    <w:rsid w:val="004E35F8"/>
    <w:rsid w:val="004E3D65"/>
    <w:rsid w:val="004E50F9"/>
    <w:rsid w:val="004E6337"/>
    <w:rsid w:val="004E74AB"/>
    <w:rsid w:val="004E7DAC"/>
    <w:rsid w:val="004F02E7"/>
    <w:rsid w:val="004F230A"/>
    <w:rsid w:val="004F3270"/>
    <w:rsid w:val="004F3D9C"/>
    <w:rsid w:val="004F3F19"/>
    <w:rsid w:val="004F52F6"/>
    <w:rsid w:val="004F580A"/>
    <w:rsid w:val="004F6244"/>
    <w:rsid w:val="004F6904"/>
    <w:rsid w:val="004F79EE"/>
    <w:rsid w:val="005003C4"/>
    <w:rsid w:val="00500696"/>
    <w:rsid w:val="00500797"/>
    <w:rsid w:val="00502353"/>
    <w:rsid w:val="00502B77"/>
    <w:rsid w:val="00502CA5"/>
    <w:rsid w:val="00503A12"/>
    <w:rsid w:val="00504025"/>
    <w:rsid w:val="0050592B"/>
    <w:rsid w:val="0050682F"/>
    <w:rsid w:val="0050708E"/>
    <w:rsid w:val="005073BA"/>
    <w:rsid w:val="005108FE"/>
    <w:rsid w:val="005112F1"/>
    <w:rsid w:val="0051250F"/>
    <w:rsid w:val="00512EAA"/>
    <w:rsid w:val="00513432"/>
    <w:rsid w:val="00513F72"/>
    <w:rsid w:val="005144AD"/>
    <w:rsid w:val="00515855"/>
    <w:rsid w:val="00515D78"/>
    <w:rsid w:val="00516D22"/>
    <w:rsid w:val="0051711A"/>
    <w:rsid w:val="00522460"/>
    <w:rsid w:val="00523509"/>
    <w:rsid w:val="005236F5"/>
    <w:rsid w:val="00523926"/>
    <w:rsid w:val="00524199"/>
    <w:rsid w:val="005243DE"/>
    <w:rsid w:val="00524499"/>
    <w:rsid w:val="005248EB"/>
    <w:rsid w:val="00526770"/>
    <w:rsid w:val="00526BEE"/>
    <w:rsid w:val="005272D1"/>
    <w:rsid w:val="005277E0"/>
    <w:rsid w:val="005315AB"/>
    <w:rsid w:val="00531B08"/>
    <w:rsid w:val="0053235F"/>
    <w:rsid w:val="00532409"/>
    <w:rsid w:val="00532C82"/>
    <w:rsid w:val="005338E3"/>
    <w:rsid w:val="00534243"/>
    <w:rsid w:val="00534393"/>
    <w:rsid w:val="00534AA4"/>
    <w:rsid w:val="00534B43"/>
    <w:rsid w:val="00534C80"/>
    <w:rsid w:val="00535910"/>
    <w:rsid w:val="00536244"/>
    <w:rsid w:val="0053794B"/>
    <w:rsid w:val="00537CF8"/>
    <w:rsid w:val="005400AA"/>
    <w:rsid w:val="00541BE2"/>
    <w:rsid w:val="00542BA8"/>
    <w:rsid w:val="00543A86"/>
    <w:rsid w:val="00543E9D"/>
    <w:rsid w:val="0054621E"/>
    <w:rsid w:val="00546F4E"/>
    <w:rsid w:val="0054702E"/>
    <w:rsid w:val="00547EE0"/>
    <w:rsid w:val="00550BAA"/>
    <w:rsid w:val="0055164B"/>
    <w:rsid w:val="00554EE9"/>
    <w:rsid w:val="00555F03"/>
    <w:rsid w:val="00555F91"/>
    <w:rsid w:val="005568DF"/>
    <w:rsid w:val="00557018"/>
    <w:rsid w:val="00557C62"/>
    <w:rsid w:val="00560248"/>
    <w:rsid w:val="005605C7"/>
    <w:rsid w:val="00560A14"/>
    <w:rsid w:val="00561AE3"/>
    <w:rsid w:val="00561F88"/>
    <w:rsid w:val="0056205D"/>
    <w:rsid w:val="00562A95"/>
    <w:rsid w:val="00562AAA"/>
    <w:rsid w:val="00564C11"/>
    <w:rsid w:val="00564CAA"/>
    <w:rsid w:val="00564F32"/>
    <w:rsid w:val="00565364"/>
    <w:rsid w:val="005658B8"/>
    <w:rsid w:val="00565BCB"/>
    <w:rsid w:val="005662FB"/>
    <w:rsid w:val="005665B7"/>
    <w:rsid w:val="00570F07"/>
    <w:rsid w:val="00570FF4"/>
    <w:rsid w:val="00571E99"/>
    <w:rsid w:val="00573516"/>
    <w:rsid w:val="005736EE"/>
    <w:rsid w:val="00573750"/>
    <w:rsid w:val="00574EF9"/>
    <w:rsid w:val="00574FD1"/>
    <w:rsid w:val="00576278"/>
    <w:rsid w:val="00576B4B"/>
    <w:rsid w:val="0057723D"/>
    <w:rsid w:val="0057732A"/>
    <w:rsid w:val="00577608"/>
    <w:rsid w:val="00581F16"/>
    <w:rsid w:val="00582D6A"/>
    <w:rsid w:val="00582E9C"/>
    <w:rsid w:val="005845E9"/>
    <w:rsid w:val="00585E2F"/>
    <w:rsid w:val="00586F22"/>
    <w:rsid w:val="00587095"/>
    <w:rsid w:val="00587AA7"/>
    <w:rsid w:val="00587E60"/>
    <w:rsid w:val="00587EBE"/>
    <w:rsid w:val="00590582"/>
    <w:rsid w:val="00590C91"/>
    <w:rsid w:val="00591463"/>
    <w:rsid w:val="00592310"/>
    <w:rsid w:val="0059291E"/>
    <w:rsid w:val="005932FC"/>
    <w:rsid w:val="00593E67"/>
    <w:rsid w:val="00594D8E"/>
    <w:rsid w:val="005950EB"/>
    <w:rsid w:val="0059537C"/>
    <w:rsid w:val="00595586"/>
    <w:rsid w:val="00596119"/>
    <w:rsid w:val="00596F73"/>
    <w:rsid w:val="005972DA"/>
    <w:rsid w:val="005A0650"/>
    <w:rsid w:val="005A0B03"/>
    <w:rsid w:val="005A1B89"/>
    <w:rsid w:val="005A327D"/>
    <w:rsid w:val="005A33A9"/>
    <w:rsid w:val="005A3776"/>
    <w:rsid w:val="005A3EE0"/>
    <w:rsid w:val="005A4305"/>
    <w:rsid w:val="005A5E0B"/>
    <w:rsid w:val="005A607C"/>
    <w:rsid w:val="005A6E9C"/>
    <w:rsid w:val="005A7610"/>
    <w:rsid w:val="005A7BEF"/>
    <w:rsid w:val="005B083E"/>
    <w:rsid w:val="005B13F4"/>
    <w:rsid w:val="005B293A"/>
    <w:rsid w:val="005B2C7A"/>
    <w:rsid w:val="005B2CF2"/>
    <w:rsid w:val="005B4A9C"/>
    <w:rsid w:val="005B6CBA"/>
    <w:rsid w:val="005C07B0"/>
    <w:rsid w:val="005C08F8"/>
    <w:rsid w:val="005C0C58"/>
    <w:rsid w:val="005C1999"/>
    <w:rsid w:val="005C2184"/>
    <w:rsid w:val="005C2560"/>
    <w:rsid w:val="005C25B1"/>
    <w:rsid w:val="005C26EE"/>
    <w:rsid w:val="005C2B79"/>
    <w:rsid w:val="005C2C54"/>
    <w:rsid w:val="005C3B5B"/>
    <w:rsid w:val="005C4354"/>
    <w:rsid w:val="005C48A5"/>
    <w:rsid w:val="005C5BFE"/>
    <w:rsid w:val="005C6A47"/>
    <w:rsid w:val="005C6F2A"/>
    <w:rsid w:val="005C7979"/>
    <w:rsid w:val="005C7B98"/>
    <w:rsid w:val="005C7FC0"/>
    <w:rsid w:val="005D00CD"/>
    <w:rsid w:val="005D0F04"/>
    <w:rsid w:val="005D2111"/>
    <w:rsid w:val="005D2F4C"/>
    <w:rsid w:val="005D3A68"/>
    <w:rsid w:val="005D3FC0"/>
    <w:rsid w:val="005D5123"/>
    <w:rsid w:val="005D5375"/>
    <w:rsid w:val="005D5870"/>
    <w:rsid w:val="005D71A3"/>
    <w:rsid w:val="005E197F"/>
    <w:rsid w:val="005E1ED7"/>
    <w:rsid w:val="005E22B9"/>
    <w:rsid w:val="005E29A8"/>
    <w:rsid w:val="005E29D2"/>
    <w:rsid w:val="005E2B28"/>
    <w:rsid w:val="005E2E96"/>
    <w:rsid w:val="005E40C8"/>
    <w:rsid w:val="005E5ABA"/>
    <w:rsid w:val="005E5D67"/>
    <w:rsid w:val="005E5DF4"/>
    <w:rsid w:val="005E6088"/>
    <w:rsid w:val="005E60C3"/>
    <w:rsid w:val="005E68E1"/>
    <w:rsid w:val="005E717C"/>
    <w:rsid w:val="005E73C7"/>
    <w:rsid w:val="005E7BBC"/>
    <w:rsid w:val="005E7D59"/>
    <w:rsid w:val="005F0450"/>
    <w:rsid w:val="005F0CAE"/>
    <w:rsid w:val="005F1000"/>
    <w:rsid w:val="005F1FE2"/>
    <w:rsid w:val="005F2C04"/>
    <w:rsid w:val="005F309B"/>
    <w:rsid w:val="005F32F6"/>
    <w:rsid w:val="005F3E9F"/>
    <w:rsid w:val="005F40E7"/>
    <w:rsid w:val="005F43A3"/>
    <w:rsid w:val="005F4877"/>
    <w:rsid w:val="005F4C32"/>
    <w:rsid w:val="00601757"/>
    <w:rsid w:val="00601D86"/>
    <w:rsid w:val="00602340"/>
    <w:rsid w:val="006033F5"/>
    <w:rsid w:val="0060343C"/>
    <w:rsid w:val="006052BB"/>
    <w:rsid w:val="006060BE"/>
    <w:rsid w:val="0060619E"/>
    <w:rsid w:val="00606632"/>
    <w:rsid w:val="006070D2"/>
    <w:rsid w:val="00607738"/>
    <w:rsid w:val="00607D14"/>
    <w:rsid w:val="0061009E"/>
    <w:rsid w:val="00610FCE"/>
    <w:rsid w:val="006111A9"/>
    <w:rsid w:val="00611952"/>
    <w:rsid w:val="00611DC5"/>
    <w:rsid w:val="00614154"/>
    <w:rsid w:val="0061463F"/>
    <w:rsid w:val="00615545"/>
    <w:rsid w:val="0061594D"/>
    <w:rsid w:val="00616891"/>
    <w:rsid w:val="006171CA"/>
    <w:rsid w:val="00617238"/>
    <w:rsid w:val="006172B0"/>
    <w:rsid w:val="00617DA2"/>
    <w:rsid w:val="00620BF3"/>
    <w:rsid w:val="006214B7"/>
    <w:rsid w:val="00621A53"/>
    <w:rsid w:val="00622D2F"/>
    <w:rsid w:val="00622D61"/>
    <w:rsid w:val="00623624"/>
    <w:rsid w:val="0062362C"/>
    <w:rsid w:val="0062489F"/>
    <w:rsid w:val="00625893"/>
    <w:rsid w:val="0062625D"/>
    <w:rsid w:val="0062760D"/>
    <w:rsid w:val="00627977"/>
    <w:rsid w:val="00627DD2"/>
    <w:rsid w:val="00627DF7"/>
    <w:rsid w:val="00630149"/>
    <w:rsid w:val="00634844"/>
    <w:rsid w:val="00635080"/>
    <w:rsid w:val="00635F4D"/>
    <w:rsid w:val="00636AF2"/>
    <w:rsid w:val="00637552"/>
    <w:rsid w:val="00640D6A"/>
    <w:rsid w:val="0064142C"/>
    <w:rsid w:val="006421D2"/>
    <w:rsid w:val="0064354A"/>
    <w:rsid w:val="00643D22"/>
    <w:rsid w:val="006442FC"/>
    <w:rsid w:val="006448E9"/>
    <w:rsid w:val="006449BF"/>
    <w:rsid w:val="00645146"/>
    <w:rsid w:val="006458F0"/>
    <w:rsid w:val="0064659F"/>
    <w:rsid w:val="0065019B"/>
    <w:rsid w:val="006508D5"/>
    <w:rsid w:val="00650B72"/>
    <w:rsid w:val="00650F68"/>
    <w:rsid w:val="00650FD1"/>
    <w:rsid w:val="0065117E"/>
    <w:rsid w:val="00651669"/>
    <w:rsid w:val="00651F62"/>
    <w:rsid w:val="00652E85"/>
    <w:rsid w:val="00653648"/>
    <w:rsid w:val="0065388F"/>
    <w:rsid w:val="00656BFB"/>
    <w:rsid w:val="00657708"/>
    <w:rsid w:val="00657786"/>
    <w:rsid w:val="0066123C"/>
    <w:rsid w:val="00661761"/>
    <w:rsid w:val="00661B4C"/>
    <w:rsid w:val="006622FD"/>
    <w:rsid w:val="0066279A"/>
    <w:rsid w:val="0066364B"/>
    <w:rsid w:val="00664105"/>
    <w:rsid w:val="00664A78"/>
    <w:rsid w:val="006652A3"/>
    <w:rsid w:val="006656FC"/>
    <w:rsid w:val="006663BD"/>
    <w:rsid w:val="006664A9"/>
    <w:rsid w:val="006674D4"/>
    <w:rsid w:val="0067071A"/>
    <w:rsid w:val="00670CE1"/>
    <w:rsid w:val="006715B9"/>
    <w:rsid w:val="00671AA9"/>
    <w:rsid w:val="00672810"/>
    <w:rsid w:val="0067305F"/>
    <w:rsid w:val="00674BE7"/>
    <w:rsid w:val="00675A4E"/>
    <w:rsid w:val="006769D3"/>
    <w:rsid w:val="00676AEE"/>
    <w:rsid w:val="00676EBD"/>
    <w:rsid w:val="00677E65"/>
    <w:rsid w:val="00680245"/>
    <w:rsid w:val="00681B08"/>
    <w:rsid w:val="00681D03"/>
    <w:rsid w:val="0068264F"/>
    <w:rsid w:val="00682967"/>
    <w:rsid w:val="00682AA6"/>
    <w:rsid w:val="00683B97"/>
    <w:rsid w:val="00685912"/>
    <w:rsid w:val="00685924"/>
    <w:rsid w:val="00685B36"/>
    <w:rsid w:val="00685F86"/>
    <w:rsid w:val="0068727C"/>
    <w:rsid w:val="00687FB2"/>
    <w:rsid w:val="006900D3"/>
    <w:rsid w:val="00690920"/>
    <w:rsid w:val="006913BB"/>
    <w:rsid w:val="006917DB"/>
    <w:rsid w:val="00691DAA"/>
    <w:rsid w:val="0069224B"/>
    <w:rsid w:val="00692E4E"/>
    <w:rsid w:val="00693137"/>
    <w:rsid w:val="00693CA3"/>
    <w:rsid w:val="00694DA7"/>
    <w:rsid w:val="00695098"/>
    <w:rsid w:val="00695101"/>
    <w:rsid w:val="0069525D"/>
    <w:rsid w:val="00695A9C"/>
    <w:rsid w:val="00695D64"/>
    <w:rsid w:val="00696610"/>
    <w:rsid w:val="00696E5C"/>
    <w:rsid w:val="00697B94"/>
    <w:rsid w:val="00697BDD"/>
    <w:rsid w:val="00697DF5"/>
    <w:rsid w:val="006A0B13"/>
    <w:rsid w:val="006A10B7"/>
    <w:rsid w:val="006A1C92"/>
    <w:rsid w:val="006A2D9C"/>
    <w:rsid w:val="006A3795"/>
    <w:rsid w:val="006A3CF9"/>
    <w:rsid w:val="006A4300"/>
    <w:rsid w:val="006A4E33"/>
    <w:rsid w:val="006A55E4"/>
    <w:rsid w:val="006A704A"/>
    <w:rsid w:val="006A73A5"/>
    <w:rsid w:val="006B089A"/>
    <w:rsid w:val="006B1243"/>
    <w:rsid w:val="006B14D9"/>
    <w:rsid w:val="006B1A6D"/>
    <w:rsid w:val="006B2980"/>
    <w:rsid w:val="006B37DD"/>
    <w:rsid w:val="006B4102"/>
    <w:rsid w:val="006B45E5"/>
    <w:rsid w:val="006B4D59"/>
    <w:rsid w:val="006B5051"/>
    <w:rsid w:val="006B52A7"/>
    <w:rsid w:val="006B56E4"/>
    <w:rsid w:val="006B606D"/>
    <w:rsid w:val="006B71F4"/>
    <w:rsid w:val="006B7456"/>
    <w:rsid w:val="006B7851"/>
    <w:rsid w:val="006C184F"/>
    <w:rsid w:val="006C2C78"/>
    <w:rsid w:val="006C3C4E"/>
    <w:rsid w:val="006C41A5"/>
    <w:rsid w:val="006C4252"/>
    <w:rsid w:val="006C5339"/>
    <w:rsid w:val="006C5493"/>
    <w:rsid w:val="006C5BBC"/>
    <w:rsid w:val="006C6367"/>
    <w:rsid w:val="006C6503"/>
    <w:rsid w:val="006C74DB"/>
    <w:rsid w:val="006C7BDE"/>
    <w:rsid w:val="006C7BE2"/>
    <w:rsid w:val="006D0215"/>
    <w:rsid w:val="006D1DEA"/>
    <w:rsid w:val="006D2DB3"/>
    <w:rsid w:val="006D3E0C"/>
    <w:rsid w:val="006D6C70"/>
    <w:rsid w:val="006D6D00"/>
    <w:rsid w:val="006E15EA"/>
    <w:rsid w:val="006E2789"/>
    <w:rsid w:val="006E28CF"/>
    <w:rsid w:val="006E2B17"/>
    <w:rsid w:val="006E4359"/>
    <w:rsid w:val="006E4657"/>
    <w:rsid w:val="006E746D"/>
    <w:rsid w:val="006F0A4E"/>
    <w:rsid w:val="006F2534"/>
    <w:rsid w:val="006F3E47"/>
    <w:rsid w:val="006F5689"/>
    <w:rsid w:val="00701D92"/>
    <w:rsid w:val="0070210F"/>
    <w:rsid w:val="00703435"/>
    <w:rsid w:val="00703E2C"/>
    <w:rsid w:val="00704986"/>
    <w:rsid w:val="00705B14"/>
    <w:rsid w:val="00705BEA"/>
    <w:rsid w:val="007065E2"/>
    <w:rsid w:val="0071053F"/>
    <w:rsid w:val="00710DA8"/>
    <w:rsid w:val="0071159F"/>
    <w:rsid w:val="00711D17"/>
    <w:rsid w:val="00711E87"/>
    <w:rsid w:val="0071253C"/>
    <w:rsid w:val="00712560"/>
    <w:rsid w:val="00713CF8"/>
    <w:rsid w:val="00716306"/>
    <w:rsid w:val="00717B7D"/>
    <w:rsid w:val="007205C8"/>
    <w:rsid w:val="00720CEC"/>
    <w:rsid w:val="00721232"/>
    <w:rsid w:val="00721B68"/>
    <w:rsid w:val="007221F5"/>
    <w:rsid w:val="00722670"/>
    <w:rsid w:val="0072283D"/>
    <w:rsid w:val="00722BD0"/>
    <w:rsid w:val="00723A1E"/>
    <w:rsid w:val="00723ECA"/>
    <w:rsid w:val="0072542B"/>
    <w:rsid w:val="007268DB"/>
    <w:rsid w:val="00726A62"/>
    <w:rsid w:val="00730F3E"/>
    <w:rsid w:val="00731108"/>
    <w:rsid w:val="00731134"/>
    <w:rsid w:val="007348E1"/>
    <w:rsid w:val="007356B3"/>
    <w:rsid w:val="0073799B"/>
    <w:rsid w:val="0074044C"/>
    <w:rsid w:val="00742D62"/>
    <w:rsid w:val="007432C6"/>
    <w:rsid w:val="007439AE"/>
    <w:rsid w:val="00743D5A"/>
    <w:rsid w:val="00743E63"/>
    <w:rsid w:val="007445A0"/>
    <w:rsid w:val="007446CB"/>
    <w:rsid w:val="00747611"/>
    <w:rsid w:val="007477ED"/>
    <w:rsid w:val="00747FEC"/>
    <w:rsid w:val="0075002B"/>
    <w:rsid w:val="00750173"/>
    <w:rsid w:val="0075384F"/>
    <w:rsid w:val="00753966"/>
    <w:rsid w:val="00754B3E"/>
    <w:rsid w:val="007553C2"/>
    <w:rsid w:val="00755628"/>
    <w:rsid w:val="00755711"/>
    <w:rsid w:val="00755B57"/>
    <w:rsid w:val="00755C41"/>
    <w:rsid w:val="00756CBD"/>
    <w:rsid w:val="00756F59"/>
    <w:rsid w:val="007578EA"/>
    <w:rsid w:val="0076089F"/>
    <w:rsid w:val="0076181C"/>
    <w:rsid w:val="0076194D"/>
    <w:rsid w:val="00761DC3"/>
    <w:rsid w:val="00762692"/>
    <w:rsid w:val="0076329E"/>
    <w:rsid w:val="00763EAC"/>
    <w:rsid w:val="00765908"/>
    <w:rsid w:val="00765CE5"/>
    <w:rsid w:val="00766FF6"/>
    <w:rsid w:val="00767881"/>
    <w:rsid w:val="00767B47"/>
    <w:rsid w:val="00767BFC"/>
    <w:rsid w:val="0077033F"/>
    <w:rsid w:val="0077093A"/>
    <w:rsid w:val="00771D39"/>
    <w:rsid w:val="0077204B"/>
    <w:rsid w:val="0077269B"/>
    <w:rsid w:val="00773574"/>
    <w:rsid w:val="00774880"/>
    <w:rsid w:val="0077581E"/>
    <w:rsid w:val="00775A5C"/>
    <w:rsid w:val="00775F68"/>
    <w:rsid w:val="007777A0"/>
    <w:rsid w:val="007823BE"/>
    <w:rsid w:val="00782D3E"/>
    <w:rsid w:val="007848CC"/>
    <w:rsid w:val="007859B6"/>
    <w:rsid w:val="0078611B"/>
    <w:rsid w:val="00786FDC"/>
    <w:rsid w:val="0079006A"/>
    <w:rsid w:val="00790536"/>
    <w:rsid w:val="00790D45"/>
    <w:rsid w:val="007910F3"/>
    <w:rsid w:val="00791D4E"/>
    <w:rsid w:val="00792583"/>
    <w:rsid w:val="00793A32"/>
    <w:rsid w:val="00794AB1"/>
    <w:rsid w:val="00796045"/>
    <w:rsid w:val="00796DAC"/>
    <w:rsid w:val="00796EF2"/>
    <w:rsid w:val="00797B82"/>
    <w:rsid w:val="007A019B"/>
    <w:rsid w:val="007A0C64"/>
    <w:rsid w:val="007A12BB"/>
    <w:rsid w:val="007A1329"/>
    <w:rsid w:val="007A1989"/>
    <w:rsid w:val="007A2923"/>
    <w:rsid w:val="007A29D4"/>
    <w:rsid w:val="007A2D43"/>
    <w:rsid w:val="007A343E"/>
    <w:rsid w:val="007A38A9"/>
    <w:rsid w:val="007A6161"/>
    <w:rsid w:val="007A6175"/>
    <w:rsid w:val="007A6813"/>
    <w:rsid w:val="007A6DC5"/>
    <w:rsid w:val="007A6EF9"/>
    <w:rsid w:val="007A74D9"/>
    <w:rsid w:val="007B09AA"/>
    <w:rsid w:val="007B13B2"/>
    <w:rsid w:val="007B1E8B"/>
    <w:rsid w:val="007B1F18"/>
    <w:rsid w:val="007B24BA"/>
    <w:rsid w:val="007B24E6"/>
    <w:rsid w:val="007B2839"/>
    <w:rsid w:val="007B30C4"/>
    <w:rsid w:val="007B52D2"/>
    <w:rsid w:val="007B61E6"/>
    <w:rsid w:val="007B6489"/>
    <w:rsid w:val="007B6DD3"/>
    <w:rsid w:val="007B76CB"/>
    <w:rsid w:val="007C09E3"/>
    <w:rsid w:val="007C0EFD"/>
    <w:rsid w:val="007C1359"/>
    <w:rsid w:val="007C13A2"/>
    <w:rsid w:val="007C1E5F"/>
    <w:rsid w:val="007C1F30"/>
    <w:rsid w:val="007C2566"/>
    <w:rsid w:val="007C25F3"/>
    <w:rsid w:val="007C34A5"/>
    <w:rsid w:val="007C3F37"/>
    <w:rsid w:val="007C4489"/>
    <w:rsid w:val="007C462C"/>
    <w:rsid w:val="007C49BF"/>
    <w:rsid w:val="007C4C29"/>
    <w:rsid w:val="007C5DE8"/>
    <w:rsid w:val="007C71ED"/>
    <w:rsid w:val="007D2091"/>
    <w:rsid w:val="007D240C"/>
    <w:rsid w:val="007D27D5"/>
    <w:rsid w:val="007D2F87"/>
    <w:rsid w:val="007D3A52"/>
    <w:rsid w:val="007D68F7"/>
    <w:rsid w:val="007D6D30"/>
    <w:rsid w:val="007D718B"/>
    <w:rsid w:val="007D72B4"/>
    <w:rsid w:val="007D7304"/>
    <w:rsid w:val="007D7983"/>
    <w:rsid w:val="007E0073"/>
    <w:rsid w:val="007E0CFA"/>
    <w:rsid w:val="007E28EC"/>
    <w:rsid w:val="007E3028"/>
    <w:rsid w:val="007E38A3"/>
    <w:rsid w:val="007E3FAB"/>
    <w:rsid w:val="007E4D00"/>
    <w:rsid w:val="007E4F68"/>
    <w:rsid w:val="007E50A3"/>
    <w:rsid w:val="007E53B5"/>
    <w:rsid w:val="007E5493"/>
    <w:rsid w:val="007E5D4A"/>
    <w:rsid w:val="007E5D66"/>
    <w:rsid w:val="007E7D7D"/>
    <w:rsid w:val="007F01EA"/>
    <w:rsid w:val="007F0904"/>
    <w:rsid w:val="007F09B3"/>
    <w:rsid w:val="007F1514"/>
    <w:rsid w:val="007F3E56"/>
    <w:rsid w:val="007F441B"/>
    <w:rsid w:val="007F4590"/>
    <w:rsid w:val="007F4CB5"/>
    <w:rsid w:val="007F5592"/>
    <w:rsid w:val="007F5969"/>
    <w:rsid w:val="007F75E8"/>
    <w:rsid w:val="00800468"/>
    <w:rsid w:val="00800525"/>
    <w:rsid w:val="00800FD7"/>
    <w:rsid w:val="00801211"/>
    <w:rsid w:val="00801521"/>
    <w:rsid w:val="0080160B"/>
    <w:rsid w:val="0080205D"/>
    <w:rsid w:val="00802253"/>
    <w:rsid w:val="0080329F"/>
    <w:rsid w:val="008033BF"/>
    <w:rsid w:val="00803833"/>
    <w:rsid w:val="00803F21"/>
    <w:rsid w:val="0080400D"/>
    <w:rsid w:val="00804FD8"/>
    <w:rsid w:val="00807D0A"/>
    <w:rsid w:val="00810A22"/>
    <w:rsid w:val="0081149B"/>
    <w:rsid w:val="008115E1"/>
    <w:rsid w:val="00811A5F"/>
    <w:rsid w:val="00811F27"/>
    <w:rsid w:val="00812ADB"/>
    <w:rsid w:val="00812E2A"/>
    <w:rsid w:val="0081352A"/>
    <w:rsid w:val="00813C6B"/>
    <w:rsid w:val="00813EFF"/>
    <w:rsid w:val="008147DC"/>
    <w:rsid w:val="00814F3F"/>
    <w:rsid w:val="008173A9"/>
    <w:rsid w:val="008178E4"/>
    <w:rsid w:val="00817AEE"/>
    <w:rsid w:val="008200C6"/>
    <w:rsid w:val="00821FD9"/>
    <w:rsid w:val="00822FFF"/>
    <w:rsid w:val="00823D56"/>
    <w:rsid w:val="00824746"/>
    <w:rsid w:val="00824EBB"/>
    <w:rsid w:val="00825F6B"/>
    <w:rsid w:val="00826A77"/>
    <w:rsid w:val="008276F5"/>
    <w:rsid w:val="00830375"/>
    <w:rsid w:val="00831056"/>
    <w:rsid w:val="008313C2"/>
    <w:rsid w:val="008325D0"/>
    <w:rsid w:val="00832A6D"/>
    <w:rsid w:val="00832FA2"/>
    <w:rsid w:val="008335AD"/>
    <w:rsid w:val="00833A6C"/>
    <w:rsid w:val="00834402"/>
    <w:rsid w:val="008346D2"/>
    <w:rsid w:val="0083489B"/>
    <w:rsid w:val="00834FB7"/>
    <w:rsid w:val="008359EB"/>
    <w:rsid w:val="008364EC"/>
    <w:rsid w:val="00836835"/>
    <w:rsid w:val="00836C1F"/>
    <w:rsid w:val="00837B72"/>
    <w:rsid w:val="00840F50"/>
    <w:rsid w:val="0084117D"/>
    <w:rsid w:val="0084176B"/>
    <w:rsid w:val="00841D95"/>
    <w:rsid w:val="0084340A"/>
    <w:rsid w:val="00843778"/>
    <w:rsid w:val="0084472C"/>
    <w:rsid w:val="00844EC2"/>
    <w:rsid w:val="00845A71"/>
    <w:rsid w:val="00845D19"/>
    <w:rsid w:val="008478CD"/>
    <w:rsid w:val="008503B4"/>
    <w:rsid w:val="00850B66"/>
    <w:rsid w:val="00851D27"/>
    <w:rsid w:val="00852179"/>
    <w:rsid w:val="00853854"/>
    <w:rsid w:val="00854741"/>
    <w:rsid w:val="00856030"/>
    <w:rsid w:val="008560F6"/>
    <w:rsid w:val="00856C1D"/>
    <w:rsid w:val="00857234"/>
    <w:rsid w:val="00857468"/>
    <w:rsid w:val="008577F6"/>
    <w:rsid w:val="00857878"/>
    <w:rsid w:val="00857F4F"/>
    <w:rsid w:val="00857F7D"/>
    <w:rsid w:val="00860BF9"/>
    <w:rsid w:val="00860EFC"/>
    <w:rsid w:val="0086130E"/>
    <w:rsid w:val="0086447B"/>
    <w:rsid w:val="00864D1C"/>
    <w:rsid w:val="008653BE"/>
    <w:rsid w:val="00866D28"/>
    <w:rsid w:val="00866F59"/>
    <w:rsid w:val="008678EC"/>
    <w:rsid w:val="00867A33"/>
    <w:rsid w:val="00867C3C"/>
    <w:rsid w:val="00870438"/>
    <w:rsid w:val="00871571"/>
    <w:rsid w:val="0087187C"/>
    <w:rsid w:val="00871AF2"/>
    <w:rsid w:val="008726BB"/>
    <w:rsid w:val="00872C69"/>
    <w:rsid w:val="00873EC7"/>
    <w:rsid w:val="00873EF0"/>
    <w:rsid w:val="008753DF"/>
    <w:rsid w:val="008760C6"/>
    <w:rsid w:val="008764AA"/>
    <w:rsid w:val="008766C4"/>
    <w:rsid w:val="00876FCE"/>
    <w:rsid w:val="0088114C"/>
    <w:rsid w:val="00883209"/>
    <w:rsid w:val="00883BB2"/>
    <w:rsid w:val="00883D78"/>
    <w:rsid w:val="00883EA1"/>
    <w:rsid w:val="0088401C"/>
    <w:rsid w:val="008853E4"/>
    <w:rsid w:val="00885530"/>
    <w:rsid w:val="00885CEE"/>
    <w:rsid w:val="0089020D"/>
    <w:rsid w:val="0089027C"/>
    <w:rsid w:val="0089099F"/>
    <w:rsid w:val="00890AF9"/>
    <w:rsid w:val="008910C6"/>
    <w:rsid w:val="00891D84"/>
    <w:rsid w:val="0089217D"/>
    <w:rsid w:val="00893C44"/>
    <w:rsid w:val="00893F12"/>
    <w:rsid w:val="00895773"/>
    <w:rsid w:val="0089581F"/>
    <w:rsid w:val="00895D3E"/>
    <w:rsid w:val="0089620E"/>
    <w:rsid w:val="00896536"/>
    <w:rsid w:val="00896C7B"/>
    <w:rsid w:val="00897CB3"/>
    <w:rsid w:val="00897F22"/>
    <w:rsid w:val="008A05DA"/>
    <w:rsid w:val="008A0CA5"/>
    <w:rsid w:val="008A0CC4"/>
    <w:rsid w:val="008A167F"/>
    <w:rsid w:val="008A1BD2"/>
    <w:rsid w:val="008A1D2F"/>
    <w:rsid w:val="008A1F02"/>
    <w:rsid w:val="008A2469"/>
    <w:rsid w:val="008A2735"/>
    <w:rsid w:val="008A399D"/>
    <w:rsid w:val="008A3E1A"/>
    <w:rsid w:val="008A4A1F"/>
    <w:rsid w:val="008A5D63"/>
    <w:rsid w:val="008B1A08"/>
    <w:rsid w:val="008B4F5F"/>
    <w:rsid w:val="008B5419"/>
    <w:rsid w:val="008B5E75"/>
    <w:rsid w:val="008B6744"/>
    <w:rsid w:val="008B7104"/>
    <w:rsid w:val="008B71AF"/>
    <w:rsid w:val="008B7B04"/>
    <w:rsid w:val="008C0614"/>
    <w:rsid w:val="008C1867"/>
    <w:rsid w:val="008C18CB"/>
    <w:rsid w:val="008C207C"/>
    <w:rsid w:val="008C2DDA"/>
    <w:rsid w:val="008C3472"/>
    <w:rsid w:val="008C5F84"/>
    <w:rsid w:val="008C690C"/>
    <w:rsid w:val="008C69E7"/>
    <w:rsid w:val="008C75FE"/>
    <w:rsid w:val="008C7A3C"/>
    <w:rsid w:val="008D0837"/>
    <w:rsid w:val="008D2AD9"/>
    <w:rsid w:val="008D2CDC"/>
    <w:rsid w:val="008D34EA"/>
    <w:rsid w:val="008D3CEF"/>
    <w:rsid w:val="008D4AB8"/>
    <w:rsid w:val="008D4AC0"/>
    <w:rsid w:val="008D4B50"/>
    <w:rsid w:val="008D52AA"/>
    <w:rsid w:val="008D5A03"/>
    <w:rsid w:val="008E0534"/>
    <w:rsid w:val="008E12E5"/>
    <w:rsid w:val="008E1D90"/>
    <w:rsid w:val="008E315C"/>
    <w:rsid w:val="008E3BE1"/>
    <w:rsid w:val="008E438E"/>
    <w:rsid w:val="008E4F0E"/>
    <w:rsid w:val="008E5C63"/>
    <w:rsid w:val="008E75CB"/>
    <w:rsid w:val="008F0B27"/>
    <w:rsid w:val="008F115A"/>
    <w:rsid w:val="008F1204"/>
    <w:rsid w:val="008F225C"/>
    <w:rsid w:val="008F24F1"/>
    <w:rsid w:val="008F2BF6"/>
    <w:rsid w:val="008F4DD0"/>
    <w:rsid w:val="008F6252"/>
    <w:rsid w:val="008F7612"/>
    <w:rsid w:val="008F7677"/>
    <w:rsid w:val="00900B15"/>
    <w:rsid w:val="00900C9B"/>
    <w:rsid w:val="00900F47"/>
    <w:rsid w:val="00901755"/>
    <w:rsid w:val="00902114"/>
    <w:rsid w:val="00902140"/>
    <w:rsid w:val="00902C32"/>
    <w:rsid w:val="00903B24"/>
    <w:rsid w:val="00903FC3"/>
    <w:rsid w:val="00904FDF"/>
    <w:rsid w:val="0090583D"/>
    <w:rsid w:val="00906D5F"/>
    <w:rsid w:val="00907515"/>
    <w:rsid w:val="00907700"/>
    <w:rsid w:val="00910152"/>
    <w:rsid w:val="00910AF7"/>
    <w:rsid w:val="00911BE9"/>
    <w:rsid w:val="00912B9A"/>
    <w:rsid w:val="00912D30"/>
    <w:rsid w:val="009145D8"/>
    <w:rsid w:val="00914A35"/>
    <w:rsid w:val="00914A70"/>
    <w:rsid w:val="00914E78"/>
    <w:rsid w:val="00915462"/>
    <w:rsid w:val="00915F28"/>
    <w:rsid w:val="00916A94"/>
    <w:rsid w:val="009174D3"/>
    <w:rsid w:val="00917ED9"/>
    <w:rsid w:val="0092138C"/>
    <w:rsid w:val="00921AEC"/>
    <w:rsid w:val="00921D94"/>
    <w:rsid w:val="00922073"/>
    <w:rsid w:val="009225F3"/>
    <w:rsid w:val="00922DEA"/>
    <w:rsid w:val="009232DF"/>
    <w:rsid w:val="009242F0"/>
    <w:rsid w:val="00925819"/>
    <w:rsid w:val="009268A9"/>
    <w:rsid w:val="00926F6D"/>
    <w:rsid w:val="00927D72"/>
    <w:rsid w:val="00927DB3"/>
    <w:rsid w:val="009308E1"/>
    <w:rsid w:val="00931E86"/>
    <w:rsid w:val="00931FCB"/>
    <w:rsid w:val="0093353E"/>
    <w:rsid w:val="00933681"/>
    <w:rsid w:val="00933828"/>
    <w:rsid w:val="00933CE8"/>
    <w:rsid w:val="00933F19"/>
    <w:rsid w:val="0093438F"/>
    <w:rsid w:val="00934921"/>
    <w:rsid w:val="00934F19"/>
    <w:rsid w:val="0093597B"/>
    <w:rsid w:val="00935B6F"/>
    <w:rsid w:val="00936B9C"/>
    <w:rsid w:val="00940A91"/>
    <w:rsid w:val="009413D0"/>
    <w:rsid w:val="00941B58"/>
    <w:rsid w:val="00942463"/>
    <w:rsid w:val="00942631"/>
    <w:rsid w:val="00943533"/>
    <w:rsid w:val="00944182"/>
    <w:rsid w:val="00944493"/>
    <w:rsid w:val="009448F5"/>
    <w:rsid w:val="009449C1"/>
    <w:rsid w:val="009477B6"/>
    <w:rsid w:val="0095003C"/>
    <w:rsid w:val="00951641"/>
    <w:rsid w:val="00954008"/>
    <w:rsid w:val="00954519"/>
    <w:rsid w:val="00954AFF"/>
    <w:rsid w:val="0095547B"/>
    <w:rsid w:val="00955710"/>
    <w:rsid w:val="00955BC6"/>
    <w:rsid w:val="00956911"/>
    <w:rsid w:val="00957CC2"/>
    <w:rsid w:val="00957D98"/>
    <w:rsid w:val="00961149"/>
    <w:rsid w:val="009616CD"/>
    <w:rsid w:val="0096188A"/>
    <w:rsid w:val="00961D1F"/>
    <w:rsid w:val="0096241B"/>
    <w:rsid w:val="00963A58"/>
    <w:rsid w:val="00963C8F"/>
    <w:rsid w:val="00963D6D"/>
    <w:rsid w:val="00964986"/>
    <w:rsid w:val="00964EE4"/>
    <w:rsid w:val="00965604"/>
    <w:rsid w:val="00965811"/>
    <w:rsid w:val="00966352"/>
    <w:rsid w:val="0097077B"/>
    <w:rsid w:val="00970EE2"/>
    <w:rsid w:val="0097135C"/>
    <w:rsid w:val="00971437"/>
    <w:rsid w:val="00971620"/>
    <w:rsid w:val="009721F8"/>
    <w:rsid w:val="009723F7"/>
    <w:rsid w:val="00972964"/>
    <w:rsid w:val="00973A2D"/>
    <w:rsid w:val="009741BD"/>
    <w:rsid w:val="00974C9A"/>
    <w:rsid w:val="00975D05"/>
    <w:rsid w:val="00976B12"/>
    <w:rsid w:val="00977660"/>
    <w:rsid w:val="00977C84"/>
    <w:rsid w:val="009803E8"/>
    <w:rsid w:val="00981936"/>
    <w:rsid w:val="00981964"/>
    <w:rsid w:val="00981FA5"/>
    <w:rsid w:val="00982DDD"/>
    <w:rsid w:val="0098310E"/>
    <w:rsid w:val="00983514"/>
    <w:rsid w:val="00983A64"/>
    <w:rsid w:val="00983CA8"/>
    <w:rsid w:val="009840A5"/>
    <w:rsid w:val="0098482A"/>
    <w:rsid w:val="00984920"/>
    <w:rsid w:val="00985238"/>
    <w:rsid w:val="00985246"/>
    <w:rsid w:val="009856FE"/>
    <w:rsid w:val="00987E86"/>
    <w:rsid w:val="0099028B"/>
    <w:rsid w:val="00990396"/>
    <w:rsid w:val="009920FE"/>
    <w:rsid w:val="009935E5"/>
    <w:rsid w:val="00993726"/>
    <w:rsid w:val="009946A8"/>
    <w:rsid w:val="00994CFF"/>
    <w:rsid w:val="0099564E"/>
    <w:rsid w:val="0099635D"/>
    <w:rsid w:val="009970A3"/>
    <w:rsid w:val="009A079F"/>
    <w:rsid w:val="009A0C82"/>
    <w:rsid w:val="009A15D1"/>
    <w:rsid w:val="009A1EF3"/>
    <w:rsid w:val="009A2601"/>
    <w:rsid w:val="009A28A5"/>
    <w:rsid w:val="009A365E"/>
    <w:rsid w:val="009A3871"/>
    <w:rsid w:val="009A39B8"/>
    <w:rsid w:val="009A4DCD"/>
    <w:rsid w:val="009A608D"/>
    <w:rsid w:val="009A6FD3"/>
    <w:rsid w:val="009A7128"/>
    <w:rsid w:val="009B0256"/>
    <w:rsid w:val="009B07B3"/>
    <w:rsid w:val="009B14DD"/>
    <w:rsid w:val="009B1557"/>
    <w:rsid w:val="009B1B02"/>
    <w:rsid w:val="009B2BF1"/>
    <w:rsid w:val="009B33A3"/>
    <w:rsid w:val="009B3955"/>
    <w:rsid w:val="009B55EB"/>
    <w:rsid w:val="009B6E2B"/>
    <w:rsid w:val="009B7C1D"/>
    <w:rsid w:val="009B7F6F"/>
    <w:rsid w:val="009C0867"/>
    <w:rsid w:val="009C26FD"/>
    <w:rsid w:val="009C30E8"/>
    <w:rsid w:val="009C3387"/>
    <w:rsid w:val="009C37B6"/>
    <w:rsid w:val="009C6318"/>
    <w:rsid w:val="009C6494"/>
    <w:rsid w:val="009C65D3"/>
    <w:rsid w:val="009C7E44"/>
    <w:rsid w:val="009D068D"/>
    <w:rsid w:val="009D1898"/>
    <w:rsid w:val="009D25D1"/>
    <w:rsid w:val="009D289A"/>
    <w:rsid w:val="009D3077"/>
    <w:rsid w:val="009D3FEB"/>
    <w:rsid w:val="009D525D"/>
    <w:rsid w:val="009D5690"/>
    <w:rsid w:val="009D66EC"/>
    <w:rsid w:val="009D6AAA"/>
    <w:rsid w:val="009D72F1"/>
    <w:rsid w:val="009D7B36"/>
    <w:rsid w:val="009E005B"/>
    <w:rsid w:val="009E10D1"/>
    <w:rsid w:val="009E13BF"/>
    <w:rsid w:val="009E17CD"/>
    <w:rsid w:val="009E1FC1"/>
    <w:rsid w:val="009E23F8"/>
    <w:rsid w:val="009E29C7"/>
    <w:rsid w:val="009E2E88"/>
    <w:rsid w:val="009E3DEF"/>
    <w:rsid w:val="009E4218"/>
    <w:rsid w:val="009E4AFF"/>
    <w:rsid w:val="009E51F4"/>
    <w:rsid w:val="009E5265"/>
    <w:rsid w:val="009E5293"/>
    <w:rsid w:val="009E546B"/>
    <w:rsid w:val="009E5760"/>
    <w:rsid w:val="009E5785"/>
    <w:rsid w:val="009E73D3"/>
    <w:rsid w:val="009E7C5A"/>
    <w:rsid w:val="009F0F3C"/>
    <w:rsid w:val="009F135D"/>
    <w:rsid w:val="009F1B49"/>
    <w:rsid w:val="009F29B6"/>
    <w:rsid w:val="009F32B2"/>
    <w:rsid w:val="009F3CC0"/>
    <w:rsid w:val="009F54CE"/>
    <w:rsid w:val="009F6BB5"/>
    <w:rsid w:val="009F6DE7"/>
    <w:rsid w:val="00A00D85"/>
    <w:rsid w:val="00A01FD3"/>
    <w:rsid w:val="00A023B7"/>
    <w:rsid w:val="00A023FA"/>
    <w:rsid w:val="00A02D46"/>
    <w:rsid w:val="00A038E8"/>
    <w:rsid w:val="00A03959"/>
    <w:rsid w:val="00A03B51"/>
    <w:rsid w:val="00A05B18"/>
    <w:rsid w:val="00A05E14"/>
    <w:rsid w:val="00A079CB"/>
    <w:rsid w:val="00A07E10"/>
    <w:rsid w:val="00A11E62"/>
    <w:rsid w:val="00A1354C"/>
    <w:rsid w:val="00A13C01"/>
    <w:rsid w:val="00A13F6B"/>
    <w:rsid w:val="00A15423"/>
    <w:rsid w:val="00A1642B"/>
    <w:rsid w:val="00A169F0"/>
    <w:rsid w:val="00A1743C"/>
    <w:rsid w:val="00A17F34"/>
    <w:rsid w:val="00A20524"/>
    <w:rsid w:val="00A20647"/>
    <w:rsid w:val="00A21155"/>
    <w:rsid w:val="00A2134E"/>
    <w:rsid w:val="00A2138F"/>
    <w:rsid w:val="00A213A4"/>
    <w:rsid w:val="00A21A4B"/>
    <w:rsid w:val="00A21F0F"/>
    <w:rsid w:val="00A22A20"/>
    <w:rsid w:val="00A24AE9"/>
    <w:rsid w:val="00A24FB4"/>
    <w:rsid w:val="00A2534C"/>
    <w:rsid w:val="00A25D3E"/>
    <w:rsid w:val="00A26334"/>
    <w:rsid w:val="00A26735"/>
    <w:rsid w:val="00A27027"/>
    <w:rsid w:val="00A271E5"/>
    <w:rsid w:val="00A276BF"/>
    <w:rsid w:val="00A276F8"/>
    <w:rsid w:val="00A310FF"/>
    <w:rsid w:val="00A32316"/>
    <w:rsid w:val="00A32C58"/>
    <w:rsid w:val="00A33052"/>
    <w:rsid w:val="00A330B5"/>
    <w:rsid w:val="00A3318E"/>
    <w:rsid w:val="00A33EEE"/>
    <w:rsid w:val="00A343D3"/>
    <w:rsid w:val="00A34BF4"/>
    <w:rsid w:val="00A36BE2"/>
    <w:rsid w:val="00A3787E"/>
    <w:rsid w:val="00A37EB8"/>
    <w:rsid w:val="00A37F29"/>
    <w:rsid w:val="00A37F2A"/>
    <w:rsid w:val="00A40D16"/>
    <w:rsid w:val="00A40DCE"/>
    <w:rsid w:val="00A41F78"/>
    <w:rsid w:val="00A44FDE"/>
    <w:rsid w:val="00A459E8"/>
    <w:rsid w:val="00A45B50"/>
    <w:rsid w:val="00A4658F"/>
    <w:rsid w:val="00A46CDD"/>
    <w:rsid w:val="00A473F9"/>
    <w:rsid w:val="00A475E8"/>
    <w:rsid w:val="00A475EC"/>
    <w:rsid w:val="00A503F9"/>
    <w:rsid w:val="00A507A3"/>
    <w:rsid w:val="00A50EB0"/>
    <w:rsid w:val="00A51E54"/>
    <w:rsid w:val="00A52865"/>
    <w:rsid w:val="00A5416B"/>
    <w:rsid w:val="00A564EA"/>
    <w:rsid w:val="00A56F3C"/>
    <w:rsid w:val="00A5748C"/>
    <w:rsid w:val="00A576DE"/>
    <w:rsid w:val="00A57FAC"/>
    <w:rsid w:val="00A603F0"/>
    <w:rsid w:val="00A62180"/>
    <w:rsid w:val="00A6319E"/>
    <w:rsid w:val="00A63448"/>
    <w:rsid w:val="00A636BA"/>
    <w:rsid w:val="00A64847"/>
    <w:rsid w:val="00A64C96"/>
    <w:rsid w:val="00A66252"/>
    <w:rsid w:val="00A666A8"/>
    <w:rsid w:val="00A66A3F"/>
    <w:rsid w:val="00A677BB"/>
    <w:rsid w:val="00A677C8"/>
    <w:rsid w:val="00A67E3E"/>
    <w:rsid w:val="00A70026"/>
    <w:rsid w:val="00A7027B"/>
    <w:rsid w:val="00A72D4A"/>
    <w:rsid w:val="00A73642"/>
    <w:rsid w:val="00A758A2"/>
    <w:rsid w:val="00A75C3B"/>
    <w:rsid w:val="00A75EB7"/>
    <w:rsid w:val="00A76C9C"/>
    <w:rsid w:val="00A76CF5"/>
    <w:rsid w:val="00A76EB4"/>
    <w:rsid w:val="00A814A0"/>
    <w:rsid w:val="00A829DA"/>
    <w:rsid w:val="00A84411"/>
    <w:rsid w:val="00A845A9"/>
    <w:rsid w:val="00A84A12"/>
    <w:rsid w:val="00A84BA6"/>
    <w:rsid w:val="00A85196"/>
    <w:rsid w:val="00A851FF"/>
    <w:rsid w:val="00A860F1"/>
    <w:rsid w:val="00A8659C"/>
    <w:rsid w:val="00A87B51"/>
    <w:rsid w:val="00A87BFB"/>
    <w:rsid w:val="00A9177A"/>
    <w:rsid w:val="00A91FC2"/>
    <w:rsid w:val="00A924DA"/>
    <w:rsid w:val="00A94F5B"/>
    <w:rsid w:val="00A952BE"/>
    <w:rsid w:val="00A95C9E"/>
    <w:rsid w:val="00A96B39"/>
    <w:rsid w:val="00A9798E"/>
    <w:rsid w:val="00AA0AC1"/>
    <w:rsid w:val="00AA1587"/>
    <w:rsid w:val="00AA1E13"/>
    <w:rsid w:val="00AA3FE2"/>
    <w:rsid w:val="00AA419C"/>
    <w:rsid w:val="00AA59F7"/>
    <w:rsid w:val="00AA6FD4"/>
    <w:rsid w:val="00AA7217"/>
    <w:rsid w:val="00AA75AC"/>
    <w:rsid w:val="00AB006A"/>
    <w:rsid w:val="00AB03DE"/>
    <w:rsid w:val="00AB119A"/>
    <w:rsid w:val="00AB1387"/>
    <w:rsid w:val="00AB1747"/>
    <w:rsid w:val="00AB183B"/>
    <w:rsid w:val="00AB1906"/>
    <w:rsid w:val="00AB4613"/>
    <w:rsid w:val="00AB5286"/>
    <w:rsid w:val="00AB6709"/>
    <w:rsid w:val="00AB6C15"/>
    <w:rsid w:val="00AB76BB"/>
    <w:rsid w:val="00AC0F65"/>
    <w:rsid w:val="00AC119E"/>
    <w:rsid w:val="00AC12AE"/>
    <w:rsid w:val="00AC13B5"/>
    <w:rsid w:val="00AC58CB"/>
    <w:rsid w:val="00AC5A41"/>
    <w:rsid w:val="00AD02CF"/>
    <w:rsid w:val="00AD03BF"/>
    <w:rsid w:val="00AD19AC"/>
    <w:rsid w:val="00AD248A"/>
    <w:rsid w:val="00AD2ACA"/>
    <w:rsid w:val="00AD2E5F"/>
    <w:rsid w:val="00AD3B8E"/>
    <w:rsid w:val="00AD6292"/>
    <w:rsid w:val="00AE028E"/>
    <w:rsid w:val="00AE1657"/>
    <w:rsid w:val="00AE1808"/>
    <w:rsid w:val="00AE3F01"/>
    <w:rsid w:val="00AE486F"/>
    <w:rsid w:val="00AE499A"/>
    <w:rsid w:val="00AE5302"/>
    <w:rsid w:val="00AE531E"/>
    <w:rsid w:val="00AE560F"/>
    <w:rsid w:val="00AE583B"/>
    <w:rsid w:val="00AE59BD"/>
    <w:rsid w:val="00AE6B21"/>
    <w:rsid w:val="00AE6BA0"/>
    <w:rsid w:val="00AE6CDA"/>
    <w:rsid w:val="00AE74BC"/>
    <w:rsid w:val="00AF0252"/>
    <w:rsid w:val="00AF1185"/>
    <w:rsid w:val="00AF2919"/>
    <w:rsid w:val="00AF2AB3"/>
    <w:rsid w:val="00AF3812"/>
    <w:rsid w:val="00AF3D05"/>
    <w:rsid w:val="00AF406B"/>
    <w:rsid w:val="00AF4F2A"/>
    <w:rsid w:val="00AF68CE"/>
    <w:rsid w:val="00AF6A56"/>
    <w:rsid w:val="00AF727F"/>
    <w:rsid w:val="00B01033"/>
    <w:rsid w:val="00B01975"/>
    <w:rsid w:val="00B020CE"/>
    <w:rsid w:val="00B020E5"/>
    <w:rsid w:val="00B02E8B"/>
    <w:rsid w:val="00B032E9"/>
    <w:rsid w:val="00B04EE1"/>
    <w:rsid w:val="00B05EDE"/>
    <w:rsid w:val="00B05F8A"/>
    <w:rsid w:val="00B07EC1"/>
    <w:rsid w:val="00B10530"/>
    <w:rsid w:val="00B12CB3"/>
    <w:rsid w:val="00B133DB"/>
    <w:rsid w:val="00B13D6F"/>
    <w:rsid w:val="00B14589"/>
    <w:rsid w:val="00B158BD"/>
    <w:rsid w:val="00B178B1"/>
    <w:rsid w:val="00B17F23"/>
    <w:rsid w:val="00B17F3E"/>
    <w:rsid w:val="00B17FA5"/>
    <w:rsid w:val="00B20605"/>
    <w:rsid w:val="00B20723"/>
    <w:rsid w:val="00B21AFD"/>
    <w:rsid w:val="00B225A3"/>
    <w:rsid w:val="00B230A7"/>
    <w:rsid w:val="00B2310D"/>
    <w:rsid w:val="00B23840"/>
    <w:rsid w:val="00B24515"/>
    <w:rsid w:val="00B24A22"/>
    <w:rsid w:val="00B26769"/>
    <w:rsid w:val="00B26886"/>
    <w:rsid w:val="00B26987"/>
    <w:rsid w:val="00B30491"/>
    <w:rsid w:val="00B30B9A"/>
    <w:rsid w:val="00B31538"/>
    <w:rsid w:val="00B31D17"/>
    <w:rsid w:val="00B32937"/>
    <w:rsid w:val="00B32A95"/>
    <w:rsid w:val="00B32C65"/>
    <w:rsid w:val="00B32FB0"/>
    <w:rsid w:val="00B3472D"/>
    <w:rsid w:val="00B34FFD"/>
    <w:rsid w:val="00B359A0"/>
    <w:rsid w:val="00B42215"/>
    <w:rsid w:val="00B431A4"/>
    <w:rsid w:val="00B4356B"/>
    <w:rsid w:val="00B43E47"/>
    <w:rsid w:val="00B442EA"/>
    <w:rsid w:val="00B455E4"/>
    <w:rsid w:val="00B45654"/>
    <w:rsid w:val="00B45CD2"/>
    <w:rsid w:val="00B45E21"/>
    <w:rsid w:val="00B46BC7"/>
    <w:rsid w:val="00B46D1B"/>
    <w:rsid w:val="00B4714D"/>
    <w:rsid w:val="00B4754B"/>
    <w:rsid w:val="00B4757F"/>
    <w:rsid w:val="00B524AD"/>
    <w:rsid w:val="00B52B5A"/>
    <w:rsid w:val="00B53509"/>
    <w:rsid w:val="00B53B16"/>
    <w:rsid w:val="00B5436B"/>
    <w:rsid w:val="00B54C6F"/>
    <w:rsid w:val="00B550D2"/>
    <w:rsid w:val="00B55650"/>
    <w:rsid w:val="00B559A5"/>
    <w:rsid w:val="00B56742"/>
    <w:rsid w:val="00B56CBA"/>
    <w:rsid w:val="00B5700D"/>
    <w:rsid w:val="00B6019A"/>
    <w:rsid w:val="00B6041E"/>
    <w:rsid w:val="00B6171F"/>
    <w:rsid w:val="00B61D62"/>
    <w:rsid w:val="00B62B66"/>
    <w:rsid w:val="00B62C8B"/>
    <w:rsid w:val="00B62DF7"/>
    <w:rsid w:val="00B63757"/>
    <w:rsid w:val="00B64496"/>
    <w:rsid w:val="00B645FF"/>
    <w:rsid w:val="00B64846"/>
    <w:rsid w:val="00B64F20"/>
    <w:rsid w:val="00B65597"/>
    <w:rsid w:val="00B656A4"/>
    <w:rsid w:val="00B656C3"/>
    <w:rsid w:val="00B657A0"/>
    <w:rsid w:val="00B65865"/>
    <w:rsid w:val="00B65B3A"/>
    <w:rsid w:val="00B65B4B"/>
    <w:rsid w:val="00B65D23"/>
    <w:rsid w:val="00B665EE"/>
    <w:rsid w:val="00B668A5"/>
    <w:rsid w:val="00B66E11"/>
    <w:rsid w:val="00B67367"/>
    <w:rsid w:val="00B70002"/>
    <w:rsid w:val="00B704F5"/>
    <w:rsid w:val="00B7174E"/>
    <w:rsid w:val="00B72002"/>
    <w:rsid w:val="00B720ED"/>
    <w:rsid w:val="00B723B5"/>
    <w:rsid w:val="00B72B18"/>
    <w:rsid w:val="00B72F14"/>
    <w:rsid w:val="00B73753"/>
    <w:rsid w:val="00B745AA"/>
    <w:rsid w:val="00B74C34"/>
    <w:rsid w:val="00B75AA1"/>
    <w:rsid w:val="00B77005"/>
    <w:rsid w:val="00B80C2F"/>
    <w:rsid w:val="00B80F39"/>
    <w:rsid w:val="00B80F81"/>
    <w:rsid w:val="00B814DA"/>
    <w:rsid w:val="00B84520"/>
    <w:rsid w:val="00B85CB9"/>
    <w:rsid w:val="00B86A03"/>
    <w:rsid w:val="00B8720E"/>
    <w:rsid w:val="00B87937"/>
    <w:rsid w:val="00B87EA5"/>
    <w:rsid w:val="00B9068F"/>
    <w:rsid w:val="00B917DD"/>
    <w:rsid w:val="00B92C6F"/>
    <w:rsid w:val="00B93BC5"/>
    <w:rsid w:val="00B947DC"/>
    <w:rsid w:val="00B9493D"/>
    <w:rsid w:val="00B94CB5"/>
    <w:rsid w:val="00B95149"/>
    <w:rsid w:val="00B954CF"/>
    <w:rsid w:val="00B95D6A"/>
    <w:rsid w:val="00B95DB7"/>
    <w:rsid w:val="00B971DC"/>
    <w:rsid w:val="00B97BD2"/>
    <w:rsid w:val="00BA2898"/>
    <w:rsid w:val="00BA2D5E"/>
    <w:rsid w:val="00BA3EFF"/>
    <w:rsid w:val="00BA54CC"/>
    <w:rsid w:val="00BA656F"/>
    <w:rsid w:val="00BA71F5"/>
    <w:rsid w:val="00BA7D24"/>
    <w:rsid w:val="00BA7ED5"/>
    <w:rsid w:val="00BB0B3E"/>
    <w:rsid w:val="00BB0CC1"/>
    <w:rsid w:val="00BB0DAB"/>
    <w:rsid w:val="00BB0DD1"/>
    <w:rsid w:val="00BB139C"/>
    <w:rsid w:val="00BB13BB"/>
    <w:rsid w:val="00BB2402"/>
    <w:rsid w:val="00BB244E"/>
    <w:rsid w:val="00BB2CE7"/>
    <w:rsid w:val="00BB328A"/>
    <w:rsid w:val="00BB4C58"/>
    <w:rsid w:val="00BB4CE1"/>
    <w:rsid w:val="00BB4E49"/>
    <w:rsid w:val="00BB4F51"/>
    <w:rsid w:val="00BB56CC"/>
    <w:rsid w:val="00BB5C26"/>
    <w:rsid w:val="00BB5DCE"/>
    <w:rsid w:val="00BB6806"/>
    <w:rsid w:val="00BB6D3A"/>
    <w:rsid w:val="00BB6EA4"/>
    <w:rsid w:val="00BB707F"/>
    <w:rsid w:val="00BC0599"/>
    <w:rsid w:val="00BC06E4"/>
    <w:rsid w:val="00BC0FE2"/>
    <w:rsid w:val="00BC4AEB"/>
    <w:rsid w:val="00BC4E6C"/>
    <w:rsid w:val="00BC5591"/>
    <w:rsid w:val="00BC6C32"/>
    <w:rsid w:val="00BC7DFD"/>
    <w:rsid w:val="00BD0458"/>
    <w:rsid w:val="00BD13B9"/>
    <w:rsid w:val="00BD152A"/>
    <w:rsid w:val="00BD2F02"/>
    <w:rsid w:val="00BD309E"/>
    <w:rsid w:val="00BD4E12"/>
    <w:rsid w:val="00BD633A"/>
    <w:rsid w:val="00BD648F"/>
    <w:rsid w:val="00BD6B56"/>
    <w:rsid w:val="00BE073A"/>
    <w:rsid w:val="00BE0CD2"/>
    <w:rsid w:val="00BE101F"/>
    <w:rsid w:val="00BE24D4"/>
    <w:rsid w:val="00BE326F"/>
    <w:rsid w:val="00BE36B3"/>
    <w:rsid w:val="00BE3712"/>
    <w:rsid w:val="00BE4589"/>
    <w:rsid w:val="00BE551A"/>
    <w:rsid w:val="00BE5DEB"/>
    <w:rsid w:val="00BE7174"/>
    <w:rsid w:val="00BE766C"/>
    <w:rsid w:val="00BF00C7"/>
    <w:rsid w:val="00BF1389"/>
    <w:rsid w:val="00BF14E5"/>
    <w:rsid w:val="00BF18C5"/>
    <w:rsid w:val="00BF1D7E"/>
    <w:rsid w:val="00BF2461"/>
    <w:rsid w:val="00BF301A"/>
    <w:rsid w:val="00BF3A7B"/>
    <w:rsid w:val="00BF4ADF"/>
    <w:rsid w:val="00BF513A"/>
    <w:rsid w:val="00BF520F"/>
    <w:rsid w:val="00BF5546"/>
    <w:rsid w:val="00BF5D12"/>
    <w:rsid w:val="00BF6753"/>
    <w:rsid w:val="00BF6DF2"/>
    <w:rsid w:val="00BF6DFD"/>
    <w:rsid w:val="00C0001B"/>
    <w:rsid w:val="00C0098B"/>
    <w:rsid w:val="00C01151"/>
    <w:rsid w:val="00C014CD"/>
    <w:rsid w:val="00C019A9"/>
    <w:rsid w:val="00C02768"/>
    <w:rsid w:val="00C02ED2"/>
    <w:rsid w:val="00C0341C"/>
    <w:rsid w:val="00C03B96"/>
    <w:rsid w:val="00C03C86"/>
    <w:rsid w:val="00C040A6"/>
    <w:rsid w:val="00C05823"/>
    <w:rsid w:val="00C06822"/>
    <w:rsid w:val="00C06C34"/>
    <w:rsid w:val="00C070D3"/>
    <w:rsid w:val="00C07608"/>
    <w:rsid w:val="00C07675"/>
    <w:rsid w:val="00C10DA0"/>
    <w:rsid w:val="00C12927"/>
    <w:rsid w:val="00C13702"/>
    <w:rsid w:val="00C1379D"/>
    <w:rsid w:val="00C1454B"/>
    <w:rsid w:val="00C1711D"/>
    <w:rsid w:val="00C17C2F"/>
    <w:rsid w:val="00C17EE5"/>
    <w:rsid w:val="00C20248"/>
    <w:rsid w:val="00C20BD4"/>
    <w:rsid w:val="00C218FE"/>
    <w:rsid w:val="00C2241C"/>
    <w:rsid w:val="00C22F8C"/>
    <w:rsid w:val="00C23675"/>
    <w:rsid w:val="00C2417D"/>
    <w:rsid w:val="00C27B17"/>
    <w:rsid w:val="00C27E06"/>
    <w:rsid w:val="00C30DB7"/>
    <w:rsid w:val="00C30F9D"/>
    <w:rsid w:val="00C31AC8"/>
    <w:rsid w:val="00C31AE5"/>
    <w:rsid w:val="00C3267D"/>
    <w:rsid w:val="00C33CF7"/>
    <w:rsid w:val="00C33E5B"/>
    <w:rsid w:val="00C33E93"/>
    <w:rsid w:val="00C34358"/>
    <w:rsid w:val="00C35B31"/>
    <w:rsid w:val="00C35D4A"/>
    <w:rsid w:val="00C35DDD"/>
    <w:rsid w:val="00C362C9"/>
    <w:rsid w:val="00C36675"/>
    <w:rsid w:val="00C36D8C"/>
    <w:rsid w:val="00C37288"/>
    <w:rsid w:val="00C40533"/>
    <w:rsid w:val="00C40A46"/>
    <w:rsid w:val="00C40C1D"/>
    <w:rsid w:val="00C41052"/>
    <w:rsid w:val="00C41321"/>
    <w:rsid w:val="00C41692"/>
    <w:rsid w:val="00C42D30"/>
    <w:rsid w:val="00C441C5"/>
    <w:rsid w:val="00C44C8B"/>
    <w:rsid w:val="00C45CC3"/>
    <w:rsid w:val="00C46224"/>
    <w:rsid w:val="00C46FFE"/>
    <w:rsid w:val="00C47072"/>
    <w:rsid w:val="00C470DC"/>
    <w:rsid w:val="00C4743B"/>
    <w:rsid w:val="00C47A26"/>
    <w:rsid w:val="00C501EE"/>
    <w:rsid w:val="00C5104F"/>
    <w:rsid w:val="00C51F9A"/>
    <w:rsid w:val="00C5328C"/>
    <w:rsid w:val="00C541A0"/>
    <w:rsid w:val="00C542FE"/>
    <w:rsid w:val="00C548A7"/>
    <w:rsid w:val="00C559B0"/>
    <w:rsid w:val="00C55AF0"/>
    <w:rsid w:val="00C56122"/>
    <w:rsid w:val="00C56D28"/>
    <w:rsid w:val="00C57088"/>
    <w:rsid w:val="00C577B2"/>
    <w:rsid w:val="00C601EC"/>
    <w:rsid w:val="00C607BC"/>
    <w:rsid w:val="00C63CF8"/>
    <w:rsid w:val="00C64456"/>
    <w:rsid w:val="00C6456F"/>
    <w:rsid w:val="00C6542A"/>
    <w:rsid w:val="00C657F9"/>
    <w:rsid w:val="00C663F8"/>
    <w:rsid w:val="00C664C7"/>
    <w:rsid w:val="00C67229"/>
    <w:rsid w:val="00C6773C"/>
    <w:rsid w:val="00C67B28"/>
    <w:rsid w:val="00C7201D"/>
    <w:rsid w:val="00C72084"/>
    <w:rsid w:val="00C726AB"/>
    <w:rsid w:val="00C733F1"/>
    <w:rsid w:val="00C743A0"/>
    <w:rsid w:val="00C743A5"/>
    <w:rsid w:val="00C7448D"/>
    <w:rsid w:val="00C74CEF"/>
    <w:rsid w:val="00C75636"/>
    <w:rsid w:val="00C7583F"/>
    <w:rsid w:val="00C773C3"/>
    <w:rsid w:val="00C80758"/>
    <w:rsid w:val="00C81AD8"/>
    <w:rsid w:val="00C826A7"/>
    <w:rsid w:val="00C82F55"/>
    <w:rsid w:val="00C83338"/>
    <w:rsid w:val="00C839B8"/>
    <w:rsid w:val="00C84B83"/>
    <w:rsid w:val="00C85208"/>
    <w:rsid w:val="00C8594F"/>
    <w:rsid w:val="00C8595A"/>
    <w:rsid w:val="00C85B7A"/>
    <w:rsid w:val="00C861E6"/>
    <w:rsid w:val="00C8633C"/>
    <w:rsid w:val="00C86FEF"/>
    <w:rsid w:val="00C875E4"/>
    <w:rsid w:val="00C87873"/>
    <w:rsid w:val="00C87E72"/>
    <w:rsid w:val="00C87E95"/>
    <w:rsid w:val="00C90715"/>
    <w:rsid w:val="00C907F5"/>
    <w:rsid w:val="00C91975"/>
    <w:rsid w:val="00C91FBA"/>
    <w:rsid w:val="00C92D46"/>
    <w:rsid w:val="00C941B8"/>
    <w:rsid w:val="00C96472"/>
    <w:rsid w:val="00C96596"/>
    <w:rsid w:val="00C9739B"/>
    <w:rsid w:val="00C9779A"/>
    <w:rsid w:val="00C97A0F"/>
    <w:rsid w:val="00C97B98"/>
    <w:rsid w:val="00CA096C"/>
    <w:rsid w:val="00CA2859"/>
    <w:rsid w:val="00CA410D"/>
    <w:rsid w:val="00CA43A2"/>
    <w:rsid w:val="00CA46FA"/>
    <w:rsid w:val="00CA4EA6"/>
    <w:rsid w:val="00CA5802"/>
    <w:rsid w:val="00CA62F6"/>
    <w:rsid w:val="00CA64FA"/>
    <w:rsid w:val="00CA7843"/>
    <w:rsid w:val="00CA7AE8"/>
    <w:rsid w:val="00CB03A9"/>
    <w:rsid w:val="00CB0E9D"/>
    <w:rsid w:val="00CB1454"/>
    <w:rsid w:val="00CB2582"/>
    <w:rsid w:val="00CB280E"/>
    <w:rsid w:val="00CB3E1C"/>
    <w:rsid w:val="00CB4E8C"/>
    <w:rsid w:val="00CB525A"/>
    <w:rsid w:val="00CB5A6F"/>
    <w:rsid w:val="00CB6D67"/>
    <w:rsid w:val="00CC04C2"/>
    <w:rsid w:val="00CC0AC5"/>
    <w:rsid w:val="00CC0CC0"/>
    <w:rsid w:val="00CC199D"/>
    <w:rsid w:val="00CC2BFE"/>
    <w:rsid w:val="00CC48E6"/>
    <w:rsid w:val="00CC577B"/>
    <w:rsid w:val="00CC62D0"/>
    <w:rsid w:val="00CC6DEF"/>
    <w:rsid w:val="00CC738E"/>
    <w:rsid w:val="00CD01E0"/>
    <w:rsid w:val="00CD161C"/>
    <w:rsid w:val="00CD259D"/>
    <w:rsid w:val="00CD525A"/>
    <w:rsid w:val="00CD5525"/>
    <w:rsid w:val="00CD65B2"/>
    <w:rsid w:val="00CD7477"/>
    <w:rsid w:val="00CE01A7"/>
    <w:rsid w:val="00CE0A01"/>
    <w:rsid w:val="00CE0EBD"/>
    <w:rsid w:val="00CE19DE"/>
    <w:rsid w:val="00CE2CEE"/>
    <w:rsid w:val="00CE2FE0"/>
    <w:rsid w:val="00CE3FDD"/>
    <w:rsid w:val="00CE57AA"/>
    <w:rsid w:val="00CE72AC"/>
    <w:rsid w:val="00CE78D6"/>
    <w:rsid w:val="00CE7F5C"/>
    <w:rsid w:val="00CF0BBF"/>
    <w:rsid w:val="00CF0BF0"/>
    <w:rsid w:val="00CF0D27"/>
    <w:rsid w:val="00CF196F"/>
    <w:rsid w:val="00CF281F"/>
    <w:rsid w:val="00CF284D"/>
    <w:rsid w:val="00CF4F2C"/>
    <w:rsid w:val="00CF564C"/>
    <w:rsid w:val="00CF63CF"/>
    <w:rsid w:val="00CF6B16"/>
    <w:rsid w:val="00CF6DE6"/>
    <w:rsid w:val="00CF6F57"/>
    <w:rsid w:val="00CF7F5E"/>
    <w:rsid w:val="00D0028E"/>
    <w:rsid w:val="00D01C15"/>
    <w:rsid w:val="00D02F34"/>
    <w:rsid w:val="00D03180"/>
    <w:rsid w:val="00D033EB"/>
    <w:rsid w:val="00D03C2D"/>
    <w:rsid w:val="00D04625"/>
    <w:rsid w:val="00D049D3"/>
    <w:rsid w:val="00D04F1B"/>
    <w:rsid w:val="00D0555C"/>
    <w:rsid w:val="00D05846"/>
    <w:rsid w:val="00D06018"/>
    <w:rsid w:val="00D103A1"/>
    <w:rsid w:val="00D1050F"/>
    <w:rsid w:val="00D1141C"/>
    <w:rsid w:val="00D12936"/>
    <w:rsid w:val="00D1437A"/>
    <w:rsid w:val="00D149A1"/>
    <w:rsid w:val="00D15C3E"/>
    <w:rsid w:val="00D15F00"/>
    <w:rsid w:val="00D1645C"/>
    <w:rsid w:val="00D17EE8"/>
    <w:rsid w:val="00D22008"/>
    <w:rsid w:val="00D2246E"/>
    <w:rsid w:val="00D228B5"/>
    <w:rsid w:val="00D22BC1"/>
    <w:rsid w:val="00D22D06"/>
    <w:rsid w:val="00D23014"/>
    <w:rsid w:val="00D23500"/>
    <w:rsid w:val="00D24AF3"/>
    <w:rsid w:val="00D24D27"/>
    <w:rsid w:val="00D257AF"/>
    <w:rsid w:val="00D25A6C"/>
    <w:rsid w:val="00D26086"/>
    <w:rsid w:val="00D263C7"/>
    <w:rsid w:val="00D264E1"/>
    <w:rsid w:val="00D2731C"/>
    <w:rsid w:val="00D278D7"/>
    <w:rsid w:val="00D30212"/>
    <w:rsid w:val="00D302DE"/>
    <w:rsid w:val="00D306DD"/>
    <w:rsid w:val="00D30992"/>
    <w:rsid w:val="00D32390"/>
    <w:rsid w:val="00D32CF3"/>
    <w:rsid w:val="00D32D71"/>
    <w:rsid w:val="00D33271"/>
    <w:rsid w:val="00D337C2"/>
    <w:rsid w:val="00D33BD4"/>
    <w:rsid w:val="00D35475"/>
    <w:rsid w:val="00D354D9"/>
    <w:rsid w:val="00D35A5B"/>
    <w:rsid w:val="00D3692C"/>
    <w:rsid w:val="00D36F74"/>
    <w:rsid w:val="00D37805"/>
    <w:rsid w:val="00D40190"/>
    <w:rsid w:val="00D403BC"/>
    <w:rsid w:val="00D40915"/>
    <w:rsid w:val="00D40ADD"/>
    <w:rsid w:val="00D4184F"/>
    <w:rsid w:val="00D41D57"/>
    <w:rsid w:val="00D42038"/>
    <w:rsid w:val="00D43BDE"/>
    <w:rsid w:val="00D43BE5"/>
    <w:rsid w:val="00D446A0"/>
    <w:rsid w:val="00D4715A"/>
    <w:rsid w:val="00D50521"/>
    <w:rsid w:val="00D50604"/>
    <w:rsid w:val="00D50BF9"/>
    <w:rsid w:val="00D5178C"/>
    <w:rsid w:val="00D51907"/>
    <w:rsid w:val="00D51C9A"/>
    <w:rsid w:val="00D560B4"/>
    <w:rsid w:val="00D577A0"/>
    <w:rsid w:val="00D57926"/>
    <w:rsid w:val="00D61C19"/>
    <w:rsid w:val="00D62F8F"/>
    <w:rsid w:val="00D6416F"/>
    <w:rsid w:val="00D64740"/>
    <w:rsid w:val="00D668B4"/>
    <w:rsid w:val="00D66CC9"/>
    <w:rsid w:val="00D66F8F"/>
    <w:rsid w:val="00D67EB4"/>
    <w:rsid w:val="00D712A8"/>
    <w:rsid w:val="00D726B3"/>
    <w:rsid w:val="00D727F8"/>
    <w:rsid w:val="00D728E3"/>
    <w:rsid w:val="00D72BFA"/>
    <w:rsid w:val="00D750E3"/>
    <w:rsid w:val="00D75110"/>
    <w:rsid w:val="00D76157"/>
    <w:rsid w:val="00D76A69"/>
    <w:rsid w:val="00D76E1B"/>
    <w:rsid w:val="00D77158"/>
    <w:rsid w:val="00D77CCB"/>
    <w:rsid w:val="00D77E49"/>
    <w:rsid w:val="00D77E54"/>
    <w:rsid w:val="00D82759"/>
    <w:rsid w:val="00D82E49"/>
    <w:rsid w:val="00D84EE6"/>
    <w:rsid w:val="00D85FD3"/>
    <w:rsid w:val="00D8758D"/>
    <w:rsid w:val="00D905D1"/>
    <w:rsid w:val="00D90937"/>
    <w:rsid w:val="00D9182B"/>
    <w:rsid w:val="00D926B8"/>
    <w:rsid w:val="00D929A4"/>
    <w:rsid w:val="00D937F3"/>
    <w:rsid w:val="00D94A6B"/>
    <w:rsid w:val="00D962A0"/>
    <w:rsid w:val="00D97195"/>
    <w:rsid w:val="00D971A0"/>
    <w:rsid w:val="00D97474"/>
    <w:rsid w:val="00DA00B3"/>
    <w:rsid w:val="00DA1C53"/>
    <w:rsid w:val="00DA2876"/>
    <w:rsid w:val="00DA2B39"/>
    <w:rsid w:val="00DA3912"/>
    <w:rsid w:val="00DA4E3B"/>
    <w:rsid w:val="00DA5059"/>
    <w:rsid w:val="00DA51BB"/>
    <w:rsid w:val="00DA55DA"/>
    <w:rsid w:val="00DA6286"/>
    <w:rsid w:val="00DA6ECB"/>
    <w:rsid w:val="00DA703D"/>
    <w:rsid w:val="00DA7238"/>
    <w:rsid w:val="00DB002F"/>
    <w:rsid w:val="00DB0E3E"/>
    <w:rsid w:val="00DB0FD3"/>
    <w:rsid w:val="00DB103B"/>
    <w:rsid w:val="00DB13DB"/>
    <w:rsid w:val="00DB1662"/>
    <w:rsid w:val="00DB17F3"/>
    <w:rsid w:val="00DB1B59"/>
    <w:rsid w:val="00DB2912"/>
    <w:rsid w:val="00DB32E9"/>
    <w:rsid w:val="00DB3EC5"/>
    <w:rsid w:val="00DB4EBE"/>
    <w:rsid w:val="00DB56F9"/>
    <w:rsid w:val="00DB5E65"/>
    <w:rsid w:val="00DB6135"/>
    <w:rsid w:val="00DB6786"/>
    <w:rsid w:val="00DB6FC7"/>
    <w:rsid w:val="00DC0446"/>
    <w:rsid w:val="00DC1257"/>
    <w:rsid w:val="00DC1774"/>
    <w:rsid w:val="00DC3875"/>
    <w:rsid w:val="00DC3DC5"/>
    <w:rsid w:val="00DC3E1E"/>
    <w:rsid w:val="00DC56E9"/>
    <w:rsid w:val="00DC58B7"/>
    <w:rsid w:val="00DC5D59"/>
    <w:rsid w:val="00DC63F1"/>
    <w:rsid w:val="00DC6D36"/>
    <w:rsid w:val="00DC6FAD"/>
    <w:rsid w:val="00DC725C"/>
    <w:rsid w:val="00DC7D7E"/>
    <w:rsid w:val="00DD0211"/>
    <w:rsid w:val="00DD027A"/>
    <w:rsid w:val="00DD0F64"/>
    <w:rsid w:val="00DD235C"/>
    <w:rsid w:val="00DD2E3C"/>
    <w:rsid w:val="00DD2FE3"/>
    <w:rsid w:val="00DD3444"/>
    <w:rsid w:val="00DD4C84"/>
    <w:rsid w:val="00DD561A"/>
    <w:rsid w:val="00DD6593"/>
    <w:rsid w:val="00DD6941"/>
    <w:rsid w:val="00DD7392"/>
    <w:rsid w:val="00DD7C14"/>
    <w:rsid w:val="00DE0560"/>
    <w:rsid w:val="00DE1D82"/>
    <w:rsid w:val="00DE226A"/>
    <w:rsid w:val="00DE2374"/>
    <w:rsid w:val="00DE260B"/>
    <w:rsid w:val="00DE358C"/>
    <w:rsid w:val="00DE38BC"/>
    <w:rsid w:val="00DE77E2"/>
    <w:rsid w:val="00DF0007"/>
    <w:rsid w:val="00DF108C"/>
    <w:rsid w:val="00DF1190"/>
    <w:rsid w:val="00DF1704"/>
    <w:rsid w:val="00DF18B1"/>
    <w:rsid w:val="00DF1A6D"/>
    <w:rsid w:val="00DF1E54"/>
    <w:rsid w:val="00DF2AE0"/>
    <w:rsid w:val="00DF303D"/>
    <w:rsid w:val="00DF40BB"/>
    <w:rsid w:val="00DF588D"/>
    <w:rsid w:val="00DF7623"/>
    <w:rsid w:val="00E01115"/>
    <w:rsid w:val="00E029F7"/>
    <w:rsid w:val="00E02ECF"/>
    <w:rsid w:val="00E02F8D"/>
    <w:rsid w:val="00E0444C"/>
    <w:rsid w:val="00E052C9"/>
    <w:rsid w:val="00E05D8C"/>
    <w:rsid w:val="00E0639D"/>
    <w:rsid w:val="00E0724B"/>
    <w:rsid w:val="00E10044"/>
    <w:rsid w:val="00E10F53"/>
    <w:rsid w:val="00E10FB1"/>
    <w:rsid w:val="00E10FCD"/>
    <w:rsid w:val="00E11ED6"/>
    <w:rsid w:val="00E12F22"/>
    <w:rsid w:val="00E13342"/>
    <w:rsid w:val="00E13579"/>
    <w:rsid w:val="00E137F6"/>
    <w:rsid w:val="00E13B99"/>
    <w:rsid w:val="00E14D27"/>
    <w:rsid w:val="00E1543A"/>
    <w:rsid w:val="00E156BF"/>
    <w:rsid w:val="00E1605F"/>
    <w:rsid w:val="00E1695F"/>
    <w:rsid w:val="00E16FE3"/>
    <w:rsid w:val="00E17809"/>
    <w:rsid w:val="00E178D2"/>
    <w:rsid w:val="00E204F8"/>
    <w:rsid w:val="00E20A93"/>
    <w:rsid w:val="00E21B32"/>
    <w:rsid w:val="00E220DC"/>
    <w:rsid w:val="00E23100"/>
    <w:rsid w:val="00E26183"/>
    <w:rsid w:val="00E2665A"/>
    <w:rsid w:val="00E26C72"/>
    <w:rsid w:val="00E27029"/>
    <w:rsid w:val="00E30172"/>
    <w:rsid w:val="00E303DA"/>
    <w:rsid w:val="00E30ABC"/>
    <w:rsid w:val="00E31BD9"/>
    <w:rsid w:val="00E320A9"/>
    <w:rsid w:val="00E324E2"/>
    <w:rsid w:val="00E3342F"/>
    <w:rsid w:val="00E344BD"/>
    <w:rsid w:val="00E34514"/>
    <w:rsid w:val="00E34921"/>
    <w:rsid w:val="00E35884"/>
    <w:rsid w:val="00E35C17"/>
    <w:rsid w:val="00E35FB5"/>
    <w:rsid w:val="00E36A84"/>
    <w:rsid w:val="00E3731C"/>
    <w:rsid w:val="00E37619"/>
    <w:rsid w:val="00E40B7C"/>
    <w:rsid w:val="00E411C8"/>
    <w:rsid w:val="00E41813"/>
    <w:rsid w:val="00E419E3"/>
    <w:rsid w:val="00E41EF2"/>
    <w:rsid w:val="00E42357"/>
    <w:rsid w:val="00E42974"/>
    <w:rsid w:val="00E42E51"/>
    <w:rsid w:val="00E43733"/>
    <w:rsid w:val="00E43931"/>
    <w:rsid w:val="00E449BA"/>
    <w:rsid w:val="00E44D9D"/>
    <w:rsid w:val="00E450D2"/>
    <w:rsid w:val="00E45848"/>
    <w:rsid w:val="00E45E05"/>
    <w:rsid w:val="00E45E6E"/>
    <w:rsid w:val="00E46105"/>
    <w:rsid w:val="00E4655B"/>
    <w:rsid w:val="00E47F16"/>
    <w:rsid w:val="00E500D6"/>
    <w:rsid w:val="00E5056E"/>
    <w:rsid w:val="00E52FEF"/>
    <w:rsid w:val="00E53310"/>
    <w:rsid w:val="00E5368B"/>
    <w:rsid w:val="00E53C6A"/>
    <w:rsid w:val="00E54C6E"/>
    <w:rsid w:val="00E558F4"/>
    <w:rsid w:val="00E560E1"/>
    <w:rsid w:val="00E560F8"/>
    <w:rsid w:val="00E569BC"/>
    <w:rsid w:val="00E578BE"/>
    <w:rsid w:val="00E57B4C"/>
    <w:rsid w:val="00E57FD3"/>
    <w:rsid w:val="00E60247"/>
    <w:rsid w:val="00E605D3"/>
    <w:rsid w:val="00E60687"/>
    <w:rsid w:val="00E608BA"/>
    <w:rsid w:val="00E60D58"/>
    <w:rsid w:val="00E61641"/>
    <w:rsid w:val="00E618F1"/>
    <w:rsid w:val="00E61B5D"/>
    <w:rsid w:val="00E633F7"/>
    <w:rsid w:val="00E63F60"/>
    <w:rsid w:val="00E64D85"/>
    <w:rsid w:val="00E651D4"/>
    <w:rsid w:val="00E65479"/>
    <w:rsid w:val="00E65A74"/>
    <w:rsid w:val="00E66966"/>
    <w:rsid w:val="00E67A5B"/>
    <w:rsid w:val="00E67AD4"/>
    <w:rsid w:val="00E7102C"/>
    <w:rsid w:val="00E71C14"/>
    <w:rsid w:val="00E7232C"/>
    <w:rsid w:val="00E73B8C"/>
    <w:rsid w:val="00E73CF5"/>
    <w:rsid w:val="00E74408"/>
    <w:rsid w:val="00E74520"/>
    <w:rsid w:val="00E74A81"/>
    <w:rsid w:val="00E751DB"/>
    <w:rsid w:val="00E7556B"/>
    <w:rsid w:val="00E75688"/>
    <w:rsid w:val="00E7683A"/>
    <w:rsid w:val="00E77035"/>
    <w:rsid w:val="00E80663"/>
    <w:rsid w:val="00E806DF"/>
    <w:rsid w:val="00E810F1"/>
    <w:rsid w:val="00E81A47"/>
    <w:rsid w:val="00E82273"/>
    <w:rsid w:val="00E8276B"/>
    <w:rsid w:val="00E828E7"/>
    <w:rsid w:val="00E83153"/>
    <w:rsid w:val="00E8477F"/>
    <w:rsid w:val="00E85449"/>
    <w:rsid w:val="00E859E2"/>
    <w:rsid w:val="00E909CF"/>
    <w:rsid w:val="00E90F69"/>
    <w:rsid w:val="00E914A3"/>
    <w:rsid w:val="00E920F2"/>
    <w:rsid w:val="00E92336"/>
    <w:rsid w:val="00E9240D"/>
    <w:rsid w:val="00E94B56"/>
    <w:rsid w:val="00E959C9"/>
    <w:rsid w:val="00E96B44"/>
    <w:rsid w:val="00E9770F"/>
    <w:rsid w:val="00EA00B4"/>
    <w:rsid w:val="00EA0444"/>
    <w:rsid w:val="00EA1A65"/>
    <w:rsid w:val="00EA20E3"/>
    <w:rsid w:val="00EA3CFD"/>
    <w:rsid w:val="00EA4B9D"/>
    <w:rsid w:val="00EA601A"/>
    <w:rsid w:val="00EA64CA"/>
    <w:rsid w:val="00EA6658"/>
    <w:rsid w:val="00EA7F7A"/>
    <w:rsid w:val="00EB134F"/>
    <w:rsid w:val="00EB18B9"/>
    <w:rsid w:val="00EB1E63"/>
    <w:rsid w:val="00EB2463"/>
    <w:rsid w:val="00EB2B9A"/>
    <w:rsid w:val="00EB5846"/>
    <w:rsid w:val="00EB6FA0"/>
    <w:rsid w:val="00EC028C"/>
    <w:rsid w:val="00EC0CA0"/>
    <w:rsid w:val="00EC1234"/>
    <w:rsid w:val="00EC1518"/>
    <w:rsid w:val="00EC1A62"/>
    <w:rsid w:val="00EC1E67"/>
    <w:rsid w:val="00EC1F87"/>
    <w:rsid w:val="00EC247A"/>
    <w:rsid w:val="00EC284D"/>
    <w:rsid w:val="00EC35AF"/>
    <w:rsid w:val="00EC3A80"/>
    <w:rsid w:val="00EC3AE6"/>
    <w:rsid w:val="00EC42B0"/>
    <w:rsid w:val="00EC4862"/>
    <w:rsid w:val="00EC5E44"/>
    <w:rsid w:val="00EC7263"/>
    <w:rsid w:val="00ED09EF"/>
    <w:rsid w:val="00ED1190"/>
    <w:rsid w:val="00ED1491"/>
    <w:rsid w:val="00ED165E"/>
    <w:rsid w:val="00ED1EBC"/>
    <w:rsid w:val="00ED2DC4"/>
    <w:rsid w:val="00ED36B3"/>
    <w:rsid w:val="00ED51A8"/>
    <w:rsid w:val="00ED56D1"/>
    <w:rsid w:val="00ED5942"/>
    <w:rsid w:val="00ED59F3"/>
    <w:rsid w:val="00ED5BCB"/>
    <w:rsid w:val="00ED652F"/>
    <w:rsid w:val="00ED670C"/>
    <w:rsid w:val="00ED7BC4"/>
    <w:rsid w:val="00EE062A"/>
    <w:rsid w:val="00EE0871"/>
    <w:rsid w:val="00EE1421"/>
    <w:rsid w:val="00EE18AC"/>
    <w:rsid w:val="00EE430F"/>
    <w:rsid w:val="00EE4D03"/>
    <w:rsid w:val="00EE4F64"/>
    <w:rsid w:val="00EE57D6"/>
    <w:rsid w:val="00EE696F"/>
    <w:rsid w:val="00EE69DD"/>
    <w:rsid w:val="00EE6D57"/>
    <w:rsid w:val="00EE79BA"/>
    <w:rsid w:val="00EE7E4C"/>
    <w:rsid w:val="00EF0DD3"/>
    <w:rsid w:val="00EF0F09"/>
    <w:rsid w:val="00EF1CD6"/>
    <w:rsid w:val="00EF3FDC"/>
    <w:rsid w:val="00EF435A"/>
    <w:rsid w:val="00EF52BC"/>
    <w:rsid w:val="00EF6160"/>
    <w:rsid w:val="00EF692E"/>
    <w:rsid w:val="00EF77EA"/>
    <w:rsid w:val="00F00681"/>
    <w:rsid w:val="00F00EDD"/>
    <w:rsid w:val="00F0118B"/>
    <w:rsid w:val="00F01679"/>
    <w:rsid w:val="00F05FA0"/>
    <w:rsid w:val="00F0657E"/>
    <w:rsid w:val="00F07618"/>
    <w:rsid w:val="00F103FD"/>
    <w:rsid w:val="00F11F06"/>
    <w:rsid w:val="00F130C0"/>
    <w:rsid w:val="00F140C4"/>
    <w:rsid w:val="00F141B5"/>
    <w:rsid w:val="00F141CD"/>
    <w:rsid w:val="00F146D6"/>
    <w:rsid w:val="00F146E4"/>
    <w:rsid w:val="00F14C87"/>
    <w:rsid w:val="00F14D68"/>
    <w:rsid w:val="00F155E8"/>
    <w:rsid w:val="00F15911"/>
    <w:rsid w:val="00F163A2"/>
    <w:rsid w:val="00F16525"/>
    <w:rsid w:val="00F174E4"/>
    <w:rsid w:val="00F21794"/>
    <w:rsid w:val="00F2186C"/>
    <w:rsid w:val="00F21E06"/>
    <w:rsid w:val="00F22E2F"/>
    <w:rsid w:val="00F23BC4"/>
    <w:rsid w:val="00F24123"/>
    <w:rsid w:val="00F2482F"/>
    <w:rsid w:val="00F2508E"/>
    <w:rsid w:val="00F25109"/>
    <w:rsid w:val="00F2518B"/>
    <w:rsid w:val="00F253BC"/>
    <w:rsid w:val="00F25CD4"/>
    <w:rsid w:val="00F262CA"/>
    <w:rsid w:val="00F275A0"/>
    <w:rsid w:val="00F2784A"/>
    <w:rsid w:val="00F31476"/>
    <w:rsid w:val="00F31A8C"/>
    <w:rsid w:val="00F31FFB"/>
    <w:rsid w:val="00F33D73"/>
    <w:rsid w:val="00F3496B"/>
    <w:rsid w:val="00F34BFD"/>
    <w:rsid w:val="00F35F69"/>
    <w:rsid w:val="00F36B75"/>
    <w:rsid w:val="00F37192"/>
    <w:rsid w:val="00F379AA"/>
    <w:rsid w:val="00F37C07"/>
    <w:rsid w:val="00F403FE"/>
    <w:rsid w:val="00F409A8"/>
    <w:rsid w:val="00F40DBE"/>
    <w:rsid w:val="00F413AA"/>
    <w:rsid w:val="00F425DC"/>
    <w:rsid w:val="00F42902"/>
    <w:rsid w:val="00F42944"/>
    <w:rsid w:val="00F42C3C"/>
    <w:rsid w:val="00F433AB"/>
    <w:rsid w:val="00F43629"/>
    <w:rsid w:val="00F44046"/>
    <w:rsid w:val="00F44D09"/>
    <w:rsid w:val="00F4506E"/>
    <w:rsid w:val="00F46A65"/>
    <w:rsid w:val="00F4775F"/>
    <w:rsid w:val="00F50F29"/>
    <w:rsid w:val="00F52153"/>
    <w:rsid w:val="00F52A65"/>
    <w:rsid w:val="00F52CCD"/>
    <w:rsid w:val="00F53268"/>
    <w:rsid w:val="00F5402E"/>
    <w:rsid w:val="00F54070"/>
    <w:rsid w:val="00F540BA"/>
    <w:rsid w:val="00F5442A"/>
    <w:rsid w:val="00F54E85"/>
    <w:rsid w:val="00F55A7C"/>
    <w:rsid w:val="00F55AE8"/>
    <w:rsid w:val="00F55E2D"/>
    <w:rsid w:val="00F560F6"/>
    <w:rsid w:val="00F5634E"/>
    <w:rsid w:val="00F56F71"/>
    <w:rsid w:val="00F57D22"/>
    <w:rsid w:val="00F60D96"/>
    <w:rsid w:val="00F627F5"/>
    <w:rsid w:val="00F632DB"/>
    <w:rsid w:val="00F63AA1"/>
    <w:rsid w:val="00F63F05"/>
    <w:rsid w:val="00F64262"/>
    <w:rsid w:val="00F64965"/>
    <w:rsid w:val="00F64C4E"/>
    <w:rsid w:val="00F67370"/>
    <w:rsid w:val="00F70AA4"/>
    <w:rsid w:val="00F72829"/>
    <w:rsid w:val="00F7368A"/>
    <w:rsid w:val="00F73EAA"/>
    <w:rsid w:val="00F740F8"/>
    <w:rsid w:val="00F7441E"/>
    <w:rsid w:val="00F75BE7"/>
    <w:rsid w:val="00F764FE"/>
    <w:rsid w:val="00F7657C"/>
    <w:rsid w:val="00F77D5A"/>
    <w:rsid w:val="00F80B53"/>
    <w:rsid w:val="00F8236E"/>
    <w:rsid w:val="00F83741"/>
    <w:rsid w:val="00F83C23"/>
    <w:rsid w:val="00F840A1"/>
    <w:rsid w:val="00F84245"/>
    <w:rsid w:val="00F84328"/>
    <w:rsid w:val="00F84515"/>
    <w:rsid w:val="00F84975"/>
    <w:rsid w:val="00F859E2"/>
    <w:rsid w:val="00F85C43"/>
    <w:rsid w:val="00F90143"/>
    <w:rsid w:val="00F90252"/>
    <w:rsid w:val="00F90498"/>
    <w:rsid w:val="00F91006"/>
    <w:rsid w:val="00F91C7B"/>
    <w:rsid w:val="00F93958"/>
    <w:rsid w:val="00F943F9"/>
    <w:rsid w:val="00F94C78"/>
    <w:rsid w:val="00F9524A"/>
    <w:rsid w:val="00F96222"/>
    <w:rsid w:val="00F9724C"/>
    <w:rsid w:val="00FA06BF"/>
    <w:rsid w:val="00FA1342"/>
    <w:rsid w:val="00FA13A5"/>
    <w:rsid w:val="00FA186E"/>
    <w:rsid w:val="00FA1CA5"/>
    <w:rsid w:val="00FA1EAD"/>
    <w:rsid w:val="00FA2F3D"/>
    <w:rsid w:val="00FA44CC"/>
    <w:rsid w:val="00FA4671"/>
    <w:rsid w:val="00FA4B21"/>
    <w:rsid w:val="00FA4C73"/>
    <w:rsid w:val="00FA5132"/>
    <w:rsid w:val="00FA5844"/>
    <w:rsid w:val="00FA59D9"/>
    <w:rsid w:val="00FA5D76"/>
    <w:rsid w:val="00FA6682"/>
    <w:rsid w:val="00FA7BD1"/>
    <w:rsid w:val="00FB09A7"/>
    <w:rsid w:val="00FB1EE1"/>
    <w:rsid w:val="00FB30B4"/>
    <w:rsid w:val="00FB4800"/>
    <w:rsid w:val="00FB569A"/>
    <w:rsid w:val="00FB58A3"/>
    <w:rsid w:val="00FB6A32"/>
    <w:rsid w:val="00FB73C8"/>
    <w:rsid w:val="00FB756A"/>
    <w:rsid w:val="00FC19E2"/>
    <w:rsid w:val="00FC2402"/>
    <w:rsid w:val="00FC26C9"/>
    <w:rsid w:val="00FC2C42"/>
    <w:rsid w:val="00FC3396"/>
    <w:rsid w:val="00FC4059"/>
    <w:rsid w:val="00FC4366"/>
    <w:rsid w:val="00FC5594"/>
    <w:rsid w:val="00FC5D02"/>
    <w:rsid w:val="00FC6B7A"/>
    <w:rsid w:val="00FC79B9"/>
    <w:rsid w:val="00FC7F03"/>
    <w:rsid w:val="00FD078F"/>
    <w:rsid w:val="00FD082E"/>
    <w:rsid w:val="00FD0BD0"/>
    <w:rsid w:val="00FD1C88"/>
    <w:rsid w:val="00FD28D8"/>
    <w:rsid w:val="00FD30ED"/>
    <w:rsid w:val="00FD32CB"/>
    <w:rsid w:val="00FD32EF"/>
    <w:rsid w:val="00FD367C"/>
    <w:rsid w:val="00FD6D46"/>
    <w:rsid w:val="00FD7EB1"/>
    <w:rsid w:val="00FE0D10"/>
    <w:rsid w:val="00FE19D7"/>
    <w:rsid w:val="00FE1DA6"/>
    <w:rsid w:val="00FE3349"/>
    <w:rsid w:val="00FE452F"/>
    <w:rsid w:val="00FE4864"/>
    <w:rsid w:val="00FE4C61"/>
    <w:rsid w:val="00FE4F34"/>
    <w:rsid w:val="00FE6C28"/>
    <w:rsid w:val="00FE7508"/>
    <w:rsid w:val="00FF069C"/>
    <w:rsid w:val="00FF137F"/>
    <w:rsid w:val="00FF2E5D"/>
    <w:rsid w:val="00FF32A7"/>
    <w:rsid w:val="00FF349E"/>
    <w:rsid w:val="00FF46DD"/>
    <w:rsid w:val="00FF485C"/>
    <w:rsid w:val="00FF4916"/>
    <w:rsid w:val="00FF53DE"/>
    <w:rsid w:val="00FF644E"/>
    <w:rsid w:val="00FF6BB9"/>
    <w:rsid w:val="00FF6BF3"/>
    <w:rsid w:val="00FF6E29"/>
    <w:rsid w:val="01C37A66"/>
    <w:rsid w:val="020A402B"/>
    <w:rsid w:val="023D2EB2"/>
    <w:rsid w:val="051B5ABC"/>
    <w:rsid w:val="05347595"/>
    <w:rsid w:val="07184D95"/>
    <w:rsid w:val="07A55563"/>
    <w:rsid w:val="08865656"/>
    <w:rsid w:val="08C01081"/>
    <w:rsid w:val="09684D72"/>
    <w:rsid w:val="099D1651"/>
    <w:rsid w:val="09FD66D9"/>
    <w:rsid w:val="0AA91C8A"/>
    <w:rsid w:val="0B2177DD"/>
    <w:rsid w:val="0C751D28"/>
    <w:rsid w:val="0CBB59A4"/>
    <w:rsid w:val="0D415BDD"/>
    <w:rsid w:val="0D466D47"/>
    <w:rsid w:val="0E3408B2"/>
    <w:rsid w:val="0E841B0D"/>
    <w:rsid w:val="11125292"/>
    <w:rsid w:val="112E1CD6"/>
    <w:rsid w:val="124057C7"/>
    <w:rsid w:val="128B26BA"/>
    <w:rsid w:val="12BD20BC"/>
    <w:rsid w:val="12BE04EB"/>
    <w:rsid w:val="140276AC"/>
    <w:rsid w:val="14D7748A"/>
    <w:rsid w:val="182C5196"/>
    <w:rsid w:val="18CE744E"/>
    <w:rsid w:val="19647E76"/>
    <w:rsid w:val="1A877DFB"/>
    <w:rsid w:val="1BB56754"/>
    <w:rsid w:val="1BD701D0"/>
    <w:rsid w:val="1CEE132F"/>
    <w:rsid w:val="1D1641DE"/>
    <w:rsid w:val="21025E5B"/>
    <w:rsid w:val="22C77C45"/>
    <w:rsid w:val="24710F96"/>
    <w:rsid w:val="26211D4C"/>
    <w:rsid w:val="26E41788"/>
    <w:rsid w:val="271D4870"/>
    <w:rsid w:val="29040956"/>
    <w:rsid w:val="298C6A20"/>
    <w:rsid w:val="29E4095D"/>
    <w:rsid w:val="2A600C13"/>
    <w:rsid w:val="2AFD57D7"/>
    <w:rsid w:val="2BB4047B"/>
    <w:rsid w:val="2C931796"/>
    <w:rsid w:val="2D696405"/>
    <w:rsid w:val="306932B8"/>
    <w:rsid w:val="30F321B6"/>
    <w:rsid w:val="319C18F0"/>
    <w:rsid w:val="333E321F"/>
    <w:rsid w:val="3433719B"/>
    <w:rsid w:val="34781C13"/>
    <w:rsid w:val="34837478"/>
    <w:rsid w:val="369B78E3"/>
    <w:rsid w:val="37134829"/>
    <w:rsid w:val="375D3FE4"/>
    <w:rsid w:val="39085A44"/>
    <w:rsid w:val="39B706C5"/>
    <w:rsid w:val="39D63144"/>
    <w:rsid w:val="3AB665B5"/>
    <w:rsid w:val="3B8643AD"/>
    <w:rsid w:val="3D6644EB"/>
    <w:rsid w:val="3DB2326E"/>
    <w:rsid w:val="3F70444C"/>
    <w:rsid w:val="4009321C"/>
    <w:rsid w:val="40262EE8"/>
    <w:rsid w:val="41566D3D"/>
    <w:rsid w:val="421A7782"/>
    <w:rsid w:val="424469C5"/>
    <w:rsid w:val="429C26BF"/>
    <w:rsid w:val="445D6E33"/>
    <w:rsid w:val="44A57709"/>
    <w:rsid w:val="455170C1"/>
    <w:rsid w:val="459F2B8E"/>
    <w:rsid w:val="460A1A15"/>
    <w:rsid w:val="4636486B"/>
    <w:rsid w:val="48657876"/>
    <w:rsid w:val="494F4DC8"/>
    <w:rsid w:val="496A3915"/>
    <w:rsid w:val="4A693DA2"/>
    <w:rsid w:val="52C96B13"/>
    <w:rsid w:val="537556C7"/>
    <w:rsid w:val="53885AE0"/>
    <w:rsid w:val="552C5250"/>
    <w:rsid w:val="565B32FE"/>
    <w:rsid w:val="56DA3DD7"/>
    <w:rsid w:val="57AD70F8"/>
    <w:rsid w:val="57E34286"/>
    <w:rsid w:val="5803163D"/>
    <w:rsid w:val="590165AE"/>
    <w:rsid w:val="59DF594D"/>
    <w:rsid w:val="5AE750A8"/>
    <w:rsid w:val="5B1146F6"/>
    <w:rsid w:val="5C937179"/>
    <w:rsid w:val="5CC51783"/>
    <w:rsid w:val="5D0019A2"/>
    <w:rsid w:val="5F0B5321"/>
    <w:rsid w:val="60330432"/>
    <w:rsid w:val="611028E1"/>
    <w:rsid w:val="62513687"/>
    <w:rsid w:val="62A56AAA"/>
    <w:rsid w:val="63366E49"/>
    <w:rsid w:val="64FE6EBF"/>
    <w:rsid w:val="65E329B5"/>
    <w:rsid w:val="66C37A39"/>
    <w:rsid w:val="682C7BC9"/>
    <w:rsid w:val="69DA64E4"/>
    <w:rsid w:val="6B5B5DA8"/>
    <w:rsid w:val="6BAF3AE9"/>
    <w:rsid w:val="6C9C0EC0"/>
    <w:rsid w:val="704C1B6E"/>
    <w:rsid w:val="70B312E0"/>
    <w:rsid w:val="70B8572C"/>
    <w:rsid w:val="723E25B8"/>
    <w:rsid w:val="724B742D"/>
    <w:rsid w:val="72920205"/>
    <w:rsid w:val="7384239A"/>
    <w:rsid w:val="74B567BD"/>
    <w:rsid w:val="751C1C28"/>
    <w:rsid w:val="75753CBB"/>
    <w:rsid w:val="762018CE"/>
    <w:rsid w:val="762E4274"/>
    <w:rsid w:val="76E44C9C"/>
    <w:rsid w:val="77184B82"/>
    <w:rsid w:val="77450963"/>
    <w:rsid w:val="787D2882"/>
    <w:rsid w:val="79EB10E0"/>
    <w:rsid w:val="7A155DFA"/>
    <w:rsid w:val="7A481B3B"/>
    <w:rsid w:val="7C312C50"/>
    <w:rsid w:val="7C45418B"/>
    <w:rsid w:val="7D9D55F7"/>
    <w:rsid w:val="7E271A86"/>
    <w:rsid w:val="7E9C1229"/>
    <w:rsid w:val="7EC4554C"/>
    <w:rsid w:val="7F775A98"/>
    <w:rsid w:val="7FD1138D"/>
    <w:rsid w:val="B9FBA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spacing w:line="560" w:lineRule="exact"/>
      <w:ind w:firstLine="200" w:firstLineChars="200"/>
      <w:jc w:val="left"/>
      <w:outlineLvl w:val="0"/>
    </w:pPr>
    <w:rPr>
      <w:rFonts w:eastAsia="黑体"/>
      <w:b/>
      <w:bCs/>
      <w:kern w:val="44"/>
      <w:sz w:val="30"/>
      <w:szCs w:val="44"/>
    </w:rPr>
  </w:style>
  <w:style w:type="paragraph" w:styleId="3">
    <w:name w:val="heading 2"/>
    <w:basedOn w:val="1"/>
    <w:next w:val="1"/>
    <w:link w:val="29"/>
    <w:qFormat/>
    <w:uiPriority w:val="9"/>
    <w:pPr>
      <w:spacing w:line="560" w:lineRule="exact"/>
      <w:ind w:firstLine="200" w:firstLineChars="200"/>
      <w:jc w:val="left"/>
      <w:outlineLvl w:val="1"/>
    </w:pPr>
    <w:rPr>
      <w:rFonts w:ascii="Cambria" w:hAnsi="Cambria" w:eastAsia="楷体_GB2312"/>
      <w:b/>
      <w:bCs/>
      <w:sz w:val="30"/>
      <w:szCs w:val="32"/>
    </w:rPr>
  </w:style>
  <w:style w:type="paragraph" w:styleId="4">
    <w:name w:val="heading 3"/>
    <w:basedOn w:val="1"/>
    <w:next w:val="1"/>
    <w:link w:val="30"/>
    <w:qFormat/>
    <w:uiPriority w:val="9"/>
    <w:pPr>
      <w:keepNext/>
      <w:keepLines/>
      <w:spacing w:line="560" w:lineRule="exact"/>
      <w:ind w:firstLine="200" w:firstLineChars="200"/>
      <w:jc w:val="left"/>
      <w:outlineLvl w:val="2"/>
    </w:pPr>
    <w:rPr>
      <w:rFonts w:eastAsia="楷体_GB2312"/>
      <w:b/>
      <w:bCs/>
      <w:sz w:val="30"/>
      <w:szCs w:val="32"/>
    </w:rPr>
  </w:style>
  <w:style w:type="paragraph" w:styleId="5">
    <w:name w:val="heading 5"/>
    <w:basedOn w:val="1"/>
    <w:next w:val="1"/>
    <w:link w:val="31"/>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35"/>
    <w:rPr>
      <w:rFonts w:ascii="Cambria" w:hAnsi="Cambria" w:eastAsia="黑体"/>
      <w:sz w:val="20"/>
    </w:rPr>
  </w:style>
  <w:style w:type="paragraph" w:styleId="7">
    <w:name w:val="Document Map"/>
    <w:basedOn w:val="1"/>
    <w:link w:val="32"/>
    <w:unhideWhenUsed/>
    <w:qFormat/>
    <w:uiPriority w:val="99"/>
    <w:rPr>
      <w:rFonts w:ascii="宋体" w:hAnsi="Calibri"/>
      <w:sz w:val="18"/>
      <w:szCs w:val="18"/>
    </w:rPr>
  </w:style>
  <w:style w:type="paragraph" w:styleId="8">
    <w:name w:val="annotation text"/>
    <w:basedOn w:val="1"/>
    <w:link w:val="33"/>
    <w:unhideWhenUsed/>
    <w:qFormat/>
    <w:uiPriority w:val="99"/>
    <w:pPr>
      <w:jc w:val="left"/>
    </w:pPr>
    <w:rPr>
      <w:rFonts w:ascii="Calibri" w:hAnsi="Calibri"/>
      <w:szCs w:val="22"/>
    </w:rPr>
  </w:style>
  <w:style w:type="paragraph" w:styleId="9">
    <w:name w:val="Body Text"/>
    <w:basedOn w:val="1"/>
    <w:link w:val="34"/>
    <w:qFormat/>
    <w:uiPriority w:val="0"/>
    <w:pPr>
      <w:spacing w:after="120"/>
    </w:pPr>
  </w:style>
  <w:style w:type="paragraph" w:styleId="10">
    <w:name w:val="Body Text Indent"/>
    <w:basedOn w:val="1"/>
    <w:link w:val="35"/>
    <w:qFormat/>
    <w:uiPriority w:val="0"/>
    <w:pPr>
      <w:tabs>
        <w:tab w:val="left" w:pos="7020"/>
      </w:tabs>
      <w:spacing w:line="600" w:lineRule="exact"/>
      <w:ind w:firstLine="600" w:firstLineChars="200"/>
    </w:pPr>
    <w:rPr>
      <w:rFonts w:ascii="仿宋_GB2312" w:eastAsia="仿宋_GB2312"/>
      <w:sz w:val="30"/>
      <w:szCs w:val="24"/>
    </w:rPr>
  </w:style>
  <w:style w:type="paragraph" w:styleId="11">
    <w:name w:val="Block Text"/>
    <w:basedOn w:val="1"/>
    <w:qFormat/>
    <w:uiPriority w:val="0"/>
    <w:pPr>
      <w:suppressAutoHyphens/>
      <w:spacing w:line="360" w:lineRule="auto"/>
      <w:ind w:left="840" w:right="840"/>
      <w:jc w:val="center"/>
    </w:pPr>
    <w:rPr>
      <w:kern w:val="1"/>
      <w:sz w:val="36"/>
      <w:szCs w:val="24"/>
      <w:lang w:eastAsia="ar-SA"/>
    </w:rPr>
  </w:style>
  <w:style w:type="paragraph" w:styleId="12">
    <w:name w:val="Date"/>
    <w:basedOn w:val="1"/>
    <w:next w:val="1"/>
    <w:link w:val="36"/>
    <w:qFormat/>
    <w:uiPriority w:val="0"/>
    <w:rPr>
      <w:rFonts w:ascii="楷体_GB2312" w:eastAsia="楷体_GB2312"/>
      <w:sz w:val="32"/>
    </w:rPr>
  </w:style>
  <w:style w:type="paragraph" w:styleId="13">
    <w:name w:val="Balloon Text"/>
    <w:basedOn w:val="1"/>
    <w:link w:val="37"/>
    <w:qFormat/>
    <w:uiPriority w:val="99"/>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0"/>
    <w:unhideWhenUsed/>
    <w:qFormat/>
    <w:uiPriority w:val="99"/>
    <w:pPr>
      <w:snapToGrid w:val="0"/>
      <w:jc w:val="left"/>
    </w:pPr>
    <w:rPr>
      <w:sz w:val="18"/>
      <w:szCs w:val="18"/>
    </w:rPr>
  </w:style>
  <w:style w:type="paragraph" w:styleId="17">
    <w:name w:val="HTML Preformatted"/>
    <w:basedOn w:val="1"/>
    <w:link w:val="4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link w:val="42"/>
    <w:qFormat/>
    <w:uiPriority w:val="99"/>
    <w:pPr>
      <w:widowControl/>
      <w:spacing w:before="100" w:beforeAutospacing="1" w:after="100" w:afterAutospacing="1"/>
      <w:jc w:val="left"/>
    </w:pPr>
    <w:rPr>
      <w:rFonts w:ascii="宋体" w:hAnsi="宋体"/>
      <w:kern w:val="0"/>
      <w:sz w:val="24"/>
      <w:szCs w:val="24"/>
    </w:rPr>
  </w:style>
  <w:style w:type="paragraph" w:styleId="19">
    <w:name w:val="annotation subject"/>
    <w:basedOn w:val="8"/>
    <w:next w:val="8"/>
    <w:link w:val="43"/>
    <w:unhideWhenUsed/>
    <w:qFormat/>
    <w:uiPriority w:val="99"/>
    <w:rPr>
      <w:b/>
      <w:bCs/>
    </w:rPr>
  </w:style>
  <w:style w:type="paragraph" w:styleId="20">
    <w:name w:val="Body Text First Indent 2"/>
    <w:basedOn w:val="10"/>
    <w:link w:val="44"/>
    <w:qFormat/>
    <w:uiPriority w:val="0"/>
    <w:pPr>
      <w:tabs>
        <w:tab w:val="clear" w:pos="7020"/>
      </w:tabs>
      <w:spacing w:after="120" w:line="240" w:lineRule="auto"/>
      <w:ind w:left="420" w:leftChars="200" w:firstLine="420"/>
    </w:pPr>
    <w:rPr>
      <w:rFonts w:ascii="Times New Roman" w:eastAsia="宋体"/>
      <w:sz w:val="21"/>
      <w:szCs w:val="20"/>
    </w:r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unhideWhenUsed/>
    <w:qFormat/>
    <w:uiPriority w:val="99"/>
    <w:rPr>
      <w:color w:val="0000FF"/>
      <w:u w:val="single"/>
    </w:rPr>
  </w:style>
  <w:style w:type="character" w:styleId="26">
    <w:name w:val="annotation reference"/>
    <w:basedOn w:val="23"/>
    <w:unhideWhenUsed/>
    <w:qFormat/>
    <w:uiPriority w:val="99"/>
    <w:rPr>
      <w:sz w:val="21"/>
      <w:szCs w:val="21"/>
    </w:rPr>
  </w:style>
  <w:style w:type="character" w:styleId="27">
    <w:name w:val="footnote reference"/>
    <w:basedOn w:val="23"/>
    <w:unhideWhenUsed/>
    <w:qFormat/>
    <w:uiPriority w:val="99"/>
    <w:rPr>
      <w:vertAlign w:val="superscript"/>
    </w:rPr>
  </w:style>
  <w:style w:type="character" w:customStyle="1" w:styleId="28">
    <w:name w:val="标题 1 字符"/>
    <w:basedOn w:val="23"/>
    <w:link w:val="2"/>
    <w:qFormat/>
    <w:uiPriority w:val="9"/>
    <w:rPr>
      <w:rFonts w:eastAsia="黑体"/>
      <w:b/>
      <w:bCs/>
      <w:kern w:val="44"/>
      <w:sz w:val="30"/>
      <w:szCs w:val="44"/>
    </w:rPr>
  </w:style>
  <w:style w:type="character" w:customStyle="1" w:styleId="29">
    <w:name w:val="标题 2 字符"/>
    <w:basedOn w:val="23"/>
    <w:link w:val="3"/>
    <w:qFormat/>
    <w:uiPriority w:val="9"/>
    <w:rPr>
      <w:rFonts w:ascii="Cambria" w:hAnsi="Cambria" w:eastAsia="楷体_GB2312" w:cs="Times New Roman"/>
      <w:b/>
      <w:bCs/>
      <w:kern w:val="2"/>
      <w:sz w:val="30"/>
      <w:szCs w:val="32"/>
    </w:rPr>
  </w:style>
  <w:style w:type="character" w:customStyle="1" w:styleId="30">
    <w:name w:val="标题 3 字符"/>
    <w:basedOn w:val="23"/>
    <w:link w:val="4"/>
    <w:qFormat/>
    <w:uiPriority w:val="9"/>
    <w:rPr>
      <w:rFonts w:eastAsia="楷体_GB2312"/>
      <w:b/>
      <w:bCs/>
      <w:kern w:val="2"/>
      <w:sz w:val="30"/>
      <w:szCs w:val="32"/>
    </w:rPr>
  </w:style>
  <w:style w:type="character" w:customStyle="1" w:styleId="31">
    <w:name w:val="标题 5 字符"/>
    <w:basedOn w:val="23"/>
    <w:link w:val="5"/>
    <w:semiHidden/>
    <w:qFormat/>
    <w:uiPriority w:val="0"/>
    <w:rPr>
      <w:b/>
      <w:bCs/>
      <w:kern w:val="2"/>
      <w:sz w:val="28"/>
      <w:szCs w:val="28"/>
    </w:rPr>
  </w:style>
  <w:style w:type="character" w:customStyle="1" w:styleId="32">
    <w:name w:val="文档结构图 字符"/>
    <w:basedOn w:val="23"/>
    <w:link w:val="7"/>
    <w:qFormat/>
    <w:uiPriority w:val="99"/>
    <w:rPr>
      <w:rFonts w:ascii="宋体" w:hAnsi="Calibri" w:cs="Times New Roman"/>
      <w:kern w:val="2"/>
      <w:sz w:val="18"/>
      <w:szCs w:val="18"/>
    </w:rPr>
  </w:style>
  <w:style w:type="character" w:customStyle="1" w:styleId="33">
    <w:name w:val="批注文字 字符"/>
    <w:basedOn w:val="23"/>
    <w:link w:val="8"/>
    <w:qFormat/>
    <w:uiPriority w:val="99"/>
    <w:rPr>
      <w:rFonts w:ascii="Calibri" w:hAnsi="Calibri" w:eastAsia="宋体" w:cs="Times New Roman"/>
      <w:kern w:val="2"/>
      <w:sz w:val="21"/>
      <w:szCs w:val="22"/>
    </w:rPr>
  </w:style>
  <w:style w:type="character" w:customStyle="1" w:styleId="34">
    <w:name w:val="正文文本 字符"/>
    <w:basedOn w:val="23"/>
    <w:link w:val="9"/>
    <w:qFormat/>
    <w:uiPriority w:val="0"/>
    <w:rPr>
      <w:kern w:val="2"/>
      <w:sz w:val="21"/>
    </w:rPr>
  </w:style>
  <w:style w:type="character" w:customStyle="1" w:styleId="35">
    <w:name w:val="正文文本缩进 字符"/>
    <w:basedOn w:val="23"/>
    <w:link w:val="10"/>
    <w:qFormat/>
    <w:uiPriority w:val="0"/>
    <w:rPr>
      <w:rFonts w:ascii="仿宋_GB2312" w:eastAsia="仿宋_GB2312"/>
      <w:kern w:val="2"/>
      <w:sz w:val="30"/>
      <w:szCs w:val="24"/>
    </w:rPr>
  </w:style>
  <w:style w:type="character" w:customStyle="1" w:styleId="36">
    <w:name w:val="日期 字符"/>
    <w:basedOn w:val="23"/>
    <w:link w:val="12"/>
    <w:qFormat/>
    <w:uiPriority w:val="0"/>
    <w:rPr>
      <w:rFonts w:ascii="楷体_GB2312" w:eastAsia="楷体_GB2312"/>
      <w:kern w:val="2"/>
      <w:sz w:val="32"/>
    </w:rPr>
  </w:style>
  <w:style w:type="character" w:customStyle="1" w:styleId="37">
    <w:name w:val="批注框文本 字符"/>
    <w:basedOn w:val="23"/>
    <w:link w:val="13"/>
    <w:qFormat/>
    <w:uiPriority w:val="99"/>
    <w:rPr>
      <w:kern w:val="2"/>
      <w:sz w:val="18"/>
      <w:szCs w:val="18"/>
    </w:rPr>
  </w:style>
  <w:style w:type="character" w:customStyle="1" w:styleId="38">
    <w:name w:val="页脚 字符"/>
    <w:basedOn w:val="23"/>
    <w:link w:val="14"/>
    <w:qFormat/>
    <w:uiPriority w:val="99"/>
    <w:rPr>
      <w:kern w:val="2"/>
      <w:sz w:val="18"/>
      <w:szCs w:val="18"/>
    </w:rPr>
  </w:style>
  <w:style w:type="character" w:customStyle="1" w:styleId="39">
    <w:name w:val="页眉 字符"/>
    <w:basedOn w:val="23"/>
    <w:link w:val="15"/>
    <w:qFormat/>
    <w:uiPriority w:val="99"/>
    <w:rPr>
      <w:kern w:val="2"/>
      <w:sz w:val="18"/>
      <w:szCs w:val="18"/>
    </w:rPr>
  </w:style>
  <w:style w:type="character" w:customStyle="1" w:styleId="40">
    <w:name w:val="脚注文本 字符"/>
    <w:basedOn w:val="23"/>
    <w:link w:val="16"/>
    <w:qFormat/>
    <w:uiPriority w:val="99"/>
    <w:rPr>
      <w:kern w:val="2"/>
      <w:sz w:val="18"/>
      <w:szCs w:val="18"/>
    </w:rPr>
  </w:style>
  <w:style w:type="character" w:customStyle="1" w:styleId="41">
    <w:name w:val="HTML 预设格式 字符"/>
    <w:basedOn w:val="23"/>
    <w:link w:val="17"/>
    <w:qFormat/>
    <w:uiPriority w:val="0"/>
    <w:rPr>
      <w:rFonts w:ascii="宋体" w:hAnsi="宋体" w:cs="宋体"/>
      <w:sz w:val="24"/>
      <w:szCs w:val="24"/>
    </w:rPr>
  </w:style>
  <w:style w:type="character" w:customStyle="1" w:styleId="42">
    <w:name w:val="普通(网站) 字符"/>
    <w:link w:val="18"/>
    <w:qFormat/>
    <w:uiPriority w:val="99"/>
    <w:rPr>
      <w:rFonts w:ascii="宋体" w:hAnsi="宋体" w:cs="宋体"/>
      <w:sz w:val="24"/>
      <w:szCs w:val="24"/>
    </w:rPr>
  </w:style>
  <w:style w:type="character" w:customStyle="1" w:styleId="43">
    <w:name w:val="批注主题 字符"/>
    <w:basedOn w:val="33"/>
    <w:link w:val="19"/>
    <w:qFormat/>
    <w:uiPriority w:val="99"/>
    <w:rPr>
      <w:rFonts w:ascii="Calibri" w:hAnsi="Calibri" w:eastAsia="宋体" w:cs="Times New Roman"/>
      <w:b/>
      <w:bCs/>
      <w:kern w:val="2"/>
      <w:sz w:val="21"/>
      <w:szCs w:val="22"/>
    </w:rPr>
  </w:style>
  <w:style w:type="character" w:customStyle="1" w:styleId="44">
    <w:name w:val="正文文本首行缩进 2 字符"/>
    <w:basedOn w:val="35"/>
    <w:link w:val="20"/>
    <w:qFormat/>
    <w:uiPriority w:val="0"/>
    <w:rPr>
      <w:rFonts w:ascii="仿宋_GB2312" w:eastAsia="仿宋_GB2312"/>
      <w:kern w:val="2"/>
      <w:sz w:val="21"/>
      <w:szCs w:val="24"/>
    </w:rPr>
  </w:style>
  <w:style w:type="character" w:customStyle="1" w:styleId="45">
    <w:name w:val="列表段落 字符"/>
    <w:link w:val="46"/>
    <w:qFormat/>
    <w:uiPriority w:val="34"/>
    <w:rPr>
      <w:kern w:val="2"/>
      <w:sz w:val="21"/>
      <w:szCs w:val="22"/>
    </w:rPr>
  </w:style>
  <w:style w:type="paragraph" w:styleId="46">
    <w:name w:val="List Paragraph"/>
    <w:basedOn w:val="1"/>
    <w:link w:val="45"/>
    <w:qFormat/>
    <w:uiPriority w:val="34"/>
    <w:pPr>
      <w:ind w:firstLine="420" w:firstLineChars="200"/>
    </w:pPr>
    <w:rPr>
      <w:szCs w:val="22"/>
    </w:rPr>
  </w:style>
  <w:style w:type="character" w:customStyle="1" w:styleId="47">
    <w:name w:val="bjh-p"/>
    <w:basedOn w:val="23"/>
    <w:qFormat/>
    <w:uiPriority w:val="0"/>
  </w:style>
  <w:style w:type="paragraph" w:customStyle="1" w:styleId="48">
    <w:name w:val="SSE标题1"/>
    <w:basedOn w:val="1"/>
    <w:link w:val="49"/>
    <w:qFormat/>
    <w:uiPriority w:val="0"/>
    <w:pPr>
      <w:spacing w:line="600" w:lineRule="exact"/>
      <w:ind w:firstLine="602" w:firstLineChars="200"/>
      <w:outlineLvl w:val="0"/>
    </w:pPr>
    <w:rPr>
      <w:rFonts w:ascii="黑体" w:hAnsi="黑体" w:eastAsia="黑体"/>
      <w:b/>
      <w:sz w:val="30"/>
      <w:szCs w:val="30"/>
    </w:rPr>
  </w:style>
  <w:style w:type="character" w:customStyle="1" w:styleId="49">
    <w:name w:val="SSE标题1 Char"/>
    <w:link w:val="48"/>
    <w:qFormat/>
    <w:uiPriority w:val="0"/>
    <w:rPr>
      <w:rFonts w:ascii="黑体" w:hAnsi="黑体" w:eastAsia="黑体" w:cs="Times New Roman"/>
      <w:b/>
      <w:kern w:val="2"/>
      <w:sz w:val="30"/>
      <w:szCs w:val="30"/>
    </w:rPr>
  </w:style>
  <w:style w:type="paragraph" w:customStyle="1" w:styleId="50">
    <w:name w:val="SSE正文"/>
    <w:basedOn w:val="1"/>
    <w:link w:val="51"/>
    <w:qFormat/>
    <w:uiPriority w:val="0"/>
    <w:pPr>
      <w:spacing w:line="600" w:lineRule="exact"/>
      <w:ind w:firstLine="600" w:firstLineChars="200"/>
    </w:pPr>
    <w:rPr>
      <w:rFonts w:ascii="仿宋_GB2312" w:eastAsia="仿宋_GB2312"/>
      <w:sz w:val="30"/>
      <w:szCs w:val="30"/>
    </w:rPr>
  </w:style>
  <w:style w:type="character" w:customStyle="1" w:styleId="51">
    <w:name w:val="SSE正文 Char"/>
    <w:link w:val="50"/>
    <w:qFormat/>
    <w:uiPriority w:val="0"/>
    <w:rPr>
      <w:rFonts w:ascii="仿宋_GB2312" w:eastAsia="仿宋_GB2312" w:cs="Times New Roman"/>
      <w:kern w:val="2"/>
      <w:sz w:val="30"/>
      <w:szCs w:val="30"/>
    </w:rPr>
  </w:style>
  <w:style w:type="paragraph" w:customStyle="1" w:styleId="52">
    <w:name w:val="SSE标题0"/>
    <w:basedOn w:val="1"/>
    <w:link w:val="53"/>
    <w:qFormat/>
    <w:uiPriority w:val="0"/>
    <w:pPr>
      <w:spacing w:line="600" w:lineRule="exact"/>
      <w:jc w:val="center"/>
    </w:pPr>
    <w:rPr>
      <w:rFonts w:ascii="方正大标宋简体" w:eastAsia="方正大标宋简体"/>
      <w:sz w:val="42"/>
      <w:szCs w:val="42"/>
    </w:rPr>
  </w:style>
  <w:style w:type="character" w:customStyle="1" w:styleId="53">
    <w:name w:val="SSE标题0 Char"/>
    <w:link w:val="52"/>
    <w:qFormat/>
    <w:locked/>
    <w:uiPriority w:val="0"/>
    <w:rPr>
      <w:rFonts w:ascii="方正大标宋简体" w:eastAsia="方正大标宋简体" w:cs="Times New Roman"/>
      <w:kern w:val="2"/>
      <w:sz w:val="42"/>
      <w:szCs w:val="42"/>
    </w:rPr>
  </w:style>
  <w:style w:type="paragraph" w:customStyle="1" w:styleId="5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5">
    <w:name w:val="font01"/>
    <w:basedOn w:val="23"/>
    <w:qFormat/>
    <w:uiPriority w:val="0"/>
    <w:rPr>
      <w:rFonts w:hint="eastAsia" w:ascii="仿宋_GB2312" w:eastAsia="仿宋_GB2312" w:cs="仿宋_GB2312"/>
      <w:b/>
      <w:bCs/>
      <w:color w:val="FF0000"/>
      <w:sz w:val="28"/>
      <w:szCs w:val="28"/>
      <w:u w:val="none"/>
    </w:rPr>
  </w:style>
  <w:style w:type="character" w:customStyle="1" w:styleId="56">
    <w:name w:val="font41"/>
    <w:basedOn w:val="23"/>
    <w:qFormat/>
    <w:uiPriority w:val="0"/>
    <w:rPr>
      <w:rFonts w:hint="eastAsia" w:ascii="仿宋_GB2312" w:eastAsia="仿宋_GB2312" w:cs="仿宋_GB2312"/>
      <w:color w:val="000000"/>
      <w:sz w:val="28"/>
      <w:szCs w:val="28"/>
      <w:u w:val="none"/>
    </w:rPr>
  </w:style>
  <w:style w:type="character" w:customStyle="1" w:styleId="57">
    <w:name w:val="font31"/>
    <w:basedOn w:val="23"/>
    <w:qFormat/>
    <w:uiPriority w:val="0"/>
    <w:rPr>
      <w:rFonts w:hint="eastAsia" w:ascii="仿宋_GB2312" w:eastAsia="仿宋_GB2312" w:cs="仿宋_GB2312"/>
      <w:b/>
      <w:bCs/>
      <w:color w:val="000000"/>
      <w:sz w:val="28"/>
      <w:szCs w:val="28"/>
      <w:u w:val="none"/>
    </w:rPr>
  </w:style>
  <w:style w:type="paragraph" w:customStyle="1" w:styleId="58">
    <w:name w:val="009单位"/>
    <w:link w:val="59"/>
    <w:qFormat/>
    <w:uiPriority w:val="0"/>
    <w:pPr>
      <w:keepNext/>
      <w:widowControl w:val="0"/>
      <w:jc w:val="right"/>
    </w:pPr>
    <w:rPr>
      <w:rFonts w:ascii="Times New Roman" w:hAnsi="Times New Roman" w:eastAsia="宋体" w:cs="Times New Roman"/>
      <w:kern w:val="2"/>
      <w:sz w:val="21"/>
      <w:szCs w:val="22"/>
      <w:lang w:val="en-US" w:eastAsia="zh-CN" w:bidi="ar-SA"/>
    </w:rPr>
  </w:style>
  <w:style w:type="character" w:customStyle="1" w:styleId="59">
    <w:name w:val="009单位 Char"/>
    <w:link w:val="58"/>
    <w:qFormat/>
    <w:uiPriority w:val="0"/>
    <w:rPr>
      <w:kern w:val="2"/>
      <w:sz w:val="21"/>
      <w:szCs w:val="22"/>
      <w:lang w:bidi="ar-SA"/>
    </w:rPr>
  </w:style>
  <w:style w:type="paragraph" w:customStyle="1" w:styleId="60">
    <w:name w:val="005正文"/>
    <w:link w:val="6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61">
    <w:name w:val="005正文 Char"/>
    <w:link w:val="60"/>
    <w:qFormat/>
    <w:uiPriority w:val="0"/>
    <w:rPr>
      <w:kern w:val="2"/>
      <w:sz w:val="24"/>
      <w:szCs w:val="22"/>
      <w:lang w:bidi="ar-SA"/>
    </w:rPr>
  </w:style>
  <w:style w:type="table" w:customStyle="1" w:styleId="62">
    <w:name w:val="网格型2"/>
    <w:basedOn w:val="2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GTJA-表格"/>
    <w:basedOn w:val="1"/>
    <w:qFormat/>
    <w:uiPriority w:val="0"/>
    <w:rPr>
      <w:szCs w:val="21"/>
    </w:rPr>
  </w:style>
  <w:style w:type="paragraph" w:customStyle="1" w:styleId="64">
    <w:name w:val="RAJY-表格字体"/>
    <w:basedOn w:val="1"/>
    <w:link w:val="65"/>
    <w:qFormat/>
    <w:uiPriority w:val="0"/>
    <w:pPr>
      <w:spacing w:beforeLines="10" w:afterLines="10"/>
    </w:pPr>
    <w:rPr>
      <w:spacing w:val="-6"/>
      <w:kern w:val="0"/>
      <w:sz w:val="24"/>
      <w:szCs w:val="21"/>
      <w:lang w:val="zh-CN" w:bidi="zh-CN"/>
    </w:rPr>
  </w:style>
  <w:style w:type="character" w:customStyle="1" w:styleId="65">
    <w:name w:val="RAJY-表格字体 字符"/>
    <w:basedOn w:val="23"/>
    <w:link w:val="64"/>
    <w:qFormat/>
    <w:uiPriority w:val="0"/>
    <w:rPr>
      <w:spacing w:val="-6"/>
      <w:sz w:val="24"/>
      <w:szCs w:val="21"/>
      <w:lang w:val="zh-CN" w:bidi="zh-CN"/>
    </w:rPr>
  </w:style>
  <w:style w:type="table" w:customStyle="1" w:styleId="66">
    <w:name w:val="网格型4"/>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正文格式"/>
    <w:basedOn w:val="1"/>
    <w:link w:val="68"/>
    <w:qFormat/>
    <w:uiPriority w:val="0"/>
    <w:pPr>
      <w:autoSpaceDE w:val="0"/>
      <w:autoSpaceDN w:val="0"/>
      <w:adjustRightInd w:val="0"/>
      <w:ind w:firstLine="200" w:firstLineChars="200"/>
      <w:jc w:val="left"/>
    </w:pPr>
    <w:rPr>
      <w:rFonts w:ascii="Arial" w:hAnsi="Arial" w:eastAsia="楷体_GB2312"/>
      <w:kern w:val="0"/>
      <w:sz w:val="30"/>
      <w:szCs w:val="21"/>
      <w:lang w:eastAsia="zh-TW"/>
    </w:rPr>
  </w:style>
  <w:style w:type="character" w:customStyle="1" w:styleId="68">
    <w:name w:val="正文格式 Char"/>
    <w:link w:val="67"/>
    <w:qFormat/>
    <w:uiPriority w:val="0"/>
    <w:rPr>
      <w:rFonts w:ascii="Arial" w:hAnsi="Arial" w:eastAsia="楷体_GB2312"/>
      <w:sz w:val="30"/>
      <w:szCs w:val="21"/>
      <w:lang w:eastAsia="zh-TW"/>
    </w:rPr>
  </w:style>
  <w:style w:type="paragraph" w:customStyle="1" w:styleId="69">
    <w:name w:val="修订1"/>
    <w:qFormat/>
    <w:uiPriority w:val="99"/>
    <w:rPr>
      <w:rFonts w:ascii="Calibri" w:hAnsi="Calibri" w:eastAsia="宋体" w:cs="Times New Roman"/>
      <w:kern w:val="2"/>
      <w:sz w:val="21"/>
      <w:szCs w:val="22"/>
      <w:lang w:val="en-US" w:eastAsia="zh-CN" w:bidi="ar-SA"/>
    </w:rPr>
  </w:style>
  <w:style w:type="paragraph" w:customStyle="1" w:styleId="70">
    <w:name w:val="大纲二级"/>
    <w:basedOn w:val="1"/>
    <w:qFormat/>
    <w:uiPriority w:val="0"/>
    <w:pPr>
      <w:autoSpaceDE w:val="0"/>
      <w:autoSpaceDN w:val="0"/>
      <w:adjustRightInd w:val="0"/>
      <w:spacing w:beforeLines="50" w:afterLines="50" w:line="360" w:lineRule="auto"/>
      <w:ind w:firstLine="480" w:firstLineChars="200"/>
      <w:outlineLvl w:val="1"/>
    </w:pPr>
    <w:rPr>
      <w:rFonts w:ascii="黑体" w:hAnsi="黑体" w:eastAsia="黑体" w:cs="MingLiU"/>
      <w:sz w:val="24"/>
      <w:szCs w:val="28"/>
    </w:rPr>
  </w:style>
  <w:style w:type="character" w:customStyle="1" w:styleId="71">
    <w:name w:val="font61"/>
    <w:basedOn w:val="23"/>
    <w:qFormat/>
    <w:uiPriority w:val="0"/>
    <w:rPr>
      <w:rFonts w:hint="default" w:ascii="Arial" w:hAnsi="Arial" w:cs="Arial"/>
      <w:color w:val="auto"/>
      <w:sz w:val="20"/>
      <w:szCs w:val="20"/>
      <w:u w:val="none"/>
    </w:rPr>
  </w:style>
  <w:style w:type="character" w:customStyle="1" w:styleId="72">
    <w:name w:val="afont1"/>
    <w:qFormat/>
    <w:uiPriority w:val="0"/>
    <w:rPr>
      <w:rFonts w:ascii="Arial Narrow" w:hAnsi="Arial Narrow" w:cs="Arial Narrow"/>
      <w:sz w:val="26"/>
      <w:szCs w:val="26"/>
    </w:rPr>
  </w:style>
  <w:style w:type="paragraph" w:customStyle="1" w:styleId="73">
    <w:name w:val="SSE标题3"/>
    <w:basedOn w:val="1"/>
    <w:link w:val="74"/>
    <w:qFormat/>
    <w:uiPriority w:val="0"/>
    <w:pPr>
      <w:spacing w:line="560" w:lineRule="exact"/>
      <w:ind w:firstLine="200" w:firstLineChars="200"/>
      <w:outlineLvl w:val="2"/>
    </w:pPr>
    <w:rPr>
      <w:rFonts w:eastAsia="楷体_GB2312"/>
      <w:b/>
      <w:sz w:val="32"/>
      <w:szCs w:val="28"/>
    </w:rPr>
  </w:style>
  <w:style w:type="character" w:customStyle="1" w:styleId="74">
    <w:name w:val="SSE标题3 Char"/>
    <w:basedOn w:val="23"/>
    <w:link w:val="73"/>
    <w:qFormat/>
    <w:uiPriority w:val="0"/>
    <w:rPr>
      <w:rFonts w:eastAsia="楷体_GB2312"/>
      <w:b/>
      <w:kern w:val="2"/>
      <w:sz w:val="32"/>
      <w:szCs w:val="28"/>
    </w:rPr>
  </w:style>
  <w:style w:type="character" w:customStyle="1" w:styleId="75">
    <w:name w:val="apple-converted-space"/>
    <w:basedOn w:val="23"/>
    <w:qFormat/>
    <w:uiPriority w:val="0"/>
  </w:style>
  <w:style w:type="paragraph" w:customStyle="1" w:styleId="76">
    <w:name w:val="msolistparagraph"/>
    <w:basedOn w:val="1"/>
    <w:qFormat/>
    <w:uiPriority w:val="0"/>
    <w:pPr>
      <w:ind w:firstLine="420" w:firstLineChars="200"/>
    </w:pPr>
    <w:rPr>
      <w:szCs w:val="24"/>
    </w:rPr>
  </w:style>
  <w:style w:type="paragraph" w:customStyle="1" w:styleId="77">
    <w:name w:val="006备注"/>
    <w:qFormat/>
    <w:uiPriority w:val="0"/>
    <w:pPr>
      <w:widowControl w:val="0"/>
      <w:jc w:val="both"/>
    </w:pPr>
    <w:rPr>
      <w:rFonts w:ascii="Times New Roman" w:hAnsi="Times New Roman" w:eastAsia="宋体" w:cs="Arial"/>
      <w:bCs/>
      <w:kern w:val="2"/>
      <w:sz w:val="21"/>
      <w:szCs w:val="22"/>
      <w:lang w:val="en-US" w:eastAsia="zh-CN" w:bidi="ar-SA"/>
    </w:rPr>
  </w:style>
  <w:style w:type="character" w:customStyle="1" w:styleId="78">
    <w:name w:val="NormalCharacter"/>
    <w:semiHidden/>
    <w:qFormat/>
    <w:uiPriority w:val="0"/>
  </w:style>
  <w:style w:type="character" w:customStyle="1" w:styleId="79">
    <w:name w:val="font21"/>
    <w:basedOn w:val="23"/>
    <w:qFormat/>
    <w:uiPriority w:val="0"/>
    <w:rPr>
      <w:rFonts w:hint="eastAsia" w:ascii="仿宋_GB2312" w:eastAsia="仿宋_GB2312" w:cs="仿宋_GB2312"/>
      <w:b/>
      <w:bCs/>
      <w:color w:val="000000"/>
      <w:sz w:val="24"/>
      <w:szCs w:val="24"/>
      <w:u w:val="none"/>
    </w:rPr>
  </w:style>
  <w:style w:type="paragraph" w:customStyle="1" w:styleId="80">
    <w:name w:val="表头"/>
    <w:basedOn w:val="1"/>
    <w:semiHidden/>
    <w:qFormat/>
    <w:uiPriority w:val="0"/>
    <w:pPr>
      <w:adjustRightInd w:val="0"/>
      <w:snapToGrid w:val="0"/>
      <w:spacing w:line="320" w:lineRule="atLeast"/>
      <w:jc w:val="center"/>
    </w:pPr>
    <w:rPr>
      <w:rFonts w:eastAsia="黑体"/>
      <w:spacing w:val="-10"/>
    </w:rPr>
  </w:style>
  <w:style w:type="paragraph" w:customStyle="1" w:styleId="81">
    <w:name w:val="表格右对齐"/>
    <w:semiHidden/>
    <w:qFormat/>
    <w:uiPriority w:val="0"/>
    <w:pPr>
      <w:widowControl w:val="0"/>
      <w:jc w:val="right"/>
    </w:pPr>
    <w:rPr>
      <w:rFonts w:ascii="Times New Roman" w:hAnsi="Times New Roman" w:eastAsia="宋体" w:cs="Courier New"/>
      <w:color w:val="000000"/>
      <w:kern w:val="2"/>
      <w:sz w:val="21"/>
      <w:szCs w:val="21"/>
      <w:lang w:val="en-US" w:eastAsia="zh-CN" w:bidi="ar-SA"/>
    </w:rPr>
  </w:style>
  <w:style w:type="paragraph" w:customStyle="1" w:styleId="82">
    <w:name w:val="SSE正式标题1"/>
    <w:link w:val="83"/>
    <w:qFormat/>
    <w:uiPriority w:val="0"/>
    <w:pPr>
      <w:spacing w:line="560" w:lineRule="exact"/>
      <w:ind w:firstLine="420" w:firstLineChars="200"/>
    </w:pPr>
    <w:rPr>
      <w:rFonts w:ascii="Times New Roman" w:hAnsi="Times New Roman" w:eastAsia="微软雅黑" w:cs="Times New Roman"/>
      <w:b/>
      <w:sz w:val="30"/>
      <w:szCs w:val="30"/>
      <w:lang w:val="en-US" w:eastAsia="zh-CN" w:bidi="ar-SA"/>
    </w:rPr>
  </w:style>
  <w:style w:type="character" w:customStyle="1" w:styleId="83">
    <w:name w:val="SSE正式标题1 Char"/>
    <w:link w:val="82"/>
    <w:qFormat/>
    <w:uiPriority w:val="0"/>
    <w:rPr>
      <w:rFonts w:eastAsia="微软雅黑"/>
      <w:b/>
      <w:sz w:val="30"/>
      <w:szCs w:val="30"/>
      <w:lang w:bidi="ar-SA"/>
    </w:rPr>
  </w:style>
  <w:style w:type="paragraph" w:customStyle="1" w:styleId="84">
    <w:name w:val="SSE正式正文"/>
    <w:basedOn w:val="1"/>
    <w:link w:val="85"/>
    <w:qFormat/>
    <w:uiPriority w:val="0"/>
    <w:pPr>
      <w:ind w:firstLine="881" w:firstLineChars="200"/>
    </w:pPr>
    <w:rPr>
      <w:rFonts w:eastAsia="仿宋_GB2312"/>
      <w:sz w:val="30"/>
      <w:szCs w:val="30"/>
    </w:rPr>
  </w:style>
  <w:style w:type="character" w:customStyle="1" w:styleId="85">
    <w:name w:val="SSE正式正文 Char"/>
    <w:link w:val="84"/>
    <w:qFormat/>
    <w:uiPriority w:val="0"/>
    <w:rPr>
      <w:rFonts w:eastAsia="仿宋_GB2312"/>
      <w:kern w:val="2"/>
      <w:sz w:val="30"/>
      <w:szCs w:val="30"/>
    </w:rPr>
  </w:style>
  <w:style w:type="paragraph" w:customStyle="1" w:styleId="86">
    <w:name w:val="_Style 3"/>
    <w:basedOn w:val="1"/>
    <w:qFormat/>
    <w:uiPriority w:val="0"/>
    <w:pPr>
      <w:ind w:firstLine="420" w:firstLineChars="200"/>
    </w:pPr>
    <w:rPr>
      <w:kern w:val="0"/>
      <w:sz w:val="20"/>
    </w:rPr>
  </w:style>
  <w:style w:type="character" w:customStyle="1" w:styleId="87">
    <w:name w:val="font11"/>
    <w:basedOn w:val="23"/>
    <w:qFormat/>
    <w:uiPriority w:val="0"/>
    <w:rPr>
      <w:rFonts w:hint="eastAsia" w:ascii="宋体" w:hAnsi="宋体" w:eastAsia="宋体" w:cs="宋体"/>
      <w:color w:val="000000"/>
      <w:sz w:val="20"/>
      <w:szCs w:val="20"/>
      <w:u w:val="none"/>
    </w:rPr>
  </w:style>
  <w:style w:type="paragraph" w:customStyle="1" w:styleId="88">
    <w:name w:val="修订2"/>
    <w:unhideWhenUsed/>
    <w:qFormat/>
    <w:uiPriority w:val="99"/>
    <w:rPr>
      <w:rFonts w:ascii="Calibri" w:hAnsi="Calibri" w:eastAsia="宋体" w:cs="Times New Roman"/>
      <w:kern w:val="2"/>
      <w:sz w:val="21"/>
      <w:szCs w:val="22"/>
      <w:lang w:val="en-US" w:eastAsia="zh-CN" w:bidi="ar-SA"/>
    </w:rPr>
  </w:style>
  <w:style w:type="paragraph" w:customStyle="1" w:styleId="89">
    <w:name w:val="修订3"/>
    <w:semiHidden/>
    <w:qFormat/>
    <w:uiPriority w:val="99"/>
    <w:rPr>
      <w:rFonts w:ascii="Calibri" w:hAnsi="Calibri" w:eastAsia="宋体" w:cs="Times New Roman"/>
      <w:kern w:val="2"/>
      <w:sz w:val="21"/>
      <w:szCs w:val="22"/>
      <w:lang w:val="en-US" w:eastAsia="zh-CN" w:bidi="ar-SA"/>
    </w:rPr>
  </w:style>
  <w:style w:type="paragraph" w:customStyle="1" w:styleId="90">
    <w:name w:val="修订4"/>
    <w:unhideWhenUsed/>
    <w:qFormat/>
    <w:uiPriority w:val="99"/>
    <w:rPr>
      <w:rFonts w:ascii="Calibri" w:hAnsi="Calibri" w:eastAsia="宋体" w:cs="Times New Roman"/>
      <w:kern w:val="2"/>
      <w:sz w:val="21"/>
      <w:szCs w:val="22"/>
      <w:lang w:val="en-US" w:eastAsia="zh-CN" w:bidi="ar-SA"/>
    </w:rPr>
  </w:style>
  <w:style w:type="paragraph" w:customStyle="1" w:styleId="91">
    <w:name w:val="修订5"/>
    <w:semiHidden/>
    <w:qFormat/>
    <w:uiPriority w:val="99"/>
    <w:rPr>
      <w:rFonts w:ascii="Calibri" w:hAnsi="Calibri" w:eastAsia="宋体" w:cs="Times New Roman"/>
      <w:kern w:val="2"/>
      <w:sz w:val="21"/>
      <w:szCs w:val="22"/>
      <w:lang w:val="en-US" w:eastAsia="zh-CN" w:bidi="ar-SA"/>
    </w:rPr>
  </w:style>
  <w:style w:type="paragraph" w:customStyle="1" w:styleId="92">
    <w:name w:val="修订6"/>
    <w:semiHidden/>
    <w:qFormat/>
    <w:uiPriority w:val="99"/>
    <w:rPr>
      <w:rFonts w:ascii="Calibri" w:hAnsi="Calibri" w:eastAsia="宋体" w:cs="Times New Roman"/>
      <w:kern w:val="2"/>
      <w:sz w:val="21"/>
      <w:szCs w:val="22"/>
      <w:lang w:val="en-US" w:eastAsia="zh-CN" w:bidi="ar-SA"/>
    </w:rPr>
  </w:style>
  <w:style w:type="paragraph" w:customStyle="1" w:styleId="93">
    <w:name w:val="修订7"/>
    <w:semiHidden/>
    <w:qFormat/>
    <w:uiPriority w:val="99"/>
    <w:rPr>
      <w:rFonts w:ascii="Calibri" w:hAnsi="Calibri" w:eastAsia="宋体" w:cs="Times New Roman"/>
      <w:kern w:val="2"/>
      <w:sz w:val="21"/>
      <w:szCs w:val="22"/>
      <w:lang w:val="en-US" w:eastAsia="zh-CN" w:bidi="ar-SA"/>
    </w:rPr>
  </w:style>
  <w:style w:type="paragraph" w:customStyle="1" w:styleId="94">
    <w:name w:val="修订8"/>
    <w:semiHidden/>
    <w:qFormat/>
    <w:uiPriority w:val="99"/>
    <w:rPr>
      <w:rFonts w:ascii="Calibri" w:hAnsi="Calibri" w:eastAsia="宋体" w:cs="Times New Roman"/>
      <w:kern w:val="2"/>
      <w:sz w:val="21"/>
      <w:szCs w:val="22"/>
      <w:lang w:val="en-US" w:eastAsia="zh-CN" w:bidi="ar-SA"/>
    </w:rPr>
  </w:style>
  <w:style w:type="character" w:customStyle="1" w:styleId="95">
    <w:name w:val="fontstyle01"/>
    <w:basedOn w:val="23"/>
    <w:qFormat/>
    <w:uiPriority w:val="0"/>
    <w:rPr>
      <w:rFonts w:hint="eastAsia" w:ascii="仿宋_GB2312" w:eastAsia="仿宋_GB2312"/>
      <w:color w:val="000000"/>
      <w:sz w:val="28"/>
      <w:szCs w:val="28"/>
    </w:rPr>
  </w:style>
  <w:style w:type="paragraph" w:customStyle="1" w:styleId="96">
    <w:name w:val="样式 文字 + 首行缩进:  2 字符3"/>
    <w:basedOn w:val="1"/>
    <w:qFormat/>
    <w:uiPriority w:val="0"/>
    <w:pPr>
      <w:spacing w:line="360" w:lineRule="auto"/>
      <w:jc w:val="left"/>
    </w:pPr>
    <w:rPr>
      <w:rFonts w:ascii="等线" w:hAnsi="等线" w:eastAsia="等线"/>
      <w:sz w:val="28"/>
      <w:szCs w:val="28"/>
    </w:rPr>
  </w:style>
  <w:style w:type="table" w:customStyle="1" w:styleId="97">
    <w:name w:val="无格式表格 11"/>
    <w:basedOn w:val="21"/>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98">
    <w:name w:val="006正文第六级"/>
    <w:basedOn w:val="1"/>
    <w:qFormat/>
    <w:uiPriority w:val="0"/>
    <w:pPr>
      <w:snapToGrid w:val="0"/>
      <w:spacing w:beforeLines="50" w:line="360" w:lineRule="auto"/>
      <w:ind w:firstLine="480" w:firstLineChars="200"/>
    </w:pPr>
    <w:rPr>
      <w:sz w:val="24"/>
      <w:szCs w:val="24"/>
    </w:rPr>
  </w:style>
  <w:style w:type="paragraph" w:customStyle="1" w:styleId="99">
    <w:name w:val="文章标题"/>
    <w:next w:val="1"/>
    <w:qFormat/>
    <w:uiPriority w:val="0"/>
    <w:pPr>
      <w:jc w:val="center"/>
    </w:pPr>
    <w:rPr>
      <w:rFonts w:ascii="Calibri" w:hAnsi="Calibri" w:eastAsia="黑体" w:cs="Times New Roman"/>
      <w:b/>
      <w:bCs/>
      <w:kern w:val="44"/>
      <w:sz w:val="44"/>
      <w:szCs w:val="44"/>
      <w:lang w:val="en-US" w:eastAsia="zh-CN" w:bidi="ar-SA"/>
    </w:rPr>
  </w:style>
  <w:style w:type="paragraph" w:customStyle="1" w:styleId="100">
    <w:name w:val="上交所标准"/>
    <w:basedOn w:val="1"/>
    <w:qFormat/>
    <w:uiPriority w:val="0"/>
    <w:pPr>
      <w:spacing w:line="600" w:lineRule="exact"/>
    </w:pPr>
    <w:rPr>
      <w:rFonts w:ascii="仿宋_GB2312" w:hAnsi="Calibri" w:eastAsia="仿宋_GB2312"/>
      <w:sz w:val="32"/>
      <w:szCs w:val="32"/>
    </w:rPr>
  </w:style>
  <w:style w:type="paragraph" w:styleId="101">
    <w:name w:val="No Spacing"/>
    <w:qFormat/>
    <w:uiPriority w:val="1"/>
    <w:pPr>
      <w:widowControl w:val="0"/>
      <w:ind w:firstLine="200" w:firstLineChars="200"/>
      <w:jc w:val="center"/>
    </w:pPr>
    <w:rPr>
      <w:rFonts w:ascii="Times New Roman" w:hAnsi="Times New Roman" w:eastAsia="仿宋_GB2312" w:cs="Times New Roman"/>
      <w:b/>
      <w:kern w:val="2"/>
      <w:sz w:val="28"/>
      <w:szCs w:val="22"/>
      <w:lang w:val="en-US" w:eastAsia="zh-CN" w:bidi="ar-SA"/>
    </w:rPr>
  </w:style>
  <w:style w:type="table" w:customStyle="1" w:styleId="102">
    <w:name w:val="科维表格6"/>
    <w:basedOn w:val="2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简报标题 字符"/>
    <w:link w:val="104"/>
    <w:qFormat/>
    <w:uiPriority w:val="0"/>
    <w:rPr>
      <w:rFonts w:ascii="黑体" w:hAnsi="黑体" w:eastAsia="黑体"/>
      <w:b/>
      <w:sz w:val="32"/>
      <w:szCs w:val="32"/>
    </w:rPr>
  </w:style>
  <w:style w:type="paragraph" w:customStyle="1" w:styleId="104">
    <w:name w:val="简报标题"/>
    <w:basedOn w:val="1"/>
    <w:link w:val="103"/>
    <w:qFormat/>
    <w:uiPriority w:val="0"/>
    <w:pPr>
      <w:spacing w:line="600" w:lineRule="exact"/>
      <w:ind w:firstLine="643" w:firstLineChars="200"/>
    </w:pPr>
    <w:rPr>
      <w:rFonts w:ascii="黑体" w:hAnsi="黑体" w:eastAsia="黑体"/>
      <w:b/>
      <w:kern w:val="0"/>
      <w:sz w:val="32"/>
      <w:szCs w:val="32"/>
    </w:rPr>
  </w:style>
  <w:style w:type="paragraph" w:customStyle="1" w:styleId="105">
    <w:name w:val="列出段落1"/>
    <w:basedOn w:val="1"/>
    <w:qFormat/>
    <w:uiPriority w:val="34"/>
    <w:pPr>
      <w:ind w:firstLine="420" w:firstLineChars="200"/>
    </w:pPr>
    <w:rPr>
      <w:rFonts w:ascii="Calibri" w:hAnsi="Calibri"/>
    </w:rPr>
  </w:style>
  <w:style w:type="character" w:customStyle="1" w:styleId="106">
    <w:name w:val="样式3"/>
    <w:basedOn w:val="23"/>
    <w:qFormat/>
    <w:uiPriority w:val="1"/>
    <w:rPr>
      <w:rFonts w:eastAsia="宋体"/>
      <w:b/>
      <w:color w:val="FF0000"/>
      <w:sz w:val="21"/>
    </w:rPr>
  </w:style>
  <w:style w:type="character" w:styleId="107">
    <w:name w:val="Placeholder Text"/>
    <w:basedOn w:val="23"/>
    <w:semiHidden/>
    <w:qFormat/>
    <w:uiPriority w:val="99"/>
    <w:rPr>
      <w:color w:val="808080"/>
    </w:rPr>
  </w:style>
  <w:style w:type="paragraph" w:customStyle="1" w:styleId="10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13</Pages>
  <Words>5161</Words>
  <Characters>5307</Characters>
  <Lines>39</Lines>
  <Paragraphs>11</Paragraphs>
  <TotalTime>1</TotalTime>
  <ScaleCrop>false</ScaleCrop>
  <LinksUpToDate>false</LinksUpToDate>
  <CharactersWithSpaces>5361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2025-03-21T16:29:00Z</dcterms:created>
  <dc:creator>sse</dc:creator>
  <cp:lastModifiedBy>whxu</cp:lastModifiedBy>
  <cp:lastPrinted>2023-07-19T18:48:00Z</cp:lastPrinted>
  <dcterms:modified xsi:type="dcterms:W3CDTF">2025-03-21T16:57:33Z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EFBC72C386224A4FA112BD9D40CDC6A9</vt:lpwstr>
  </property>
</Properties>
</file>