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6625C" w14:textId="77777777" w:rsidR="00B80801" w:rsidRDefault="00C45BFD">
      <w:pPr>
        <w:pStyle w:val="Style3"/>
        <w:spacing w:line="540" w:lineRule="exact"/>
        <w:ind w:firstLineChars="0" w:firstLine="0"/>
        <w:rPr>
          <w:rFonts w:eastAsia="仿宋_GB2312"/>
          <w:bCs/>
          <w:sz w:val="30"/>
          <w:szCs w:val="30"/>
        </w:rPr>
      </w:pPr>
      <w:bookmarkStart w:id="0" w:name="_Hlk162526704"/>
      <w:bookmarkStart w:id="1" w:name="_Toc92203443"/>
      <w:r>
        <w:rPr>
          <w:rFonts w:eastAsia="仿宋_GB2312"/>
          <w:bCs/>
          <w:sz w:val="30"/>
          <w:szCs w:val="30"/>
        </w:rPr>
        <w:t>附件</w:t>
      </w:r>
      <w:bookmarkEnd w:id="0"/>
      <w:r>
        <w:rPr>
          <w:rFonts w:eastAsia="仿宋_GB2312" w:hint="eastAsia"/>
          <w:bCs/>
          <w:sz w:val="30"/>
          <w:szCs w:val="30"/>
        </w:rPr>
        <w:t>2</w:t>
      </w:r>
    </w:p>
    <w:p w14:paraId="76886E09" w14:textId="77777777" w:rsidR="00B80801" w:rsidRDefault="00B80801">
      <w:pPr>
        <w:spacing w:line="600" w:lineRule="exact"/>
        <w:outlineLvl w:val="0"/>
        <w:rPr>
          <w:rFonts w:ascii="黑体" w:eastAsia="黑体" w:hAnsi="黑体" w:cs="黑体"/>
          <w:bCs/>
          <w:sz w:val="32"/>
          <w:szCs w:val="32"/>
        </w:rPr>
      </w:pPr>
    </w:p>
    <w:p w14:paraId="6AF250F8" w14:textId="77777777" w:rsidR="00B80801" w:rsidRDefault="00C45BFD">
      <w:pPr>
        <w:spacing w:line="600" w:lineRule="exact"/>
        <w:jc w:val="center"/>
        <w:outlineLvl w:val="0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/>
          <w:b/>
          <w:sz w:val="44"/>
          <w:szCs w:val="44"/>
        </w:rPr>
        <w:t>《上海证券交易所发行上市审核规则适用指引第</w:t>
      </w:r>
      <w:r>
        <w:rPr>
          <w:rFonts w:eastAsia="黑体" w:cs="黑体"/>
          <w:b/>
          <w:sz w:val="44"/>
          <w:szCs w:val="44"/>
        </w:rPr>
        <w:t>3</w:t>
      </w:r>
      <w:r>
        <w:rPr>
          <w:rFonts w:ascii="黑体" w:eastAsia="黑体" w:hAnsi="黑体" w:cs="黑体"/>
          <w:b/>
          <w:sz w:val="44"/>
          <w:szCs w:val="44"/>
        </w:rPr>
        <w:t>号——现场督导</w:t>
      </w:r>
      <w:r>
        <w:rPr>
          <w:rFonts w:ascii="黑体" w:eastAsia="黑体" w:hAnsi="黑体" w:cs="黑体" w:hint="eastAsia"/>
          <w:b/>
          <w:sz w:val="44"/>
          <w:szCs w:val="44"/>
        </w:rPr>
        <w:t>（</w:t>
      </w:r>
      <w:r>
        <w:rPr>
          <w:rFonts w:eastAsia="黑体" w:cs="黑体" w:hint="eastAsia"/>
          <w:b/>
          <w:sz w:val="44"/>
          <w:szCs w:val="44"/>
        </w:rPr>
        <w:t>2024</w:t>
      </w:r>
      <w:r>
        <w:rPr>
          <w:rFonts w:ascii="黑体" w:eastAsia="黑体" w:hAnsi="黑体" w:cs="黑体" w:hint="eastAsia"/>
          <w:b/>
          <w:sz w:val="44"/>
          <w:szCs w:val="44"/>
        </w:rPr>
        <w:t>年修订）</w:t>
      </w:r>
      <w:r>
        <w:rPr>
          <w:rFonts w:ascii="黑体" w:eastAsia="黑体" w:hAnsi="黑体" w:cs="黑体"/>
          <w:b/>
          <w:sz w:val="44"/>
          <w:szCs w:val="44"/>
        </w:rPr>
        <w:t>》</w:t>
      </w:r>
      <w:r>
        <w:rPr>
          <w:rFonts w:ascii="黑体" w:eastAsia="黑体" w:hAnsi="黑体" w:cs="黑体" w:hint="eastAsia"/>
          <w:b/>
          <w:sz w:val="44"/>
          <w:szCs w:val="44"/>
        </w:rPr>
        <w:t>起草</w:t>
      </w:r>
      <w:r>
        <w:rPr>
          <w:rFonts w:ascii="黑体" w:eastAsia="黑体" w:hAnsi="黑体" w:cs="黑体"/>
          <w:b/>
          <w:sz w:val="44"/>
          <w:szCs w:val="44"/>
        </w:rPr>
        <w:t>说明</w:t>
      </w:r>
      <w:bookmarkEnd w:id="1"/>
    </w:p>
    <w:p w14:paraId="6D19241D" w14:textId="77777777" w:rsidR="00B80801" w:rsidRDefault="00B80801">
      <w:pPr>
        <w:spacing w:line="560" w:lineRule="exact"/>
        <w:ind w:firstLineChars="200" w:firstLine="420"/>
        <w:jc w:val="center"/>
        <w:rPr>
          <w:rStyle w:val="ab"/>
        </w:rPr>
      </w:pPr>
    </w:p>
    <w:p w14:paraId="788B6DA2" w14:textId="14140EF6" w:rsidR="00B80801" w:rsidRDefault="00C45BFD">
      <w:pPr>
        <w:spacing w:line="56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为</w:t>
      </w:r>
      <w:r>
        <w:rPr>
          <w:rFonts w:eastAsia="仿宋_GB2312" w:hint="eastAsia"/>
          <w:sz w:val="32"/>
          <w:szCs w:val="36"/>
        </w:rPr>
        <w:t>了</w:t>
      </w:r>
      <w:r>
        <w:rPr>
          <w:rFonts w:eastAsia="仿宋_GB2312"/>
          <w:sz w:val="32"/>
          <w:szCs w:val="36"/>
        </w:rPr>
        <w:t>深入贯彻落实中央金融工作会议精神和《国务院关于加强监管防范风险推动资本市场高质量发展的若干意见》，进一步有效发挥现场督导作用，督促保荐人、证券服务机构归位尽责，本所对《上海证券交易所发行上市审核规则适用指引第</w:t>
      </w:r>
      <w:r>
        <w:rPr>
          <w:rFonts w:eastAsia="仿宋_GB2312"/>
          <w:sz w:val="32"/>
          <w:szCs w:val="36"/>
        </w:rPr>
        <w:t>3</w:t>
      </w:r>
      <w:r>
        <w:rPr>
          <w:rFonts w:eastAsia="仿宋_GB2312"/>
          <w:sz w:val="32"/>
          <w:szCs w:val="36"/>
        </w:rPr>
        <w:t>号</w:t>
      </w:r>
      <w:r>
        <w:rPr>
          <w:rFonts w:eastAsia="仿宋_GB2312" w:hint="eastAsia"/>
          <w:sz w:val="32"/>
          <w:szCs w:val="36"/>
        </w:rPr>
        <w:t>——</w:t>
      </w:r>
      <w:r>
        <w:rPr>
          <w:rFonts w:eastAsia="仿宋_GB2312"/>
          <w:sz w:val="32"/>
          <w:szCs w:val="36"/>
        </w:rPr>
        <w:t>现场督导》（以下简称《</w:t>
      </w:r>
      <w:r>
        <w:rPr>
          <w:rFonts w:eastAsia="仿宋_GB2312" w:hint="eastAsia"/>
          <w:sz w:val="32"/>
          <w:szCs w:val="36"/>
        </w:rPr>
        <w:t>现场督导</w:t>
      </w:r>
      <w:r>
        <w:rPr>
          <w:rFonts w:eastAsia="仿宋_GB2312"/>
          <w:sz w:val="32"/>
          <w:szCs w:val="36"/>
        </w:rPr>
        <w:t>指引》）进行了修订</w:t>
      </w:r>
      <w:r w:rsidR="00D03D6E">
        <w:rPr>
          <w:rFonts w:eastAsia="仿宋_GB2312" w:hint="eastAsia"/>
          <w:sz w:val="32"/>
          <w:szCs w:val="36"/>
        </w:rPr>
        <w:t>，</w:t>
      </w:r>
      <w:r>
        <w:rPr>
          <w:rFonts w:eastAsia="仿宋_GB2312"/>
          <w:sz w:val="32"/>
          <w:szCs w:val="36"/>
        </w:rPr>
        <w:t>现</w:t>
      </w:r>
      <w:r w:rsidR="00D03D6E">
        <w:rPr>
          <w:rFonts w:eastAsia="仿宋_GB2312" w:hint="eastAsia"/>
          <w:sz w:val="32"/>
          <w:szCs w:val="36"/>
        </w:rPr>
        <w:t>将相关情况</w:t>
      </w:r>
      <w:r>
        <w:rPr>
          <w:rFonts w:eastAsia="仿宋_GB2312"/>
          <w:sz w:val="32"/>
          <w:szCs w:val="36"/>
        </w:rPr>
        <w:t>说明如下。</w:t>
      </w:r>
    </w:p>
    <w:p w14:paraId="17F9DEDC" w14:textId="77777777" w:rsidR="00B80801" w:rsidRDefault="00C45BFD">
      <w:pPr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6"/>
        </w:rPr>
      </w:pPr>
      <w:r>
        <w:rPr>
          <w:rFonts w:ascii="黑体" w:eastAsia="黑体" w:hAnsi="黑体" w:cs="黑体" w:hint="eastAsia"/>
          <w:bCs/>
          <w:sz w:val="32"/>
          <w:szCs w:val="36"/>
        </w:rPr>
        <w:t>一、修订背景</w:t>
      </w:r>
    </w:p>
    <w:p w14:paraId="67E74CE6" w14:textId="206A55F0" w:rsidR="00B80801" w:rsidRDefault="00C45BFD">
      <w:pPr>
        <w:spacing w:line="560" w:lineRule="exact"/>
        <w:ind w:firstLineChars="200" w:firstLine="640"/>
        <w:rPr>
          <w:rFonts w:eastAsia="仿宋_GB2312"/>
          <w:sz w:val="32"/>
          <w:szCs w:val="36"/>
        </w:rPr>
      </w:pPr>
      <w:r>
        <w:rPr>
          <w:rFonts w:eastAsia="仿宋_GB2312" w:hint="eastAsia"/>
          <w:sz w:val="32"/>
          <w:szCs w:val="36"/>
        </w:rPr>
        <w:t>《现场督导指引》发布实施以来，常态化现场督导已经成为压实保荐人、证券服务机构核查把关责任的重要审核手段，对从源头上提高上市公司质量发挥了重要作用。但实践发现，仍然存在部分保荐人收到现场督导通知后随意撤销保荐、个别督导对象消极配合等问题。</w:t>
      </w:r>
      <w:r>
        <w:rPr>
          <w:rFonts w:eastAsia="仿宋_GB2312" w:hint="eastAsia"/>
          <w:sz w:val="32"/>
          <w:szCs w:val="36"/>
        </w:rPr>
        <w:t>2024</w:t>
      </w:r>
      <w:r>
        <w:rPr>
          <w:rFonts w:eastAsia="仿宋_GB2312" w:hint="eastAsia"/>
          <w:sz w:val="32"/>
          <w:szCs w:val="36"/>
        </w:rPr>
        <w:t>年</w:t>
      </w:r>
      <w:r>
        <w:rPr>
          <w:rFonts w:eastAsia="仿宋_GB2312" w:hint="eastAsia"/>
          <w:sz w:val="32"/>
          <w:szCs w:val="36"/>
        </w:rPr>
        <w:t>3</w:t>
      </w:r>
      <w:r>
        <w:rPr>
          <w:rFonts w:eastAsia="仿宋_GB2312" w:hint="eastAsia"/>
          <w:sz w:val="32"/>
          <w:szCs w:val="36"/>
        </w:rPr>
        <w:t>月</w:t>
      </w:r>
      <w:r>
        <w:rPr>
          <w:rFonts w:eastAsia="仿宋_GB2312" w:hint="eastAsia"/>
          <w:sz w:val="32"/>
          <w:szCs w:val="36"/>
        </w:rPr>
        <w:t>15</w:t>
      </w:r>
      <w:r>
        <w:rPr>
          <w:rFonts w:eastAsia="仿宋_GB2312" w:hint="eastAsia"/>
          <w:sz w:val="32"/>
          <w:szCs w:val="36"/>
        </w:rPr>
        <w:t>日，中国证监会集中发布《关于严把发行上市准入关从源头上提高上市公司质量的意见（试行）》等文件，进一步强调压实中介机构“看门人”责任，</w:t>
      </w:r>
      <w:r w:rsidR="00D03D6E">
        <w:rPr>
          <w:rFonts w:eastAsia="仿宋_GB2312" w:hint="eastAsia"/>
          <w:sz w:val="32"/>
          <w:szCs w:val="36"/>
        </w:rPr>
        <w:t>督促其切实扛起防范造假的职责</w:t>
      </w:r>
      <w:r>
        <w:rPr>
          <w:rFonts w:eastAsia="仿宋_GB2312" w:hint="eastAsia"/>
          <w:sz w:val="32"/>
          <w:szCs w:val="36"/>
        </w:rPr>
        <w:t>。本次修订主要是落实相关文件精神，进一步明确监管要求。</w:t>
      </w:r>
    </w:p>
    <w:p w14:paraId="2F7E0F7D" w14:textId="77777777" w:rsidR="00B80801" w:rsidRDefault="00C45BFD">
      <w:pPr>
        <w:spacing w:line="600" w:lineRule="exact"/>
        <w:ind w:firstLineChars="200" w:firstLine="640"/>
        <w:outlineLvl w:val="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二、主要修订内容</w:t>
      </w:r>
    </w:p>
    <w:p w14:paraId="1224F286" w14:textId="77777777" w:rsidR="00B80801" w:rsidRDefault="00C45BFD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一是明确“一督到底”原则。</w:t>
      </w:r>
      <w:r>
        <w:rPr>
          <w:rFonts w:ascii="仿宋_GB2312" w:eastAsia="仿宋_GB2312" w:hint="eastAsia"/>
          <w:sz w:val="32"/>
          <w:szCs w:val="32"/>
        </w:rPr>
        <w:t>针对实践中部分督导对象</w:t>
      </w:r>
      <w:r>
        <w:rPr>
          <w:rFonts w:ascii="仿宋_GB2312" w:eastAsia="仿宋_GB2312" w:hint="eastAsia"/>
          <w:sz w:val="32"/>
          <w:szCs w:val="32"/>
        </w:rPr>
        <w:lastRenderedPageBreak/>
        <w:t>“带病闯关”，在本所发出现场督导通知书后随意撤销保荐的情况，为切实落实“申报即担责”的监管要求，强化严监管警示震慑，《</w:t>
      </w:r>
      <w:r>
        <w:rPr>
          <w:rFonts w:eastAsia="仿宋_GB2312" w:hint="eastAsia"/>
          <w:sz w:val="32"/>
          <w:szCs w:val="36"/>
        </w:rPr>
        <w:t>现场督导</w:t>
      </w:r>
      <w:r>
        <w:rPr>
          <w:rFonts w:ascii="仿宋_GB2312" w:eastAsia="仿宋_GB2312" w:hint="eastAsia"/>
          <w:sz w:val="32"/>
          <w:szCs w:val="32"/>
        </w:rPr>
        <w:t>指引》明确发行人撤回申请或保荐人撤销保荐不影响督导工作的实施，也不影响本所依规对督导发现的问题进行处理。</w:t>
      </w:r>
    </w:p>
    <w:p w14:paraId="2E78B66E" w14:textId="6994C047" w:rsidR="00B80801" w:rsidRDefault="00C45BFD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二是拓宽现场督导覆盖面。</w:t>
      </w:r>
      <w:r w:rsidR="00227F2C" w:rsidRPr="00227F2C">
        <w:rPr>
          <w:rFonts w:eastAsia="仿宋_GB2312" w:hint="eastAsia"/>
          <w:sz w:val="32"/>
          <w:szCs w:val="36"/>
        </w:rPr>
        <w:t>第一，</w:t>
      </w:r>
      <w:r>
        <w:rPr>
          <w:rFonts w:eastAsia="仿宋_GB2312"/>
          <w:sz w:val="32"/>
          <w:szCs w:val="36"/>
        </w:rPr>
        <w:t>增加</w:t>
      </w:r>
      <w:r>
        <w:rPr>
          <w:rFonts w:eastAsia="仿宋_GB2312"/>
          <w:sz w:val="32"/>
          <w:szCs w:val="36"/>
        </w:rPr>
        <w:t>“</w:t>
      </w:r>
      <w:r>
        <w:rPr>
          <w:rFonts w:eastAsia="仿宋_GB2312"/>
          <w:sz w:val="32"/>
          <w:szCs w:val="36"/>
        </w:rPr>
        <w:t>随机抽取</w:t>
      </w:r>
      <w:r>
        <w:rPr>
          <w:rFonts w:eastAsia="仿宋_GB2312"/>
          <w:sz w:val="32"/>
          <w:szCs w:val="36"/>
        </w:rPr>
        <w:t>”</w:t>
      </w:r>
      <w:r>
        <w:rPr>
          <w:rFonts w:eastAsia="仿宋_GB2312"/>
          <w:sz w:val="32"/>
          <w:szCs w:val="36"/>
        </w:rPr>
        <w:t>的</w:t>
      </w:r>
      <w:r w:rsidR="00DC539A">
        <w:rPr>
          <w:rFonts w:eastAsia="仿宋_GB2312" w:hint="eastAsia"/>
          <w:sz w:val="32"/>
          <w:szCs w:val="36"/>
        </w:rPr>
        <w:t>督导对象确定</w:t>
      </w:r>
      <w:r>
        <w:rPr>
          <w:rFonts w:eastAsia="仿宋_GB2312"/>
          <w:sz w:val="32"/>
          <w:szCs w:val="36"/>
        </w:rPr>
        <w:t>方式，</w:t>
      </w:r>
      <w:r>
        <w:rPr>
          <w:rFonts w:eastAsia="仿宋_GB2312"/>
          <w:sz w:val="32"/>
          <w:szCs w:val="32"/>
        </w:rPr>
        <w:t>将根据以上市公司质量为导向的保荐机构执业质量评价结果，不定期</w:t>
      </w:r>
      <w:r w:rsidR="005B75BE">
        <w:rPr>
          <w:rFonts w:eastAsia="仿宋_GB2312" w:hint="eastAsia"/>
          <w:sz w:val="32"/>
          <w:szCs w:val="32"/>
        </w:rPr>
        <w:t>按照</w:t>
      </w:r>
      <w:r>
        <w:rPr>
          <w:rFonts w:eastAsia="仿宋_GB2312"/>
          <w:sz w:val="32"/>
          <w:szCs w:val="32"/>
        </w:rPr>
        <w:t>不同比例随机抽取已受理项目，对保荐人启动现场督导。</w:t>
      </w:r>
      <w:r w:rsidR="00227F2C">
        <w:rPr>
          <w:rFonts w:eastAsia="仿宋_GB2312" w:hint="eastAsia"/>
          <w:sz w:val="32"/>
          <w:szCs w:val="32"/>
        </w:rPr>
        <w:t>第二，</w:t>
      </w:r>
      <w:r>
        <w:rPr>
          <w:rFonts w:eastAsia="仿宋_GB2312"/>
          <w:sz w:val="32"/>
          <w:szCs w:val="32"/>
        </w:rPr>
        <w:t>明确上市审核委员会会议审议后至股票或者存托凭证上市交易前，发生重大事项，对发行人是否符合发行条件、上市条件或者信息披露要求产生重大影响的，本所可以</w:t>
      </w:r>
      <w:r w:rsidR="00CD56D5">
        <w:rPr>
          <w:rFonts w:eastAsia="仿宋_GB2312" w:hint="eastAsia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需要启动现场督导。</w:t>
      </w:r>
    </w:p>
    <w:p w14:paraId="67FB52D4" w14:textId="2A6F93AF" w:rsidR="00B80801" w:rsidRDefault="00C45BFD">
      <w:pPr>
        <w:spacing w:line="60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三是强化现场督导中的自律监管。</w:t>
      </w:r>
      <w:r>
        <w:rPr>
          <w:rFonts w:eastAsia="仿宋_GB2312"/>
          <w:sz w:val="32"/>
          <w:szCs w:val="32"/>
        </w:rPr>
        <w:t>实践中，部分保荐人老问题反复犯、执业质量屡次出问题，个别督导对象存在消极配合等情况。为督促中介机构</w:t>
      </w:r>
      <w:r w:rsidR="00D03D6E">
        <w:rPr>
          <w:rFonts w:eastAsia="仿宋_GB2312" w:hint="eastAsia"/>
          <w:sz w:val="32"/>
          <w:szCs w:val="32"/>
        </w:rPr>
        <w:t>及其</w:t>
      </w:r>
      <w:r>
        <w:rPr>
          <w:rFonts w:eastAsia="仿宋_GB2312" w:hint="eastAsia"/>
          <w:sz w:val="32"/>
          <w:szCs w:val="32"/>
        </w:rPr>
        <w:t>相关</w:t>
      </w:r>
      <w:r w:rsidR="00D03D6E">
        <w:rPr>
          <w:rFonts w:eastAsia="仿宋_GB2312" w:hint="eastAsia"/>
          <w:sz w:val="32"/>
          <w:szCs w:val="32"/>
        </w:rPr>
        <w:t>责任</w:t>
      </w:r>
      <w:r>
        <w:rPr>
          <w:rFonts w:eastAsia="仿宋_GB2312"/>
          <w:sz w:val="32"/>
          <w:szCs w:val="32"/>
        </w:rPr>
        <w:t>人员履行好核查把关责任，《</w:t>
      </w:r>
      <w:r>
        <w:rPr>
          <w:rFonts w:eastAsia="仿宋_GB2312" w:hint="eastAsia"/>
          <w:sz w:val="32"/>
          <w:szCs w:val="36"/>
        </w:rPr>
        <w:t>现场督导</w:t>
      </w:r>
      <w:r>
        <w:rPr>
          <w:rFonts w:eastAsia="仿宋_GB2312"/>
          <w:sz w:val="32"/>
          <w:szCs w:val="32"/>
        </w:rPr>
        <w:t>指引》明确了从重处理情形，并再次强调保荐人、证券服务机构及其相关人员拒绝、阻碍、逃避本所现场督导，谎报、隐匿、销毁相关证据资料的，本所</w:t>
      </w:r>
      <w:r>
        <w:rPr>
          <w:rFonts w:eastAsia="仿宋_GB2312"/>
          <w:sz w:val="32"/>
          <w:szCs w:val="36"/>
        </w:rPr>
        <w:t>可以</w:t>
      </w:r>
      <w:r>
        <w:rPr>
          <w:rFonts w:eastAsia="仿宋_GB2312"/>
          <w:sz w:val="32"/>
          <w:szCs w:val="32"/>
        </w:rPr>
        <w:t>给予一定期限内不接受其提交或者签字的发行上市申请文件、信息披露文件的纪律处分。</w:t>
      </w:r>
    </w:p>
    <w:p w14:paraId="2FA58A0D" w14:textId="10639CCB" w:rsidR="00B80801" w:rsidRDefault="00C45BFD">
      <w:pPr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四是提升现场督导透明度。</w:t>
      </w:r>
      <w:r>
        <w:rPr>
          <w:rFonts w:eastAsia="仿宋_GB2312" w:hint="eastAsia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进一步落实</w:t>
      </w:r>
      <w:r w:rsidR="008A4552"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开门办审核</w:t>
      </w:r>
      <w:r w:rsidR="008A4552"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要求，</w:t>
      </w:r>
      <w:r>
        <w:rPr>
          <w:rFonts w:eastAsia="仿宋_GB2312" w:hint="eastAsia"/>
          <w:sz w:val="32"/>
          <w:szCs w:val="32"/>
        </w:rPr>
        <w:t>《现场督导指引》</w:t>
      </w:r>
      <w:r>
        <w:rPr>
          <w:rFonts w:eastAsia="仿宋_GB2312"/>
          <w:sz w:val="32"/>
          <w:szCs w:val="32"/>
        </w:rPr>
        <w:t>明确</w:t>
      </w:r>
      <w:r>
        <w:rPr>
          <w:rFonts w:eastAsia="仿宋_GB2312" w:hint="eastAsia"/>
          <w:sz w:val="32"/>
          <w:szCs w:val="32"/>
        </w:rPr>
        <w:t>本所将通过公布现场督导规则、典型案例、开展业务培训等方式，提高现场督导工作透明度</w:t>
      </w:r>
      <w:r>
        <w:rPr>
          <w:rFonts w:eastAsia="仿宋_GB2312"/>
          <w:sz w:val="32"/>
          <w:szCs w:val="32"/>
        </w:rPr>
        <w:t>。</w:t>
      </w:r>
    </w:p>
    <w:p w14:paraId="7CADD1F0" w14:textId="77777777" w:rsidR="00B80801" w:rsidRDefault="00C45BFD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特此说明。</w:t>
      </w:r>
    </w:p>
    <w:sectPr w:rsidR="00B80801" w:rsidSect="003D59C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0180D" w14:textId="77777777" w:rsidR="003D59C7" w:rsidRDefault="003D59C7" w:rsidP="00B80801">
      <w:r>
        <w:separator/>
      </w:r>
    </w:p>
  </w:endnote>
  <w:endnote w:type="continuationSeparator" w:id="0">
    <w:p w14:paraId="1C2EABE4" w14:textId="77777777" w:rsidR="003D59C7" w:rsidRDefault="003D59C7" w:rsidP="00B80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677418157"/>
    </w:sdtPr>
    <w:sdtContent>
      <w:p w14:paraId="304E038E" w14:textId="77777777" w:rsidR="00B80801" w:rsidRDefault="00B42576">
        <w:pPr>
          <w:pStyle w:val="a7"/>
          <w:jc w:val="center"/>
        </w:pPr>
        <w:r>
          <w:rPr>
            <w:sz w:val="24"/>
            <w:szCs w:val="24"/>
          </w:rPr>
          <w:fldChar w:fldCharType="begin"/>
        </w:r>
        <w:r w:rsidR="00C45BFD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CD56D5" w:rsidRPr="00CD56D5">
          <w:rPr>
            <w:noProof/>
            <w:sz w:val="24"/>
            <w:szCs w:val="24"/>
            <w:lang w:val="zh-CN"/>
          </w:rPr>
          <w:t>2</w:t>
        </w:r>
        <w:r>
          <w:rPr>
            <w:sz w:val="24"/>
            <w:szCs w:val="24"/>
            <w:lang w:val="zh-CN"/>
          </w:rPr>
          <w:fldChar w:fldCharType="end"/>
        </w:r>
      </w:p>
    </w:sdtContent>
  </w:sdt>
  <w:p w14:paraId="3BEB26F8" w14:textId="77777777" w:rsidR="00B80801" w:rsidRDefault="00B808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9EBD8" w14:textId="77777777" w:rsidR="003D59C7" w:rsidRDefault="003D59C7" w:rsidP="00B80801">
      <w:r>
        <w:separator/>
      </w:r>
    </w:p>
  </w:footnote>
  <w:footnote w:type="continuationSeparator" w:id="0">
    <w:p w14:paraId="187E2634" w14:textId="77777777" w:rsidR="003D59C7" w:rsidRDefault="003D59C7" w:rsidP="00B80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ZmN2NmZDgyNmQ2NGY4ZDYzMjJjZjI2N2VhNzVkMmMifQ=="/>
  </w:docVars>
  <w:rsids>
    <w:rsidRoot w:val="00B63BF5"/>
    <w:rsid w:val="EF4F21D2"/>
    <w:rsid w:val="FEEF69D9"/>
    <w:rsid w:val="000059D3"/>
    <w:rsid w:val="00007F5B"/>
    <w:rsid w:val="00020EB8"/>
    <w:rsid w:val="000324D1"/>
    <w:rsid w:val="0004092E"/>
    <w:rsid w:val="00051B5E"/>
    <w:rsid w:val="00051EAB"/>
    <w:rsid w:val="000640B2"/>
    <w:rsid w:val="000727C6"/>
    <w:rsid w:val="000A0086"/>
    <w:rsid w:val="000B09F5"/>
    <w:rsid w:val="000B3A19"/>
    <w:rsid w:val="000D2FB6"/>
    <w:rsid w:val="000D611E"/>
    <w:rsid w:val="000E4002"/>
    <w:rsid w:val="000F5DAD"/>
    <w:rsid w:val="00106B7A"/>
    <w:rsid w:val="00131F59"/>
    <w:rsid w:val="001367F8"/>
    <w:rsid w:val="00136E62"/>
    <w:rsid w:val="0015550E"/>
    <w:rsid w:val="00191174"/>
    <w:rsid w:val="001A6796"/>
    <w:rsid w:val="001D2729"/>
    <w:rsid w:val="001D3CF7"/>
    <w:rsid w:val="001F48FB"/>
    <w:rsid w:val="00212A24"/>
    <w:rsid w:val="00227F2C"/>
    <w:rsid w:val="00232E72"/>
    <w:rsid w:val="002360DA"/>
    <w:rsid w:val="00250CB8"/>
    <w:rsid w:val="00275979"/>
    <w:rsid w:val="00275C87"/>
    <w:rsid w:val="0028182D"/>
    <w:rsid w:val="00281AC2"/>
    <w:rsid w:val="00284A1F"/>
    <w:rsid w:val="002A255B"/>
    <w:rsid w:val="002A35F4"/>
    <w:rsid w:val="002B7051"/>
    <w:rsid w:val="002E0FC9"/>
    <w:rsid w:val="002F60B4"/>
    <w:rsid w:val="003034CA"/>
    <w:rsid w:val="003042B8"/>
    <w:rsid w:val="003123C3"/>
    <w:rsid w:val="00312BCE"/>
    <w:rsid w:val="0031579C"/>
    <w:rsid w:val="00342AE3"/>
    <w:rsid w:val="003454C8"/>
    <w:rsid w:val="00351C26"/>
    <w:rsid w:val="003554B6"/>
    <w:rsid w:val="003636FC"/>
    <w:rsid w:val="00371F31"/>
    <w:rsid w:val="0038165C"/>
    <w:rsid w:val="003D41F3"/>
    <w:rsid w:val="003D59C7"/>
    <w:rsid w:val="003F1C49"/>
    <w:rsid w:val="003F3203"/>
    <w:rsid w:val="003F7C07"/>
    <w:rsid w:val="00400C22"/>
    <w:rsid w:val="00432EB0"/>
    <w:rsid w:val="00437CB6"/>
    <w:rsid w:val="00454D0E"/>
    <w:rsid w:val="00456A54"/>
    <w:rsid w:val="00471359"/>
    <w:rsid w:val="00476FFB"/>
    <w:rsid w:val="00477A19"/>
    <w:rsid w:val="00491B04"/>
    <w:rsid w:val="004934A4"/>
    <w:rsid w:val="004961BD"/>
    <w:rsid w:val="004A7C09"/>
    <w:rsid w:val="004C0467"/>
    <w:rsid w:val="004D7619"/>
    <w:rsid w:val="004F244D"/>
    <w:rsid w:val="004F3251"/>
    <w:rsid w:val="004F37D9"/>
    <w:rsid w:val="004F5D65"/>
    <w:rsid w:val="005029F3"/>
    <w:rsid w:val="00506D98"/>
    <w:rsid w:val="0052739A"/>
    <w:rsid w:val="005415BF"/>
    <w:rsid w:val="005509EE"/>
    <w:rsid w:val="005536AD"/>
    <w:rsid w:val="005677E9"/>
    <w:rsid w:val="00572EC5"/>
    <w:rsid w:val="00577F7D"/>
    <w:rsid w:val="0059508B"/>
    <w:rsid w:val="00596B33"/>
    <w:rsid w:val="005B75BE"/>
    <w:rsid w:val="005D4216"/>
    <w:rsid w:val="005F3978"/>
    <w:rsid w:val="005F4C1E"/>
    <w:rsid w:val="006144C5"/>
    <w:rsid w:val="00617046"/>
    <w:rsid w:val="0063226F"/>
    <w:rsid w:val="006366F8"/>
    <w:rsid w:val="006410DC"/>
    <w:rsid w:val="006453F6"/>
    <w:rsid w:val="006541A3"/>
    <w:rsid w:val="00656028"/>
    <w:rsid w:val="00661905"/>
    <w:rsid w:val="00667291"/>
    <w:rsid w:val="0068154B"/>
    <w:rsid w:val="006C069F"/>
    <w:rsid w:val="006C1A92"/>
    <w:rsid w:val="006D6A68"/>
    <w:rsid w:val="006E0019"/>
    <w:rsid w:val="006E4765"/>
    <w:rsid w:val="006F3CA3"/>
    <w:rsid w:val="0071577C"/>
    <w:rsid w:val="00732EE1"/>
    <w:rsid w:val="00744E86"/>
    <w:rsid w:val="00746BC2"/>
    <w:rsid w:val="00752CF0"/>
    <w:rsid w:val="0075369F"/>
    <w:rsid w:val="007578FD"/>
    <w:rsid w:val="00767A40"/>
    <w:rsid w:val="00770528"/>
    <w:rsid w:val="00793750"/>
    <w:rsid w:val="007E1865"/>
    <w:rsid w:val="007F69AC"/>
    <w:rsid w:val="00804632"/>
    <w:rsid w:val="00827CC2"/>
    <w:rsid w:val="0083401E"/>
    <w:rsid w:val="0083687B"/>
    <w:rsid w:val="0084788C"/>
    <w:rsid w:val="0085045C"/>
    <w:rsid w:val="00857B8E"/>
    <w:rsid w:val="00871BAB"/>
    <w:rsid w:val="00884A8F"/>
    <w:rsid w:val="008A4552"/>
    <w:rsid w:val="008C24DE"/>
    <w:rsid w:val="008D0A0A"/>
    <w:rsid w:val="008D6B5A"/>
    <w:rsid w:val="008E619D"/>
    <w:rsid w:val="008F21D4"/>
    <w:rsid w:val="008F7025"/>
    <w:rsid w:val="00911CD0"/>
    <w:rsid w:val="0093405C"/>
    <w:rsid w:val="00944BB9"/>
    <w:rsid w:val="009475A4"/>
    <w:rsid w:val="0096469E"/>
    <w:rsid w:val="009A18EC"/>
    <w:rsid w:val="009A5028"/>
    <w:rsid w:val="009C6BEC"/>
    <w:rsid w:val="009D1C89"/>
    <w:rsid w:val="009E02B6"/>
    <w:rsid w:val="009E3B7E"/>
    <w:rsid w:val="009E7132"/>
    <w:rsid w:val="009F0734"/>
    <w:rsid w:val="00A11C58"/>
    <w:rsid w:val="00A365CC"/>
    <w:rsid w:val="00A5292D"/>
    <w:rsid w:val="00A6358B"/>
    <w:rsid w:val="00A667C2"/>
    <w:rsid w:val="00A862C3"/>
    <w:rsid w:val="00A9230F"/>
    <w:rsid w:val="00AC1C28"/>
    <w:rsid w:val="00B0179F"/>
    <w:rsid w:val="00B061EA"/>
    <w:rsid w:val="00B15EC1"/>
    <w:rsid w:val="00B42576"/>
    <w:rsid w:val="00B53103"/>
    <w:rsid w:val="00B63BF5"/>
    <w:rsid w:val="00B80801"/>
    <w:rsid w:val="00BA054C"/>
    <w:rsid w:val="00BC37FB"/>
    <w:rsid w:val="00BD075E"/>
    <w:rsid w:val="00BD11E6"/>
    <w:rsid w:val="00BE1802"/>
    <w:rsid w:val="00BE7F1A"/>
    <w:rsid w:val="00BF5555"/>
    <w:rsid w:val="00C06BBC"/>
    <w:rsid w:val="00C44E18"/>
    <w:rsid w:val="00C45BFD"/>
    <w:rsid w:val="00C80518"/>
    <w:rsid w:val="00C80ADA"/>
    <w:rsid w:val="00C84D9D"/>
    <w:rsid w:val="00C86B8F"/>
    <w:rsid w:val="00CA039B"/>
    <w:rsid w:val="00CA086F"/>
    <w:rsid w:val="00CA0A48"/>
    <w:rsid w:val="00CA3530"/>
    <w:rsid w:val="00CB07B7"/>
    <w:rsid w:val="00CB604E"/>
    <w:rsid w:val="00CC2B84"/>
    <w:rsid w:val="00CD4839"/>
    <w:rsid w:val="00CD56D5"/>
    <w:rsid w:val="00CE26CD"/>
    <w:rsid w:val="00CE5166"/>
    <w:rsid w:val="00CF4808"/>
    <w:rsid w:val="00D03D6E"/>
    <w:rsid w:val="00D10067"/>
    <w:rsid w:val="00D103FC"/>
    <w:rsid w:val="00D2560E"/>
    <w:rsid w:val="00D6783D"/>
    <w:rsid w:val="00D77734"/>
    <w:rsid w:val="00D817E2"/>
    <w:rsid w:val="00DB12F6"/>
    <w:rsid w:val="00DC0EC5"/>
    <w:rsid w:val="00DC508A"/>
    <w:rsid w:val="00DC539A"/>
    <w:rsid w:val="00DD73B3"/>
    <w:rsid w:val="00DE07DD"/>
    <w:rsid w:val="00DE7AF7"/>
    <w:rsid w:val="00E004AC"/>
    <w:rsid w:val="00E10DAC"/>
    <w:rsid w:val="00E13E4A"/>
    <w:rsid w:val="00E16325"/>
    <w:rsid w:val="00E35AE8"/>
    <w:rsid w:val="00E4014E"/>
    <w:rsid w:val="00E44FF0"/>
    <w:rsid w:val="00E45EE8"/>
    <w:rsid w:val="00E465BE"/>
    <w:rsid w:val="00E53F41"/>
    <w:rsid w:val="00E70E32"/>
    <w:rsid w:val="00E8107E"/>
    <w:rsid w:val="00E95709"/>
    <w:rsid w:val="00E9585A"/>
    <w:rsid w:val="00EC2C31"/>
    <w:rsid w:val="00ED2B87"/>
    <w:rsid w:val="00ED7CA7"/>
    <w:rsid w:val="00ED7FE1"/>
    <w:rsid w:val="00F0144F"/>
    <w:rsid w:val="00F03DF1"/>
    <w:rsid w:val="00F04CBF"/>
    <w:rsid w:val="00F119EB"/>
    <w:rsid w:val="00F12D81"/>
    <w:rsid w:val="00F12EB3"/>
    <w:rsid w:val="00F213DD"/>
    <w:rsid w:val="00F24D7D"/>
    <w:rsid w:val="00F445DB"/>
    <w:rsid w:val="00F47233"/>
    <w:rsid w:val="00F622B2"/>
    <w:rsid w:val="00F8471A"/>
    <w:rsid w:val="00F84EFA"/>
    <w:rsid w:val="00F95293"/>
    <w:rsid w:val="00FC34BF"/>
    <w:rsid w:val="00FC66B7"/>
    <w:rsid w:val="00FC701E"/>
    <w:rsid w:val="04182684"/>
    <w:rsid w:val="0C9B3710"/>
    <w:rsid w:val="15745775"/>
    <w:rsid w:val="18E44ED5"/>
    <w:rsid w:val="1A076043"/>
    <w:rsid w:val="307D5429"/>
    <w:rsid w:val="38A0011E"/>
    <w:rsid w:val="4DA44C5A"/>
    <w:rsid w:val="725B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D35B6"/>
  <w15:docId w15:val="{A9A39CFE-3764-4705-B411-73FE6C59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80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0801"/>
    <w:pPr>
      <w:keepNext/>
      <w:keepLines/>
      <w:pageBreakBefore/>
      <w:snapToGrid w:val="0"/>
      <w:spacing w:line="600" w:lineRule="exact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B80801"/>
    <w:rPr>
      <w:rFonts w:ascii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sid w:val="00B8080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B8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B8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B80801"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sid w:val="00B80801"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B80801"/>
    <w:rPr>
      <w:rFonts w:ascii="宋体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B8080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B80801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B80801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修订1"/>
    <w:hidden/>
    <w:uiPriority w:val="99"/>
    <w:semiHidden/>
    <w:qFormat/>
    <w:rsid w:val="00B80801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sid w:val="00B80801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">
    <w:name w:val="修订3"/>
    <w:hidden/>
    <w:uiPriority w:val="99"/>
    <w:unhideWhenUsed/>
    <w:rsid w:val="00B80801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Style3">
    <w:name w:val="_Style 3"/>
    <w:basedOn w:val="a"/>
    <w:qFormat/>
    <w:rsid w:val="00B80801"/>
    <w:pPr>
      <w:ind w:firstLineChars="200" w:firstLine="420"/>
    </w:pPr>
    <w:rPr>
      <w:szCs w:val="22"/>
    </w:rPr>
  </w:style>
  <w:style w:type="paragraph" w:styleId="ac">
    <w:name w:val="Revision"/>
    <w:hidden/>
    <w:uiPriority w:val="99"/>
    <w:unhideWhenUsed/>
    <w:rsid w:val="00D03D6E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156</Words>
  <Characters>892</Characters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2022-02-18T00:52:00Z</cp:lastPrinted>
  <dcterms:created xsi:type="dcterms:W3CDTF">2024-04-22T03:18:00Z</dcterms:created>
  <dcterms:modified xsi:type="dcterms:W3CDTF">2024-04-30T06:09:00Z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CD549C1817A34173A0E6D1D0AE1EA096</vt:lpwstr>
  </property>
</Properties>
</file>