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1EA77" w14:textId="77777777" w:rsidR="00D708EF" w:rsidRDefault="0008024D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/>
          <w:sz w:val="30"/>
          <w:szCs w:val="30"/>
        </w:rPr>
        <w:t>上海证券交易所证券</w:t>
      </w:r>
      <w:r>
        <w:rPr>
          <w:rFonts w:ascii="黑体" w:eastAsia="黑体" w:hAnsi="黑体" w:hint="eastAsia"/>
          <w:sz w:val="30"/>
          <w:szCs w:val="30"/>
        </w:rPr>
        <w:t>交易</w:t>
      </w:r>
      <w:r>
        <w:rPr>
          <w:rFonts w:ascii="黑体" w:eastAsia="黑体" w:hAnsi="黑体"/>
          <w:sz w:val="30"/>
          <w:szCs w:val="30"/>
        </w:rPr>
        <w:t>业务指南第</w:t>
      </w:r>
      <w:r w:rsidR="005516F5">
        <w:rPr>
          <w:rFonts w:ascii="黑体" w:eastAsia="黑体" w:hAnsi="黑体" w:hint="eastAsia"/>
          <w:sz w:val="30"/>
          <w:szCs w:val="30"/>
        </w:rPr>
        <w:t>7</w:t>
      </w:r>
      <w:r>
        <w:rPr>
          <w:rFonts w:ascii="黑体" w:eastAsia="黑体" w:hAnsi="黑体" w:hint="eastAsia"/>
          <w:sz w:val="30"/>
          <w:szCs w:val="30"/>
        </w:rPr>
        <w:t>号</w:t>
      </w:r>
    </w:p>
    <w:p w14:paraId="1C8C8DEE" w14:textId="77777777" w:rsidR="00D708EF" w:rsidRDefault="0008024D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——</w:t>
      </w:r>
      <w:proofErr w:type="gramStart"/>
      <w:r>
        <w:rPr>
          <w:rFonts w:ascii="黑体" w:eastAsia="黑体" w:hAnsi="黑体" w:hint="eastAsia"/>
          <w:sz w:val="30"/>
          <w:szCs w:val="30"/>
        </w:rPr>
        <w:t>扩位证券</w:t>
      </w:r>
      <w:proofErr w:type="gramEnd"/>
      <w:r>
        <w:rPr>
          <w:rFonts w:ascii="黑体" w:eastAsia="黑体" w:hAnsi="黑体" w:hint="eastAsia"/>
          <w:sz w:val="30"/>
          <w:szCs w:val="30"/>
        </w:rPr>
        <w:t>简称</w:t>
      </w:r>
    </w:p>
    <w:p w14:paraId="572DADDD" w14:textId="77777777" w:rsidR="00D708EF" w:rsidRDefault="00D708EF"/>
    <w:p w14:paraId="0E73DF4A" w14:textId="77777777" w:rsidR="00D708EF" w:rsidRDefault="0008024D">
      <w:pPr>
        <w:spacing w:line="360" w:lineRule="auto"/>
        <w:ind w:firstLineChars="200" w:firstLine="600"/>
        <w:jc w:val="left"/>
        <w:rPr>
          <w:rFonts w:ascii="仿宋_GB2312" w:eastAsia="仿宋_GB2312" w:hAnsi="Times New Roman" w:cs="Times New Roman"/>
          <w:kern w:val="0"/>
          <w:sz w:val="30"/>
          <w:szCs w:val="30"/>
        </w:rPr>
      </w:pPr>
      <w:r>
        <w:rPr>
          <w:rFonts w:ascii="仿宋_GB2312" w:eastAsia="仿宋_GB2312" w:hAnsi="Times New Roman" w:cs="Times New Roman" w:hint="eastAsia"/>
          <w:kern w:val="0"/>
          <w:sz w:val="30"/>
          <w:szCs w:val="30"/>
        </w:rPr>
        <w:t>第一条 为规范</w:t>
      </w:r>
      <w:proofErr w:type="gramStart"/>
      <w:r>
        <w:rPr>
          <w:rFonts w:ascii="仿宋_GB2312" w:eastAsia="仿宋_GB2312" w:hAnsi="Times New Roman" w:cs="Times New Roman" w:hint="eastAsia"/>
          <w:kern w:val="0"/>
          <w:sz w:val="30"/>
          <w:szCs w:val="30"/>
        </w:rPr>
        <w:t>扩位证券</w:t>
      </w:r>
      <w:proofErr w:type="gramEnd"/>
      <w:r>
        <w:rPr>
          <w:rFonts w:ascii="仿宋_GB2312" w:eastAsia="仿宋_GB2312" w:hAnsi="Times New Roman" w:cs="Times New Roman" w:hint="eastAsia"/>
          <w:kern w:val="0"/>
          <w:sz w:val="30"/>
          <w:szCs w:val="30"/>
        </w:rPr>
        <w:t>简称的使用，便于市场主体理解扩</w:t>
      </w:r>
      <w:proofErr w:type="gramStart"/>
      <w:r>
        <w:rPr>
          <w:rFonts w:ascii="仿宋_GB2312" w:eastAsia="仿宋_GB2312" w:hAnsi="Times New Roman" w:cs="Times New Roman" w:hint="eastAsia"/>
          <w:kern w:val="0"/>
          <w:sz w:val="30"/>
          <w:szCs w:val="30"/>
        </w:rPr>
        <w:t>位证券</w:t>
      </w:r>
      <w:proofErr w:type="gramEnd"/>
      <w:r>
        <w:rPr>
          <w:rFonts w:ascii="仿宋_GB2312" w:eastAsia="仿宋_GB2312" w:hAnsi="Times New Roman" w:cs="Times New Roman" w:hint="eastAsia"/>
          <w:kern w:val="0"/>
          <w:sz w:val="30"/>
          <w:szCs w:val="30"/>
        </w:rPr>
        <w:t>简称含义及功能，制定本指南。</w:t>
      </w:r>
    </w:p>
    <w:p w14:paraId="0E49D1DC" w14:textId="77777777" w:rsidR="00D708EF" w:rsidRDefault="0008024D">
      <w:pPr>
        <w:spacing w:line="360" w:lineRule="auto"/>
        <w:ind w:firstLineChars="200" w:firstLine="600"/>
        <w:jc w:val="left"/>
        <w:rPr>
          <w:rFonts w:ascii="仿宋_GB2312" w:eastAsia="仿宋_GB2312" w:hAnsi="Times New Roman" w:cs="Times New Roman"/>
          <w:kern w:val="0"/>
          <w:sz w:val="30"/>
          <w:szCs w:val="30"/>
        </w:rPr>
      </w:pPr>
      <w:r>
        <w:rPr>
          <w:rFonts w:ascii="仿宋_GB2312" w:eastAsia="仿宋_GB2312" w:hAnsi="Times New Roman" w:cs="Times New Roman" w:hint="eastAsia"/>
          <w:kern w:val="0"/>
          <w:sz w:val="30"/>
          <w:szCs w:val="30"/>
        </w:rPr>
        <w:t>第二条 本所在保留现有证券简称的基础上，为</w:t>
      </w:r>
      <w:r w:rsidR="00170AB0">
        <w:rPr>
          <w:rFonts w:ascii="仿宋_GB2312" w:eastAsia="仿宋_GB2312" w:hAnsi="Times New Roman" w:cs="Times New Roman" w:hint="eastAsia"/>
          <w:kern w:val="0"/>
          <w:sz w:val="30"/>
          <w:szCs w:val="30"/>
        </w:rPr>
        <w:t>在本所上市的</w:t>
      </w:r>
      <w:r>
        <w:rPr>
          <w:rFonts w:ascii="仿宋_GB2312" w:eastAsia="仿宋_GB2312" w:hAnsi="Times New Roman" w:cs="Times New Roman" w:hint="eastAsia"/>
          <w:kern w:val="0"/>
          <w:sz w:val="30"/>
          <w:szCs w:val="30"/>
        </w:rPr>
        <w:t>股票、存托凭证、债券、基金</w:t>
      </w:r>
      <w:r w:rsidR="007A68A3">
        <w:rPr>
          <w:rFonts w:ascii="仿宋_GB2312" w:eastAsia="仿宋_GB2312" w:hAnsi="Times New Roman" w:cs="Times New Roman" w:hint="eastAsia"/>
          <w:kern w:val="0"/>
          <w:sz w:val="30"/>
          <w:szCs w:val="30"/>
        </w:rPr>
        <w:t>及</w:t>
      </w:r>
      <w:r w:rsidR="007A68A3" w:rsidRPr="007A68A3">
        <w:rPr>
          <w:rFonts w:ascii="仿宋_GB2312" w:eastAsia="仿宋_GB2312" w:hAnsi="Times New Roman" w:cs="Times New Roman" w:hint="eastAsia"/>
          <w:kern w:val="0"/>
          <w:sz w:val="30"/>
          <w:szCs w:val="30"/>
        </w:rPr>
        <w:t>公开募集基础设施证券投资基金（REITs）</w:t>
      </w:r>
      <w:r>
        <w:rPr>
          <w:rFonts w:ascii="仿宋_GB2312" w:eastAsia="仿宋_GB2312" w:hAnsi="Times New Roman" w:cs="Times New Roman" w:hint="eastAsia"/>
          <w:kern w:val="0"/>
          <w:sz w:val="30"/>
          <w:szCs w:val="30"/>
        </w:rPr>
        <w:t>提供</w:t>
      </w:r>
      <w:proofErr w:type="gramStart"/>
      <w:r>
        <w:rPr>
          <w:rFonts w:ascii="仿宋_GB2312" w:eastAsia="仿宋_GB2312" w:hAnsi="Times New Roman" w:cs="Times New Roman" w:hint="eastAsia"/>
          <w:kern w:val="0"/>
          <w:sz w:val="30"/>
          <w:szCs w:val="30"/>
        </w:rPr>
        <w:t>扩位证券</w:t>
      </w:r>
      <w:proofErr w:type="gramEnd"/>
      <w:r>
        <w:rPr>
          <w:rFonts w:ascii="仿宋_GB2312" w:eastAsia="仿宋_GB2312" w:hAnsi="Times New Roman" w:cs="Times New Roman" w:hint="eastAsia"/>
          <w:kern w:val="0"/>
          <w:sz w:val="30"/>
          <w:szCs w:val="30"/>
        </w:rPr>
        <w:t xml:space="preserve">简称。 </w:t>
      </w:r>
    </w:p>
    <w:p w14:paraId="41048C56" w14:textId="5F63B93B" w:rsidR="00D708EF" w:rsidRDefault="00852638">
      <w:pPr>
        <w:spacing w:line="360" w:lineRule="auto"/>
        <w:ind w:firstLineChars="200" w:firstLine="600"/>
        <w:jc w:val="left"/>
        <w:rPr>
          <w:rFonts w:ascii="仿宋_GB2312" w:eastAsia="仿宋_GB2312" w:hAnsi="Times New Roman" w:cs="Times New Roman"/>
          <w:kern w:val="0"/>
          <w:sz w:val="30"/>
          <w:szCs w:val="30"/>
        </w:rPr>
      </w:pPr>
      <w:proofErr w:type="gramStart"/>
      <w:r>
        <w:rPr>
          <w:rFonts w:ascii="仿宋_GB2312" w:eastAsia="仿宋_GB2312" w:hAnsi="Times New Roman" w:cs="Times New Roman" w:hint="eastAsia"/>
          <w:kern w:val="0"/>
          <w:sz w:val="30"/>
          <w:szCs w:val="30"/>
        </w:rPr>
        <w:t>扩位证券</w:t>
      </w:r>
      <w:proofErr w:type="gramEnd"/>
      <w:r>
        <w:rPr>
          <w:rFonts w:ascii="仿宋_GB2312" w:eastAsia="仿宋_GB2312" w:hAnsi="Times New Roman" w:cs="Times New Roman" w:hint="eastAsia"/>
          <w:kern w:val="0"/>
          <w:sz w:val="30"/>
          <w:szCs w:val="30"/>
        </w:rPr>
        <w:t>简称</w:t>
      </w:r>
      <w:r w:rsidR="008E40CD">
        <w:rPr>
          <w:rFonts w:ascii="仿宋_GB2312" w:eastAsia="仿宋_GB2312" w:hAnsi="Times New Roman" w:cs="Times New Roman" w:hint="eastAsia"/>
          <w:kern w:val="0"/>
          <w:sz w:val="30"/>
          <w:szCs w:val="30"/>
        </w:rPr>
        <w:t>是</w:t>
      </w:r>
      <w:r w:rsidR="00FA2797">
        <w:rPr>
          <w:rFonts w:ascii="仿宋_GB2312" w:eastAsia="仿宋_GB2312" w:hAnsi="Times New Roman" w:cs="Times New Roman" w:hint="eastAsia"/>
          <w:kern w:val="0"/>
          <w:sz w:val="30"/>
          <w:szCs w:val="30"/>
        </w:rPr>
        <w:t>指用于标记相应证券的简称，其</w:t>
      </w:r>
      <w:r>
        <w:rPr>
          <w:rFonts w:ascii="仿宋_GB2312" w:eastAsia="仿宋_GB2312" w:hAnsi="Times New Roman" w:cs="Times New Roman" w:hint="eastAsia"/>
          <w:kern w:val="0"/>
          <w:sz w:val="30"/>
          <w:szCs w:val="30"/>
        </w:rPr>
        <w:t>使用</w:t>
      </w:r>
      <w:r w:rsidR="008E40CD">
        <w:rPr>
          <w:rFonts w:ascii="仿宋_GB2312" w:eastAsia="仿宋_GB2312" w:hAnsi="Times New Roman" w:cs="Times New Roman" w:hint="eastAsia"/>
          <w:kern w:val="0"/>
          <w:sz w:val="30"/>
          <w:szCs w:val="30"/>
        </w:rPr>
        <w:t>的字符数</w:t>
      </w:r>
      <w:r w:rsidR="005455A0">
        <w:rPr>
          <w:rFonts w:ascii="仿宋_GB2312" w:eastAsia="仿宋_GB2312" w:hAnsi="Times New Roman" w:cs="Times New Roman" w:hint="eastAsia"/>
          <w:kern w:val="0"/>
          <w:sz w:val="30"/>
          <w:szCs w:val="30"/>
        </w:rPr>
        <w:t>不少于</w:t>
      </w:r>
      <w:r>
        <w:rPr>
          <w:rFonts w:ascii="仿宋_GB2312" w:eastAsia="仿宋_GB2312" w:hAnsi="Times New Roman" w:cs="Times New Roman" w:hint="eastAsia"/>
          <w:kern w:val="0"/>
          <w:sz w:val="30"/>
          <w:szCs w:val="30"/>
        </w:rPr>
        <w:t>现有证券简称</w:t>
      </w:r>
      <w:r w:rsidR="0008024D">
        <w:rPr>
          <w:rFonts w:ascii="仿宋_GB2312" w:eastAsia="仿宋_GB2312" w:hAnsi="Times New Roman" w:cs="Times New Roman" w:hint="eastAsia"/>
          <w:kern w:val="0"/>
          <w:sz w:val="30"/>
          <w:szCs w:val="30"/>
        </w:rPr>
        <w:t>。</w:t>
      </w:r>
    </w:p>
    <w:p w14:paraId="6688878C" w14:textId="77777777" w:rsidR="00172B03" w:rsidRDefault="0008024D">
      <w:pPr>
        <w:snapToGrid w:val="0"/>
        <w:spacing w:line="560" w:lineRule="exact"/>
        <w:ind w:firstLineChars="200" w:firstLine="600"/>
        <w:rPr>
          <w:rFonts w:ascii="仿宋_GB2312" w:eastAsia="仿宋_GB2312" w:hAnsi="Times New Roman" w:cs="Times New Roman"/>
          <w:kern w:val="0"/>
          <w:sz w:val="30"/>
          <w:szCs w:val="30"/>
        </w:rPr>
      </w:pPr>
      <w:r>
        <w:rPr>
          <w:rFonts w:ascii="仿宋_GB2312" w:eastAsia="仿宋_GB2312" w:hAnsi="宋体" w:cs="Times New Roman" w:hint="eastAsia"/>
          <w:sz w:val="30"/>
          <w:szCs w:val="30"/>
        </w:rPr>
        <w:t>第</w:t>
      </w:r>
      <w:r w:rsidR="007B7CED">
        <w:rPr>
          <w:rFonts w:ascii="仿宋_GB2312" w:eastAsia="仿宋_GB2312" w:hAnsi="宋体" w:cs="Times New Roman" w:hint="eastAsia"/>
          <w:sz w:val="30"/>
          <w:szCs w:val="30"/>
        </w:rPr>
        <w:t>三</w:t>
      </w:r>
      <w:r>
        <w:rPr>
          <w:rFonts w:ascii="仿宋_GB2312" w:eastAsia="仿宋_GB2312" w:hAnsi="宋体" w:cs="Times New Roman" w:hint="eastAsia"/>
          <w:sz w:val="30"/>
          <w:szCs w:val="30"/>
        </w:rPr>
        <w:t>条</w:t>
      </w:r>
      <w:r w:rsidR="008D5DE6">
        <w:rPr>
          <w:rFonts w:ascii="仿宋_GB2312" w:eastAsia="仿宋_GB2312" w:hAnsi="宋体" w:cs="Times New Roman" w:hint="eastAsia"/>
          <w:sz w:val="30"/>
          <w:szCs w:val="30"/>
        </w:rPr>
        <w:t xml:space="preserve"> </w:t>
      </w:r>
      <w:proofErr w:type="gramStart"/>
      <w:r w:rsidR="000E5484">
        <w:rPr>
          <w:rFonts w:ascii="仿宋_GB2312" w:eastAsia="仿宋_GB2312" w:hAnsi="Times New Roman" w:cs="Times New Roman" w:hint="eastAsia"/>
          <w:kern w:val="0"/>
          <w:sz w:val="30"/>
          <w:szCs w:val="30"/>
        </w:rPr>
        <w:t>扩位</w:t>
      </w:r>
      <w:r w:rsidR="003224AF" w:rsidRPr="003224AF">
        <w:rPr>
          <w:rFonts w:ascii="仿宋_GB2312" w:eastAsia="仿宋_GB2312" w:hAnsi="Times New Roman" w:cs="Times New Roman" w:hint="eastAsia"/>
          <w:kern w:val="0"/>
          <w:sz w:val="30"/>
          <w:szCs w:val="30"/>
        </w:rPr>
        <w:t>证券</w:t>
      </w:r>
      <w:proofErr w:type="gramEnd"/>
      <w:r w:rsidR="000E5484">
        <w:rPr>
          <w:rFonts w:ascii="仿宋_GB2312" w:eastAsia="仿宋_GB2312" w:hAnsi="Times New Roman" w:cs="Times New Roman" w:hint="eastAsia"/>
          <w:kern w:val="0"/>
          <w:sz w:val="30"/>
          <w:szCs w:val="30"/>
        </w:rPr>
        <w:t>简称最长不超过</w:t>
      </w:r>
      <w:r>
        <w:rPr>
          <w:rFonts w:ascii="仿宋_GB2312" w:eastAsia="仿宋_GB2312" w:hAnsi="Times New Roman" w:cs="Times New Roman" w:hint="eastAsia"/>
          <w:kern w:val="0"/>
          <w:sz w:val="30"/>
          <w:szCs w:val="30"/>
        </w:rPr>
        <w:t>15个汉字（30个字符）</w:t>
      </w:r>
      <w:r w:rsidR="007A68A3" w:rsidRPr="007A68A3">
        <w:rPr>
          <w:rFonts w:ascii="仿宋_GB2312" w:eastAsia="仿宋_GB2312" w:hAnsi="Times New Roman" w:cs="Times New Roman" w:hint="eastAsia"/>
          <w:kern w:val="0"/>
          <w:sz w:val="30"/>
          <w:szCs w:val="30"/>
        </w:rPr>
        <w:t>，本所另有规定的除外</w:t>
      </w:r>
      <w:r w:rsidR="00172B03">
        <w:rPr>
          <w:rFonts w:ascii="仿宋_GB2312" w:eastAsia="仿宋_GB2312" w:hAnsi="Times New Roman" w:cs="Times New Roman" w:hint="eastAsia"/>
          <w:kern w:val="0"/>
          <w:sz w:val="30"/>
          <w:szCs w:val="30"/>
        </w:rPr>
        <w:t>。</w:t>
      </w:r>
    </w:p>
    <w:p w14:paraId="1EC4EA91" w14:textId="77777777" w:rsidR="00D708EF" w:rsidRDefault="00172B03">
      <w:pPr>
        <w:snapToGrid w:val="0"/>
        <w:spacing w:line="560" w:lineRule="exact"/>
        <w:ind w:firstLineChars="200" w:firstLine="600"/>
        <w:rPr>
          <w:rFonts w:ascii="仿宋_GB2312" w:eastAsia="仿宋_GB2312" w:hAnsi="Times New Roman" w:cs="Times New Roman"/>
          <w:kern w:val="0"/>
          <w:sz w:val="30"/>
          <w:szCs w:val="30"/>
        </w:rPr>
      </w:pPr>
      <w:r>
        <w:rPr>
          <w:rFonts w:ascii="仿宋_GB2312" w:eastAsia="仿宋_GB2312" w:hAnsi="Times New Roman" w:cs="Times New Roman" w:hint="eastAsia"/>
          <w:kern w:val="0"/>
          <w:sz w:val="30"/>
          <w:szCs w:val="30"/>
        </w:rPr>
        <w:t>发行人</w:t>
      </w:r>
      <w:r w:rsidR="00BB3E4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应当预留</w:t>
      </w:r>
      <w:r>
        <w:rPr>
          <w:rFonts w:ascii="仿宋_GB2312" w:eastAsia="仿宋_GB2312" w:hAnsi="Times New Roman" w:cs="Times New Roman" w:hint="eastAsia"/>
          <w:kern w:val="0"/>
          <w:sz w:val="30"/>
          <w:szCs w:val="30"/>
        </w:rPr>
        <w:t>充足</w:t>
      </w:r>
      <w:r w:rsidR="00BB3E4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字符用于</w:t>
      </w:r>
      <w:r w:rsidR="000D396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设置</w:t>
      </w:r>
      <w:r w:rsidR="00BB3E4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证券</w:t>
      </w:r>
      <w:r w:rsidR="00E07A69">
        <w:rPr>
          <w:rFonts w:ascii="仿宋_GB2312" w:eastAsia="仿宋_GB2312" w:hAnsi="Times New Roman" w:cs="Times New Roman" w:hint="eastAsia"/>
          <w:kern w:val="0"/>
          <w:sz w:val="30"/>
          <w:szCs w:val="30"/>
        </w:rPr>
        <w:t>特殊</w:t>
      </w:r>
      <w:r w:rsidR="00BB3E4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标识</w:t>
      </w:r>
      <w:r>
        <w:rPr>
          <w:rFonts w:ascii="仿宋_GB2312" w:eastAsia="仿宋_GB2312" w:hAnsi="Times New Roman" w:cs="Times New Roman" w:hint="eastAsia"/>
          <w:kern w:val="0"/>
          <w:sz w:val="30"/>
          <w:szCs w:val="30"/>
        </w:rPr>
        <w:t>，</w:t>
      </w:r>
      <w:r w:rsidR="0008024D">
        <w:rPr>
          <w:rFonts w:ascii="仿宋_GB2312" w:eastAsia="仿宋_GB2312" w:hAnsi="Times New Roman" w:cs="Times New Roman" w:hint="eastAsia"/>
          <w:kern w:val="0"/>
          <w:sz w:val="30"/>
          <w:szCs w:val="30"/>
        </w:rPr>
        <w:t>基金管理</w:t>
      </w:r>
      <w:r w:rsidR="008D5DE6">
        <w:rPr>
          <w:rFonts w:ascii="仿宋_GB2312" w:eastAsia="仿宋_GB2312" w:hAnsi="Times New Roman" w:cs="Times New Roman" w:hint="eastAsia"/>
          <w:kern w:val="0"/>
          <w:sz w:val="30"/>
          <w:szCs w:val="30"/>
        </w:rPr>
        <w:t>人</w:t>
      </w:r>
      <w:r w:rsidR="0008024D">
        <w:rPr>
          <w:rFonts w:ascii="仿宋_GB2312" w:eastAsia="仿宋_GB2312" w:hAnsi="Times New Roman" w:cs="Times New Roman" w:hint="eastAsia"/>
          <w:kern w:val="0"/>
          <w:sz w:val="30"/>
          <w:szCs w:val="30"/>
        </w:rPr>
        <w:t>应</w:t>
      </w:r>
      <w:r w:rsidR="0076415B">
        <w:rPr>
          <w:rFonts w:ascii="仿宋_GB2312" w:eastAsia="仿宋_GB2312" w:hAnsi="Times New Roman" w:cs="Times New Roman" w:hint="eastAsia"/>
          <w:kern w:val="0"/>
          <w:sz w:val="30"/>
          <w:szCs w:val="30"/>
        </w:rPr>
        <w:t>当</w:t>
      </w:r>
      <w:r w:rsidR="0008024D">
        <w:rPr>
          <w:rFonts w:ascii="仿宋_GB2312" w:eastAsia="仿宋_GB2312" w:hAnsi="Times New Roman" w:cs="Times New Roman" w:hint="eastAsia"/>
          <w:kern w:val="0"/>
          <w:sz w:val="30"/>
          <w:szCs w:val="30"/>
        </w:rPr>
        <w:t>预留</w:t>
      </w:r>
      <w:r w:rsidR="000D396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至少</w:t>
      </w:r>
      <w:r w:rsidR="0008024D">
        <w:rPr>
          <w:rFonts w:ascii="仿宋_GB2312" w:eastAsia="仿宋_GB2312" w:hAnsi="Times New Roman" w:cs="Times New Roman" w:hint="eastAsia"/>
          <w:kern w:val="0"/>
          <w:sz w:val="30"/>
          <w:szCs w:val="30"/>
        </w:rPr>
        <w:t>2个字符用于设置证券特殊标识。</w:t>
      </w:r>
    </w:p>
    <w:p w14:paraId="036774F3" w14:textId="27FE4EB6" w:rsidR="00D708EF" w:rsidRDefault="0008024D">
      <w:pPr>
        <w:spacing w:line="360" w:lineRule="auto"/>
        <w:ind w:firstLineChars="200" w:firstLine="600"/>
        <w:jc w:val="left"/>
        <w:rPr>
          <w:rFonts w:ascii="仿宋_GB2312" w:eastAsia="仿宋_GB2312" w:hAnsi="Times New Roman" w:cs="Times New Roman"/>
          <w:kern w:val="0"/>
          <w:sz w:val="30"/>
          <w:szCs w:val="30"/>
        </w:rPr>
      </w:pPr>
      <w:r>
        <w:rPr>
          <w:rFonts w:ascii="仿宋_GB2312" w:eastAsia="仿宋_GB2312" w:hAnsi="Times New Roman" w:cs="Times New Roman" w:hint="eastAsia"/>
          <w:kern w:val="0"/>
          <w:sz w:val="30"/>
          <w:szCs w:val="30"/>
        </w:rPr>
        <w:t>第</w:t>
      </w:r>
      <w:r w:rsidR="007B7CED">
        <w:rPr>
          <w:rFonts w:ascii="仿宋_GB2312" w:eastAsia="仿宋_GB2312" w:hAnsi="Times New Roman" w:cs="Times New Roman" w:hint="eastAsia"/>
          <w:kern w:val="0"/>
          <w:sz w:val="30"/>
          <w:szCs w:val="30"/>
        </w:rPr>
        <w:t>四</w:t>
      </w:r>
      <w:r>
        <w:rPr>
          <w:rFonts w:ascii="仿宋_GB2312" w:eastAsia="仿宋_GB2312" w:hAnsi="Times New Roman" w:cs="Times New Roman" w:hint="eastAsia"/>
          <w:kern w:val="0"/>
          <w:sz w:val="30"/>
          <w:szCs w:val="30"/>
        </w:rPr>
        <w:t>条</w:t>
      </w:r>
      <w:r w:rsidR="00A64D82">
        <w:rPr>
          <w:rFonts w:ascii="仿宋_GB2312" w:eastAsia="仿宋_GB2312" w:hAnsi="Times New Roman" w:cs="Times New Roman" w:hint="eastAsia"/>
          <w:kern w:val="0"/>
          <w:sz w:val="30"/>
          <w:szCs w:val="30"/>
        </w:rPr>
        <w:t xml:space="preserve"> </w:t>
      </w:r>
      <w:proofErr w:type="gramStart"/>
      <w:r w:rsidR="0037388B" w:rsidRPr="0037388B">
        <w:rPr>
          <w:rFonts w:ascii="仿宋_GB2312" w:eastAsia="仿宋_GB2312" w:hAnsi="Times New Roman" w:cs="Times New Roman"/>
          <w:kern w:val="0"/>
          <w:sz w:val="30"/>
          <w:szCs w:val="30"/>
        </w:rPr>
        <w:t>扩位证券</w:t>
      </w:r>
      <w:proofErr w:type="gramEnd"/>
      <w:r w:rsidR="0037388B" w:rsidRPr="0037388B">
        <w:rPr>
          <w:rFonts w:ascii="仿宋_GB2312" w:eastAsia="仿宋_GB2312" w:hAnsi="Times New Roman" w:cs="Times New Roman"/>
          <w:kern w:val="0"/>
          <w:sz w:val="30"/>
          <w:szCs w:val="30"/>
        </w:rPr>
        <w:t>简称和证券简称</w:t>
      </w:r>
      <w:r w:rsidR="00255C3B">
        <w:rPr>
          <w:rFonts w:ascii="仿宋_GB2312" w:eastAsia="仿宋_GB2312" w:hAnsi="Times New Roman" w:cs="Times New Roman"/>
          <w:kern w:val="0"/>
          <w:sz w:val="30"/>
          <w:szCs w:val="30"/>
        </w:rPr>
        <w:t>应</w:t>
      </w:r>
      <w:r w:rsidR="0037388B" w:rsidRPr="0037388B">
        <w:rPr>
          <w:rFonts w:ascii="仿宋_GB2312" w:eastAsia="仿宋_GB2312" w:hAnsi="Times New Roman" w:cs="Times New Roman"/>
          <w:kern w:val="0"/>
          <w:sz w:val="30"/>
          <w:szCs w:val="30"/>
        </w:rPr>
        <w:t>同步设置相同的证券特殊标识</w:t>
      </w:r>
      <w:r w:rsidR="005455A0">
        <w:rPr>
          <w:rFonts w:ascii="仿宋_GB2312" w:eastAsia="仿宋_GB2312" w:hAnsi="Times New Roman" w:cs="Times New Roman" w:hint="eastAsia"/>
          <w:kern w:val="0"/>
          <w:sz w:val="30"/>
          <w:szCs w:val="30"/>
        </w:rPr>
        <w:t>，本所另有规定的除外</w:t>
      </w:r>
      <w:r w:rsidR="008B099E">
        <w:rPr>
          <w:rFonts w:ascii="仿宋_GB2312" w:eastAsia="仿宋_GB2312" w:hAnsi="Times New Roman" w:cs="Times New Roman" w:hint="eastAsia"/>
          <w:kern w:val="0"/>
          <w:sz w:val="30"/>
          <w:szCs w:val="30"/>
        </w:rPr>
        <w:t>。</w:t>
      </w:r>
      <w:r w:rsidR="00B9768D">
        <w:rPr>
          <w:rFonts w:ascii="仿宋_GB2312" w:eastAsia="仿宋_GB2312" w:hAnsi="Times New Roman" w:cs="Times New Roman" w:hint="eastAsia"/>
          <w:kern w:val="0"/>
          <w:sz w:val="30"/>
          <w:szCs w:val="30"/>
        </w:rPr>
        <w:t>证券</w:t>
      </w:r>
      <w:r w:rsidR="00E07A69">
        <w:rPr>
          <w:rFonts w:ascii="仿宋_GB2312" w:eastAsia="仿宋_GB2312" w:hAnsi="Times New Roman" w:cs="Times New Roman" w:hint="eastAsia"/>
          <w:kern w:val="0"/>
          <w:sz w:val="30"/>
          <w:szCs w:val="30"/>
        </w:rPr>
        <w:t>特殊</w:t>
      </w:r>
      <w:r>
        <w:rPr>
          <w:rFonts w:ascii="仿宋_GB2312" w:eastAsia="仿宋_GB2312" w:hAnsi="Times New Roman" w:cs="Times New Roman" w:hint="eastAsia"/>
          <w:kern w:val="0"/>
          <w:sz w:val="30"/>
          <w:szCs w:val="30"/>
        </w:rPr>
        <w:t>标识及其含义适用《上海证券交易所证券交易业务指南第6号——证券特殊标识》。</w:t>
      </w:r>
    </w:p>
    <w:p w14:paraId="32FE5190" w14:textId="77777777" w:rsidR="00D708EF" w:rsidRDefault="0008024D">
      <w:pPr>
        <w:spacing w:line="360" w:lineRule="auto"/>
        <w:ind w:firstLineChars="200" w:firstLine="600"/>
        <w:jc w:val="left"/>
        <w:rPr>
          <w:rFonts w:ascii="仿宋_GB2312" w:eastAsia="仿宋_GB2312" w:hAnsi="Times New Roman" w:cs="Times New Roman"/>
          <w:kern w:val="0"/>
          <w:sz w:val="30"/>
          <w:szCs w:val="30"/>
          <w:highlight w:val="yellow"/>
        </w:rPr>
      </w:pPr>
      <w:r>
        <w:rPr>
          <w:rFonts w:ascii="仿宋_GB2312" w:eastAsia="仿宋_GB2312" w:hAnsi="Times New Roman" w:cs="Times New Roman" w:hint="eastAsia"/>
          <w:kern w:val="0"/>
          <w:sz w:val="30"/>
          <w:szCs w:val="30"/>
        </w:rPr>
        <w:t>第</w:t>
      </w:r>
      <w:r w:rsidR="007B7CED">
        <w:rPr>
          <w:rFonts w:ascii="仿宋_GB2312" w:eastAsia="仿宋_GB2312" w:hAnsi="Times New Roman" w:cs="Times New Roman" w:hint="eastAsia"/>
          <w:kern w:val="0"/>
          <w:sz w:val="30"/>
          <w:szCs w:val="30"/>
        </w:rPr>
        <w:t>五</w:t>
      </w:r>
      <w:r>
        <w:rPr>
          <w:rFonts w:ascii="仿宋_GB2312" w:eastAsia="仿宋_GB2312" w:hAnsi="Times New Roman" w:cs="Times New Roman" w:hint="eastAsia"/>
          <w:kern w:val="0"/>
          <w:sz w:val="30"/>
          <w:szCs w:val="30"/>
        </w:rPr>
        <w:t>条 本所在行情信息的产品信息文件及本所网站中同步展示</w:t>
      </w:r>
      <w:r w:rsidR="00136726">
        <w:rPr>
          <w:rFonts w:ascii="仿宋_GB2312" w:eastAsia="仿宋_GB2312" w:hAnsi="Times New Roman" w:cs="Times New Roman" w:hint="eastAsia"/>
          <w:kern w:val="0"/>
          <w:sz w:val="30"/>
          <w:szCs w:val="30"/>
        </w:rPr>
        <w:t>证券简称和</w:t>
      </w:r>
      <w:proofErr w:type="gramStart"/>
      <w:r>
        <w:rPr>
          <w:rFonts w:ascii="仿宋_GB2312" w:eastAsia="仿宋_GB2312" w:hAnsi="Times New Roman" w:cs="Times New Roman" w:hint="eastAsia"/>
          <w:kern w:val="0"/>
          <w:sz w:val="30"/>
          <w:szCs w:val="30"/>
        </w:rPr>
        <w:t>扩位</w:t>
      </w:r>
      <w:proofErr w:type="gramEnd"/>
      <w:r>
        <w:rPr>
          <w:rFonts w:ascii="仿宋_GB2312" w:eastAsia="仿宋_GB2312" w:hAnsi="Times New Roman" w:cs="Times New Roman" w:hint="eastAsia"/>
          <w:kern w:val="0"/>
          <w:sz w:val="30"/>
          <w:szCs w:val="30"/>
        </w:rPr>
        <w:t>证券简称，会员、行情</w:t>
      </w:r>
      <w:r w:rsidR="00172B03">
        <w:rPr>
          <w:rFonts w:ascii="仿宋_GB2312" w:eastAsia="仿宋_GB2312" w:hAnsi="Times New Roman" w:cs="Times New Roman" w:hint="eastAsia"/>
          <w:kern w:val="0"/>
          <w:sz w:val="30"/>
          <w:szCs w:val="30"/>
        </w:rPr>
        <w:t>信息供应</w:t>
      </w:r>
      <w:r>
        <w:rPr>
          <w:rFonts w:ascii="仿宋_GB2312" w:eastAsia="仿宋_GB2312" w:hAnsi="Times New Roman" w:cs="Times New Roman" w:hint="eastAsia"/>
          <w:kern w:val="0"/>
          <w:sz w:val="30"/>
          <w:szCs w:val="30"/>
        </w:rPr>
        <w:t>商及其他市场机构可</w:t>
      </w:r>
      <w:r w:rsidR="00CF6F99">
        <w:rPr>
          <w:rFonts w:ascii="仿宋_GB2312" w:eastAsia="仿宋_GB2312" w:hAnsi="Times New Roman" w:cs="Times New Roman" w:hint="eastAsia"/>
          <w:kern w:val="0"/>
          <w:sz w:val="30"/>
          <w:szCs w:val="30"/>
        </w:rPr>
        <w:t>增加</w:t>
      </w:r>
      <w:r>
        <w:rPr>
          <w:rFonts w:ascii="仿宋_GB2312" w:eastAsia="仿宋_GB2312" w:hAnsi="Times New Roman" w:cs="Times New Roman" w:hint="eastAsia"/>
          <w:kern w:val="0"/>
          <w:sz w:val="30"/>
          <w:szCs w:val="30"/>
        </w:rPr>
        <w:t>展示</w:t>
      </w:r>
      <w:proofErr w:type="gramStart"/>
      <w:r w:rsidR="00F038A5">
        <w:rPr>
          <w:rFonts w:ascii="仿宋_GB2312" w:eastAsia="仿宋_GB2312" w:hAnsi="Times New Roman" w:cs="Times New Roman" w:hint="eastAsia"/>
          <w:kern w:val="0"/>
          <w:sz w:val="30"/>
          <w:szCs w:val="30"/>
        </w:rPr>
        <w:t>扩位证券</w:t>
      </w:r>
      <w:proofErr w:type="gramEnd"/>
      <w:r w:rsidR="00F038A5">
        <w:rPr>
          <w:rFonts w:ascii="仿宋_GB2312" w:eastAsia="仿宋_GB2312" w:hAnsi="Times New Roman" w:cs="Times New Roman" w:hint="eastAsia"/>
          <w:kern w:val="0"/>
          <w:sz w:val="30"/>
          <w:szCs w:val="30"/>
        </w:rPr>
        <w:t>简称</w:t>
      </w:r>
      <w:r w:rsidR="00CF6F99">
        <w:rPr>
          <w:rFonts w:ascii="仿宋_GB2312" w:eastAsia="仿宋_GB2312" w:hAnsi="Times New Roman" w:cs="Times New Roman" w:hint="eastAsia"/>
          <w:kern w:val="0"/>
          <w:sz w:val="30"/>
          <w:szCs w:val="30"/>
        </w:rPr>
        <w:t>，本所另有规定的除外</w:t>
      </w:r>
      <w:r>
        <w:rPr>
          <w:rFonts w:ascii="仿宋_GB2312" w:eastAsia="仿宋_GB2312" w:hAnsi="Times New Roman" w:cs="Times New Roman" w:hint="eastAsia"/>
          <w:kern w:val="0"/>
          <w:sz w:val="30"/>
          <w:szCs w:val="30"/>
        </w:rPr>
        <w:t>。</w:t>
      </w:r>
    </w:p>
    <w:p w14:paraId="618BDF7F" w14:textId="77777777" w:rsidR="00D708EF" w:rsidRDefault="00B9768D">
      <w:pPr>
        <w:spacing w:line="360" w:lineRule="auto"/>
        <w:ind w:firstLineChars="200" w:firstLine="600"/>
        <w:jc w:val="left"/>
        <w:rPr>
          <w:rFonts w:ascii="仿宋_GB2312" w:eastAsia="仿宋_GB2312" w:hAnsi="Times New Roman" w:cs="Times New Roman"/>
          <w:kern w:val="0"/>
          <w:sz w:val="30"/>
          <w:szCs w:val="30"/>
          <w:highlight w:val="yellow"/>
        </w:rPr>
      </w:pPr>
      <w:r>
        <w:rPr>
          <w:rFonts w:ascii="仿宋_GB2312" w:eastAsia="仿宋_GB2312" w:hAnsi="宋体" w:cs="Times New Roman" w:hint="eastAsia"/>
          <w:sz w:val="30"/>
          <w:szCs w:val="30"/>
        </w:rPr>
        <w:t>发行人</w:t>
      </w:r>
      <w:r w:rsidR="0008024D">
        <w:rPr>
          <w:rFonts w:ascii="仿宋_GB2312" w:eastAsia="仿宋_GB2312" w:hAnsi="宋体" w:cs="Times New Roman"/>
          <w:sz w:val="30"/>
          <w:szCs w:val="30"/>
        </w:rPr>
        <w:t>按现有规定</w:t>
      </w:r>
      <w:r w:rsidR="00B74B51">
        <w:rPr>
          <w:rFonts w:ascii="仿宋_GB2312" w:eastAsia="仿宋_GB2312" w:hAnsi="宋体" w:cs="Times New Roman" w:hint="eastAsia"/>
          <w:sz w:val="30"/>
          <w:szCs w:val="30"/>
        </w:rPr>
        <w:t>在</w:t>
      </w:r>
      <w:r w:rsidR="00B74B51">
        <w:rPr>
          <w:rFonts w:ascii="仿宋_GB2312" w:eastAsia="仿宋_GB2312" w:hAnsi="宋体" w:cs="Times New Roman"/>
          <w:sz w:val="30"/>
          <w:szCs w:val="30"/>
        </w:rPr>
        <w:t>信息披露文件</w:t>
      </w:r>
      <w:r w:rsidR="00B74B51">
        <w:rPr>
          <w:rFonts w:ascii="仿宋_GB2312" w:eastAsia="仿宋_GB2312" w:hAnsi="宋体" w:cs="Times New Roman" w:hint="eastAsia"/>
          <w:sz w:val="30"/>
          <w:szCs w:val="30"/>
        </w:rPr>
        <w:t>中</w:t>
      </w:r>
      <w:r w:rsidR="0008024D">
        <w:rPr>
          <w:rFonts w:ascii="仿宋_GB2312" w:eastAsia="仿宋_GB2312" w:hAnsi="宋体" w:cs="Times New Roman"/>
          <w:sz w:val="30"/>
          <w:szCs w:val="30"/>
        </w:rPr>
        <w:t>展示证券简称</w:t>
      </w:r>
      <w:r w:rsidR="0008024D">
        <w:rPr>
          <w:rFonts w:ascii="仿宋_GB2312" w:eastAsia="仿宋_GB2312" w:hAnsi="宋体" w:cs="Times New Roman" w:hint="eastAsia"/>
          <w:sz w:val="30"/>
          <w:szCs w:val="30"/>
        </w:rPr>
        <w:t>，无须展示</w:t>
      </w:r>
      <w:proofErr w:type="gramStart"/>
      <w:r w:rsidR="0008024D">
        <w:rPr>
          <w:rFonts w:ascii="仿宋_GB2312" w:eastAsia="仿宋_GB2312" w:hAnsi="宋体" w:cs="Times New Roman" w:hint="eastAsia"/>
          <w:sz w:val="30"/>
          <w:szCs w:val="30"/>
        </w:rPr>
        <w:t>扩位证券</w:t>
      </w:r>
      <w:proofErr w:type="gramEnd"/>
      <w:r w:rsidR="0008024D">
        <w:rPr>
          <w:rFonts w:ascii="仿宋_GB2312" w:eastAsia="仿宋_GB2312" w:hAnsi="宋体" w:cs="Times New Roman" w:hint="eastAsia"/>
          <w:sz w:val="30"/>
          <w:szCs w:val="30"/>
        </w:rPr>
        <w:t>简称</w:t>
      </w:r>
      <w:r w:rsidR="0008024D">
        <w:rPr>
          <w:rFonts w:ascii="仿宋_GB2312" w:eastAsia="仿宋_GB2312" w:hAnsi="宋体" w:cs="Times New Roman"/>
          <w:sz w:val="30"/>
          <w:szCs w:val="30"/>
        </w:rPr>
        <w:t>。</w:t>
      </w:r>
    </w:p>
    <w:p w14:paraId="4E09F157" w14:textId="77777777" w:rsidR="00D708EF" w:rsidRDefault="0008024D">
      <w:pPr>
        <w:snapToGrid w:val="0"/>
        <w:spacing w:line="560" w:lineRule="exact"/>
        <w:ind w:firstLineChars="200" w:firstLine="600"/>
        <w:rPr>
          <w:rFonts w:ascii="仿宋_GB2312" w:eastAsia="仿宋_GB2312" w:hAnsi="宋体" w:cs="Times New Roman"/>
          <w:sz w:val="30"/>
          <w:szCs w:val="30"/>
        </w:rPr>
      </w:pPr>
      <w:r>
        <w:rPr>
          <w:rFonts w:ascii="仿宋_GB2312" w:eastAsia="仿宋_GB2312" w:hAnsi="宋体" w:cs="Times New Roman" w:hint="eastAsia"/>
          <w:sz w:val="30"/>
          <w:szCs w:val="30"/>
        </w:rPr>
        <w:lastRenderedPageBreak/>
        <w:t>第</w:t>
      </w:r>
      <w:r w:rsidR="007B7CED">
        <w:rPr>
          <w:rFonts w:ascii="仿宋_GB2312" w:eastAsia="仿宋_GB2312" w:hAnsi="宋体" w:cs="Times New Roman" w:hint="eastAsia"/>
          <w:sz w:val="30"/>
          <w:szCs w:val="30"/>
        </w:rPr>
        <w:t>六</w:t>
      </w:r>
      <w:r>
        <w:rPr>
          <w:rFonts w:ascii="仿宋_GB2312" w:eastAsia="仿宋_GB2312" w:hAnsi="宋体" w:cs="Times New Roman" w:hint="eastAsia"/>
          <w:sz w:val="30"/>
          <w:szCs w:val="30"/>
        </w:rPr>
        <w:t>条</w:t>
      </w:r>
      <w:r w:rsidR="00513925">
        <w:rPr>
          <w:rFonts w:ascii="仿宋_GB2312" w:eastAsia="仿宋_GB2312" w:hAnsi="宋体" w:cs="Times New Roman" w:hint="eastAsia"/>
          <w:sz w:val="30"/>
          <w:szCs w:val="30"/>
        </w:rPr>
        <w:t xml:space="preserve"> </w:t>
      </w:r>
      <w:r w:rsidR="00B9768D">
        <w:rPr>
          <w:rFonts w:ascii="仿宋_GB2312" w:eastAsia="仿宋_GB2312" w:hAnsi="宋体" w:cs="Times New Roman" w:hint="eastAsia"/>
          <w:sz w:val="30"/>
          <w:szCs w:val="30"/>
        </w:rPr>
        <w:t>发行人</w:t>
      </w:r>
      <w:r w:rsidR="0039304F">
        <w:rPr>
          <w:rFonts w:ascii="仿宋_GB2312" w:eastAsia="仿宋_GB2312" w:hAnsi="宋体" w:cs="Times New Roman" w:hint="eastAsia"/>
          <w:sz w:val="30"/>
          <w:szCs w:val="30"/>
        </w:rPr>
        <w:t>、基金管理人</w:t>
      </w:r>
      <w:r w:rsidR="002A21AE">
        <w:rPr>
          <w:rFonts w:ascii="仿宋_GB2312" w:eastAsia="仿宋_GB2312" w:hAnsi="宋体" w:cs="Times New Roman" w:hint="eastAsia"/>
          <w:sz w:val="30"/>
          <w:szCs w:val="30"/>
        </w:rPr>
        <w:t>设置</w:t>
      </w:r>
      <w:proofErr w:type="gramStart"/>
      <w:r>
        <w:rPr>
          <w:rFonts w:ascii="仿宋_GB2312" w:eastAsia="仿宋_GB2312" w:hAnsi="宋体" w:cs="Times New Roman" w:hint="eastAsia"/>
          <w:sz w:val="30"/>
          <w:szCs w:val="30"/>
        </w:rPr>
        <w:t>扩位证券</w:t>
      </w:r>
      <w:proofErr w:type="gramEnd"/>
      <w:r>
        <w:rPr>
          <w:rFonts w:ascii="仿宋_GB2312" w:eastAsia="仿宋_GB2312" w:hAnsi="宋体" w:cs="Times New Roman" w:hint="eastAsia"/>
          <w:sz w:val="30"/>
          <w:szCs w:val="30"/>
        </w:rPr>
        <w:t>简称，不得存在以下情形：</w:t>
      </w:r>
    </w:p>
    <w:p w14:paraId="6E7C6727" w14:textId="77777777" w:rsidR="00D708EF" w:rsidRDefault="0008024D">
      <w:pPr>
        <w:snapToGrid w:val="0"/>
        <w:spacing w:line="560" w:lineRule="exact"/>
        <w:ind w:firstLineChars="200" w:firstLine="600"/>
        <w:rPr>
          <w:rFonts w:ascii="仿宋_GB2312" w:eastAsia="仿宋_GB2312" w:hAnsi="宋体" w:cs="Times New Roman"/>
          <w:sz w:val="30"/>
          <w:szCs w:val="30"/>
        </w:rPr>
      </w:pPr>
      <w:r>
        <w:rPr>
          <w:rFonts w:ascii="仿宋_GB2312" w:eastAsia="仿宋_GB2312" w:hAnsi="宋体" w:cs="Times New Roman" w:hint="eastAsia"/>
          <w:sz w:val="30"/>
          <w:szCs w:val="30"/>
        </w:rPr>
        <w:t>（一）与本所市场已使用的证券简称或者</w:t>
      </w:r>
      <w:proofErr w:type="gramStart"/>
      <w:r>
        <w:rPr>
          <w:rFonts w:ascii="仿宋_GB2312" w:eastAsia="仿宋_GB2312" w:hAnsi="宋体" w:cs="Times New Roman" w:hint="eastAsia"/>
          <w:sz w:val="30"/>
          <w:szCs w:val="30"/>
        </w:rPr>
        <w:t>扩位证券</w:t>
      </w:r>
      <w:proofErr w:type="gramEnd"/>
      <w:r>
        <w:rPr>
          <w:rFonts w:ascii="仿宋_GB2312" w:eastAsia="仿宋_GB2312" w:hAnsi="宋体" w:cs="Times New Roman" w:hint="eastAsia"/>
          <w:sz w:val="30"/>
          <w:szCs w:val="30"/>
        </w:rPr>
        <w:t>简称相同或高度相似、容易混淆;</w:t>
      </w:r>
    </w:p>
    <w:p w14:paraId="358E2720" w14:textId="77777777" w:rsidR="00D708EF" w:rsidRDefault="0008024D">
      <w:pPr>
        <w:snapToGrid w:val="0"/>
        <w:spacing w:line="560" w:lineRule="exact"/>
        <w:ind w:firstLineChars="200" w:firstLine="600"/>
        <w:rPr>
          <w:rFonts w:ascii="仿宋_GB2312" w:eastAsia="仿宋_GB2312" w:hAnsi="宋体" w:cs="Times New Roman"/>
          <w:sz w:val="30"/>
          <w:szCs w:val="30"/>
        </w:rPr>
      </w:pPr>
      <w:r>
        <w:rPr>
          <w:rFonts w:ascii="仿宋_GB2312" w:eastAsia="仿宋_GB2312" w:hAnsi="宋体" w:cs="Times New Roman" w:hint="eastAsia"/>
          <w:sz w:val="30"/>
          <w:szCs w:val="30"/>
        </w:rPr>
        <w:t>（二）使用与实际情况不符的区域性、行业性通用名词;</w:t>
      </w:r>
    </w:p>
    <w:p w14:paraId="297FB617" w14:textId="77777777" w:rsidR="00D708EF" w:rsidRDefault="0008024D">
      <w:pPr>
        <w:snapToGrid w:val="0"/>
        <w:spacing w:line="560" w:lineRule="exact"/>
        <w:ind w:firstLineChars="200" w:firstLine="600"/>
        <w:rPr>
          <w:rFonts w:ascii="仿宋_GB2312" w:eastAsia="仿宋_GB2312" w:hAnsi="宋体" w:cs="Times New Roman"/>
          <w:sz w:val="30"/>
          <w:szCs w:val="30"/>
        </w:rPr>
      </w:pPr>
      <w:r>
        <w:rPr>
          <w:rFonts w:ascii="仿宋_GB2312" w:eastAsia="仿宋_GB2312" w:hAnsi="宋体" w:cs="Times New Roman" w:hint="eastAsia"/>
          <w:sz w:val="30"/>
          <w:szCs w:val="30"/>
        </w:rPr>
        <w:t>（三）</w:t>
      </w:r>
      <w:r w:rsidR="006078B5">
        <w:rPr>
          <w:rFonts w:ascii="仿宋_GB2312" w:eastAsia="仿宋_GB2312" w:hAnsi="宋体" w:cs="Times New Roman" w:hint="eastAsia"/>
          <w:sz w:val="30"/>
          <w:szCs w:val="30"/>
        </w:rPr>
        <w:t>与自身业务或者品种特点无关，可能</w:t>
      </w:r>
      <w:r>
        <w:rPr>
          <w:rFonts w:ascii="仿宋_GB2312" w:eastAsia="仿宋_GB2312" w:hAnsi="宋体" w:cs="Times New Roman" w:hint="eastAsia"/>
          <w:sz w:val="30"/>
          <w:szCs w:val="30"/>
        </w:rPr>
        <w:t>误导投资者；</w:t>
      </w:r>
    </w:p>
    <w:p w14:paraId="2379646D" w14:textId="77777777" w:rsidR="00D708EF" w:rsidRDefault="0008024D">
      <w:pPr>
        <w:snapToGrid w:val="0"/>
        <w:spacing w:line="560" w:lineRule="exact"/>
        <w:ind w:firstLineChars="200" w:firstLine="600"/>
        <w:rPr>
          <w:rFonts w:ascii="仿宋_GB2312" w:eastAsia="仿宋_GB2312" w:hAnsi="宋体" w:cs="Times New Roman"/>
          <w:sz w:val="30"/>
          <w:szCs w:val="30"/>
        </w:rPr>
      </w:pPr>
      <w:r>
        <w:rPr>
          <w:rFonts w:ascii="仿宋_GB2312" w:eastAsia="仿宋_GB2312" w:hAnsi="宋体" w:cs="Times New Roman" w:hint="eastAsia"/>
          <w:sz w:val="30"/>
          <w:szCs w:val="30"/>
        </w:rPr>
        <w:t>（四）违反有关法律法规和本所相关规定的其他情形。</w:t>
      </w:r>
    </w:p>
    <w:p w14:paraId="030E7BCC" w14:textId="77777777" w:rsidR="0039304F" w:rsidRDefault="0039304F">
      <w:pPr>
        <w:snapToGrid w:val="0"/>
        <w:spacing w:line="560" w:lineRule="exact"/>
        <w:ind w:firstLineChars="200" w:firstLine="600"/>
        <w:rPr>
          <w:rFonts w:ascii="仿宋_GB2312" w:eastAsia="仿宋_GB2312" w:hAnsi="宋体" w:cs="Times New Roman"/>
          <w:sz w:val="30"/>
          <w:szCs w:val="30"/>
        </w:rPr>
      </w:pPr>
      <w:r>
        <w:rPr>
          <w:rFonts w:ascii="仿宋_GB2312" w:eastAsia="仿宋_GB2312" w:hAnsi="Times New Roman" w:cs="Times New Roman" w:hint="eastAsia"/>
          <w:kern w:val="0"/>
          <w:sz w:val="30"/>
          <w:szCs w:val="30"/>
        </w:rPr>
        <w:t>第</w:t>
      </w:r>
      <w:r w:rsidR="007B7CED">
        <w:rPr>
          <w:rFonts w:ascii="仿宋_GB2312" w:eastAsia="仿宋_GB2312" w:hAnsi="Times New Roman" w:cs="Times New Roman" w:hint="eastAsia"/>
          <w:kern w:val="0"/>
          <w:sz w:val="30"/>
          <w:szCs w:val="30"/>
        </w:rPr>
        <w:t>七</w:t>
      </w:r>
      <w:r>
        <w:rPr>
          <w:rFonts w:ascii="仿宋_GB2312" w:eastAsia="仿宋_GB2312" w:hAnsi="Times New Roman" w:cs="Times New Roman" w:hint="eastAsia"/>
          <w:kern w:val="0"/>
          <w:sz w:val="30"/>
          <w:szCs w:val="30"/>
        </w:rPr>
        <w:t>条 上市公司应当</w:t>
      </w:r>
      <w:r>
        <w:rPr>
          <w:rFonts w:ascii="仿宋_GB2312" w:eastAsia="仿宋_GB2312" w:hAnsi="宋体" w:cs="Times New Roman" w:hint="eastAsia"/>
          <w:sz w:val="30"/>
          <w:szCs w:val="30"/>
        </w:rPr>
        <w:t>根据经营及业务发展需要，审慎设置</w:t>
      </w:r>
      <w:proofErr w:type="gramStart"/>
      <w:r>
        <w:rPr>
          <w:rFonts w:ascii="仿宋_GB2312" w:eastAsia="仿宋_GB2312" w:hAnsi="宋体" w:cs="Times New Roman" w:hint="eastAsia"/>
          <w:sz w:val="30"/>
          <w:szCs w:val="30"/>
        </w:rPr>
        <w:t>扩位</w:t>
      </w:r>
      <w:r>
        <w:rPr>
          <w:rFonts w:ascii="仿宋_GB2312" w:eastAsia="仿宋_GB2312" w:hAnsi="宋体" w:cs="Times New Roman"/>
          <w:sz w:val="30"/>
          <w:szCs w:val="30"/>
        </w:rPr>
        <w:t>证券</w:t>
      </w:r>
      <w:proofErr w:type="gramEnd"/>
      <w:r>
        <w:rPr>
          <w:rFonts w:ascii="仿宋_GB2312" w:eastAsia="仿宋_GB2312" w:hAnsi="宋体" w:cs="Times New Roman" w:hint="eastAsia"/>
          <w:sz w:val="30"/>
          <w:szCs w:val="30"/>
        </w:rPr>
        <w:t>简称。</w:t>
      </w:r>
      <w:proofErr w:type="gramStart"/>
      <w:r>
        <w:rPr>
          <w:rFonts w:ascii="仿宋_GB2312" w:eastAsia="仿宋_GB2312" w:hAnsi="宋体" w:cs="Times New Roman" w:hint="eastAsia"/>
          <w:sz w:val="30"/>
          <w:szCs w:val="30"/>
        </w:rPr>
        <w:t>扩位证券</w:t>
      </w:r>
      <w:proofErr w:type="gramEnd"/>
      <w:r>
        <w:rPr>
          <w:rFonts w:ascii="仿宋_GB2312" w:eastAsia="仿宋_GB2312" w:hAnsi="宋体" w:cs="Times New Roman" w:hint="eastAsia"/>
          <w:sz w:val="30"/>
          <w:szCs w:val="30"/>
        </w:rPr>
        <w:t>简称原则上应当来源于在工商行政管理机关登记的公司全称，在证券简称的基础上适度扩展，并与主营业务相匹配。</w:t>
      </w:r>
    </w:p>
    <w:p w14:paraId="5DAFFE8D" w14:textId="77777777" w:rsidR="005951FF" w:rsidRDefault="0008024D">
      <w:pPr>
        <w:snapToGrid w:val="0"/>
        <w:spacing w:line="560" w:lineRule="exact"/>
        <w:ind w:firstLineChars="200" w:firstLine="600"/>
        <w:rPr>
          <w:rFonts w:ascii="仿宋_GB2312" w:eastAsia="仿宋_GB2312" w:hAnsi="宋体" w:cs="Times New Roman"/>
          <w:sz w:val="30"/>
          <w:szCs w:val="30"/>
        </w:rPr>
      </w:pPr>
      <w:r>
        <w:rPr>
          <w:rFonts w:ascii="仿宋_GB2312" w:eastAsia="仿宋_GB2312" w:hAnsi="Times New Roman" w:cs="Times New Roman" w:hint="eastAsia"/>
          <w:kern w:val="0"/>
          <w:sz w:val="30"/>
          <w:szCs w:val="30"/>
        </w:rPr>
        <w:t>第</w:t>
      </w:r>
      <w:r w:rsidR="007B7CED">
        <w:rPr>
          <w:rFonts w:ascii="仿宋_GB2312" w:eastAsia="仿宋_GB2312" w:hAnsi="Times New Roman" w:cs="Times New Roman" w:hint="eastAsia"/>
          <w:kern w:val="0"/>
          <w:sz w:val="30"/>
          <w:szCs w:val="30"/>
        </w:rPr>
        <w:t>八</w:t>
      </w:r>
      <w:r>
        <w:rPr>
          <w:rFonts w:ascii="仿宋_GB2312" w:eastAsia="仿宋_GB2312" w:hAnsi="Times New Roman" w:cs="Times New Roman" w:hint="eastAsia"/>
          <w:kern w:val="0"/>
          <w:sz w:val="30"/>
          <w:szCs w:val="30"/>
        </w:rPr>
        <w:t xml:space="preserve">条 </w:t>
      </w:r>
      <w:r w:rsidR="001D7FA2">
        <w:rPr>
          <w:rFonts w:ascii="仿宋_GB2312" w:eastAsia="仿宋_GB2312" w:hAnsi="Times New Roman" w:cs="Times New Roman" w:hint="eastAsia"/>
          <w:kern w:val="0"/>
          <w:sz w:val="30"/>
          <w:szCs w:val="30"/>
        </w:rPr>
        <w:t>上市公司</w:t>
      </w:r>
      <w:r>
        <w:rPr>
          <w:rFonts w:ascii="仿宋_GB2312" w:eastAsia="仿宋_GB2312" w:hAnsi="Times New Roman" w:cs="Times New Roman" w:hint="eastAsia"/>
          <w:kern w:val="0"/>
          <w:sz w:val="30"/>
          <w:szCs w:val="30"/>
        </w:rPr>
        <w:t>申请</w:t>
      </w:r>
      <w:r w:rsidR="00C1568B">
        <w:rPr>
          <w:rFonts w:ascii="仿宋_GB2312" w:eastAsia="仿宋_GB2312" w:hAnsi="Times New Roman" w:cs="Times New Roman" w:hint="eastAsia"/>
          <w:kern w:val="0"/>
          <w:sz w:val="30"/>
          <w:szCs w:val="30"/>
        </w:rPr>
        <w:t>变更</w:t>
      </w:r>
      <w:r w:rsidR="0068770A">
        <w:rPr>
          <w:rFonts w:ascii="仿宋_GB2312" w:eastAsia="仿宋_GB2312" w:hAnsi="宋体" w:cs="Times New Roman" w:hint="eastAsia"/>
          <w:sz w:val="30"/>
          <w:szCs w:val="30"/>
        </w:rPr>
        <w:t>在本所上市的股票或存托凭证的</w:t>
      </w:r>
      <w:proofErr w:type="gramStart"/>
      <w:r>
        <w:rPr>
          <w:rFonts w:ascii="仿宋_GB2312" w:eastAsia="仿宋_GB2312" w:hAnsi="宋体" w:cs="Times New Roman" w:hint="eastAsia"/>
          <w:sz w:val="30"/>
          <w:szCs w:val="30"/>
        </w:rPr>
        <w:t>扩位证券</w:t>
      </w:r>
      <w:proofErr w:type="gramEnd"/>
      <w:r>
        <w:rPr>
          <w:rFonts w:ascii="仿宋_GB2312" w:eastAsia="仿宋_GB2312" w:hAnsi="宋体" w:cs="Times New Roman" w:hint="eastAsia"/>
          <w:sz w:val="30"/>
          <w:szCs w:val="30"/>
        </w:rPr>
        <w:t>简称的，应当将相关议案提交董事会审议。</w:t>
      </w:r>
    </w:p>
    <w:p w14:paraId="43C53EF7" w14:textId="77777777" w:rsidR="00D708EF" w:rsidRDefault="0008024D">
      <w:pPr>
        <w:snapToGrid w:val="0"/>
        <w:spacing w:line="560" w:lineRule="exact"/>
        <w:ind w:firstLineChars="200" w:firstLine="600"/>
        <w:rPr>
          <w:rFonts w:ascii="仿宋_GB2312" w:eastAsia="仿宋_GB2312" w:hAnsi="宋体" w:cs="Times New Roman"/>
          <w:sz w:val="30"/>
          <w:szCs w:val="30"/>
        </w:rPr>
      </w:pPr>
      <w:r>
        <w:rPr>
          <w:rFonts w:ascii="仿宋_GB2312" w:eastAsia="仿宋_GB2312" w:hAnsi="宋体" w:cs="Times New Roman" w:hint="eastAsia"/>
          <w:sz w:val="30"/>
          <w:szCs w:val="30"/>
        </w:rPr>
        <w:t>董事会审议通过后，</w:t>
      </w:r>
      <w:r w:rsidR="00771D6D">
        <w:rPr>
          <w:rFonts w:ascii="仿宋_GB2312" w:eastAsia="仿宋_GB2312" w:hAnsi="宋体" w:cs="Times New Roman" w:hint="eastAsia"/>
          <w:sz w:val="30"/>
          <w:szCs w:val="30"/>
        </w:rPr>
        <w:t>上市公司</w:t>
      </w:r>
      <w:r>
        <w:rPr>
          <w:rFonts w:ascii="仿宋_GB2312" w:eastAsia="仿宋_GB2312" w:hAnsi="宋体" w:cs="Times New Roman" w:hint="eastAsia"/>
          <w:sz w:val="30"/>
          <w:szCs w:val="30"/>
        </w:rPr>
        <w:t>可向本所提交</w:t>
      </w:r>
      <w:r w:rsidR="00C1568B">
        <w:rPr>
          <w:rFonts w:ascii="仿宋_GB2312" w:eastAsia="仿宋_GB2312" w:hAnsi="宋体" w:cs="Times New Roman" w:hint="eastAsia"/>
          <w:sz w:val="30"/>
          <w:szCs w:val="30"/>
        </w:rPr>
        <w:t>变更</w:t>
      </w:r>
      <w:proofErr w:type="gramStart"/>
      <w:r>
        <w:rPr>
          <w:rFonts w:ascii="仿宋_GB2312" w:eastAsia="仿宋_GB2312" w:hAnsi="宋体" w:cs="Times New Roman" w:hint="eastAsia"/>
          <w:sz w:val="30"/>
          <w:szCs w:val="30"/>
        </w:rPr>
        <w:t>扩位证券</w:t>
      </w:r>
      <w:proofErr w:type="gramEnd"/>
      <w:r>
        <w:rPr>
          <w:rFonts w:ascii="仿宋_GB2312" w:eastAsia="仿宋_GB2312" w:hAnsi="宋体" w:cs="Times New Roman" w:hint="eastAsia"/>
          <w:sz w:val="30"/>
          <w:szCs w:val="30"/>
        </w:rPr>
        <w:t>简称的书面申请，并说明理由。本所在5个交易日内未提出异议的，</w:t>
      </w:r>
      <w:r w:rsidR="00771D6D">
        <w:rPr>
          <w:rFonts w:ascii="仿宋_GB2312" w:eastAsia="仿宋_GB2312" w:hAnsi="宋体" w:cs="Times New Roman" w:hint="eastAsia"/>
          <w:sz w:val="30"/>
          <w:szCs w:val="30"/>
        </w:rPr>
        <w:t>上市公司</w:t>
      </w:r>
      <w:r>
        <w:rPr>
          <w:rFonts w:ascii="仿宋_GB2312" w:eastAsia="仿宋_GB2312" w:hAnsi="宋体" w:cs="Times New Roman" w:hint="eastAsia"/>
          <w:sz w:val="30"/>
          <w:szCs w:val="30"/>
        </w:rPr>
        <w:t>可以</w:t>
      </w:r>
      <w:r w:rsidR="00C1568B">
        <w:rPr>
          <w:rFonts w:ascii="仿宋_GB2312" w:eastAsia="仿宋_GB2312" w:hAnsi="宋体" w:cs="Times New Roman" w:hint="eastAsia"/>
          <w:sz w:val="30"/>
          <w:szCs w:val="30"/>
        </w:rPr>
        <w:t>通知本所为其</w:t>
      </w:r>
      <w:r>
        <w:rPr>
          <w:rFonts w:ascii="仿宋_GB2312" w:eastAsia="仿宋_GB2312" w:hAnsi="宋体" w:cs="Times New Roman" w:hint="eastAsia"/>
          <w:sz w:val="30"/>
          <w:szCs w:val="30"/>
        </w:rPr>
        <w:t>办理</w:t>
      </w:r>
      <w:proofErr w:type="gramStart"/>
      <w:r>
        <w:rPr>
          <w:rFonts w:ascii="仿宋_GB2312" w:eastAsia="仿宋_GB2312" w:hAnsi="宋体" w:cs="Times New Roman" w:hint="eastAsia"/>
          <w:sz w:val="30"/>
          <w:szCs w:val="30"/>
        </w:rPr>
        <w:t>扩位证券</w:t>
      </w:r>
      <w:proofErr w:type="gramEnd"/>
      <w:r>
        <w:rPr>
          <w:rFonts w:ascii="仿宋_GB2312" w:eastAsia="仿宋_GB2312" w:hAnsi="宋体" w:cs="Times New Roman" w:hint="eastAsia"/>
          <w:sz w:val="30"/>
          <w:szCs w:val="30"/>
        </w:rPr>
        <w:t>简称变更，且应当在变更日前3个交易日披露拟变更的情况。</w:t>
      </w:r>
    </w:p>
    <w:p w14:paraId="010D6F1D" w14:textId="77777777" w:rsidR="00C40E91" w:rsidRPr="00C40E91" w:rsidRDefault="00C40E91" w:rsidP="00C40E91">
      <w:pPr>
        <w:snapToGrid w:val="0"/>
        <w:spacing w:line="560" w:lineRule="exact"/>
        <w:ind w:firstLineChars="200" w:firstLine="600"/>
        <w:rPr>
          <w:rFonts w:ascii="仿宋_GB2312" w:eastAsia="仿宋_GB2312" w:hAnsi="宋体" w:cs="Times New Roman"/>
          <w:sz w:val="30"/>
          <w:szCs w:val="30"/>
        </w:rPr>
      </w:pPr>
      <w:r>
        <w:rPr>
          <w:rFonts w:ascii="仿宋_GB2312" w:eastAsia="仿宋_GB2312" w:hAnsi="宋体" w:cs="Times New Roman" w:hint="eastAsia"/>
          <w:sz w:val="30"/>
          <w:szCs w:val="30"/>
        </w:rPr>
        <w:t>为体现简明性，建议</w:t>
      </w:r>
      <w:proofErr w:type="gramStart"/>
      <w:r>
        <w:rPr>
          <w:rFonts w:ascii="仿宋_GB2312" w:eastAsia="仿宋_GB2312" w:hAnsi="宋体" w:cs="Times New Roman" w:hint="eastAsia"/>
          <w:sz w:val="30"/>
          <w:szCs w:val="30"/>
        </w:rPr>
        <w:t>扩位证券</w:t>
      </w:r>
      <w:proofErr w:type="gramEnd"/>
      <w:r>
        <w:rPr>
          <w:rFonts w:ascii="仿宋_GB2312" w:eastAsia="仿宋_GB2312" w:hAnsi="宋体" w:cs="Times New Roman" w:hint="eastAsia"/>
          <w:sz w:val="30"/>
          <w:szCs w:val="30"/>
        </w:rPr>
        <w:t>简称的自定义部分（即证券特别标识以外的部分）不超过8个汉字（1</w:t>
      </w:r>
      <w:r>
        <w:rPr>
          <w:rFonts w:ascii="仿宋_GB2312" w:eastAsia="仿宋_GB2312" w:hAnsi="宋体" w:cs="Times New Roman"/>
          <w:sz w:val="30"/>
          <w:szCs w:val="30"/>
        </w:rPr>
        <w:t>6</w:t>
      </w:r>
      <w:r>
        <w:rPr>
          <w:rFonts w:ascii="仿宋_GB2312" w:eastAsia="仿宋_GB2312" w:hAnsi="宋体" w:cs="Times New Roman" w:hint="eastAsia"/>
          <w:sz w:val="30"/>
          <w:szCs w:val="30"/>
        </w:rPr>
        <w:t>个字符）。</w:t>
      </w:r>
    </w:p>
    <w:p w14:paraId="7B6C55CB" w14:textId="77777777" w:rsidR="00D708EF" w:rsidRDefault="0008024D" w:rsidP="005951FF">
      <w:pPr>
        <w:snapToGrid w:val="0"/>
        <w:spacing w:line="560" w:lineRule="exact"/>
        <w:ind w:firstLineChars="200" w:firstLine="600"/>
        <w:rPr>
          <w:rFonts w:ascii="仿宋_GB2312" w:eastAsia="仿宋_GB2312" w:hAnsi="宋体" w:cs="Times New Roman"/>
          <w:sz w:val="30"/>
          <w:szCs w:val="30"/>
        </w:rPr>
      </w:pPr>
      <w:r>
        <w:rPr>
          <w:rFonts w:ascii="仿宋_GB2312" w:eastAsia="仿宋_GB2312" w:hAnsi="宋体" w:cs="Times New Roman" w:hint="eastAsia"/>
          <w:sz w:val="30"/>
          <w:szCs w:val="30"/>
        </w:rPr>
        <w:t>第</w:t>
      </w:r>
      <w:r w:rsidR="00383238">
        <w:rPr>
          <w:rFonts w:ascii="仿宋_GB2312" w:eastAsia="仿宋_GB2312" w:hAnsi="宋体" w:cs="Times New Roman" w:hint="eastAsia"/>
          <w:sz w:val="30"/>
          <w:szCs w:val="30"/>
        </w:rPr>
        <w:t>九</w:t>
      </w:r>
      <w:r>
        <w:rPr>
          <w:rFonts w:ascii="仿宋_GB2312" w:eastAsia="仿宋_GB2312" w:hAnsi="宋体" w:cs="Times New Roman" w:hint="eastAsia"/>
          <w:sz w:val="30"/>
          <w:szCs w:val="30"/>
        </w:rPr>
        <w:t xml:space="preserve">条 </w:t>
      </w:r>
      <w:r w:rsidR="007B7CED">
        <w:rPr>
          <w:rFonts w:ascii="仿宋_GB2312" w:eastAsia="仿宋_GB2312" w:hAnsi="宋体" w:cs="Times New Roman" w:hint="eastAsia"/>
          <w:sz w:val="30"/>
          <w:szCs w:val="30"/>
        </w:rPr>
        <w:t>在本所上市的股票或存托凭证的</w:t>
      </w:r>
      <w:r>
        <w:rPr>
          <w:rFonts w:ascii="仿宋_GB2312" w:eastAsia="仿宋_GB2312" w:hAnsi="宋体" w:cs="Times New Roman" w:hint="eastAsia"/>
          <w:sz w:val="30"/>
          <w:szCs w:val="30"/>
        </w:rPr>
        <w:t>证券简称发生变更的，其</w:t>
      </w:r>
      <w:proofErr w:type="gramStart"/>
      <w:r>
        <w:rPr>
          <w:rFonts w:ascii="仿宋_GB2312" w:eastAsia="仿宋_GB2312" w:hAnsi="宋体" w:cs="Times New Roman" w:hint="eastAsia"/>
          <w:sz w:val="30"/>
          <w:szCs w:val="30"/>
        </w:rPr>
        <w:t>扩位证券</w:t>
      </w:r>
      <w:proofErr w:type="gramEnd"/>
      <w:r>
        <w:rPr>
          <w:rFonts w:ascii="仿宋_GB2312" w:eastAsia="仿宋_GB2312" w:hAnsi="宋体" w:cs="Times New Roman" w:hint="eastAsia"/>
          <w:sz w:val="30"/>
          <w:szCs w:val="30"/>
        </w:rPr>
        <w:t>简称</w:t>
      </w:r>
      <w:r w:rsidR="00A71C6C">
        <w:rPr>
          <w:rFonts w:ascii="仿宋_GB2312" w:eastAsia="仿宋_GB2312" w:hAnsi="宋体" w:cs="Times New Roman" w:hint="eastAsia"/>
          <w:sz w:val="30"/>
          <w:szCs w:val="30"/>
        </w:rPr>
        <w:t>相应</w:t>
      </w:r>
      <w:r>
        <w:rPr>
          <w:rFonts w:ascii="仿宋_GB2312" w:eastAsia="仿宋_GB2312" w:hAnsi="宋体" w:cs="Times New Roman" w:hint="eastAsia"/>
          <w:sz w:val="30"/>
          <w:szCs w:val="30"/>
        </w:rPr>
        <w:t>变更为</w:t>
      </w:r>
      <w:r w:rsidR="00A71C6C" w:rsidRPr="00A71C6C">
        <w:rPr>
          <w:rFonts w:ascii="仿宋_GB2312" w:eastAsia="仿宋_GB2312" w:hAnsi="宋体" w:cs="Times New Roman" w:hint="eastAsia"/>
          <w:sz w:val="30"/>
          <w:szCs w:val="30"/>
        </w:rPr>
        <w:t>新的</w:t>
      </w:r>
      <w:proofErr w:type="gramStart"/>
      <w:r w:rsidR="00A71C6C">
        <w:rPr>
          <w:rFonts w:ascii="仿宋_GB2312" w:eastAsia="仿宋_GB2312" w:hAnsi="宋体" w:cs="Times New Roman" w:hint="eastAsia"/>
          <w:sz w:val="30"/>
          <w:szCs w:val="30"/>
        </w:rPr>
        <w:t>扩位</w:t>
      </w:r>
      <w:r w:rsidR="00A71C6C" w:rsidRPr="00A71C6C">
        <w:rPr>
          <w:rFonts w:ascii="仿宋_GB2312" w:eastAsia="仿宋_GB2312" w:hAnsi="宋体" w:cs="Times New Roman" w:hint="eastAsia"/>
          <w:sz w:val="30"/>
          <w:szCs w:val="30"/>
        </w:rPr>
        <w:t>证券</w:t>
      </w:r>
      <w:proofErr w:type="gramEnd"/>
      <w:r w:rsidR="00A71C6C" w:rsidRPr="00A71C6C">
        <w:rPr>
          <w:rFonts w:ascii="仿宋_GB2312" w:eastAsia="仿宋_GB2312" w:hAnsi="宋体" w:cs="Times New Roman" w:hint="eastAsia"/>
          <w:sz w:val="30"/>
          <w:szCs w:val="30"/>
        </w:rPr>
        <w:t>简称</w:t>
      </w:r>
      <w:r w:rsidR="00703FA6">
        <w:rPr>
          <w:rFonts w:ascii="仿宋_GB2312" w:eastAsia="仿宋_GB2312" w:hAnsi="宋体" w:cs="Times New Roman" w:hint="eastAsia"/>
          <w:sz w:val="30"/>
          <w:szCs w:val="30"/>
        </w:rPr>
        <w:t>，</w:t>
      </w:r>
      <w:r w:rsidR="005951FF">
        <w:rPr>
          <w:rFonts w:ascii="仿宋_GB2312" w:eastAsia="仿宋_GB2312" w:hAnsi="宋体" w:cs="Times New Roman" w:hint="eastAsia"/>
          <w:sz w:val="30"/>
          <w:szCs w:val="30"/>
        </w:rPr>
        <w:t>上市</w:t>
      </w:r>
      <w:r>
        <w:rPr>
          <w:rFonts w:ascii="仿宋_GB2312" w:eastAsia="仿宋_GB2312" w:hAnsi="宋体" w:cs="Times New Roman" w:hint="eastAsia"/>
          <w:sz w:val="30"/>
          <w:szCs w:val="30"/>
        </w:rPr>
        <w:t>公司可同步</w:t>
      </w:r>
      <w:r w:rsidR="00AB248F">
        <w:rPr>
          <w:rFonts w:ascii="仿宋_GB2312" w:eastAsia="仿宋_GB2312" w:hAnsi="宋体" w:cs="Times New Roman" w:hint="eastAsia"/>
          <w:sz w:val="30"/>
          <w:szCs w:val="30"/>
        </w:rPr>
        <w:t>或者</w:t>
      </w:r>
      <w:r>
        <w:rPr>
          <w:rFonts w:ascii="仿宋_GB2312" w:eastAsia="仿宋_GB2312" w:hAnsi="宋体" w:cs="Times New Roman" w:hint="eastAsia"/>
          <w:sz w:val="30"/>
          <w:szCs w:val="30"/>
        </w:rPr>
        <w:t>单独启动</w:t>
      </w:r>
      <w:proofErr w:type="gramStart"/>
      <w:r>
        <w:rPr>
          <w:rFonts w:ascii="仿宋_GB2312" w:eastAsia="仿宋_GB2312" w:hAnsi="宋体" w:cs="Times New Roman" w:hint="eastAsia"/>
          <w:sz w:val="30"/>
          <w:szCs w:val="30"/>
        </w:rPr>
        <w:t>扩位证券</w:t>
      </w:r>
      <w:proofErr w:type="gramEnd"/>
      <w:r>
        <w:rPr>
          <w:rFonts w:ascii="仿宋_GB2312" w:eastAsia="仿宋_GB2312" w:hAnsi="宋体" w:cs="Times New Roman" w:hint="eastAsia"/>
          <w:sz w:val="30"/>
          <w:szCs w:val="30"/>
        </w:rPr>
        <w:t>简称变更</w:t>
      </w:r>
      <w:r w:rsidR="00AB248F">
        <w:rPr>
          <w:rFonts w:ascii="仿宋_GB2312" w:eastAsia="仿宋_GB2312" w:hAnsi="宋体" w:cs="Times New Roman" w:hint="eastAsia"/>
          <w:sz w:val="30"/>
          <w:szCs w:val="30"/>
        </w:rPr>
        <w:t>申请</w:t>
      </w:r>
      <w:r>
        <w:rPr>
          <w:rFonts w:ascii="仿宋_GB2312" w:eastAsia="仿宋_GB2312" w:hAnsi="宋体" w:cs="Times New Roman" w:hint="eastAsia"/>
          <w:sz w:val="30"/>
          <w:szCs w:val="30"/>
        </w:rPr>
        <w:t>流程。</w:t>
      </w:r>
    </w:p>
    <w:p w14:paraId="062437AC" w14:textId="710895E8" w:rsidR="00771D6D" w:rsidRPr="00771D6D" w:rsidRDefault="00771D6D" w:rsidP="00771D6D">
      <w:pPr>
        <w:snapToGrid w:val="0"/>
        <w:spacing w:line="560" w:lineRule="exact"/>
        <w:ind w:firstLineChars="200" w:firstLine="600"/>
        <w:rPr>
          <w:rFonts w:ascii="仿宋_GB2312" w:eastAsia="仿宋_GB2312" w:hAnsi="宋体" w:cs="Times New Roman"/>
          <w:sz w:val="30"/>
          <w:szCs w:val="30"/>
        </w:rPr>
      </w:pPr>
      <w:r w:rsidRPr="00771D6D">
        <w:rPr>
          <w:rFonts w:ascii="仿宋_GB2312" w:eastAsia="仿宋_GB2312" w:hAnsi="宋体" w:cs="Times New Roman" w:hint="eastAsia"/>
          <w:sz w:val="30"/>
          <w:szCs w:val="30"/>
        </w:rPr>
        <w:t>第十条 公司债券、资产支持证券、企业债券的</w:t>
      </w:r>
      <w:proofErr w:type="gramStart"/>
      <w:r w:rsidRPr="00771D6D">
        <w:rPr>
          <w:rFonts w:ascii="仿宋_GB2312" w:eastAsia="仿宋_GB2312" w:hAnsi="宋体" w:cs="Times New Roman" w:hint="eastAsia"/>
          <w:sz w:val="30"/>
          <w:szCs w:val="30"/>
        </w:rPr>
        <w:t>扩位证券</w:t>
      </w:r>
      <w:proofErr w:type="gramEnd"/>
      <w:r w:rsidRPr="00771D6D">
        <w:rPr>
          <w:rFonts w:ascii="仿宋_GB2312" w:eastAsia="仿宋_GB2312" w:hAnsi="宋体" w:cs="Times New Roman" w:hint="eastAsia"/>
          <w:sz w:val="30"/>
          <w:szCs w:val="30"/>
        </w:rPr>
        <w:t>简称可参照“年份后两位+发行人缩写+序号”格式，由发行人自主</w:t>
      </w:r>
      <w:r w:rsidRPr="00771D6D">
        <w:rPr>
          <w:rFonts w:ascii="仿宋_GB2312" w:eastAsia="仿宋_GB2312" w:hAnsi="宋体" w:cs="Times New Roman" w:hint="eastAsia"/>
          <w:sz w:val="30"/>
          <w:szCs w:val="30"/>
        </w:rPr>
        <w:lastRenderedPageBreak/>
        <w:t>确定</w:t>
      </w:r>
      <w:r w:rsidR="00345CBF">
        <w:rPr>
          <w:rFonts w:ascii="仿宋_GB2312" w:eastAsia="仿宋_GB2312" w:hAnsi="宋体" w:cs="Times New Roman" w:hint="eastAsia"/>
          <w:sz w:val="30"/>
          <w:szCs w:val="30"/>
        </w:rPr>
        <w:t>，并向本所申请设置或者变更</w:t>
      </w:r>
      <w:proofErr w:type="gramStart"/>
      <w:r w:rsidR="00345CBF">
        <w:rPr>
          <w:rFonts w:ascii="仿宋_GB2312" w:eastAsia="仿宋_GB2312" w:hAnsi="宋体" w:cs="Times New Roman" w:hint="eastAsia"/>
          <w:sz w:val="30"/>
          <w:szCs w:val="30"/>
        </w:rPr>
        <w:t>扩位证券</w:t>
      </w:r>
      <w:proofErr w:type="gramEnd"/>
      <w:r w:rsidR="00345CBF">
        <w:rPr>
          <w:rFonts w:ascii="仿宋_GB2312" w:eastAsia="仿宋_GB2312" w:hAnsi="宋体" w:cs="Times New Roman" w:hint="eastAsia"/>
          <w:sz w:val="30"/>
          <w:szCs w:val="30"/>
        </w:rPr>
        <w:t>简称</w:t>
      </w:r>
      <w:r w:rsidRPr="00771D6D">
        <w:rPr>
          <w:rFonts w:ascii="仿宋_GB2312" w:eastAsia="仿宋_GB2312" w:hAnsi="宋体" w:cs="Times New Roman" w:hint="eastAsia"/>
          <w:sz w:val="30"/>
          <w:szCs w:val="30"/>
        </w:rPr>
        <w:t>。</w:t>
      </w:r>
    </w:p>
    <w:p w14:paraId="3678884B" w14:textId="77777777" w:rsidR="00771D6D" w:rsidRDefault="00771D6D" w:rsidP="00771D6D">
      <w:pPr>
        <w:snapToGrid w:val="0"/>
        <w:spacing w:line="560" w:lineRule="exact"/>
        <w:ind w:firstLineChars="200" w:firstLine="600"/>
        <w:rPr>
          <w:rFonts w:ascii="仿宋_GB2312" w:eastAsia="仿宋_GB2312" w:hAnsi="宋体" w:cs="Times New Roman"/>
          <w:sz w:val="30"/>
          <w:szCs w:val="30"/>
        </w:rPr>
      </w:pPr>
      <w:r w:rsidRPr="00771D6D">
        <w:rPr>
          <w:rFonts w:ascii="仿宋_GB2312" w:eastAsia="仿宋_GB2312" w:hAnsi="宋体" w:cs="Times New Roman" w:hint="eastAsia"/>
          <w:sz w:val="30"/>
          <w:szCs w:val="30"/>
        </w:rPr>
        <w:t>特殊品种公司债券、资产支持证券、企业债券的</w:t>
      </w:r>
      <w:proofErr w:type="gramStart"/>
      <w:r w:rsidRPr="00771D6D">
        <w:rPr>
          <w:rFonts w:ascii="仿宋_GB2312" w:eastAsia="仿宋_GB2312" w:hAnsi="宋体" w:cs="Times New Roman" w:hint="eastAsia"/>
          <w:sz w:val="30"/>
          <w:szCs w:val="30"/>
        </w:rPr>
        <w:t>扩位</w:t>
      </w:r>
      <w:r w:rsidR="00E07A69">
        <w:rPr>
          <w:rFonts w:ascii="仿宋_GB2312" w:eastAsia="仿宋_GB2312" w:hAnsi="宋体" w:cs="Times New Roman" w:hint="eastAsia"/>
          <w:sz w:val="30"/>
          <w:szCs w:val="30"/>
        </w:rPr>
        <w:t>证券</w:t>
      </w:r>
      <w:proofErr w:type="gramEnd"/>
      <w:r w:rsidRPr="00771D6D">
        <w:rPr>
          <w:rFonts w:ascii="仿宋_GB2312" w:eastAsia="仿宋_GB2312" w:hAnsi="宋体" w:cs="Times New Roman" w:hint="eastAsia"/>
          <w:sz w:val="30"/>
          <w:szCs w:val="30"/>
        </w:rPr>
        <w:t>简称，鼓励使用“短期”、“可续期”、“绿色”、“碳中和”、“可交换”、“乡村振兴”、“创新创业”、“纾困”等（例如**绿色公司债券、**绿色ABS、**绿色企业债券）字样，突出品种特点。</w:t>
      </w:r>
    </w:p>
    <w:p w14:paraId="491171AC" w14:textId="08BFA5DF" w:rsidR="00D708EF" w:rsidRDefault="0008024D">
      <w:pPr>
        <w:snapToGrid w:val="0"/>
        <w:spacing w:line="560" w:lineRule="exact"/>
        <w:ind w:firstLineChars="200" w:firstLine="600"/>
        <w:rPr>
          <w:rFonts w:ascii="仿宋_GB2312" w:eastAsia="仿宋_GB2312" w:hAnsi="宋体" w:cs="Times New Roman"/>
          <w:sz w:val="30"/>
          <w:szCs w:val="30"/>
        </w:rPr>
      </w:pPr>
      <w:r>
        <w:rPr>
          <w:rFonts w:ascii="仿宋_GB2312" w:eastAsia="仿宋_GB2312" w:hAnsi="宋体" w:cs="Times New Roman" w:hint="eastAsia"/>
          <w:sz w:val="30"/>
          <w:szCs w:val="30"/>
        </w:rPr>
        <w:t>第十</w:t>
      </w:r>
      <w:r w:rsidR="00383238">
        <w:rPr>
          <w:rFonts w:ascii="仿宋_GB2312" w:eastAsia="仿宋_GB2312" w:hAnsi="宋体" w:cs="Times New Roman" w:hint="eastAsia"/>
          <w:sz w:val="30"/>
          <w:szCs w:val="30"/>
        </w:rPr>
        <w:t>一</w:t>
      </w:r>
      <w:r>
        <w:rPr>
          <w:rFonts w:ascii="仿宋_GB2312" w:eastAsia="仿宋_GB2312" w:hAnsi="宋体" w:cs="Times New Roman" w:hint="eastAsia"/>
          <w:sz w:val="30"/>
          <w:szCs w:val="30"/>
        </w:rPr>
        <w:t>条 本指南由本所负责解释。</w:t>
      </w:r>
      <w:r w:rsidR="006C2139" w:rsidRPr="006C2139">
        <w:rPr>
          <w:rFonts w:ascii="仿宋_GB2312" w:eastAsia="仿宋_GB2312" w:hAnsi="宋体" w:cs="Times New Roman" w:hint="eastAsia"/>
          <w:sz w:val="30"/>
          <w:szCs w:val="30"/>
        </w:rPr>
        <w:t>本</w:t>
      </w:r>
      <w:r w:rsidR="006C2139">
        <w:rPr>
          <w:rFonts w:ascii="仿宋_GB2312" w:eastAsia="仿宋_GB2312" w:hAnsi="宋体" w:cs="Times New Roman" w:hint="eastAsia"/>
          <w:sz w:val="30"/>
          <w:szCs w:val="30"/>
        </w:rPr>
        <w:t>指南</w:t>
      </w:r>
      <w:r w:rsidR="006C2139" w:rsidRPr="006C2139">
        <w:rPr>
          <w:rFonts w:ascii="仿宋_GB2312" w:eastAsia="仿宋_GB2312" w:hAnsi="宋体" w:cs="Times New Roman" w:hint="eastAsia"/>
          <w:sz w:val="30"/>
          <w:szCs w:val="30"/>
        </w:rPr>
        <w:t>未作规定的，适用本所其他有关规定。</w:t>
      </w:r>
    </w:p>
    <w:p w14:paraId="3D42B7D0" w14:textId="77777777" w:rsidR="00D708EF" w:rsidRDefault="0008024D">
      <w:pPr>
        <w:snapToGrid w:val="0"/>
        <w:spacing w:line="560" w:lineRule="exact"/>
        <w:ind w:firstLineChars="200" w:firstLine="600"/>
        <w:rPr>
          <w:rFonts w:ascii="仿宋_GB2312" w:eastAsia="仿宋_GB2312" w:hAnsi="宋体" w:cs="Times New Roman"/>
          <w:sz w:val="30"/>
          <w:szCs w:val="30"/>
        </w:rPr>
      </w:pPr>
      <w:r>
        <w:rPr>
          <w:rFonts w:ascii="仿宋_GB2312" w:eastAsia="仿宋_GB2312" w:hAnsi="宋体" w:cs="Times New Roman" w:hint="eastAsia"/>
          <w:sz w:val="30"/>
          <w:szCs w:val="30"/>
        </w:rPr>
        <w:t>第十</w:t>
      </w:r>
      <w:r w:rsidR="00383238">
        <w:rPr>
          <w:rFonts w:ascii="仿宋_GB2312" w:eastAsia="仿宋_GB2312" w:hAnsi="宋体" w:cs="Times New Roman" w:hint="eastAsia"/>
          <w:sz w:val="30"/>
          <w:szCs w:val="30"/>
        </w:rPr>
        <w:t>二</w:t>
      </w:r>
      <w:r>
        <w:rPr>
          <w:rFonts w:ascii="仿宋_GB2312" w:eastAsia="仿宋_GB2312" w:hAnsi="宋体" w:cs="Times New Roman" w:hint="eastAsia"/>
          <w:sz w:val="30"/>
          <w:szCs w:val="30"/>
        </w:rPr>
        <w:t>条 本指南自</w:t>
      </w:r>
      <w:r w:rsidR="00573E14">
        <w:rPr>
          <w:rFonts w:ascii="仿宋_GB2312" w:eastAsia="仿宋_GB2312" w:hAnsi="宋体" w:cs="Times New Roman" w:hint="eastAsia"/>
          <w:sz w:val="30"/>
          <w:szCs w:val="30"/>
        </w:rPr>
        <w:t>2</w:t>
      </w:r>
      <w:r w:rsidR="00573E14">
        <w:rPr>
          <w:rFonts w:ascii="仿宋_GB2312" w:eastAsia="仿宋_GB2312" w:hAnsi="宋体" w:cs="Times New Roman"/>
          <w:sz w:val="30"/>
          <w:szCs w:val="30"/>
        </w:rPr>
        <w:t>022</w:t>
      </w:r>
      <w:r w:rsidR="00573E14">
        <w:rPr>
          <w:rFonts w:ascii="仿宋_GB2312" w:eastAsia="仿宋_GB2312" w:hAnsi="宋体" w:cs="Times New Roman" w:hint="eastAsia"/>
          <w:sz w:val="30"/>
          <w:szCs w:val="30"/>
        </w:rPr>
        <w:t>年</w:t>
      </w:r>
      <w:r w:rsidR="00B74454">
        <w:rPr>
          <w:rFonts w:ascii="仿宋_GB2312" w:eastAsia="仿宋_GB2312" w:hAnsi="宋体" w:cs="Times New Roman" w:hint="eastAsia"/>
          <w:sz w:val="30"/>
          <w:szCs w:val="30"/>
        </w:rPr>
        <w:t>6</w:t>
      </w:r>
      <w:r w:rsidR="00573E14">
        <w:rPr>
          <w:rFonts w:ascii="仿宋_GB2312" w:eastAsia="仿宋_GB2312" w:hAnsi="宋体" w:cs="Times New Roman" w:hint="eastAsia"/>
          <w:sz w:val="30"/>
          <w:szCs w:val="30"/>
        </w:rPr>
        <w:t>月</w:t>
      </w:r>
      <w:r w:rsidR="00B74454">
        <w:rPr>
          <w:rFonts w:ascii="仿宋_GB2312" w:eastAsia="仿宋_GB2312" w:hAnsi="宋体" w:cs="Times New Roman" w:hint="eastAsia"/>
          <w:sz w:val="30"/>
          <w:szCs w:val="30"/>
        </w:rPr>
        <w:t>10</w:t>
      </w:r>
      <w:r w:rsidR="00E07A69">
        <w:rPr>
          <w:rFonts w:ascii="仿宋_GB2312" w:eastAsia="仿宋_GB2312" w:hAnsi="宋体" w:cs="Times New Roman" w:hint="eastAsia"/>
          <w:sz w:val="30"/>
          <w:szCs w:val="30"/>
        </w:rPr>
        <w:t>日</w:t>
      </w:r>
      <w:r>
        <w:rPr>
          <w:rFonts w:ascii="仿宋_GB2312" w:eastAsia="仿宋_GB2312" w:hAnsi="宋体" w:cs="Times New Roman" w:hint="eastAsia"/>
          <w:sz w:val="30"/>
          <w:szCs w:val="30"/>
        </w:rPr>
        <w:t>起施行。</w:t>
      </w:r>
    </w:p>
    <w:p w14:paraId="439288B8" w14:textId="77777777" w:rsidR="00D708EF" w:rsidRDefault="0008024D">
      <w:pPr>
        <w:snapToGrid w:val="0"/>
        <w:spacing w:line="560" w:lineRule="exact"/>
        <w:ind w:firstLineChars="200" w:firstLine="420"/>
        <w:rPr>
          <w:rFonts w:ascii="仿宋_GB2312" w:eastAsia="仿宋_GB2312" w:hAnsi="宋体" w:cs="Times New Roman"/>
          <w:sz w:val="30"/>
          <w:szCs w:val="30"/>
        </w:rPr>
      </w:pPr>
      <w:r>
        <w:br/>
      </w:r>
    </w:p>
    <w:sectPr w:rsidR="00D708EF" w:rsidSect="00DA3AE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EB646" w14:textId="77777777" w:rsidR="00927E24" w:rsidRDefault="00927E24" w:rsidP="00170AB0">
      <w:r>
        <w:separator/>
      </w:r>
    </w:p>
  </w:endnote>
  <w:endnote w:type="continuationSeparator" w:id="0">
    <w:p w14:paraId="5B66992F" w14:textId="77777777" w:rsidR="00927E24" w:rsidRDefault="00927E24" w:rsidP="00170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912532"/>
      <w:docPartObj>
        <w:docPartGallery w:val="Page Numbers (Bottom of Page)"/>
        <w:docPartUnique/>
      </w:docPartObj>
    </w:sdtPr>
    <w:sdtEndPr/>
    <w:sdtContent>
      <w:p w14:paraId="54CF0A1D" w14:textId="77777777" w:rsidR="00F038A5" w:rsidRDefault="00764372">
        <w:pPr>
          <w:pStyle w:val="a7"/>
          <w:jc w:val="center"/>
        </w:pPr>
        <w:r>
          <w:fldChar w:fldCharType="begin"/>
        </w:r>
        <w:r w:rsidR="00F038A5">
          <w:instrText xml:space="preserve"> PAGE   \* MERGEFORMAT </w:instrText>
        </w:r>
        <w:r>
          <w:fldChar w:fldCharType="separate"/>
        </w:r>
        <w:r w:rsidR="00B03787" w:rsidRPr="00B03787">
          <w:rPr>
            <w:noProof/>
            <w:lang w:val="zh-CN"/>
          </w:rPr>
          <w:t>3</w:t>
        </w:r>
        <w:r>
          <w:fldChar w:fldCharType="end"/>
        </w:r>
      </w:p>
    </w:sdtContent>
  </w:sdt>
  <w:p w14:paraId="25C3D0C8" w14:textId="77777777" w:rsidR="00F038A5" w:rsidRDefault="00F038A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ADD46" w14:textId="77777777" w:rsidR="00927E24" w:rsidRDefault="00927E24" w:rsidP="00170AB0">
      <w:r>
        <w:separator/>
      </w:r>
    </w:p>
  </w:footnote>
  <w:footnote w:type="continuationSeparator" w:id="0">
    <w:p w14:paraId="11A0FAEB" w14:textId="77777777" w:rsidR="00927E24" w:rsidRDefault="00927E24" w:rsidP="00170A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BB3"/>
    <w:rsid w:val="00017F7B"/>
    <w:rsid w:val="00076278"/>
    <w:rsid w:val="0008024D"/>
    <w:rsid w:val="000C603F"/>
    <w:rsid w:val="000D3961"/>
    <w:rsid w:val="000E5484"/>
    <w:rsid w:val="0010047D"/>
    <w:rsid w:val="00103E07"/>
    <w:rsid w:val="00105796"/>
    <w:rsid w:val="00117ED7"/>
    <w:rsid w:val="00122108"/>
    <w:rsid w:val="00136726"/>
    <w:rsid w:val="0014013A"/>
    <w:rsid w:val="00170774"/>
    <w:rsid w:val="00170AB0"/>
    <w:rsid w:val="00172B03"/>
    <w:rsid w:val="001838EF"/>
    <w:rsid w:val="00184509"/>
    <w:rsid w:val="00191C48"/>
    <w:rsid w:val="0019749E"/>
    <w:rsid w:val="001A5FAF"/>
    <w:rsid w:val="001B0983"/>
    <w:rsid w:val="001C37BB"/>
    <w:rsid w:val="001D7FA2"/>
    <w:rsid w:val="001E385B"/>
    <w:rsid w:val="001E7478"/>
    <w:rsid w:val="001F1B58"/>
    <w:rsid w:val="001F2EDF"/>
    <w:rsid w:val="00226926"/>
    <w:rsid w:val="00226DA3"/>
    <w:rsid w:val="00230A3F"/>
    <w:rsid w:val="00234C52"/>
    <w:rsid w:val="00255C3B"/>
    <w:rsid w:val="00264B9C"/>
    <w:rsid w:val="00265BE1"/>
    <w:rsid w:val="00267196"/>
    <w:rsid w:val="002A1D80"/>
    <w:rsid w:val="002A2180"/>
    <w:rsid w:val="002A21AE"/>
    <w:rsid w:val="002A315A"/>
    <w:rsid w:val="002A3784"/>
    <w:rsid w:val="002A5F3C"/>
    <w:rsid w:val="002D6787"/>
    <w:rsid w:val="002E0905"/>
    <w:rsid w:val="00316F23"/>
    <w:rsid w:val="003224AF"/>
    <w:rsid w:val="00327B1B"/>
    <w:rsid w:val="003376FA"/>
    <w:rsid w:val="00345CBF"/>
    <w:rsid w:val="0034668F"/>
    <w:rsid w:val="00347B71"/>
    <w:rsid w:val="00352029"/>
    <w:rsid w:val="0037388B"/>
    <w:rsid w:val="0037412A"/>
    <w:rsid w:val="00380D5C"/>
    <w:rsid w:val="00383238"/>
    <w:rsid w:val="0038530F"/>
    <w:rsid w:val="0039304F"/>
    <w:rsid w:val="00396FEF"/>
    <w:rsid w:val="003A1D73"/>
    <w:rsid w:val="003A4928"/>
    <w:rsid w:val="003B58D3"/>
    <w:rsid w:val="003B6D33"/>
    <w:rsid w:val="003E1E27"/>
    <w:rsid w:val="003F49F1"/>
    <w:rsid w:val="00402655"/>
    <w:rsid w:val="004D225A"/>
    <w:rsid w:val="00513101"/>
    <w:rsid w:val="00513925"/>
    <w:rsid w:val="005307E2"/>
    <w:rsid w:val="005311B2"/>
    <w:rsid w:val="0053493D"/>
    <w:rsid w:val="005455A0"/>
    <w:rsid w:val="005516F5"/>
    <w:rsid w:val="00573E14"/>
    <w:rsid w:val="005951FF"/>
    <w:rsid w:val="00595457"/>
    <w:rsid w:val="005C77F4"/>
    <w:rsid w:val="005D5572"/>
    <w:rsid w:val="005F02AC"/>
    <w:rsid w:val="006078B5"/>
    <w:rsid w:val="00616D44"/>
    <w:rsid w:val="00670855"/>
    <w:rsid w:val="0067385F"/>
    <w:rsid w:val="00677BCB"/>
    <w:rsid w:val="00683C39"/>
    <w:rsid w:val="0068770A"/>
    <w:rsid w:val="00687E28"/>
    <w:rsid w:val="006A3EB8"/>
    <w:rsid w:val="006A6ADC"/>
    <w:rsid w:val="006C2139"/>
    <w:rsid w:val="006E7CD5"/>
    <w:rsid w:val="00703FA6"/>
    <w:rsid w:val="00715338"/>
    <w:rsid w:val="00753078"/>
    <w:rsid w:val="0076415B"/>
    <w:rsid w:val="00764372"/>
    <w:rsid w:val="00771D6D"/>
    <w:rsid w:val="007806FF"/>
    <w:rsid w:val="00784726"/>
    <w:rsid w:val="00792114"/>
    <w:rsid w:val="007A68A3"/>
    <w:rsid w:val="007B7CED"/>
    <w:rsid w:val="007C26E9"/>
    <w:rsid w:val="008258EF"/>
    <w:rsid w:val="00852638"/>
    <w:rsid w:val="00867B92"/>
    <w:rsid w:val="00880966"/>
    <w:rsid w:val="008866B5"/>
    <w:rsid w:val="0089000B"/>
    <w:rsid w:val="00890494"/>
    <w:rsid w:val="008A6B9D"/>
    <w:rsid w:val="008B099E"/>
    <w:rsid w:val="008D06F4"/>
    <w:rsid w:val="008D5DE6"/>
    <w:rsid w:val="008E40CD"/>
    <w:rsid w:val="00914644"/>
    <w:rsid w:val="00927E24"/>
    <w:rsid w:val="009822B9"/>
    <w:rsid w:val="009A737A"/>
    <w:rsid w:val="009D6057"/>
    <w:rsid w:val="009F1D37"/>
    <w:rsid w:val="009F247B"/>
    <w:rsid w:val="00A20CD4"/>
    <w:rsid w:val="00A550F6"/>
    <w:rsid w:val="00A64D82"/>
    <w:rsid w:val="00A71C6C"/>
    <w:rsid w:val="00A9599A"/>
    <w:rsid w:val="00AA75C1"/>
    <w:rsid w:val="00AB21B7"/>
    <w:rsid w:val="00AB248F"/>
    <w:rsid w:val="00AB7619"/>
    <w:rsid w:val="00AC0821"/>
    <w:rsid w:val="00AD75DA"/>
    <w:rsid w:val="00AF5B64"/>
    <w:rsid w:val="00B03787"/>
    <w:rsid w:val="00B224CF"/>
    <w:rsid w:val="00B252EC"/>
    <w:rsid w:val="00B5386D"/>
    <w:rsid w:val="00B6549D"/>
    <w:rsid w:val="00B74454"/>
    <w:rsid w:val="00B74B51"/>
    <w:rsid w:val="00B80671"/>
    <w:rsid w:val="00B83EC0"/>
    <w:rsid w:val="00B9768D"/>
    <w:rsid w:val="00BA3CBF"/>
    <w:rsid w:val="00BA5667"/>
    <w:rsid w:val="00BB3E41"/>
    <w:rsid w:val="00BB58CD"/>
    <w:rsid w:val="00BC5C30"/>
    <w:rsid w:val="00C1568B"/>
    <w:rsid w:val="00C16FAD"/>
    <w:rsid w:val="00C40E91"/>
    <w:rsid w:val="00C60524"/>
    <w:rsid w:val="00C60709"/>
    <w:rsid w:val="00C63C56"/>
    <w:rsid w:val="00C7695E"/>
    <w:rsid w:val="00C771F9"/>
    <w:rsid w:val="00C832E1"/>
    <w:rsid w:val="00CB2E3F"/>
    <w:rsid w:val="00CF6F99"/>
    <w:rsid w:val="00CF7BB3"/>
    <w:rsid w:val="00D12DBF"/>
    <w:rsid w:val="00D13B7F"/>
    <w:rsid w:val="00D17AE2"/>
    <w:rsid w:val="00D258D7"/>
    <w:rsid w:val="00D2715D"/>
    <w:rsid w:val="00D4748F"/>
    <w:rsid w:val="00D708EF"/>
    <w:rsid w:val="00DA3AE9"/>
    <w:rsid w:val="00DB428F"/>
    <w:rsid w:val="00DB4BAB"/>
    <w:rsid w:val="00DB70FD"/>
    <w:rsid w:val="00DC4DFD"/>
    <w:rsid w:val="00DC762C"/>
    <w:rsid w:val="00DD002E"/>
    <w:rsid w:val="00E07A69"/>
    <w:rsid w:val="00E15297"/>
    <w:rsid w:val="00E32FDF"/>
    <w:rsid w:val="00E33FCC"/>
    <w:rsid w:val="00E42B37"/>
    <w:rsid w:val="00E56054"/>
    <w:rsid w:val="00E62F50"/>
    <w:rsid w:val="00EA52DC"/>
    <w:rsid w:val="00EB0FA8"/>
    <w:rsid w:val="00ED0A48"/>
    <w:rsid w:val="00EF0169"/>
    <w:rsid w:val="00F038A5"/>
    <w:rsid w:val="00F22B61"/>
    <w:rsid w:val="00F41B3C"/>
    <w:rsid w:val="00F75818"/>
    <w:rsid w:val="00F83F85"/>
    <w:rsid w:val="00F87C3D"/>
    <w:rsid w:val="00FA2797"/>
    <w:rsid w:val="00FA4244"/>
    <w:rsid w:val="00FB27DC"/>
    <w:rsid w:val="00FD3766"/>
    <w:rsid w:val="00FF2B64"/>
    <w:rsid w:val="012E67F7"/>
    <w:rsid w:val="144F1D99"/>
    <w:rsid w:val="1FFD1011"/>
    <w:rsid w:val="31BB3E42"/>
    <w:rsid w:val="38776533"/>
    <w:rsid w:val="7B5F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7EEF5D"/>
  <w15:docId w15:val="{29E8C8D2-B637-447E-B124-F7B41E504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AE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rsid w:val="00DA3AE9"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sid w:val="00DA3AE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DA3A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DA3A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sid w:val="00DA3AE9"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sid w:val="00DA3AE9"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sid w:val="00DA3AE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DA3AE9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sid w:val="00DA3AE9"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sid w:val="00DA3AE9"/>
  </w:style>
  <w:style w:type="character" w:customStyle="1" w:styleId="ac">
    <w:name w:val="批注主题 字符"/>
    <w:basedOn w:val="a4"/>
    <w:link w:val="ab"/>
    <w:uiPriority w:val="99"/>
    <w:semiHidden/>
    <w:qFormat/>
    <w:rsid w:val="00DA3AE9"/>
    <w:rPr>
      <w:b/>
      <w:bCs/>
    </w:rPr>
  </w:style>
  <w:style w:type="paragraph" w:customStyle="1" w:styleId="1">
    <w:name w:val="修订1"/>
    <w:hidden/>
    <w:uiPriority w:val="99"/>
    <w:semiHidden/>
    <w:qFormat/>
    <w:rsid w:val="00DA3AE9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e">
    <w:name w:val="Revision"/>
    <w:hidden/>
    <w:uiPriority w:val="99"/>
    <w:semiHidden/>
    <w:rsid w:val="008D5DE6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2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DEDAA9-D54B-4C70-BF83-F8EDC76B1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刘 铁磊</cp:lastModifiedBy>
  <cp:lastPrinted>2022-04-15T06:37:00Z</cp:lastPrinted>
  <dcterms:created xsi:type="dcterms:W3CDTF">2022-06-09T06:41:00Z</dcterms:created>
  <dcterms:modified xsi:type="dcterms:W3CDTF">2022-06-09T13:58:00Z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74BEDEC7CD9E4874A98C4924F1767BA2</vt:lpwstr>
  </property>
</Properties>
</file>