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31B" w:rsidRDefault="00E3731B" w:rsidP="00E3731B">
      <w:pPr>
        <w:spacing w:line="580" w:lineRule="exact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附件：</w:t>
      </w:r>
    </w:p>
    <w:p w:rsidR="00CA6711" w:rsidRDefault="00DE5EC7" w:rsidP="00E3731B">
      <w:pPr>
        <w:spacing w:line="560" w:lineRule="exact"/>
        <w:jc w:val="center"/>
        <w:rPr>
          <w:rFonts w:ascii="黑体" w:eastAsia="黑体" w:hAnsi="黑体" w:cs="宋体"/>
          <w:b/>
          <w:sz w:val="36"/>
          <w:szCs w:val="36"/>
        </w:rPr>
      </w:pPr>
      <w:r w:rsidRPr="00DE5EC7">
        <w:rPr>
          <w:rFonts w:ascii="黑体" w:eastAsia="黑体" w:hAnsi="黑体" w:cs="宋体" w:hint="eastAsia"/>
          <w:b/>
          <w:sz w:val="36"/>
          <w:szCs w:val="36"/>
        </w:rPr>
        <w:t>上海证券交易所证券交易业务指南第</w:t>
      </w:r>
      <w:r w:rsidRPr="00DE5EC7">
        <w:rPr>
          <w:rFonts w:ascii="黑体" w:eastAsia="黑体" w:hAnsi="黑体" w:cs="宋体"/>
          <w:b/>
          <w:sz w:val="36"/>
          <w:szCs w:val="36"/>
        </w:rPr>
        <w:t>1号</w:t>
      </w:r>
    </w:p>
    <w:p w:rsidR="00E3731B" w:rsidRPr="00CA6711" w:rsidRDefault="00DE5EC7" w:rsidP="00E3731B">
      <w:pPr>
        <w:spacing w:line="560" w:lineRule="exact"/>
        <w:jc w:val="center"/>
        <w:rPr>
          <w:rFonts w:ascii="仿宋_GB2312" w:eastAsia="仿宋_GB2312" w:hAnsi="宋体"/>
          <w:bCs/>
          <w:sz w:val="32"/>
          <w:szCs w:val="32"/>
        </w:rPr>
      </w:pPr>
      <w:r w:rsidRPr="00DE5EC7">
        <w:rPr>
          <w:rFonts w:ascii="黑体" w:eastAsia="黑体" w:hAnsi="黑体" w:cs="宋体" w:hint="eastAsia"/>
          <w:b/>
          <w:sz w:val="36"/>
          <w:szCs w:val="36"/>
        </w:rPr>
        <w:t>——合格境外投资者证券投资业务信息报送</w:t>
      </w:r>
    </w:p>
    <w:p w:rsidR="00E3731B" w:rsidRDefault="00E3731B" w:rsidP="00E3731B">
      <w:pPr>
        <w:spacing w:line="560" w:lineRule="exact"/>
        <w:ind w:firstLineChars="196" w:firstLine="627"/>
        <w:rPr>
          <w:rFonts w:ascii="仿宋_GB2312" w:eastAsia="仿宋_GB2312" w:hAnsi="宋体"/>
          <w:bCs/>
          <w:sz w:val="32"/>
          <w:szCs w:val="32"/>
        </w:rPr>
      </w:pPr>
    </w:p>
    <w:p w:rsidR="00E3731B" w:rsidRDefault="00E3731B" w:rsidP="00E3731B">
      <w:pPr>
        <w:spacing w:line="360" w:lineRule="auto"/>
        <w:ind w:firstLineChars="196" w:firstLine="588"/>
        <w:rPr>
          <w:rFonts w:ascii="仿宋_GB2312" w:eastAsia="仿宋_GB2312" w:hAnsi="宋体"/>
          <w:bCs/>
          <w:sz w:val="30"/>
          <w:szCs w:val="30"/>
        </w:rPr>
      </w:pPr>
      <w:r w:rsidRPr="00773FA0">
        <w:rPr>
          <w:rFonts w:ascii="仿宋_GB2312" w:eastAsia="仿宋_GB2312" w:hAnsi="宋体" w:hint="eastAsia"/>
          <w:bCs/>
          <w:sz w:val="30"/>
          <w:szCs w:val="30"/>
        </w:rPr>
        <w:t>为</w:t>
      </w:r>
      <w:r>
        <w:rPr>
          <w:rFonts w:ascii="仿宋_GB2312" w:eastAsia="仿宋_GB2312" w:hAnsi="宋体" w:hint="eastAsia"/>
          <w:bCs/>
          <w:sz w:val="30"/>
          <w:szCs w:val="30"/>
        </w:rPr>
        <w:t>便利并规范</w:t>
      </w:r>
      <w:r w:rsidRPr="00773FA0">
        <w:rPr>
          <w:rFonts w:ascii="仿宋_GB2312" w:eastAsia="仿宋_GB2312" w:hAnsi="宋体" w:hint="eastAsia"/>
          <w:bCs/>
          <w:sz w:val="30"/>
          <w:szCs w:val="30"/>
        </w:rPr>
        <w:t>合格境外机构投资者和人民币合格境外机构投资者（以下合称合格境外投资者）</w:t>
      </w:r>
      <w:r>
        <w:rPr>
          <w:rFonts w:ascii="仿宋_GB2312" w:eastAsia="仿宋_GB2312" w:hAnsi="宋体" w:hint="eastAsia"/>
          <w:bCs/>
          <w:sz w:val="30"/>
          <w:szCs w:val="30"/>
        </w:rPr>
        <w:t>在上海证券交易所（以下简称本所）开展</w:t>
      </w:r>
      <w:r w:rsidRPr="00773FA0">
        <w:rPr>
          <w:rFonts w:ascii="仿宋_GB2312" w:eastAsia="仿宋_GB2312" w:hAnsi="宋体" w:hint="eastAsia"/>
          <w:bCs/>
          <w:sz w:val="30"/>
          <w:szCs w:val="30"/>
        </w:rPr>
        <w:t>证券</w:t>
      </w:r>
      <w:r>
        <w:rPr>
          <w:rFonts w:ascii="仿宋_GB2312" w:eastAsia="仿宋_GB2312" w:hAnsi="宋体" w:hint="eastAsia"/>
          <w:bCs/>
          <w:sz w:val="30"/>
          <w:szCs w:val="30"/>
        </w:rPr>
        <w:t>及衍生品种交易、</w:t>
      </w:r>
      <w:r w:rsidR="008500BC">
        <w:rPr>
          <w:rFonts w:ascii="仿宋_GB2312" w:eastAsia="仿宋_GB2312" w:hAnsi="宋体" w:hint="eastAsia"/>
          <w:bCs/>
          <w:sz w:val="30"/>
          <w:szCs w:val="30"/>
        </w:rPr>
        <w:t>相关市场主体</w:t>
      </w:r>
      <w:r>
        <w:rPr>
          <w:rFonts w:ascii="仿宋_GB2312" w:eastAsia="仿宋_GB2312" w:hAnsi="宋体" w:hint="eastAsia"/>
          <w:bCs/>
          <w:sz w:val="30"/>
          <w:szCs w:val="30"/>
        </w:rPr>
        <w:t>履行信息报送职责</w:t>
      </w:r>
      <w:r w:rsidRPr="00773FA0">
        <w:rPr>
          <w:rFonts w:ascii="仿宋_GB2312" w:eastAsia="仿宋_GB2312" w:hAnsi="宋体" w:hint="eastAsia"/>
          <w:bCs/>
          <w:sz w:val="30"/>
          <w:szCs w:val="30"/>
        </w:rPr>
        <w:t>，根据《</w:t>
      </w:r>
      <w:r w:rsidR="008500BC" w:rsidRPr="008500BC">
        <w:rPr>
          <w:rFonts w:ascii="仿宋_GB2312" w:eastAsia="仿宋_GB2312" w:hAnsi="宋体" w:hint="eastAsia"/>
          <w:bCs/>
          <w:sz w:val="30"/>
          <w:szCs w:val="30"/>
        </w:rPr>
        <w:t>上海证券交易所证券交易规则适用指引第1号——合格境外机构投资者和人民币合格境外机构投资者</w:t>
      </w:r>
      <w:r w:rsidRPr="00773FA0">
        <w:rPr>
          <w:rFonts w:ascii="仿宋_GB2312" w:eastAsia="仿宋_GB2312" w:hAnsi="宋体" w:hint="eastAsia"/>
          <w:bCs/>
          <w:sz w:val="30"/>
          <w:szCs w:val="30"/>
        </w:rPr>
        <w:t>》等相关规定，制订本指南。</w:t>
      </w:r>
    </w:p>
    <w:p w:rsidR="00E3731B" w:rsidRPr="00923F4A" w:rsidRDefault="00E3731B" w:rsidP="00E3731B">
      <w:pPr>
        <w:spacing w:line="360" w:lineRule="auto"/>
        <w:jc w:val="center"/>
        <w:rPr>
          <w:rFonts w:ascii="黑体" w:eastAsia="黑体"/>
          <w:b/>
          <w:sz w:val="30"/>
          <w:szCs w:val="30"/>
        </w:rPr>
      </w:pPr>
      <w:r w:rsidRPr="00923F4A">
        <w:rPr>
          <w:rFonts w:ascii="黑体" w:eastAsia="黑体" w:hint="eastAsia"/>
          <w:b/>
          <w:sz w:val="30"/>
          <w:szCs w:val="30"/>
        </w:rPr>
        <w:t>第一章 一般规定</w:t>
      </w:r>
    </w:p>
    <w:p w:rsidR="00E3731B" w:rsidRDefault="00E3731B" w:rsidP="00E3731B">
      <w:pPr>
        <w:spacing w:line="360" w:lineRule="auto"/>
        <w:ind w:firstLineChars="196" w:firstLine="588"/>
        <w:rPr>
          <w:rFonts w:ascii="仿宋_GB2312" w:eastAsia="仿宋_GB2312" w:hAnsi="宋体"/>
          <w:bCs/>
          <w:sz w:val="30"/>
          <w:szCs w:val="30"/>
        </w:rPr>
      </w:pPr>
      <w:r>
        <w:rPr>
          <w:rFonts w:ascii="仿宋_GB2312" w:eastAsia="仿宋_GB2312" w:hAnsi="宋体" w:hint="eastAsia"/>
          <w:bCs/>
          <w:sz w:val="30"/>
          <w:szCs w:val="30"/>
        </w:rPr>
        <w:t xml:space="preserve">第一条 </w:t>
      </w:r>
      <w:r w:rsidRPr="00773FA0">
        <w:rPr>
          <w:rFonts w:ascii="仿宋_GB2312" w:eastAsia="仿宋_GB2312" w:hAnsi="宋体" w:hint="eastAsia"/>
          <w:bCs/>
          <w:sz w:val="30"/>
          <w:szCs w:val="30"/>
        </w:rPr>
        <w:t>合格境外投资者</w:t>
      </w:r>
      <w:r>
        <w:rPr>
          <w:rFonts w:ascii="仿宋_GB2312" w:eastAsia="仿宋_GB2312" w:hAnsi="宋体" w:hint="eastAsia"/>
          <w:bCs/>
          <w:sz w:val="30"/>
          <w:szCs w:val="30"/>
        </w:rPr>
        <w:t>、</w:t>
      </w:r>
      <w:r w:rsidRPr="00773FA0">
        <w:rPr>
          <w:rFonts w:ascii="仿宋_GB2312" w:eastAsia="仿宋_GB2312" w:hAnsi="宋体" w:hint="eastAsia"/>
          <w:bCs/>
          <w:sz w:val="30"/>
          <w:szCs w:val="30"/>
        </w:rPr>
        <w:t>合格境外投资者</w:t>
      </w:r>
      <w:r>
        <w:rPr>
          <w:rFonts w:ascii="仿宋_GB2312" w:eastAsia="仿宋_GB2312" w:hAnsi="宋体" w:hint="eastAsia"/>
          <w:bCs/>
          <w:sz w:val="30"/>
          <w:szCs w:val="30"/>
        </w:rPr>
        <w:t>的</w:t>
      </w:r>
      <w:r w:rsidRPr="00E57B6F">
        <w:rPr>
          <w:rFonts w:ascii="仿宋_GB2312" w:eastAsia="仿宋_GB2312" w:hAnsi="宋体" w:hint="eastAsia"/>
          <w:bCs/>
          <w:sz w:val="30"/>
          <w:szCs w:val="30"/>
        </w:rPr>
        <w:t>境内托管人（以下简称托管人）、受托证券公司和期货公司（以下合称受托证券期货经营机构）</w:t>
      </w:r>
      <w:r w:rsidRPr="00773FA0">
        <w:rPr>
          <w:rFonts w:ascii="仿宋_GB2312" w:eastAsia="仿宋_GB2312" w:hAnsi="宋体" w:hint="eastAsia"/>
          <w:bCs/>
          <w:sz w:val="30"/>
          <w:szCs w:val="30"/>
        </w:rPr>
        <w:t>参与本所证券</w:t>
      </w:r>
      <w:r>
        <w:rPr>
          <w:rFonts w:ascii="仿宋_GB2312" w:eastAsia="仿宋_GB2312" w:hAnsi="宋体" w:hint="eastAsia"/>
          <w:bCs/>
          <w:sz w:val="30"/>
          <w:szCs w:val="30"/>
        </w:rPr>
        <w:t>及衍生品种交易</w:t>
      </w:r>
      <w:r>
        <w:rPr>
          <w:rFonts w:ascii="仿宋_GB2312" w:eastAsia="仿宋_GB2312" w:hint="eastAsia"/>
          <w:sz w:val="30"/>
          <w:szCs w:val="30"/>
        </w:rPr>
        <w:t>，应当</w:t>
      </w:r>
      <w:r w:rsidRPr="001709F0">
        <w:rPr>
          <w:rFonts w:ascii="仿宋_GB2312" w:eastAsia="仿宋_GB2312" w:hint="eastAsia"/>
          <w:sz w:val="30"/>
          <w:szCs w:val="30"/>
        </w:rPr>
        <w:t>建立并实施有效的内部控制和合规管理制度，</w:t>
      </w:r>
      <w:r>
        <w:rPr>
          <w:rFonts w:ascii="仿宋_GB2312" w:eastAsia="仿宋_GB2312" w:hint="eastAsia"/>
          <w:sz w:val="30"/>
          <w:szCs w:val="30"/>
        </w:rPr>
        <w:t>切实履行信息报送相关职责，接受本所的监督管理。</w:t>
      </w:r>
    </w:p>
    <w:p w:rsidR="00E3731B" w:rsidRDefault="00E3731B" w:rsidP="00E3731B">
      <w:pPr>
        <w:spacing w:line="360" w:lineRule="auto"/>
        <w:ind w:firstLineChars="196" w:firstLine="588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Ansi="宋体" w:hint="eastAsia"/>
          <w:bCs/>
          <w:sz w:val="30"/>
          <w:szCs w:val="30"/>
        </w:rPr>
        <w:t xml:space="preserve">第二条 </w:t>
      </w:r>
      <w:r w:rsidRPr="00A240A2">
        <w:rPr>
          <w:rFonts w:ascii="仿宋_GB2312" w:eastAsia="仿宋_GB2312" w:hint="eastAsia"/>
          <w:sz w:val="30"/>
          <w:szCs w:val="30"/>
        </w:rPr>
        <w:t>合格境外投资者</w:t>
      </w:r>
      <w:r>
        <w:rPr>
          <w:rFonts w:ascii="仿宋_GB2312" w:eastAsia="仿宋_GB2312" w:hint="eastAsia"/>
          <w:sz w:val="30"/>
          <w:szCs w:val="30"/>
        </w:rPr>
        <w:t>、托管人、</w:t>
      </w:r>
      <w:r w:rsidRPr="00E57B6F">
        <w:rPr>
          <w:rFonts w:ascii="仿宋_GB2312" w:eastAsia="仿宋_GB2312" w:hAnsi="宋体" w:hint="eastAsia"/>
          <w:bCs/>
          <w:sz w:val="30"/>
          <w:szCs w:val="30"/>
        </w:rPr>
        <w:t>受托证券期货经营机构</w:t>
      </w:r>
      <w:r w:rsidRPr="00A240A2">
        <w:rPr>
          <w:rFonts w:ascii="仿宋_GB2312" w:eastAsia="仿宋_GB2312" w:hint="eastAsia"/>
          <w:sz w:val="30"/>
          <w:szCs w:val="30"/>
        </w:rPr>
        <w:t>应当遵守本</w:t>
      </w:r>
      <w:r>
        <w:rPr>
          <w:rFonts w:ascii="仿宋_GB2312" w:eastAsia="仿宋_GB2312" w:hint="eastAsia"/>
          <w:sz w:val="30"/>
          <w:szCs w:val="30"/>
        </w:rPr>
        <w:t>指南</w:t>
      </w:r>
      <w:r w:rsidRPr="00A240A2">
        <w:rPr>
          <w:rFonts w:ascii="仿宋_GB2312" w:eastAsia="仿宋_GB2312" w:hint="eastAsia"/>
          <w:sz w:val="30"/>
          <w:szCs w:val="30"/>
        </w:rPr>
        <w:t>的规定，通过本所</w:t>
      </w:r>
      <w:r>
        <w:rPr>
          <w:rFonts w:ascii="仿宋_GB2312" w:eastAsia="仿宋_GB2312" w:hint="eastAsia"/>
          <w:sz w:val="30"/>
          <w:szCs w:val="30"/>
        </w:rPr>
        <w:t>指定路径和方式</w:t>
      </w:r>
      <w:r w:rsidRPr="00A240A2">
        <w:rPr>
          <w:rFonts w:ascii="仿宋_GB2312" w:eastAsia="仿宋_GB2312" w:hint="eastAsia"/>
          <w:sz w:val="30"/>
          <w:szCs w:val="30"/>
        </w:rPr>
        <w:t>，做好各类</w:t>
      </w:r>
      <w:r>
        <w:rPr>
          <w:rFonts w:ascii="仿宋_GB2312" w:eastAsia="仿宋_GB2312" w:hint="eastAsia"/>
          <w:sz w:val="30"/>
          <w:szCs w:val="30"/>
        </w:rPr>
        <w:t>信息</w:t>
      </w:r>
      <w:r w:rsidRPr="00A240A2">
        <w:rPr>
          <w:rFonts w:ascii="仿宋_GB2312" w:eastAsia="仿宋_GB2312" w:hint="eastAsia"/>
          <w:sz w:val="30"/>
          <w:szCs w:val="30"/>
        </w:rPr>
        <w:t>的填报和更新工作。</w:t>
      </w:r>
    </w:p>
    <w:p w:rsidR="00E3731B" w:rsidRDefault="00E3731B" w:rsidP="00E3731B">
      <w:pPr>
        <w:spacing w:line="360" w:lineRule="auto"/>
        <w:ind w:firstLineChars="196" w:firstLine="588"/>
        <w:rPr>
          <w:rFonts w:ascii="仿宋_GB2312" w:eastAsia="仿宋_GB2312" w:cs="仿宋_GB2312"/>
          <w:kern w:val="0"/>
          <w:sz w:val="30"/>
          <w:szCs w:val="30"/>
        </w:rPr>
      </w:pPr>
      <w:r w:rsidRPr="00A240A2">
        <w:rPr>
          <w:rFonts w:ascii="仿宋_GB2312" w:eastAsia="仿宋_GB2312" w:hint="eastAsia"/>
          <w:sz w:val="30"/>
          <w:szCs w:val="30"/>
        </w:rPr>
        <w:t>合格境外投资者</w:t>
      </w:r>
      <w:r>
        <w:rPr>
          <w:rFonts w:ascii="仿宋_GB2312" w:eastAsia="仿宋_GB2312" w:hint="eastAsia"/>
          <w:sz w:val="30"/>
          <w:szCs w:val="30"/>
        </w:rPr>
        <w:t>、托管人、</w:t>
      </w:r>
      <w:r w:rsidRPr="00E57B6F">
        <w:rPr>
          <w:rFonts w:ascii="仿宋_GB2312" w:eastAsia="仿宋_GB2312" w:hAnsi="宋体" w:hint="eastAsia"/>
          <w:bCs/>
          <w:sz w:val="30"/>
          <w:szCs w:val="30"/>
        </w:rPr>
        <w:t>受托证券期货经营机构</w:t>
      </w:r>
      <w:r>
        <w:rPr>
          <w:rFonts w:ascii="仿宋_GB2312" w:eastAsia="仿宋_GB2312" w:hAnsi="宋体" w:hint="eastAsia"/>
          <w:bCs/>
          <w:sz w:val="30"/>
          <w:szCs w:val="30"/>
        </w:rPr>
        <w:t>应确保向本所提交的相关文件或信息真实、准确、完整，并</w:t>
      </w:r>
      <w:r>
        <w:rPr>
          <w:rFonts w:ascii="仿宋_GB2312" w:eastAsia="仿宋_GB2312" w:cs="仿宋_GB2312" w:hint="eastAsia"/>
          <w:kern w:val="0"/>
          <w:sz w:val="30"/>
          <w:szCs w:val="30"/>
        </w:rPr>
        <w:t>依法承担相应责任。</w:t>
      </w:r>
    </w:p>
    <w:p w:rsidR="00E3731B" w:rsidRDefault="00E3731B" w:rsidP="00E3731B">
      <w:pPr>
        <w:spacing w:line="360" w:lineRule="auto"/>
        <w:ind w:firstLineChars="196" w:firstLine="588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Ansi="宋体" w:hint="eastAsia"/>
          <w:bCs/>
          <w:sz w:val="30"/>
          <w:szCs w:val="30"/>
        </w:rPr>
        <w:lastRenderedPageBreak/>
        <w:t>第三条 本所</w:t>
      </w:r>
      <w:r>
        <w:rPr>
          <w:rFonts w:ascii="仿宋_GB2312" w:eastAsia="仿宋_GB2312" w:cs="仿宋_GB2312" w:hint="eastAsia"/>
          <w:kern w:val="0"/>
          <w:sz w:val="30"/>
          <w:szCs w:val="30"/>
        </w:rPr>
        <w:t>会员部统筹管理合格境外投资者</w:t>
      </w:r>
      <w:r>
        <w:rPr>
          <w:rFonts w:ascii="仿宋_GB2312" w:eastAsia="仿宋_GB2312" w:hint="eastAsia"/>
          <w:sz w:val="30"/>
          <w:szCs w:val="30"/>
        </w:rPr>
        <w:t>信息报送相关工作，各项具体业务的实施请询具体业务部门。</w:t>
      </w:r>
    </w:p>
    <w:p w:rsidR="00E3731B" w:rsidRPr="00923F4A" w:rsidRDefault="00E3731B" w:rsidP="00E3731B">
      <w:pPr>
        <w:spacing w:line="360" w:lineRule="auto"/>
        <w:jc w:val="center"/>
        <w:rPr>
          <w:rFonts w:ascii="黑体" w:eastAsia="黑体"/>
          <w:b/>
          <w:sz w:val="30"/>
          <w:szCs w:val="30"/>
        </w:rPr>
      </w:pPr>
      <w:r w:rsidRPr="00923F4A">
        <w:rPr>
          <w:rFonts w:ascii="黑体" w:eastAsia="黑体" w:hint="eastAsia"/>
          <w:b/>
          <w:sz w:val="30"/>
          <w:szCs w:val="30"/>
        </w:rPr>
        <w:t xml:space="preserve">第二章 </w:t>
      </w:r>
      <w:r>
        <w:rPr>
          <w:rFonts w:ascii="黑体" w:eastAsia="黑体" w:hint="eastAsia"/>
          <w:b/>
          <w:sz w:val="30"/>
          <w:szCs w:val="30"/>
        </w:rPr>
        <w:t>报送</w:t>
      </w:r>
      <w:r w:rsidRPr="00923F4A">
        <w:rPr>
          <w:rFonts w:ascii="黑体" w:eastAsia="黑体" w:hint="eastAsia"/>
          <w:b/>
          <w:sz w:val="30"/>
          <w:szCs w:val="30"/>
        </w:rPr>
        <w:t>路径</w:t>
      </w:r>
    </w:p>
    <w:p w:rsidR="00E3731B" w:rsidRDefault="00E3731B" w:rsidP="00E3731B">
      <w:pPr>
        <w:spacing w:line="360" w:lineRule="auto"/>
        <w:ind w:firstLineChars="200" w:firstLine="600"/>
        <w:rPr>
          <w:rFonts w:ascii="仿宋_GB2312" w:eastAsia="仿宋_GB2312" w:cs="仿宋_GB2312"/>
          <w:kern w:val="0"/>
          <w:sz w:val="30"/>
          <w:szCs w:val="30"/>
        </w:rPr>
      </w:pPr>
      <w:r>
        <w:rPr>
          <w:rFonts w:ascii="仿宋_GB2312" w:eastAsia="仿宋_GB2312" w:hAnsi="宋体" w:hint="eastAsia"/>
          <w:bCs/>
          <w:sz w:val="30"/>
          <w:szCs w:val="30"/>
        </w:rPr>
        <w:t xml:space="preserve">第四条 </w:t>
      </w:r>
      <w:r>
        <w:rPr>
          <w:rFonts w:ascii="仿宋_GB2312" w:eastAsia="仿宋_GB2312" w:cs="仿宋_GB2312" w:hint="eastAsia"/>
          <w:kern w:val="0"/>
          <w:sz w:val="30"/>
          <w:szCs w:val="30"/>
        </w:rPr>
        <w:t>托管人</w:t>
      </w:r>
      <w:r w:rsidRPr="00100929">
        <w:rPr>
          <w:rFonts w:ascii="仿宋_GB2312" w:eastAsia="仿宋_GB2312" w:cs="仿宋_GB2312" w:hint="eastAsia"/>
          <w:kern w:val="0"/>
          <w:sz w:val="30"/>
          <w:szCs w:val="30"/>
        </w:rPr>
        <w:t>办理信息</w:t>
      </w:r>
      <w:r>
        <w:rPr>
          <w:rFonts w:ascii="仿宋_GB2312" w:eastAsia="仿宋_GB2312" w:cs="仿宋_GB2312" w:hint="eastAsia"/>
          <w:kern w:val="0"/>
          <w:sz w:val="30"/>
          <w:szCs w:val="30"/>
        </w:rPr>
        <w:t>报送的，应进入</w:t>
      </w:r>
      <w:r w:rsidRPr="005B0F9F">
        <w:rPr>
          <w:rFonts w:ascii="仿宋_GB2312" w:eastAsia="仿宋_GB2312" w:cs="仿宋_GB2312" w:hint="eastAsia"/>
          <w:kern w:val="0"/>
          <w:sz w:val="30"/>
          <w:szCs w:val="30"/>
        </w:rPr>
        <w:t>本所网站（</w:t>
      </w:r>
      <w:r w:rsidRPr="005B0F9F">
        <w:rPr>
          <w:rFonts w:ascii="仿宋_GB2312" w:eastAsia="仿宋_GB2312" w:cs="仿宋_GB2312"/>
          <w:kern w:val="0"/>
          <w:sz w:val="30"/>
          <w:szCs w:val="30"/>
        </w:rPr>
        <w:t>www.sse.com.cn</w:t>
      </w:r>
      <w:r w:rsidRPr="005B0F9F">
        <w:rPr>
          <w:rFonts w:ascii="仿宋_GB2312" w:eastAsia="仿宋_GB2312" w:cs="仿宋_GB2312" w:hint="eastAsia"/>
          <w:kern w:val="0"/>
          <w:sz w:val="30"/>
          <w:szCs w:val="30"/>
        </w:rPr>
        <w:t>）</w:t>
      </w:r>
      <w:r>
        <w:rPr>
          <w:rFonts w:ascii="仿宋_GB2312" w:eastAsia="仿宋_GB2312" w:cs="仿宋_GB2312" w:hint="eastAsia"/>
          <w:kern w:val="0"/>
          <w:sz w:val="30"/>
          <w:szCs w:val="30"/>
        </w:rPr>
        <w:t>“</w:t>
      </w:r>
      <w:r w:rsidRPr="007B7F64">
        <w:rPr>
          <w:rFonts w:ascii="仿宋_GB2312" w:eastAsia="仿宋_GB2312" w:cs="仿宋_GB2312"/>
          <w:kern w:val="0"/>
          <w:sz w:val="30"/>
          <w:szCs w:val="30"/>
        </w:rPr>
        <w:t>会员</w:t>
      </w:r>
      <w:r>
        <w:rPr>
          <w:rFonts w:ascii="仿宋_GB2312" w:eastAsia="仿宋_GB2312" w:cs="仿宋_GB2312" w:hint="eastAsia"/>
          <w:kern w:val="0"/>
          <w:sz w:val="30"/>
          <w:szCs w:val="30"/>
        </w:rPr>
        <w:t>/证券机构</w:t>
      </w:r>
      <w:r w:rsidRPr="007B7F64">
        <w:rPr>
          <w:rFonts w:ascii="仿宋_GB2312" w:eastAsia="仿宋_GB2312" w:cs="仿宋_GB2312"/>
          <w:kern w:val="0"/>
          <w:sz w:val="30"/>
          <w:szCs w:val="30"/>
        </w:rPr>
        <w:t>专区</w:t>
      </w:r>
      <w:r>
        <w:rPr>
          <w:rFonts w:ascii="仿宋_GB2312" w:eastAsia="仿宋_GB2312" w:cs="仿宋_GB2312" w:hint="eastAsia"/>
          <w:kern w:val="0"/>
          <w:sz w:val="30"/>
          <w:szCs w:val="30"/>
        </w:rPr>
        <w:t>”，通过“</w:t>
      </w:r>
      <w:r w:rsidRPr="007B7F64">
        <w:rPr>
          <w:rFonts w:ascii="仿宋_GB2312" w:eastAsia="仿宋_GB2312" w:cs="仿宋_GB2312"/>
          <w:kern w:val="0"/>
          <w:sz w:val="30"/>
          <w:szCs w:val="30"/>
        </w:rPr>
        <w:t>在线填报</w:t>
      </w:r>
      <w:r>
        <w:rPr>
          <w:rFonts w:ascii="仿宋_GB2312" w:eastAsia="仿宋_GB2312" w:cs="仿宋_GB2312" w:hint="eastAsia"/>
          <w:kern w:val="0"/>
          <w:sz w:val="30"/>
          <w:szCs w:val="30"/>
        </w:rPr>
        <w:t>——</w:t>
      </w:r>
      <w:r w:rsidRPr="007B7F64">
        <w:rPr>
          <w:rFonts w:ascii="仿宋_GB2312" w:eastAsia="仿宋_GB2312" w:cs="仿宋_GB2312"/>
          <w:kern w:val="0"/>
          <w:sz w:val="30"/>
          <w:szCs w:val="30"/>
        </w:rPr>
        <w:t>QFII</w:t>
      </w:r>
      <w:r>
        <w:rPr>
          <w:rFonts w:ascii="仿宋_GB2312" w:eastAsia="仿宋_GB2312" w:cs="仿宋_GB2312" w:hint="eastAsia"/>
          <w:kern w:val="0"/>
          <w:sz w:val="30"/>
          <w:szCs w:val="30"/>
        </w:rPr>
        <w:t>/RQFII填报”栏目在线办理</w:t>
      </w:r>
      <w:r w:rsidRPr="007B7F64">
        <w:rPr>
          <w:rFonts w:ascii="仿宋_GB2312" w:eastAsia="仿宋_GB2312" w:cs="仿宋_GB2312"/>
          <w:kern w:val="0"/>
          <w:sz w:val="30"/>
          <w:szCs w:val="30"/>
        </w:rPr>
        <w:t>。</w:t>
      </w:r>
    </w:p>
    <w:p w:rsidR="00E3731B" w:rsidRDefault="00E3731B" w:rsidP="00E3731B">
      <w:pPr>
        <w:spacing w:line="360" w:lineRule="auto"/>
        <w:ind w:firstLineChars="200" w:firstLine="600"/>
        <w:rPr>
          <w:rFonts w:ascii="仿宋_GB2312" w:eastAsia="仿宋_GB2312" w:cs="仿宋_GB2312"/>
          <w:kern w:val="0"/>
          <w:sz w:val="30"/>
          <w:szCs w:val="30"/>
        </w:rPr>
      </w:pPr>
      <w:r w:rsidRPr="00F669D3">
        <w:rPr>
          <w:rFonts w:ascii="仿宋_GB2312" w:eastAsia="仿宋_GB2312" w:cs="仿宋_GB2312" w:hint="eastAsia"/>
          <w:kern w:val="0"/>
          <w:sz w:val="30"/>
          <w:szCs w:val="30"/>
        </w:rPr>
        <w:t>托管人首次开展信息</w:t>
      </w:r>
      <w:r>
        <w:rPr>
          <w:rFonts w:ascii="仿宋_GB2312" w:eastAsia="仿宋_GB2312" w:cs="仿宋_GB2312" w:hint="eastAsia"/>
          <w:kern w:val="0"/>
          <w:sz w:val="30"/>
          <w:szCs w:val="30"/>
        </w:rPr>
        <w:t>报送</w:t>
      </w:r>
      <w:r w:rsidRPr="00F669D3">
        <w:rPr>
          <w:rFonts w:ascii="仿宋_GB2312" w:eastAsia="仿宋_GB2312" w:cs="仿宋_GB2312" w:hint="eastAsia"/>
          <w:kern w:val="0"/>
          <w:sz w:val="30"/>
          <w:szCs w:val="30"/>
        </w:rPr>
        <w:t>工作</w:t>
      </w:r>
      <w:r>
        <w:rPr>
          <w:rFonts w:ascii="仿宋_GB2312" w:eastAsia="仿宋_GB2312" w:cs="仿宋_GB2312" w:hint="eastAsia"/>
          <w:kern w:val="0"/>
          <w:sz w:val="30"/>
          <w:szCs w:val="30"/>
        </w:rPr>
        <w:t>的</w:t>
      </w:r>
      <w:r w:rsidRPr="00F669D3">
        <w:rPr>
          <w:rFonts w:ascii="仿宋_GB2312" w:eastAsia="仿宋_GB2312" w:cs="仿宋_GB2312" w:hint="eastAsia"/>
          <w:kern w:val="0"/>
          <w:sz w:val="30"/>
          <w:szCs w:val="30"/>
        </w:rPr>
        <w:t>，应当首先填报自身信息</w:t>
      </w:r>
      <w:r>
        <w:rPr>
          <w:rFonts w:ascii="仿宋_GB2312" w:eastAsia="仿宋_GB2312" w:cs="仿宋_GB2312" w:hint="eastAsia"/>
          <w:kern w:val="0"/>
          <w:sz w:val="30"/>
          <w:szCs w:val="30"/>
        </w:rPr>
        <w:t>；</w:t>
      </w:r>
      <w:r w:rsidRPr="00F669D3">
        <w:rPr>
          <w:rFonts w:ascii="仿宋_GB2312" w:eastAsia="仿宋_GB2312" w:cs="仿宋_GB2312" w:hint="eastAsia"/>
          <w:kern w:val="0"/>
          <w:sz w:val="30"/>
          <w:szCs w:val="30"/>
        </w:rPr>
        <w:t>托管人新增托管合格境外投资者</w:t>
      </w:r>
      <w:r>
        <w:rPr>
          <w:rFonts w:ascii="仿宋_GB2312" w:eastAsia="仿宋_GB2312" w:cs="仿宋_GB2312" w:hint="eastAsia"/>
          <w:kern w:val="0"/>
          <w:sz w:val="30"/>
          <w:szCs w:val="30"/>
        </w:rPr>
        <w:t>的</w:t>
      </w:r>
      <w:r w:rsidRPr="00F669D3">
        <w:rPr>
          <w:rFonts w:ascii="仿宋_GB2312" w:eastAsia="仿宋_GB2312" w:cs="仿宋_GB2312" w:hint="eastAsia"/>
          <w:kern w:val="0"/>
          <w:sz w:val="30"/>
          <w:szCs w:val="30"/>
        </w:rPr>
        <w:t>，应当新建其所托管的合格境外投资者信息条目（每家合格境外投资者享有一个单独的条目），通过条目中的各子栏目，进行该合格境外投资者相关信息的填报与更新。</w:t>
      </w:r>
    </w:p>
    <w:p w:rsidR="00E3731B" w:rsidRPr="00C87642" w:rsidRDefault="00E3731B" w:rsidP="00E3731B">
      <w:pPr>
        <w:spacing w:line="360" w:lineRule="auto"/>
        <w:ind w:firstLineChars="200" w:firstLine="600"/>
        <w:rPr>
          <w:rFonts w:ascii="仿宋_GB2312" w:eastAsia="仿宋_GB2312" w:cs="仿宋_GB2312"/>
          <w:kern w:val="0"/>
          <w:sz w:val="30"/>
          <w:szCs w:val="30"/>
        </w:rPr>
      </w:pPr>
      <w:r w:rsidRPr="00B457AB">
        <w:rPr>
          <w:rFonts w:ascii="仿宋_GB2312" w:eastAsia="仿宋_GB2312" w:hint="eastAsia"/>
          <w:sz w:val="30"/>
          <w:szCs w:val="30"/>
        </w:rPr>
        <w:t>合格境外投资者委托2个以上托管人的，</w:t>
      </w:r>
      <w:r w:rsidR="009218A3" w:rsidRPr="004E5E7B">
        <w:rPr>
          <w:rFonts w:ascii="仿宋_GB2312" w:eastAsia="仿宋_GB2312" w:hint="eastAsia"/>
          <w:sz w:val="30"/>
          <w:szCs w:val="30"/>
        </w:rPr>
        <w:t>应当指定1个</w:t>
      </w:r>
      <w:r w:rsidRPr="00B457AB">
        <w:rPr>
          <w:rFonts w:ascii="仿宋_GB2312" w:eastAsia="仿宋_GB2312" w:hint="eastAsia"/>
          <w:sz w:val="30"/>
          <w:szCs w:val="30"/>
        </w:rPr>
        <w:t>主报告人</w:t>
      </w:r>
      <w:r w:rsidR="009218A3">
        <w:rPr>
          <w:rFonts w:ascii="仿宋_GB2312" w:eastAsia="仿宋_GB2312" w:hint="eastAsia"/>
          <w:sz w:val="30"/>
          <w:szCs w:val="30"/>
        </w:rPr>
        <w:t>，</w:t>
      </w:r>
      <w:r w:rsidRPr="00B457AB">
        <w:rPr>
          <w:rFonts w:ascii="仿宋_GB2312" w:eastAsia="仿宋_GB2312" w:hint="eastAsia"/>
          <w:sz w:val="30"/>
          <w:szCs w:val="30"/>
        </w:rPr>
        <w:t>负责代其统一办理信息</w:t>
      </w:r>
      <w:r>
        <w:rPr>
          <w:rFonts w:ascii="仿宋_GB2312" w:eastAsia="仿宋_GB2312" w:hint="eastAsia"/>
          <w:sz w:val="30"/>
          <w:szCs w:val="30"/>
        </w:rPr>
        <w:t>报送</w:t>
      </w:r>
      <w:r w:rsidRPr="00B457AB">
        <w:rPr>
          <w:rFonts w:ascii="仿宋_GB2312" w:eastAsia="仿宋_GB2312" w:hint="eastAsia"/>
          <w:sz w:val="30"/>
          <w:szCs w:val="30"/>
        </w:rPr>
        <w:t>等事项。合格境外投资者</w:t>
      </w:r>
      <w:r>
        <w:rPr>
          <w:rFonts w:ascii="仿宋_GB2312" w:eastAsia="仿宋_GB2312" w:hint="eastAsia"/>
          <w:sz w:val="30"/>
          <w:szCs w:val="30"/>
        </w:rPr>
        <w:t>变更负责</w:t>
      </w:r>
      <w:r w:rsidRPr="00B457AB">
        <w:rPr>
          <w:rFonts w:ascii="仿宋_GB2312" w:eastAsia="仿宋_GB2312" w:hint="eastAsia"/>
          <w:sz w:val="30"/>
          <w:szCs w:val="30"/>
        </w:rPr>
        <w:t>信息</w:t>
      </w:r>
      <w:r>
        <w:rPr>
          <w:rFonts w:ascii="仿宋_GB2312" w:eastAsia="仿宋_GB2312" w:hint="eastAsia"/>
          <w:sz w:val="30"/>
          <w:szCs w:val="30"/>
        </w:rPr>
        <w:t>报送的托管人或</w:t>
      </w:r>
      <w:r w:rsidRPr="00B457AB">
        <w:rPr>
          <w:rFonts w:ascii="仿宋_GB2312" w:eastAsia="仿宋_GB2312" w:hint="eastAsia"/>
          <w:sz w:val="30"/>
          <w:szCs w:val="30"/>
        </w:rPr>
        <w:t>主报告人</w:t>
      </w:r>
      <w:r>
        <w:rPr>
          <w:rFonts w:ascii="仿宋_GB2312" w:eastAsia="仿宋_GB2312" w:hint="eastAsia"/>
          <w:sz w:val="30"/>
          <w:szCs w:val="30"/>
        </w:rPr>
        <w:t>的，继任托管人或</w:t>
      </w:r>
      <w:r w:rsidRPr="00B457AB">
        <w:rPr>
          <w:rFonts w:ascii="仿宋_GB2312" w:eastAsia="仿宋_GB2312" w:hint="eastAsia"/>
          <w:sz w:val="30"/>
          <w:szCs w:val="30"/>
        </w:rPr>
        <w:t>主报告人</w:t>
      </w:r>
      <w:r>
        <w:rPr>
          <w:rFonts w:ascii="仿宋_GB2312" w:eastAsia="仿宋_GB2312" w:hint="eastAsia"/>
          <w:sz w:val="30"/>
          <w:szCs w:val="30"/>
        </w:rPr>
        <w:t>通过第一款路径报送信息前，须联系本所会员部，</w:t>
      </w:r>
      <w:r>
        <w:rPr>
          <w:rFonts w:ascii="仿宋_GB2312" w:eastAsia="仿宋_GB2312" w:hAnsi="宋体" w:hint="eastAsia"/>
          <w:bCs/>
          <w:sz w:val="30"/>
          <w:szCs w:val="30"/>
        </w:rPr>
        <w:t>以获得修改对应</w:t>
      </w:r>
      <w:r w:rsidRPr="00F669D3">
        <w:rPr>
          <w:rFonts w:ascii="仿宋_GB2312" w:eastAsia="仿宋_GB2312" w:cs="仿宋_GB2312" w:hint="eastAsia"/>
          <w:kern w:val="0"/>
          <w:sz w:val="30"/>
          <w:szCs w:val="30"/>
        </w:rPr>
        <w:t>合格境外投资者</w:t>
      </w:r>
      <w:r>
        <w:rPr>
          <w:rFonts w:ascii="仿宋_GB2312" w:eastAsia="仿宋_GB2312" w:cs="仿宋_GB2312" w:hint="eastAsia"/>
          <w:kern w:val="0"/>
          <w:sz w:val="30"/>
          <w:szCs w:val="30"/>
        </w:rPr>
        <w:t>条目的权限</w:t>
      </w:r>
      <w:r>
        <w:rPr>
          <w:rFonts w:ascii="仿宋_GB2312" w:eastAsia="仿宋_GB2312" w:hAnsi="宋体" w:hint="eastAsia"/>
          <w:bCs/>
          <w:sz w:val="30"/>
          <w:szCs w:val="30"/>
        </w:rPr>
        <w:t>。</w:t>
      </w:r>
    </w:p>
    <w:p w:rsidR="00E3731B" w:rsidRDefault="00E3731B" w:rsidP="00E3731B">
      <w:pPr>
        <w:spacing w:line="560" w:lineRule="exact"/>
        <w:ind w:firstLineChars="180" w:firstLine="540"/>
        <w:rPr>
          <w:rFonts w:ascii="仿宋_GB2312" w:eastAsia="仿宋_GB2312"/>
          <w:sz w:val="30"/>
          <w:szCs w:val="30"/>
        </w:rPr>
      </w:pPr>
      <w:r w:rsidRPr="005A465A">
        <w:rPr>
          <w:rFonts w:ascii="仿宋_GB2312" w:eastAsia="仿宋_GB2312" w:hAnsi="宋体" w:hint="eastAsia"/>
          <w:noProof/>
          <w:kern w:val="0"/>
          <w:sz w:val="30"/>
          <w:szCs w:val="30"/>
        </w:rPr>
        <w:t>第</w:t>
      </w:r>
      <w:r>
        <w:rPr>
          <w:rFonts w:ascii="仿宋_GB2312" w:eastAsia="仿宋_GB2312" w:hAnsi="宋体" w:hint="eastAsia"/>
          <w:noProof/>
          <w:kern w:val="0"/>
          <w:sz w:val="30"/>
          <w:szCs w:val="30"/>
        </w:rPr>
        <w:t>五</w:t>
      </w:r>
      <w:r w:rsidRPr="005A465A">
        <w:rPr>
          <w:rFonts w:ascii="仿宋_GB2312" w:eastAsia="仿宋_GB2312" w:hAnsi="宋体" w:hint="eastAsia"/>
          <w:noProof/>
          <w:kern w:val="0"/>
          <w:sz w:val="30"/>
          <w:szCs w:val="30"/>
        </w:rPr>
        <w:t>条</w:t>
      </w:r>
      <w:r>
        <w:rPr>
          <w:rFonts w:ascii="仿宋_GB2312" w:eastAsia="仿宋_GB2312" w:hAnsi="宋体" w:hint="eastAsia"/>
          <w:noProof/>
          <w:kern w:val="0"/>
          <w:sz w:val="30"/>
          <w:szCs w:val="30"/>
        </w:rPr>
        <w:t xml:space="preserve"> </w:t>
      </w:r>
      <w:r w:rsidRPr="00AD477C">
        <w:rPr>
          <w:rFonts w:ascii="仿宋_GB2312" w:eastAsia="仿宋_GB2312" w:cs="仿宋_GB2312" w:hint="eastAsia"/>
          <w:kern w:val="0"/>
          <w:sz w:val="30"/>
          <w:szCs w:val="30"/>
        </w:rPr>
        <w:t>受托证券期货经营机构应当</w:t>
      </w:r>
      <w:r>
        <w:rPr>
          <w:rFonts w:ascii="仿宋_GB2312" w:eastAsia="仿宋_GB2312" w:cs="仿宋_GB2312" w:hint="eastAsia"/>
          <w:kern w:val="0"/>
          <w:sz w:val="30"/>
          <w:szCs w:val="30"/>
        </w:rPr>
        <w:t>通过“</w:t>
      </w:r>
      <w:r>
        <w:rPr>
          <w:rFonts w:ascii="仿宋_GB2312" w:eastAsia="仿宋_GB2312" w:hint="eastAsia"/>
          <w:sz w:val="30"/>
          <w:szCs w:val="30"/>
        </w:rPr>
        <w:t>会员/证券机构专区-会员监管-函件往来-工作函件</w:t>
      </w:r>
      <w:r>
        <w:rPr>
          <w:rFonts w:ascii="仿宋_GB2312" w:eastAsia="仿宋_GB2312" w:cs="仿宋_GB2312" w:hint="eastAsia"/>
          <w:kern w:val="0"/>
          <w:sz w:val="30"/>
          <w:szCs w:val="30"/>
        </w:rPr>
        <w:t>”办理相关信息报送业务。</w:t>
      </w:r>
    </w:p>
    <w:p w:rsidR="00E3731B" w:rsidRPr="00B355DD" w:rsidRDefault="00E3731B" w:rsidP="00E3731B">
      <w:pPr>
        <w:spacing w:line="360" w:lineRule="auto"/>
        <w:jc w:val="center"/>
        <w:rPr>
          <w:rFonts w:ascii="黑体" w:eastAsia="黑体"/>
          <w:b/>
          <w:sz w:val="30"/>
          <w:szCs w:val="30"/>
        </w:rPr>
      </w:pPr>
      <w:r w:rsidRPr="00923F4A">
        <w:rPr>
          <w:rFonts w:ascii="黑体" w:eastAsia="黑体" w:hint="eastAsia"/>
          <w:b/>
          <w:sz w:val="30"/>
          <w:szCs w:val="30"/>
        </w:rPr>
        <w:t xml:space="preserve">第三章 </w:t>
      </w:r>
      <w:r>
        <w:rPr>
          <w:rFonts w:ascii="黑体" w:eastAsia="黑体" w:hint="eastAsia"/>
          <w:b/>
          <w:sz w:val="30"/>
          <w:szCs w:val="30"/>
        </w:rPr>
        <w:t>报送</w:t>
      </w:r>
      <w:r w:rsidRPr="00923F4A">
        <w:rPr>
          <w:rFonts w:ascii="黑体" w:eastAsia="黑体" w:hint="eastAsia"/>
          <w:b/>
          <w:sz w:val="30"/>
          <w:szCs w:val="30"/>
        </w:rPr>
        <w:t>内容与流程</w:t>
      </w:r>
    </w:p>
    <w:p w:rsidR="00E3731B" w:rsidRDefault="00E3731B" w:rsidP="00E3731B">
      <w:pPr>
        <w:spacing w:line="360" w:lineRule="auto"/>
        <w:ind w:firstLineChars="196" w:firstLine="588"/>
        <w:rPr>
          <w:rFonts w:ascii="仿宋_GB2312" w:eastAsia="仿宋_GB2312" w:cs="仿宋_GB2312"/>
          <w:kern w:val="0"/>
          <w:sz w:val="30"/>
          <w:szCs w:val="30"/>
        </w:rPr>
      </w:pPr>
      <w:r>
        <w:rPr>
          <w:rFonts w:ascii="仿宋_GB2312" w:eastAsia="仿宋_GB2312" w:hAnsi="宋体" w:hint="eastAsia"/>
          <w:bCs/>
          <w:sz w:val="30"/>
          <w:szCs w:val="30"/>
        </w:rPr>
        <w:t xml:space="preserve">第六条 </w:t>
      </w:r>
      <w:r w:rsidRPr="00B766B6">
        <w:rPr>
          <w:rFonts w:ascii="仿宋_GB2312" w:eastAsia="仿宋_GB2312" w:cs="仿宋_GB2312" w:hint="eastAsia"/>
          <w:kern w:val="0"/>
          <w:sz w:val="30"/>
          <w:szCs w:val="30"/>
        </w:rPr>
        <w:t>托管人应在</w:t>
      </w:r>
      <w:r>
        <w:rPr>
          <w:rFonts w:ascii="仿宋_GB2312" w:eastAsia="仿宋_GB2312" w:cs="仿宋_GB2312" w:hint="eastAsia"/>
          <w:kern w:val="0"/>
          <w:sz w:val="30"/>
          <w:szCs w:val="30"/>
        </w:rPr>
        <w:t>合格境外投资者账户开立之日起</w:t>
      </w:r>
      <w:r w:rsidRPr="00B766B6">
        <w:rPr>
          <w:rFonts w:ascii="仿宋_GB2312" w:eastAsia="仿宋_GB2312" w:cs="仿宋_GB2312" w:hint="eastAsia"/>
          <w:kern w:val="0"/>
          <w:sz w:val="30"/>
          <w:szCs w:val="30"/>
        </w:rPr>
        <w:t>5个交易日内，向本所</w:t>
      </w:r>
      <w:r>
        <w:rPr>
          <w:rFonts w:ascii="仿宋_GB2312" w:eastAsia="仿宋_GB2312" w:cs="仿宋_GB2312" w:hint="eastAsia"/>
          <w:kern w:val="0"/>
          <w:sz w:val="30"/>
          <w:szCs w:val="30"/>
        </w:rPr>
        <w:t>报送</w:t>
      </w:r>
      <w:r w:rsidRPr="00B766B6">
        <w:rPr>
          <w:rFonts w:ascii="仿宋_GB2312" w:eastAsia="仿宋_GB2312" w:cs="仿宋_GB2312" w:hint="eastAsia"/>
          <w:kern w:val="0"/>
          <w:sz w:val="30"/>
          <w:szCs w:val="30"/>
        </w:rPr>
        <w:t>合格境外投资者</w:t>
      </w:r>
      <w:r>
        <w:rPr>
          <w:rFonts w:ascii="仿宋_GB2312" w:eastAsia="仿宋_GB2312" w:cs="仿宋_GB2312" w:hint="eastAsia"/>
          <w:kern w:val="0"/>
          <w:sz w:val="30"/>
          <w:szCs w:val="30"/>
        </w:rPr>
        <w:t>、</w:t>
      </w:r>
      <w:r w:rsidRPr="00B766B6">
        <w:rPr>
          <w:rFonts w:ascii="仿宋_GB2312" w:eastAsia="仿宋_GB2312" w:cs="仿宋_GB2312" w:hint="eastAsia"/>
          <w:kern w:val="0"/>
          <w:sz w:val="30"/>
          <w:szCs w:val="30"/>
        </w:rPr>
        <w:t>托管人及</w:t>
      </w:r>
      <w:r w:rsidRPr="00E57B6F">
        <w:rPr>
          <w:rFonts w:ascii="仿宋_GB2312" w:eastAsia="仿宋_GB2312" w:hAnsi="宋体" w:hint="eastAsia"/>
          <w:bCs/>
          <w:sz w:val="30"/>
          <w:szCs w:val="30"/>
        </w:rPr>
        <w:t>受托证券期货经营机构</w:t>
      </w:r>
      <w:r>
        <w:rPr>
          <w:rFonts w:ascii="仿宋_GB2312" w:eastAsia="仿宋_GB2312" w:cs="仿宋_GB2312" w:hint="eastAsia"/>
          <w:kern w:val="0"/>
          <w:sz w:val="30"/>
          <w:szCs w:val="30"/>
        </w:rPr>
        <w:t>下列基本信息：</w:t>
      </w:r>
    </w:p>
    <w:p w:rsidR="00E3731B" w:rsidRDefault="00E3731B" w:rsidP="00E3731B">
      <w:pPr>
        <w:spacing w:line="360" w:lineRule="auto"/>
        <w:ind w:firstLineChars="196" w:firstLine="588"/>
        <w:rPr>
          <w:rFonts w:ascii="仿宋_GB2312" w:eastAsia="仿宋_GB2312" w:cs="仿宋_GB2312"/>
          <w:kern w:val="0"/>
          <w:sz w:val="30"/>
          <w:szCs w:val="30"/>
        </w:rPr>
      </w:pPr>
      <w:r>
        <w:rPr>
          <w:rFonts w:ascii="仿宋_GB2312" w:eastAsia="仿宋_GB2312" w:cs="仿宋_GB2312" w:hint="eastAsia"/>
          <w:kern w:val="0"/>
          <w:sz w:val="30"/>
          <w:szCs w:val="30"/>
        </w:rPr>
        <w:lastRenderedPageBreak/>
        <w:t>（一）合格境外投资者的</w:t>
      </w:r>
      <w:r>
        <w:rPr>
          <w:rFonts w:ascii="仿宋_GB2312" w:eastAsia="仿宋_GB2312" w:hAnsi="宋体" w:hint="eastAsia"/>
          <w:bCs/>
          <w:sz w:val="30"/>
          <w:szCs w:val="30"/>
        </w:rPr>
        <w:t>中英文全称、注册地址、境内办公地址（如有）、公司网址、</w:t>
      </w:r>
      <w:r>
        <w:rPr>
          <w:rFonts w:ascii="仿宋_GB2312" w:eastAsia="仿宋_GB2312" w:cs="仿宋_GB2312" w:hint="eastAsia"/>
          <w:kern w:val="0"/>
          <w:sz w:val="30"/>
          <w:szCs w:val="30"/>
        </w:rPr>
        <w:t>机构类别、</w:t>
      </w:r>
      <w:r w:rsidRPr="007E3486">
        <w:rPr>
          <w:rFonts w:ascii="仿宋_GB2312" w:eastAsia="仿宋_GB2312" w:cs="仿宋_GB2312" w:hint="eastAsia"/>
          <w:kern w:val="0"/>
          <w:sz w:val="30"/>
          <w:szCs w:val="30"/>
        </w:rPr>
        <w:t>最近一个会计年度总资产规模或管理的证券资产规模</w:t>
      </w:r>
      <w:r>
        <w:rPr>
          <w:rFonts w:ascii="仿宋_GB2312" w:eastAsia="仿宋_GB2312" w:cs="仿宋_GB2312" w:hint="eastAsia"/>
          <w:kern w:val="0"/>
          <w:sz w:val="30"/>
          <w:szCs w:val="30"/>
        </w:rPr>
        <w:t>、控股股东、实际控制人、业务联系人和督查员信息、</w:t>
      </w:r>
      <w:r w:rsidRPr="00F05F3F">
        <w:rPr>
          <w:rFonts w:ascii="仿宋_GB2312" w:eastAsia="仿宋_GB2312" w:cs="仿宋_GB2312" w:hint="eastAsia"/>
          <w:kern w:val="0"/>
          <w:sz w:val="30"/>
          <w:szCs w:val="30"/>
        </w:rPr>
        <w:t>证券</w:t>
      </w:r>
      <w:r>
        <w:rPr>
          <w:rFonts w:ascii="仿宋_GB2312" w:eastAsia="仿宋_GB2312" w:cs="仿宋_GB2312" w:hint="eastAsia"/>
          <w:kern w:val="0"/>
          <w:sz w:val="30"/>
          <w:szCs w:val="30"/>
        </w:rPr>
        <w:t>账户及</w:t>
      </w:r>
      <w:r w:rsidRPr="00F05F3F">
        <w:rPr>
          <w:rFonts w:ascii="仿宋_GB2312" w:eastAsia="仿宋_GB2312" w:cs="仿宋_GB2312" w:hint="eastAsia"/>
          <w:kern w:val="0"/>
          <w:sz w:val="30"/>
          <w:szCs w:val="30"/>
        </w:rPr>
        <w:t>衍生品合约账户</w:t>
      </w:r>
      <w:r>
        <w:rPr>
          <w:rFonts w:ascii="仿宋_GB2312" w:eastAsia="仿宋_GB2312" w:cs="仿宋_GB2312" w:hint="eastAsia"/>
          <w:kern w:val="0"/>
          <w:sz w:val="30"/>
          <w:szCs w:val="30"/>
        </w:rPr>
        <w:t>信息（名称）；</w:t>
      </w:r>
    </w:p>
    <w:p w:rsidR="00E3731B" w:rsidRDefault="00E3731B" w:rsidP="00E3731B">
      <w:pPr>
        <w:spacing w:line="360" w:lineRule="auto"/>
        <w:ind w:firstLineChars="196" w:firstLine="588"/>
        <w:rPr>
          <w:rFonts w:ascii="仿宋_GB2312" w:eastAsia="仿宋_GB2312" w:cs="仿宋_GB2312"/>
          <w:kern w:val="0"/>
          <w:sz w:val="30"/>
          <w:szCs w:val="30"/>
        </w:rPr>
      </w:pPr>
      <w:r>
        <w:rPr>
          <w:rFonts w:ascii="仿宋_GB2312" w:eastAsia="仿宋_GB2312" w:cs="仿宋_GB2312" w:hint="eastAsia"/>
          <w:kern w:val="0"/>
          <w:sz w:val="30"/>
          <w:szCs w:val="30"/>
        </w:rPr>
        <w:t>（二）</w:t>
      </w:r>
      <w:r w:rsidRPr="00B766B6">
        <w:rPr>
          <w:rFonts w:ascii="仿宋_GB2312" w:eastAsia="仿宋_GB2312" w:cs="仿宋_GB2312" w:hint="eastAsia"/>
          <w:kern w:val="0"/>
          <w:sz w:val="30"/>
          <w:szCs w:val="30"/>
        </w:rPr>
        <w:t>托管人</w:t>
      </w:r>
      <w:r>
        <w:rPr>
          <w:rFonts w:ascii="仿宋_GB2312" w:eastAsia="仿宋_GB2312" w:cs="仿宋_GB2312" w:hint="eastAsia"/>
          <w:kern w:val="0"/>
          <w:sz w:val="30"/>
          <w:szCs w:val="30"/>
        </w:rPr>
        <w:t>的</w:t>
      </w:r>
      <w:r>
        <w:rPr>
          <w:rFonts w:ascii="仿宋_GB2312" w:eastAsia="仿宋_GB2312" w:hAnsi="宋体" w:hint="eastAsia"/>
          <w:bCs/>
          <w:sz w:val="30"/>
          <w:szCs w:val="30"/>
        </w:rPr>
        <w:t>中英文全称、境内注册地址、公司网址、</w:t>
      </w:r>
      <w:r>
        <w:rPr>
          <w:rFonts w:ascii="仿宋_GB2312" w:eastAsia="仿宋_GB2312" w:cs="仿宋_GB2312" w:hint="eastAsia"/>
          <w:kern w:val="0"/>
          <w:sz w:val="30"/>
          <w:szCs w:val="30"/>
        </w:rPr>
        <w:t>是否主报告人、托管起始日期、托管合格境外投资者数量（仅报告人）、最近一个会计年度托管的合格境外投资者资产规模（仅报告人）、业务联系人和合规联系人信息；</w:t>
      </w:r>
    </w:p>
    <w:p w:rsidR="00E3731B" w:rsidRDefault="00E3731B" w:rsidP="00E3731B">
      <w:pPr>
        <w:spacing w:line="360" w:lineRule="auto"/>
        <w:ind w:firstLineChars="196" w:firstLine="588"/>
        <w:rPr>
          <w:rFonts w:ascii="仿宋_GB2312" w:eastAsia="仿宋_GB2312" w:cs="仿宋_GB2312"/>
          <w:kern w:val="0"/>
          <w:sz w:val="30"/>
          <w:szCs w:val="30"/>
        </w:rPr>
      </w:pPr>
      <w:r>
        <w:rPr>
          <w:rFonts w:ascii="仿宋_GB2312" w:eastAsia="仿宋_GB2312" w:cs="仿宋_GB2312" w:hint="eastAsia"/>
          <w:kern w:val="0"/>
          <w:sz w:val="30"/>
          <w:szCs w:val="30"/>
        </w:rPr>
        <w:t>（三）</w:t>
      </w:r>
      <w:r w:rsidRPr="00E57B6F">
        <w:rPr>
          <w:rFonts w:ascii="仿宋_GB2312" w:eastAsia="仿宋_GB2312" w:hAnsi="宋体" w:hint="eastAsia"/>
          <w:bCs/>
          <w:sz w:val="30"/>
          <w:szCs w:val="30"/>
        </w:rPr>
        <w:t>受托证券期货经营机构</w:t>
      </w:r>
      <w:r>
        <w:rPr>
          <w:rFonts w:ascii="仿宋_GB2312" w:eastAsia="仿宋_GB2312" w:cs="仿宋_GB2312" w:hint="eastAsia"/>
          <w:kern w:val="0"/>
          <w:sz w:val="30"/>
          <w:szCs w:val="30"/>
        </w:rPr>
        <w:t>的</w:t>
      </w:r>
      <w:r>
        <w:rPr>
          <w:rFonts w:ascii="仿宋_GB2312" w:eastAsia="仿宋_GB2312" w:hAnsi="宋体" w:hint="eastAsia"/>
          <w:bCs/>
          <w:sz w:val="30"/>
          <w:szCs w:val="30"/>
        </w:rPr>
        <w:t>中文全称、</w:t>
      </w:r>
      <w:r>
        <w:rPr>
          <w:rFonts w:ascii="仿宋_GB2312" w:eastAsia="仿宋_GB2312" w:cs="仿宋_GB2312" w:hint="eastAsia"/>
          <w:kern w:val="0"/>
          <w:sz w:val="30"/>
          <w:szCs w:val="30"/>
        </w:rPr>
        <w:t>委托起始日期、业务联系人和合规联系人信息。</w:t>
      </w:r>
    </w:p>
    <w:p w:rsidR="00E3731B" w:rsidRPr="00FA1906" w:rsidRDefault="00E3731B" w:rsidP="00E3731B">
      <w:pPr>
        <w:spacing w:line="360" w:lineRule="auto"/>
        <w:ind w:firstLineChars="196" w:firstLine="588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cs="仿宋_GB2312" w:hint="eastAsia"/>
          <w:kern w:val="0"/>
          <w:sz w:val="30"/>
          <w:szCs w:val="30"/>
        </w:rPr>
        <w:t>前款基本信息，通过各合格境外投资者条目中的“基本信息”子栏目在线填写。前款第（一）项须上传合格境外投资者的营业执照或注册证书、经营证券期货业务许可证等，前款第（二）项须上传托管人的金融业务许可证、营业执照、</w:t>
      </w:r>
      <w:r w:rsidRPr="005A465A">
        <w:rPr>
          <w:rFonts w:ascii="仿宋_GB2312" w:eastAsia="仿宋_GB2312" w:cs="仿宋_GB2312" w:hint="eastAsia"/>
          <w:kern w:val="0"/>
          <w:sz w:val="30"/>
          <w:szCs w:val="30"/>
        </w:rPr>
        <w:t>中国证监会关于托管人备案的记录</w:t>
      </w:r>
      <w:r>
        <w:rPr>
          <w:rFonts w:ascii="仿宋_GB2312" w:eastAsia="仿宋_GB2312" w:cs="仿宋_GB2312" w:hint="eastAsia"/>
          <w:kern w:val="0"/>
          <w:sz w:val="30"/>
          <w:szCs w:val="30"/>
        </w:rPr>
        <w:t>等。</w:t>
      </w:r>
    </w:p>
    <w:p w:rsidR="00E3731B" w:rsidRPr="00D57E55" w:rsidRDefault="00E3731B" w:rsidP="00E3731B">
      <w:pPr>
        <w:spacing w:line="360" w:lineRule="auto"/>
        <w:ind w:firstLineChars="196" w:firstLine="588"/>
        <w:rPr>
          <w:rFonts w:ascii="仿宋_GB2312" w:eastAsia="仿宋_GB2312" w:cs="仿宋_GB2312"/>
          <w:kern w:val="0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基本信息发生变更的，托管人应在相关</w:t>
      </w:r>
      <w:r w:rsidRPr="00701361">
        <w:rPr>
          <w:rFonts w:ascii="仿宋_GB2312" w:eastAsia="仿宋_GB2312" w:hint="eastAsia"/>
          <w:sz w:val="30"/>
          <w:szCs w:val="30"/>
        </w:rPr>
        <w:t>事实</w:t>
      </w:r>
      <w:r>
        <w:rPr>
          <w:rFonts w:ascii="仿宋_GB2312" w:eastAsia="仿宋_GB2312" w:hint="eastAsia"/>
          <w:sz w:val="30"/>
          <w:szCs w:val="30"/>
        </w:rPr>
        <w:t>发生</w:t>
      </w:r>
      <w:r w:rsidRPr="00701361">
        <w:rPr>
          <w:rFonts w:ascii="仿宋_GB2312" w:eastAsia="仿宋_GB2312" w:hint="eastAsia"/>
          <w:sz w:val="30"/>
          <w:szCs w:val="30"/>
        </w:rPr>
        <w:t>之日起5个交易日内，</w:t>
      </w:r>
      <w:r>
        <w:rPr>
          <w:rFonts w:ascii="仿宋_GB2312" w:eastAsia="仿宋_GB2312" w:cs="仿宋_GB2312" w:hint="eastAsia"/>
          <w:kern w:val="0"/>
          <w:sz w:val="30"/>
          <w:szCs w:val="30"/>
        </w:rPr>
        <w:t>通过各合格境外投资者条目中的“基本信息”子栏目进行更新，并重新上传相关文件或资料</w:t>
      </w:r>
      <w:r>
        <w:rPr>
          <w:rFonts w:ascii="仿宋_GB2312" w:eastAsia="仿宋_GB2312" w:hint="eastAsia"/>
          <w:sz w:val="30"/>
          <w:szCs w:val="30"/>
        </w:rPr>
        <w:t>。负责</w:t>
      </w:r>
      <w:r w:rsidRPr="00B457AB">
        <w:rPr>
          <w:rFonts w:ascii="仿宋_GB2312" w:eastAsia="仿宋_GB2312" w:hint="eastAsia"/>
          <w:sz w:val="30"/>
          <w:szCs w:val="30"/>
        </w:rPr>
        <w:t>信息</w:t>
      </w:r>
      <w:r>
        <w:rPr>
          <w:rFonts w:ascii="仿宋_GB2312" w:eastAsia="仿宋_GB2312" w:hint="eastAsia"/>
          <w:sz w:val="30"/>
          <w:szCs w:val="30"/>
        </w:rPr>
        <w:t>报送的托管人或</w:t>
      </w:r>
      <w:r w:rsidRPr="00B457AB">
        <w:rPr>
          <w:rFonts w:ascii="仿宋_GB2312" w:eastAsia="仿宋_GB2312" w:hint="eastAsia"/>
          <w:sz w:val="30"/>
          <w:szCs w:val="30"/>
        </w:rPr>
        <w:t>主报告人</w:t>
      </w:r>
      <w:r>
        <w:rPr>
          <w:rFonts w:ascii="仿宋_GB2312" w:eastAsia="仿宋_GB2312" w:hint="eastAsia"/>
          <w:sz w:val="30"/>
          <w:szCs w:val="30"/>
        </w:rPr>
        <w:t>变更的，继任托管人或</w:t>
      </w:r>
      <w:r w:rsidRPr="00B457AB">
        <w:rPr>
          <w:rFonts w:ascii="仿宋_GB2312" w:eastAsia="仿宋_GB2312" w:hint="eastAsia"/>
          <w:sz w:val="30"/>
          <w:szCs w:val="30"/>
        </w:rPr>
        <w:t>主报告人</w:t>
      </w:r>
      <w:r>
        <w:rPr>
          <w:rFonts w:ascii="仿宋_GB2312" w:eastAsia="仿宋_GB2312" w:hint="eastAsia"/>
          <w:sz w:val="30"/>
          <w:szCs w:val="30"/>
        </w:rPr>
        <w:t>应当对基本信息重新予以确认。</w:t>
      </w:r>
    </w:p>
    <w:p w:rsidR="00E3731B" w:rsidRDefault="00E3731B" w:rsidP="00E3731B">
      <w:pPr>
        <w:ind w:firstLineChars="200" w:firstLine="600"/>
        <w:rPr>
          <w:rFonts w:ascii="仿宋_GB2312" w:eastAsia="仿宋_GB2312" w:cs="仿宋_GB2312"/>
          <w:kern w:val="0"/>
          <w:sz w:val="30"/>
          <w:szCs w:val="30"/>
        </w:rPr>
      </w:pPr>
      <w:r>
        <w:rPr>
          <w:rFonts w:ascii="仿宋_GB2312" w:eastAsia="仿宋_GB2312" w:hAnsi="宋体" w:hint="eastAsia"/>
          <w:bCs/>
          <w:sz w:val="30"/>
          <w:szCs w:val="30"/>
        </w:rPr>
        <w:t>第七条 合格境外投资者发生</w:t>
      </w:r>
      <w:r w:rsidRPr="00701361">
        <w:rPr>
          <w:rFonts w:ascii="仿宋_GB2312" w:eastAsia="仿宋_GB2312" w:hint="eastAsia"/>
          <w:sz w:val="30"/>
          <w:szCs w:val="30"/>
        </w:rPr>
        <w:t>重大诉讼或其他重大事件</w:t>
      </w:r>
      <w:r>
        <w:rPr>
          <w:rFonts w:ascii="仿宋_GB2312" w:eastAsia="仿宋_GB2312" w:hint="eastAsia"/>
          <w:sz w:val="30"/>
          <w:szCs w:val="30"/>
        </w:rPr>
        <w:t>、</w:t>
      </w:r>
      <w:r w:rsidRPr="00701361">
        <w:rPr>
          <w:rFonts w:ascii="仿宋_GB2312" w:eastAsia="仿宋_GB2312" w:hint="eastAsia"/>
          <w:sz w:val="30"/>
          <w:szCs w:val="30"/>
        </w:rPr>
        <w:t>在境外受到重大处罚</w:t>
      </w:r>
      <w:r>
        <w:rPr>
          <w:rFonts w:ascii="仿宋_GB2312" w:eastAsia="仿宋_GB2312" w:hint="eastAsia"/>
          <w:sz w:val="30"/>
          <w:szCs w:val="30"/>
        </w:rPr>
        <w:t>、</w:t>
      </w:r>
      <w:r w:rsidRPr="00701361">
        <w:rPr>
          <w:rFonts w:ascii="仿宋_GB2312" w:eastAsia="仿宋_GB2312" w:hint="eastAsia"/>
          <w:sz w:val="30"/>
          <w:szCs w:val="30"/>
        </w:rPr>
        <w:t>受到中国证监会</w:t>
      </w:r>
      <w:r>
        <w:rPr>
          <w:rFonts w:ascii="仿宋_GB2312" w:eastAsia="仿宋_GB2312" w:hint="eastAsia"/>
          <w:sz w:val="30"/>
          <w:szCs w:val="30"/>
        </w:rPr>
        <w:t>或</w:t>
      </w:r>
      <w:r w:rsidRPr="00701361">
        <w:rPr>
          <w:rFonts w:ascii="仿宋_GB2312" w:eastAsia="仿宋_GB2312" w:hint="eastAsia"/>
          <w:sz w:val="30"/>
          <w:szCs w:val="30"/>
        </w:rPr>
        <w:t>中国人民银行或国家外汇</w:t>
      </w:r>
      <w:r w:rsidRPr="00701361">
        <w:rPr>
          <w:rFonts w:ascii="仿宋_GB2312" w:eastAsia="仿宋_GB2312" w:hint="eastAsia"/>
          <w:sz w:val="30"/>
          <w:szCs w:val="30"/>
        </w:rPr>
        <w:lastRenderedPageBreak/>
        <w:t>管理局处罚</w:t>
      </w:r>
      <w:r>
        <w:rPr>
          <w:rFonts w:ascii="仿宋_GB2312" w:eastAsia="仿宋_GB2312" w:hint="eastAsia"/>
          <w:sz w:val="30"/>
          <w:szCs w:val="30"/>
        </w:rPr>
        <w:t>、出现</w:t>
      </w:r>
      <w:r w:rsidRPr="00701361">
        <w:rPr>
          <w:rFonts w:ascii="仿宋_GB2312" w:eastAsia="仿宋_GB2312" w:hint="eastAsia"/>
          <w:sz w:val="30"/>
          <w:szCs w:val="30"/>
        </w:rPr>
        <w:t>有关监管机构以及本所规定的其他情形</w:t>
      </w:r>
      <w:r>
        <w:rPr>
          <w:rFonts w:ascii="仿宋_GB2312" w:eastAsia="仿宋_GB2312" w:hint="eastAsia"/>
          <w:sz w:val="30"/>
          <w:szCs w:val="30"/>
        </w:rPr>
        <w:t>的，托管人应在相关</w:t>
      </w:r>
      <w:r w:rsidRPr="00701361">
        <w:rPr>
          <w:rFonts w:ascii="仿宋_GB2312" w:eastAsia="仿宋_GB2312" w:hint="eastAsia"/>
          <w:sz w:val="30"/>
          <w:szCs w:val="30"/>
        </w:rPr>
        <w:t>事实</w:t>
      </w:r>
      <w:r>
        <w:rPr>
          <w:rFonts w:ascii="仿宋_GB2312" w:eastAsia="仿宋_GB2312" w:hint="eastAsia"/>
          <w:sz w:val="30"/>
          <w:szCs w:val="30"/>
        </w:rPr>
        <w:t>发生</w:t>
      </w:r>
      <w:r w:rsidRPr="00701361">
        <w:rPr>
          <w:rFonts w:ascii="仿宋_GB2312" w:eastAsia="仿宋_GB2312" w:hint="eastAsia"/>
          <w:sz w:val="30"/>
          <w:szCs w:val="30"/>
        </w:rPr>
        <w:t>之日起5个交易日内</w:t>
      </w:r>
      <w:r>
        <w:rPr>
          <w:rFonts w:ascii="仿宋_GB2312" w:eastAsia="仿宋_GB2312" w:hint="eastAsia"/>
          <w:sz w:val="30"/>
          <w:szCs w:val="30"/>
        </w:rPr>
        <w:t>，</w:t>
      </w:r>
      <w:r>
        <w:rPr>
          <w:rFonts w:ascii="仿宋_GB2312" w:eastAsia="仿宋_GB2312" w:cs="仿宋_GB2312" w:hint="eastAsia"/>
          <w:kern w:val="0"/>
          <w:sz w:val="30"/>
          <w:szCs w:val="30"/>
        </w:rPr>
        <w:t>通过各合格境外投资者条目中的“其他事项”子栏目在线填写，并上传相关文件或资料。</w:t>
      </w:r>
    </w:p>
    <w:p w:rsidR="00E3731B" w:rsidRDefault="00E3731B" w:rsidP="00E3731B">
      <w:pPr>
        <w:ind w:firstLineChars="200" w:firstLine="600"/>
        <w:rPr>
          <w:rFonts w:ascii="仿宋_GB2312" w:eastAsia="仿宋_GB2312" w:cs="仿宋_GB2312"/>
          <w:kern w:val="0"/>
          <w:sz w:val="30"/>
          <w:szCs w:val="30"/>
        </w:rPr>
      </w:pPr>
      <w:r>
        <w:rPr>
          <w:rFonts w:ascii="仿宋_GB2312" w:eastAsia="仿宋_GB2312" w:hAnsi="宋体" w:hint="eastAsia"/>
          <w:bCs/>
          <w:sz w:val="30"/>
          <w:szCs w:val="30"/>
        </w:rPr>
        <w:t>合格境外投资者平仓相关报告事项，</w:t>
      </w:r>
      <w:r>
        <w:rPr>
          <w:rFonts w:ascii="仿宋_GB2312" w:eastAsia="仿宋_GB2312" w:hint="eastAsia"/>
          <w:sz w:val="30"/>
          <w:szCs w:val="30"/>
        </w:rPr>
        <w:t>托管人</w:t>
      </w:r>
      <w:r>
        <w:rPr>
          <w:rFonts w:ascii="仿宋_GB2312" w:eastAsia="仿宋_GB2312" w:cs="仿宋_GB2312" w:hint="eastAsia"/>
          <w:kern w:val="0"/>
          <w:sz w:val="30"/>
          <w:szCs w:val="30"/>
        </w:rPr>
        <w:t>应按本所平仓通知要求，通过各合格境外投资者条目中的“其他事项”子栏目在线填写，并上传相关文件或资料。</w:t>
      </w:r>
    </w:p>
    <w:p w:rsidR="00E3731B" w:rsidRPr="009A7A1B" w:rsidRDefault="00E3731B" w:rsidP="00E3731B">
      <w:pPr>
        <w:ind w:firstLineChars="200" w:firstLine="600"/>
        <w:rPr>
          <w:rFonts w:ascii="仿宋_GB2312" w:eastAsia="仿宋_GB2312" w:cs="仿宋_GB2312"/>
          <w:kern w:val="0"/>
          <w:sz w:val="30"/>
          <w:szCs w:val="30"/>
        </w:rPr>
      </w:pPr>
      <w:r>
        <w:rPr>
          <w:rFonts w:ascii="仿宋_GB2312" w:eastAsia="仿宋_GB2312" w:cs="仿宋_GB2312" w:hint="eastAsia"/>
          <w:kern w:val="0"/>
          <w:sz w:val="30"/>
          <w:szCs w:val="30"/>
        </w:rPr>
        <w:t>第八条</w:t>
      </w:r>
      <w:r w:rsidR="00AA4763">
        <w:rPr>
          <w:rFonts w:ascii="仿宋_GB2312" w:eastAsia="仿宋_GB2312" w:cs="仿宋_GB2312" w:hint="eastAsia"/>
          <w:kern w:val="0"/>
          <w:sz w:val="30"/>
          <w:szCs w:val="30"/>
        </w:rPr>
        <w:t xml:space="preserve"> </w:t>
      </w:r>
      <w:r w:rsidRPr="00773FA0">
        <w:rPr>
          <w:rFonts w:ascii="仿宋_GB2312" w:eastAsia="仿宋_GB2312" w:hAnsi="宋体" w:hint="eastAsia"/>
          <w:bCs/>
          <w:sz w:val="30"/>
          <w:szCs w:val="30"/>
        </w:rPr>
        <w:t>自接到本所平仓通知之日起的</w:t>
      </w:r>
      <w:r>
        <w:rPr>
          <w:rFonts w:ascii="仿宋_GB2312" w:eastAsia="仿宋_GB2312" w:hAnsi="宋体" w:hint="eastAsia"/>
          <w:bCs/>
          <w:sz w:val="30"/>
          <w:szCs w:val="30"/>
        </w:rPr>
        <w:t>5</w:t>
      </w:r>
      <w:r w:rsidRPr="00773FA0">
        <w:rPr>
          <w:rFonts w:ascii="仿宋_GB2312" w:eastAsia="仿宋_GB2312" w:hAnsi="宋体" w:hint="eastAsia"/>
          <w:bCs/>
          <w:sz w:val="30"/>
          <w:szCs w:val="30"/>
        </w:rPr>
        <w:t>个交易日内，</w:t>
      </w:r>
      <w:r w:rsidR="00AA4763">
        <w:rPr>
          <w:rFonts w:ascii="仿宋_GB2312" w:eastAsia="仿宋_GB2312" w:hAnsi="宋体" w:hint="eastAsia"/>
          <w:bCs/>
          <w:sz w:val="30"/>
          <w:szCs w:val="30"/>
        </w:rPr>
        <w:t>境外</w:t>
      </w:r>
      <w:r w:rsidR="00AA4763" w:rsidRPr="00773FA0">
        <w:rPr>
          <w:rFonts w:ascii="仿宋_GB2312" w:eastAsia="仿宋_GB2312" w:hAnsi="宋体" w:hint="eastAsia"/>
          <w:bCs/>
          <w:sz w:val="30"/>
          <w:szCs w:val="30"/>
        </w:rPr>
        <w:t>投资者</w:t>
      </w:r>
      <w:r w:rsidRPr="00773FA0">
        <w:rPr>
          <w:rFonts w:ascii="仿宋_GB2312" w:eastAsia="仿宋_GB2312" w:hAnsi="宋体" w:hint="eastAsia"/>
          <w:bCs/>
          <w:sz w:val="30"/>
          <w:szCs w:val="30"/>
        </w:rPr>
        <w:t>应按</w:t>
      </w:r>
      <w:r w:rsidR="0077187D">
        <w:rPr>
          <w:rFonts w:ascii="仿宋_GB2312" w:eastAsia="仿宋_GB2312" w:hAnsi="宋体" w:hint="eastAsia"/>
          <w:bCs/>
          <w:sz w:val="30"/>
          <w:szCs w:val="30"/>
        </w:rPr>
        <w:t>平仓通知要求</w:t>
      </w:r>
      <w:r w:rsidRPr="00773FA0">
        <w:rPr>
          <w:rFonts w:ascii="仿宋_GB2312" w:eastAsia="仿宋_GB2312" w:hAnsi="宋体" w:hint="eastAsia"/>
          <w:bCs/>
          <w:sz w:val="30"/>
          <w:szCs w:val="30"/>
        </w:rPr>
        <w:t>进行平仓。</w:t>
      </w:r>
      <w:r>
        <w:rPr>
          <w:rFonts w:ascii="仿宋_GB2312" w:eastAsia="仿宋_GB2312" w:cs="仿宋_GB2312" w:hint="eastAsia"/>
          <w:kern w:val="0"/>
          <w:sz w:val="30"/>
          <w:szCs w:val="30"/>
        </w:rPr>
        <w:t>托管人及</w:t>
      </w:r>
      <w:r w:rsidRPr="00AD477C">
        <w:rPr>
          <w:rFonts w:ascii="仿宋_GB2312" w:eastAsia="仿宋_GB2312" w:cs="仿宋_GB2312" w:hint="eastAsia"/>
          <w:kern w:val="0"/>
          <w:sz w:val="30"/>
          <w:szCs w:val="30"/>
        </w:rPr>
        <w:t>受托证券期货经营机构</w:t>
      </w:r>
      <w:r>
        <w:rPr>
          <w:rFonts w:ascii="仿宋_GB2312" w:eastAsia="仿宋_GB2312" w:cs="仿宋_GB2312" w:hint="eastAsia"/>
          <w:kern w:val="0"/>
          <w:sz w:val="30"/>
          <w:szCs w:val="30"/>
        </w:rPr>
        <w:t>，应按本所平仓通知要求，于平仓完成后次一交易日</w:t>
      </w:r>
      <w:r w:rsidR="0077187D">
        <w:rPr>
          <w:rFonts w:ascii="仿宋_GB2312" w:eastAsia="仿宋_GB2312" w:cs="仿宋_GB2312" w:hint="eastAsia"/>
          <w:kern w:val="0"/>
          <w:sz w:val="30"/>
          <w:szCs w:val="30"/>
        </w:rPr>
        <w:t>内</w:t>
      </w:r>
      <w:r>
        <w:rPr>
          <w:rFonts w:ascii="仿宋_GB2312" w:eastAsia="仿宋_GB2312" w:cs="仿宋_GB2312" w:hint="eastAsia"/>
          <w:kern w:val="0"/>
          <w:sz w:val="30"/>
          <w:szCs w:val="30"/>
        </w:rPr>
        <w:t>向本所报告平仓情况。</w:t>
      </w:r>
    </w:p>
    <w:p w:rsidR="00E3731B" w:rsidRDefault="006C49DD" w:rsidP="00E3731B">
      <w:pPr>
        <w:ind w:firstLineChars="200" w:firstLine="600"/>
        <w:rPr>
          <w:rFonts w:ascii="仿宋_GB2312" w:eastAsia="仿宋_GB2312" w:cs="仿宋_GB2312"/>
          <w:kern w:val="0"/>
          <w:sz w:val="30"/>
          <w:szCs w:val="30"/>
        </w:rPr>
      </w:pPr>
      <w:r w:rsidRPr="00AD477C">
        <w:rPr>
          <w:rFonts w:ascii="仿宋_GB2312" w:eastAsia="仿宋_GB2312" w:cs="仿宋_GB2312" w:hint="eastAsia"/>
          <w:kern w:val="0"/>
          <w:sz w:val="30"/>
          <w:szCs w:val="30"/>
        </w:rPr>
        <w:t>第</w:t>
      </w:r>
      <w:r>
        <w:rPr>
          <w:rFonts w:ascii="仿宋_GB2312" w:eastAsia="仿宋_GB2312" w:cs="仿宋_GB2312" w:hint="eastAsia"/>
          <w:kern w:val="0"/>
          <w:sz w:val="30"/>
          <w:szCs w:val="30"/>
        </w:rPr>
        <w:t>九</w:t>
      </w:r>
      <w:r w:rsidRPr="00AD477C">
        <w:rPr>
          <w:rFonts w:ascii="仿宋_GB2312" w:eastAsia="仿宋_GB2312" w:cs="仿宋_GB2312" w:hint="eastAsia"/>
          <w:kern w:val="0"/>
          <w:sz w:val="30"/>
          <w:szCs w:val="30"/>
        </w:rPr>
        <w:t xml:space="preserve">条 </w:t>
      </w:r>
      <w:r w:rsidR="00E3731B">
        <w:rPr>
          <w:rFonts w:ascii="仿宋_GB2312" w:eastAsia="仿宋_GB2312" w:cs="仿宋_GB2312" w:hint="eastAsia"/>
          <w:kern w:val="0"/>
          <w:sz w:val="30"/>
          <w:szCs w:val="30"/>
        </w:rPr>
        <w:t>按照本所规定或要求</w:t>
      </w:r>
      <w:r w:rsidR="00E3731B" w:rsidRPr="00AD477C">
        <w:rPr>
          <w:rFonts w:ascii="仿宋_GB2312" w:eastAsia="仿宋_GB2312" w:cs="仿宋_GB2312" w:hint="eastAsia"/>
          <w:kern w:val="0"/>
          <w:sz w:val="30"/>
          <w:szCs w:val="30"/>
        </w:rPr>
        <w:t>，</w:t>
      </w:r>
      <w:r w:rsidR="00E3731B" w:rsidRPr="0061516F">
        <w:rPr>
          <w:rFonts w:ascii="仿宋_GB2312" w:eastAsia="仿宋_GB2312" w:cs="仿宋_GB2312" w:hint="eastAsia"/>
          <w:kern w:val="0"/>
          <w:sz w:val="30"/>
          <w:szCs w:val="30"/>
        </w:rPr>
        <w:t>合格境外投资者</w:t>
      </w:r>
      <w:r w:rsidR="00E3731B">
        <w:rPr>
          <w:rFonts w:ascii="仿宋_GB2312" w:eastAsia="仿宋_GB2312" w:cs="仿宋_GB2312" w:hint="eastAsia"/>
          <w:kern w:val="0"/>
          <w:sz w:val="30"/>
          <w:szCs w:val="30"/>
        </w:rPr>
        <w:t>应通过</w:t>
      </w:r>
      <w:r w:rsidR="00E3731B" w:rsidRPr="00AD477C">
        <w:rPr>
          <w:rFonts w:ascii="仿宋_GB2312" w:eastAsia="仿宋_GB2312" w:cs="仿宋_GB2312" w:hint="eastAsia"/>
          <w:kern w:val="0"/>
          <w:sz w:val="30"/>
          <w:szCs w:val="30"/>
        </w:rPr>
        <w:t>受托证券期货经营机构</w:t>
      </w:r>
      <w:r w:rsidR="00E3731B">
        <w:rPr>
          <w:rFonts w:ascii="仿宋_GB2312" w:eastAsia="仿宋_GB2312" w:cs="仿宋_GB2312" w:hint="eastAsia"/>
          <w:kern w:val="0"/>
          <w:sz w:val="30"/>
          <w:szCs w:val="30"/>
        </w:rPr>
        <w:t>，及时向本所报告其</w:t>
      </w:r>
      <w:r w:rsidR="00E3731B" w:rsidRPr="0061516F">
        <w:rPr>
          <w:rFonts w:ascii="仿宋_GB2312" w:eastAsia="仿宋_GB2312" w:cs="仿宋_GB2312" w:hint="eastAsia"/>
          <w:kern w:val="0"/>
          <w:sz w:val="30"/>
          <w:szCs w:val="30"/>
        </w:rPr>
        <w:t>名下境外投资者的证券、衍生品种交易及其持有情况。合格境外投资者</w:t>
      </w:r>
      <w:r w:rsidR="00E3731B">
        <w:rPr>
          <w:rFonts w:ascii="仿宋_GB2312" w:eastAsia="仿宋_GB2312" w:cs="仿宋_GB2312" w:hint="eastAsia"/>
          <w:kern w:val="0"/>
          <w:sz w:val="30"/>
          <w:szCs w:val="30"/>
        </w:rPr>
        <w:t>存在多个受托证券期货经营机构的，托管人或主报告人应按本所规定或要求报告</w:t>
      </w:r>
      <w:r w:rsidR="00E3731B" w:rsidRPr="0061516F">
        <w:rPr>
          <w:rFonts w:ascii="仿宋_GB2312" w:eastAsia="仿宋_GB2312" w:cs="仿宋_GB2312" w:hint="eastAsia"/>
          <w:kern w:val="0"/>
          <w:sz w:val="30"/>
          <w:szCs w:val="30"/>
        </w:rPr>
        <w:t>合格境外投资者名下境外投资者的</w:t>
      </w:r>
      <w:r w:rsidR="00E3731B">
        <w:rPr>
          <w:rFonts w:ascii="仿宋_GB2312" w:eastAsia="仿宋_GB2312" w:cs="仿宋_GB2312" w:hint="eastAsia"/>
          <w:kern w:val="0"/>
          <w:sz w:val="30"/>
          <w:szCs w:val="30"/>
        </w:rPr>
        <w:t>相关交易及持仓情况。</w:t>
      </w:r>
    </w:p>
    <w:p w:rsidR="00E3731B" w:rsidRPr="0047282E" w:rsidRDefault="00E3731B" w:rsidP="00E3731B">
      <w:pPr>
        <w:spacing w:line="360" w:lineRule="auto"/>
        <w:jc w:val="center"/>
        <w:rPr>
          <w:rFonts w:ascii="黑体" w:eastAsia="黑体" w:hAnsi="黑体"/>
          <w:b/>
          <w:bCs/>
          <w:sz w:val="30"/>
          <w:szCs w:val="30"/>
        </w:rPr>
      </w:pPr>
      <w:r w:rsidRPr="0047282E">
        <w:rPr>
          <w:rFonts w:ascii="黑体" w:eastAsia="黑体" w:hAnsi="黑体" w:hint="eastAsia"/>
          <w:b/>
          <w:bCs/>
          <w:sz w:val="30"/>
          <w:szCs w:val="30"/>
        </w:rPr>
        <w:t>第四章 附则</w:t>
      </w:r>
    </w:p>
    <w:p w:rsidR="00E3731B" w:rsidRPr="006972FE" w:rsidRDefault="00E3731B" w:rsidP="00E3731B">
      <w:pPr>
        <w:spacing w:line="360" w:lineRule="auto"/>
        <w:ind w:firstLineChars="196" w:firstLine="588"/>
        <w:rPr>
          <w:rFonts w:ascii="仿宋_GB2312" w:eastAsia="仿宋_GB2312" w:hAnsi="宋体"/>
          <w:bCs/>
          <w:sz w:val="30"/>
          <w:szCs w:val="30"/>
        </w:rPr>
      </w:pPr>
      <w:r w:rsidRPr="00AD477C">
        <w:rPr>
          <w:rFonts w:ascii="仿宋_GB2312" w:eastAsia="仿宋_GB2312" w:cs="仿宋_GB2312" w:hint="eastAsia"/>
          <w:kern w:val="0"/>
          <w:sz w:val="30"/>
          <w:szCs w:val="30"/>
        </w:rPr>
        <w:t>第十条</w:t>
      </w:r>
      <w:r>
        <w:rPr>
          <w:rFonts w:ascii="仿宋_GB2312" w:eastAsia="仿宋_GB2312" w:cs="仿宋_GB2312" w:hint="eastAsia"/>
          <w:kern w:val="0"/>
          <w:sz w:val="30"/>
          <w:szCs w:val="30"/>
        </w:rPr>
        <w:t xml:space="preserve"> </w:t>
      </w:r>
      <w:r>
        <w:rPr>
          <w:rFonts w:ascii="仿宋_GB2312" w:eastAsia="仿宋_GB2312" w:hAnsi="宋体" w:hint="eastAsia"/>
          <w:bCs/>
          <w:sz w:val="30"/>
          <w:szCs w:val="30"/>
        </w:rPr>
        <w:t>本所关于</w:t>
      </w:r>
      <w:r w:rsidRPr="00773FA0">
        <w:rPr>
          <w:rFonts w:ascii="仿宋_GB2312" w:eastAsia="仿宋_GB2312" w:hAnsi="宋体" w:hint="eastAsia"/>
          <w:bCs/>
          <w:sz w:val="30"/>
          <w:szCs w:val="30"/>
        </w:rPr>
        <w:t>合格境外投资者及其他境外投资者持有同一上市公司A股</w:t>
      </w:r>
      <w:r>
        <w:rPr>
          <w:rFonts w:ascii="仿宋_GB2312" w:eastAsia="仿宋_GB2312" w:hAnsi="宋体" w:hint="eastAsia"/>
          <w:bCs/>
          <w:sz w:val="30"/>
          <w:szCs w:val="30"/>
        </w:rPr>
        <w:t>股份</w:t>
      </w:r>
      <w:r w:rsidRPr="00773FA0">
        <w:rPr>
          <w:rFonts w:ascii="仿宋_GB2312" w:eastAsia="仿宋_GB2312" w:hAnsi="宋体" w:hint="eastAsia"/>
          <w:bCs/>
          <w:sz w:val="30"/>
          <w:szCs w:val="30"/>
        </w:rPr>
        <w:t>合计达到或超过该公司股份总数的2</w:t>
      </w:r>
      <w:r>
        <w:rPr>
          <w:rFonts w:ascii="仿宋_GB2312" w:eastAsia="仿宋_GB2312" w:hAnsi="宋体" w:hint="eastAsia"/>
          <w:bCs/>
          <w:sz w:val="30"/>
          <w:szCs w:val="30"/>
        </w:rPr>
        <w:t>4</w:t>
      </w:r>
      <w:r w:rsidRPr="00773FA0">
        <w:rPr>
          <w:rFonts w:ascii="仿宋_GB2312" w:eastAsia="仿宋_GB2312" w:hAnsi="宋体" w:hint="eastAsia"/>
          <w:bCs/>
          <w:sz w:val="30"/>
          <w:szCs w:val="30"/>
        </w:rPr>
        <w:t>%</w:t>
      </w:r>
      <w:r>
        <w:rPr>
          <w:rFonts w:ascii="仿宋_GB2312" w:eastAsia="仿宋_GB2312" w:hAnsi="宋体" w:hint="eastAsia"/>
          <w:bCs/>
          <w:sz w:val="30"/>
          <w:szCs w:val="30"/>
        </w:rPr>
        <w:t>时的相关</w:t>
      </w:r>
      <w:r w:rsidRPr="00773FA0">
        <w:rPr>
          <w:rFonts w:ascii="仿宋_GB2312" w:eastAsia="仿宋_GB2312" w:hAnsi="宋体" w:hint="eastAsia"/>
          <w:bCs/>
          <w:sz w:val="30"/>
          <w:szCs w:val="30"/>
        </w:rPr>
        <w:t>信息</w:t>
      </w:r>
      <w:r>
        <w:rPr>
          <w:rFonts w:ascii="仿宋_GB2312" w:eastAsia="仿宋_GB2312" w:hAnsi="宋体" w:hint="eastAsia"/>
          <w:bCs/>
          <w:sz w:val="30"/>
          <w:szCs w:val="30"/>
        </w:rPr>
        <w:t>，在</w:t>
      </w:r>
      <w:r w:rsidRPr="00773FA0">
        <w:rPr>
          <w:rFonts w:ascii="仿宋_GB2312" w:eastAsia="仿宋_GB2312" w:hAnsi="宋体" w:hint="eastAsia"/>
          <w:bCs/>
          <w:sz w:val="30"/>
          <w:szCs w:val="30"/>
        </w:rPr>
        <w:t>本所网站</w:t>
      </w:r>
      <w:r w:rsidRPr="00773FA0" w:rsidDel="00114168">
        <w:rPr>
          <w:rFonts w:ascii="仿宋_GB2312" w:eastAsia="仿宋_GB2312" w:hAnsi="宋体" w:hint="eastAsia"/>
          <w:bCs/>
          <w:sz w:val="30"/>
          <w:szCs w:val="30"/>
        </w:rPr>
        <w:t xml:space="preserve"> </w:t>
      </w:r>
      <w:r w:rsidRPr="00773FA0">
        <w:rPr>
          <w:rFonts w:ascii="仿宋_GB2312" w:eastAsia="仿宋_GB2312" w:hAnsi="宋体" w:hint="eastAsia"/>
          <w:bCs/>
          <w:sz w:val="30"/>
          <w:szCs w:val="30"/>
        </w:rPr>
        <w:t>“披露</w:t>
      </w:r>
      <w:r>
        <w:rPr>
          <w:rFonts w:ascii="仿宋_GB2312" w:eastAsia="仿宋_GB2312" w:hAnsi="宋体" w:hint="eastAsia"/>
          <w:bCs/>
          <w:sz w:val="30"/>
          <w:szCs w:val="30"/>
        </w:rPr>
        <w:t>——</w:t>
      </w:r>
      <w:r w:rsidRPr="00773FA0">
        <w:rPr>
          <w:rFonts w:ascii="仿宋_GB2312" w:eastAsia="仿宋_GB2312" w:hAnsi="宋体" w:hint="eastAsia"/>
          <w:bCs/>
          <w:sz w:val="30"/>
          <w:szCs w:val="30"/>
        </w:rPr>
        <w:t>交易信息披露</w:t>
      </w:r>
      <w:r>
        <w:rPr>
          <w:rFonts w:ascii="仿宋_GB2312" w:eastAsia="仿宋_GB2312" w:hAnsi="宋体" w:hint="eastAsia"/>
          <w:bCs/>
          <w:sz w:val="30"/>
          <w:szCs w:val="30"/>
        </w:rPr>
        <w:t>——</w:t>
      </w:r>
      <w:r w:rsidRPr="00773FA0">
        <w:rPr>
          <w:rFonts w:ascii="仿宋_GB2312" w:eastAsia="仿宋_GB2312" w:hAnsi="宋体" w:hint="eastAsia"/>
          <w:bCs/>
          <w:sz w:val="30"/>
          <w:szCs w:val="30"/>
        </w:rPr>
        <w:t>境外投资者持股信息披露”</w:t>
      </w:r>
      <w:r>
        <w:rPr>
          <w:rFonts w:ascii="仿宋_GB2312" w:eastAsia="仿宋_GB2312" w:hAnsi="宋体" w:hint="eastAsia"/>
          <w:bCs/>
          <w:sz w:val="30"/>
          <w:szCs w:val="30"/>
        </w:rPr>
        <w:t>栏目披露</w:t>
      </w:r>
      <w:r w:rsidRPr="00773FA0">
        <w:rPr>
          <w:rFonts w:ascii="仿宋_GB2312" w:eastAsia="仿宋_GB2312" w:hAnsi="宋体" w:hint="eastAsia"/>
          <w:bCs/>
          <w:sz w:val="30"/>
          <w:szCs w:val="30"/>
        </w:rPr>
        <w:t>。</w:t>
      </w:r>
    </w:p>
    <w:p w:rsidR="00900A65" w:rsidRDefault="00E34065">
      <w:pPr>
        <w:spacing w:line="360" w:lineRule="auto"/>
        <w:ind w:firstLine="600"/>
        <w:rPr>
          <w:rFonts w:ascii="仿宋_GB2312" w:eastAsia="仿宋_GB2312" w:hAnsi="微软雅黑" w:cs="宋体"/>
          <w:color w:val="000000" w:themeColor="text1"/>
          <w:kern w:val="0"/>
          <w:sz w:val="30"/>
          <w:szCs w:val="30"/>
        </w:rPr>
      </w:pPr>
      <w:r w:rsidRPr="00AD477C">
        <w:rPr>
          <w:rFonts w:ascii="仿宋_GB2312" w:eastAsia="仿宋_GB2312" w:cs="仿宋_GB2312" w:hint="eastAsia"/>
          <w:kern w:val="0"/>
          <w:sz w:val="30"/>
          <w:szCs w:val="30"/>
        </w:rPr>
        <w:t>第十</w:t>
      </w:r>
      <w:r>
        <w:rPr>
          <w:rFonts w:ascii="仿宋_GB2312" w:eastAsia="仿宋_GB2312" w:cs="仿宋_GB2312" w:hint="eastAsia"/>
          <w:kern w:val="0"/>
          <w:sz w:val="30"/>
          <w:szCs w:val="30"/>
        </w:rPr>
        <w:t>一</w:t>
      </w:r>
      <w:r w:rsidRPr="00AD477C">
        <w:rPr>
          <w:rFonts w:ascii="仿宋_GB2312" w:eastAsia="仿宋_GB2312" w:cs="仿宋_GB2312" w:hint="eastAsia"/>
          <w:kern w:val="0"/>
          <w:sz w:val="30"/>
          <w:szCs w:val="30"/>
        </w:rPr>
        <w:t>条</w:t>
      </w:r>
      <w:r>
        <w:rPr>
          <w:rFonts w:ascii="仿宋_GB2312" w:eastAsia="仿宋_GB2312" w:cs="仿宋_GB2312" w:hint="eastAsia"/>
          <w:kern w:val="0"/>
          <w:sz w:val="30"/>
          <w:szCs w:val="30"/>
        </w:rPr>
        <w:t xml:space="preserve"> </w:t>
      </w:r>
      <w:r w:rsidR="00E3731B" w:rsidRPr="00A950D9">
        <w:rPr>
          <w:rFonts w:ascii="仿宋_GB2312" w:eastAsia="仿宋_GB2312" w:hAnsi="宋体" w:hint="eastAsia"/>
          <w:bCs/>
          <w:sz w:val="30"/>
          <w:szCs w:val="30"/>
        </w:rPr>
        <w:t>本指南自</w:t>
      </w:r>
      <w:r w:rsidR="00E3731B">
        <w:rPr>
          <w:rFonts w:ascii="仿宋_GB2312" w:eastAsia="仿宋_GB2312" w:hAnsi="宋体" w:cs="宋体" w:hint="eastAsia"/>
          <w:color w:val="000000"/>
          <w:kern w:val="0"/>
          <w:sz w:val="30"/>
          <w:szCs w:val="28"/>
        </w:rPr>
        <w:t>2020年11月1</w:t>
      </w:r>
      <w:r w:rsidR="00E3731B" w:rsidRPr="00A950D9">
        <w:rPr>
          <w:rFonts w:ascii="仿宋_GB2312" w:eastAsia="仿宋_GB2312" w:hAnsi="宋体" w:hint="eastAsia"/>
          <w:bCs/>
          <w:sz w:val="30"/>
          <w:szCs w:val="30"/>
        </w:rPr>
        <w:t>日</w:t>
      </w:r>
      <w:r w:rsidR="00E3731B">
        <w:rPr>
          <w:rFonts w:ascii="仿宋_GB2312" w:eastAsia="仿宋_GB2312" w:hAnsi="宋体" w:hint="eastAsia"/>
          <w:bCs/>
          <w:sz w:val="30"/>
          <w:szCs w:val="30"/>
        </w:rPr>
        <w:t>起</w:t>
      </w:r>
      <w:r w:rsidR="00E3731B" w:rsidRPr="00A950D9">
        <w:rPr>
          <w:rFonts w:ascii="仿宋_GB2312" w:eastAsia="仿宋_GB2312" w:hAnsi="宋体" w:hint="eastAsia"/>
          <w:bCs/>
          <w:sz w:val="30"/>
          <w:szCs w:val="30"/>
        </w:rPr>
        <w:t>施行。</w:t>
      </w:r>
      <w:r w:rsidR="00E3731B">
        <w:rPr>
          <w:rFonts w:ascii="仿宋_GB2312" w:eastAsia="仿宋_GB2312" w:hAnsi="宋体" w:cs="宋体" w:hint="eastAsia"/>
          <w:color w:val="000000"/>
          <w:kern w:val="0"/>
          <w:sz w:val="30"/>
          <w:szCs w:val="28"/>
        </w:rPr>
        <w:t>本所于2015</w:t>
      </w:r>
      <w:r w:rsidR="00E3731B">
        <w:rPr>
          <w:rFonts w:ascii="仿宋_GB2312" w:eastAsia="仿宋_GB2312" w:hAnsi="宋体" w:cs="宋体" w:hint="eastAsia"/>
          <w:color w:val="000000"/>
          <w:kern w:val="0"/>
          <w:sz w:val="30"/>
          <w:szCs w:val="28"/>
        </w:rPr>
        <w:lastRenderedPageBreak/>
        <w:t>年9月8日发布的</w:t>
      </w:r>
      <w:r w:rsidR="00E3731B" w:rsidRPr="005A465A">
        <w:rPr>
          <w:rFonts w:ascii="仿宋_GB2312" w:eastAsia="仿宋_GB2312" w:hAnsi="宋体" w:hint="eastAsia"/>
          <w:bCs/>
          <w:sz w:val="30"/>
          <w:szCs w:val="30"/>
        </w:rPr>
        <w:t>《上海证券交易所QFII、RQFII业务报备流程》同时废止</w:t>
      </w:r>
      <w:r w:rsidR="00E3731B">
        <w:rPr>
          <w:rFonts w:ascii="仿宋_GB2312" w:eastAsia="仿宋_GB2312" w:hAnsi="宋体" w:hint="eastAsia"/>
          <w:bCs/>
          <w:sz w:val="30"/>
          <w:szCs w:val="30"/>
        </w:rPr>
        <w:t>。</w:t>
      </w:r>
      <w:r w:rsidR="00E3731B" w:rsidRPr="00773FA0">
        <w:rPr>
          <w:rFonts w:ascii="仿宋_GB2312" w:eastAsia="仿宋_GB2312" w:hAnsi="宋体" w:hint="eastAsia"/>
          <w:bCs/>
          <w:sz w:val="30"/>
          <w:szCs w:val="30"/>
        </w:rPr>
        <w:t>本所</w:t>
      </w:r>
      <w:r w:rsidR="00E3731B">
        <w:rPr>
          <w:rFonts w:ascii="仿宋_GB2312" w:eastAsia="仿宋_GB2312" w:hAnsi="宋体" w:hint="eastAsia"/>
          <w:bCs/>
          <w:sz w:val="30"/>
          <w:szCs w:val="30"/>
        </w:rPr>
        <w:t>会员部联系</w:t>
      </w:r>
      <w:r w:rsidR="00E3731B" w:rsidRPr="00773FA0">
        <w:rPr>
          <w:rFonts w:ascii="仿宋_GB2312" w:eastAsia="仿宋_GB2312" w:hAnsi="宋体" w:hint="eastAsia"/>
          <w:bCs/>
          <w:sz w:val="30"/>
          <w:szCs w:val="30"/>
        </w:rPr>
        <w:t>电话：021-</w:t>
      </w:r>
      <w:r w:rsidR="00E3731B" w:rsidRPr="00EB35EB">
        <w:rPr>
          <w:rFonts w:ascii="仿宋_GB2312" w:eastAsia="仿宋_GB2312" w:hAnsi="宋体"/>
          <w:bCs/>
          <w:sz w:val="30"/>
          <w:szCs w:val="30"/>
        </w:rPr>
        <w:t>68601910</w:t>
      </w:r>
      <w:r w:rsidR="00E3731B" w:rsidRPr="00773FA0">
        <w:rPr>
          <w:rFonts w:ascii="仿宋_GB2312" w:eastAsia="仿宋_GB2312" w:hAnsi="宋体" w:hint="eastAsia"/>
          <w:bCs/>
          <w:sz w:val="30"/>
          <w:szCs w:val="30"/>
        </w:rPr>
        <w:t>，</w:t>
      </w:r>
      <w:r w:rsidR="00E3731B">
        <w:rPr>
          <w:rFonts w:ascii="仿宋_GB2312" w:eastAsia="仿宋_GB2312" w:hAnsi="宋体" w:hint="eastAsia"/>
          <w:bCs/>
          <w:sz w:val="30"/>
          <w:szCs w:val="30"/>
        </w:rPr>
        <w:t>邮箱：yuanlicai</w:t>
      </w:r>
      <w:r w:rsidR="00E3731B" w:rsidRPr="00773FA0">
        <w:rPr>
          <w:rFonts w:ascii="仿宋_GB2312" w:eastAsia="仿宋_GB2312" w:hAnsi="宋体" w:hint="eastAsia"/>
          <w:bCs/>
          <w:sz w:val="30"/>
          <w:szCs w:val="30"/>
        </w:rPr>
        <w:t>@sse.com.cn。</w:t>
      </w:r>
    </w:p>
    <w:sectPr w:rsidR="00900A65" w:rsidSect="00EE22E8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4EB6" w:rsidRDefault="00F44EB6" w:rsidP="005A55EC">
      <w:r>
        <w:separator/>
      </w:r>
    </w:p>
  </w:endnote>
  <w:endnote w:type="continuationSeparator" w:id="0">
    <w:p w:rsidR="00F44EB6" w:rsidRDefault="00F44EB6" w:rsidP="005A55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golian Baiti">
    <w:panose1 w:val="03000500000000000000"/>
    <w:charset w:val="00"/>
    <w:family w:val="script"/>
    <w:pitch w:val="variable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2844829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30"/>
        <w:szCs w:val="30"/>
      </w:rPr>
    </w:sdtEndPr>
    <w:sdtContent>
      <w:p w:rsidR="00EE22E8" w:rsidRPr="00EE22E8" w:rsidRDefault="00935EB2">
        <w:pPr>
          <w:pStyle w:val="a4"/>
          <w:jc w:val="center"/>
          <w:rPr>
            <w:rFonts w:ascii="仿宋_GB2312" w:eastAsia="仿宋_GB2312"/>
            <w:sz w:val="30"/>
            <w:szCs w:val="30"/>
          </w:rPr>
        </w:pPr>
        <w:r w:rsidRPr="00EE22E8">
          <w:rPr>
            <w:rFonts w:ascii="仿宋_GB2312" w:eastAsia="仿宋_GB2312" w:hint="eastAsia"/>
            <w:sz w:val="30"/>
            <w:szCs w:val="30"/>
          </w:rPr>
          <w:fldChar w:fldCharType="begin"/>
        </w:r>
        <w:r w:rsidR="00EE22E8" w:rsidRPr="00EE22E8">
          <w:rPr>
            <w:rFonts w:ascii="仿宋_GB2312" w:eastAsia="仿宋_GB2312" w:hint="eastAsia"/>
            <w:sz w:val="30"/>
            <w:szCs w:val="30"/>
          </w:rPr>
          <w:instrText xml:space="preserve"> PAGE   \* MERGEFORMAT </w:instrText>
        </w:r>
        <w:r w:rsidRPr="00EE22E8">
          <w:rPr>
            <w:rFonts w:ascii="仿宋_GB2312" w:eastAsia="仿宋_GB2312" w:hint="eastAsia"/>
            <w:sz w:val="30"/>
            <w:szCs w:val="30"/>
          </w:rPr>
          <w:fldChar w:fldCharType="separate"/>
        </w:r>
        <w:r w:rsidR="00502B7E" w:rsidRPr="00502B7E">
          <w:rPr>
            <w:rFonts w:ascii="仿宋_GB2312" w:eastAsia="仿宋_GB2312"/>
            <w:noProof/>
            <w:sz w:val="30"/>
            <w:szCs w:val="30"/>
            <w:lang w:val="zh-CN"/>
          </w:rPr>
          <w:t>-</w:t>
        </w:r>
        <w:r w:rsidR="00502B7E">
          <w:rPr>
            <w:rFonts w:ascii="仿宋_GB2312" w:eastAsia="仿宋_GB2312"/>
            <w:noProof/>
            <w:sz w:val="30"/>
            <w:szCs w:val="30"/>
          </w:rPr>
          <w:t xml:space="preserve"> 1 -</w:t>
        </w:r>
        <w:r w:rsidRPr="00EE22E8">
          <w:rPr>
            <w:rFonts w:ascii="仿宋_GB2312" w:eastAsia="仿宋_GB2312" w:hint="eastAsia"/>
            <w:sz w:val="30"/>
            <w:szCs w:val="30"/>
          </w:rPr>
          <w:fldChar w:fldCharType="end"/>
        </w:r>
      </w:p>
    </w:sdtContent>
  </w:sdt>
  <w:p w:rsidR="00EE22E8" w:rsidRDefault="00EE22E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4EB6" w:rsidRDefault="00F44EB6" w:rsidP="005A55EC">
      <w:r>
        <w:separator/>
      </w:r>
    </w:p>
  </w:footnote>
  <w:footnote w:type="continuationSeparator" w:id="0">
    <w:p w:rsidR="00F44EB6" w:rsidRDefault="00F44EB6" w:rsidP="005A55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44A0E"/>
    <w:multiLevelType w:val="hybridMultilevel"/>
    <w:tmpl w:val="A2F87ECA"/>
    <w:lvl w:ilvl="0" w:tplc="B0C023FA">
      <w:start w:val="1"/>
      <w:numFmt w:val="decimal"/>
      <w:lvlText w:val="%1."/>
      <w:lvlJc w:val="left"/>
      <w:pPr>
        <w:ind w:left="1488" w:hanging="894"/>
      </w:pPr>
      <w:rPr>
        <w:rFonts w:hAnsi="微软雅黑" w:cs="宋体"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1434" w:hanging="420"/>
      </w:pPr>
    </w:lvl>
    <w:lvl w:ilvl="2" w:tplc="0409001B" w:tentative="1">
      <w:start w:val="1"/>
      <w:numFmt w:val="lowerRoman"/>
      <w:lvlText w:val="%3."/>
      <w:lvlJc w:val="right"/>
      <w:pPr>
        <w:ind w:left="1854" w:hanging="420"/>
      </w:pPr>
    </w:lvl>
    <w:lvl w:ilvl="3" w:tplc="0409000F" w:tentative="1">
      <w:start w:val="1"/>
      <w:numFmt w:val="decimal"/>
      <w:lvlText w:val="%4."/>
      <w:lvlJc w:val="left"/>
      <w:pPr>
        <w:ind w:left="2274" w:hanging="420"/>
      </w:pPr>
    </w:lvl>
    <w:lvl w:ilvl="4" w:tplc="04090019" w:tentative="1">
      <w:start w:val="1"/>
      <w:numFmt w:val="lowerLetter"/>
      <w:lvlText w:val="%5)"/>
      <w:lvlJc w:val="left"/>
      <w:pPr>
        <w:ind w:left="2694" w:hanging="420"/>
      </w:pPr>
    </w:lvl>
    <w:lvl w:ilvl="5" w:tplc="0409001B" w:tentative="1">
      <w:start w:val="1"/>
      <w:numFmt w:val="lowerRoman"/>
      <w:lvlText w:val="%6."/>
      <w:lvlJc w:val="right"/>
      <w:pPr>
        <w:ind w:left="3114" w:hanging="420"/>
      </w:pPr>
    </w:lvl>
    <w:lvl w:ilvl="6" w:tplc="0409000F" w:tentative="1">
      <w:start w:val="1"/>
      <w:numFmt w:val="decimal"/>
      <w:lvlText w:val="%7."/>
      <w:lvlJc w:val="left"/>
      <w:pPr>
        <w:ind w:left="3534" w:hanging="420"/>
      </w:pPr>
    </w:lvl>
    <w:lvl w:ilvl="7" w:tplc="04090019" w:tentative="1">
      <w:start w:val="1"/>
      <w:numFmt w:val="lowerLetter"/>
      <w:lvlText w:val="%8)"/>
      <w:lvlJc w:val="left"/>
      <w:pPr>
        <w:ind w:left="3954" w:hanging="420"/>
      </w:pPr>
    </w:lvl>
    <w:lvl w:ilvl="8" w:tplc="0409001B" w:tentative="1">
      <w:start w:val="1"/>
      <w:numFmt w:val="lowerRoman"/>
      <w:lvlText w:val="%9."/>
      <w:lvlJc w:val="right"/>
      <w:pPr>
        <w:ind w:left="4374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55EC"/>
    <w:rsid w:val="000018FB"/>
    <w:rsid w:val="00005012"/>
    <w:rsid w:val="00013B63"/>
    <w:rsid w:val="00034AC1"/>
    <w:rsid w:val="00073573"/>
    <w:rsid w:val="000D5577"/>
    <w:rsid w:val="000E3A0C"/>
    <w:rsid w:val="001576F9"/>
    <w:rsid w:val="00157D7C"/>
    <w:rsid w:val="001660DD"/>
    <w:rsid w:val="001918A5"/>
    <w:rsid w:val="00192099"/>
    <w:rsid w:val="001A6165"/>
    <w:rsid w:val="00205E42"/>
    <w:rsid w:val="0023464F"/>
    <w:rsid w:val="0024539E"/>
    <w:rsid w:val="00264217"/>
    <w:rsid w:val="002B79F0"/>
    <w:rsid w:val="002D54D8"/>
    <w:rsid w:val="00350655"/>
    <w:rsid w:val="00374181"/>
    <w:rsid w:val="00397CB3"/>
    <w:rsid w:val="003A4056"/>
    <w:rsid w:val="00404376"/>
    <w:rsid w:val="004351DD"/>
    <w:rsid w:val="00445C5B"/>
    <w:rsid w:val="00481480"/>
    <w:rsid w:val="004A5B33"/>
    <w:rsid w:val="004C02C8"/>
    <w:rsid w:val="004F2C85"/>
    <w:rsid w:val="004F78CA"/>
    <w:rsid w:val="00502B7E"/>
    <w:rsid w:val="00551051"/>
    <w:rsid w:val="005774DC"/>
    <w:rsid w:val="0059675A"/>
    <w:rsid w:val="005A55EC"/>
    <w:rsid w:val="005F397B"/>
    <w:rsid w:val="00632AA1"/>
    <w:rsid w:val="00651C3F"/>
    <w:rsid w:val="00672926"/>
    <w:rsid w:val="006804D7"/>
    <w:rsid w:val="006B5352"/>
    <w:rsid w:val="006C49DD"/>
    <w:rsid w:val="006D2739"/>
    <w:rsid w:val="006F6E5E"/>
    <w:rsid w:val="00717631"/>
    <w:rsid w:val="00725033"/>
    <w:rsid w:val="00726342"/>
    <w:rsid w:val="00731792"/>
    <w:rsid w:val="00750D8A"/>
    <w:rsid w:val="0077187D"/>
    <w:rsid w:val="00782B50"/>
    <w:rsid w:val="00787D46"/>
    <w:rsid w:val="007A2BD3"/>
    <w:rsid w:val="007A5DC9"/>
    <w:rsid w:val="007C57E3"/>
    <w:rsid w:val="00801CA7"/>
    <w:rsid w:val="00814F65"/>
    <w:rsid w:val="008418A5"/>
    <w:rsid w:val="008500BC"/>
    <w:rsid w:val="00875AC5"/>
    <w:rsid w:val="008C3686"/>
    <w:rsid w:val="008E62F2"/>
    <w:rsid w:val="00900A65"/>
    <w:rsid w:val="009218A3"/>
    <w:rsid w:val="00935EB2"/>
    <w:rsid w:val="00993A31"/>
    <w:rsid w:val="009A4C60"/>
    <w:rsid w:val="009F19A4"/>
    <w:rsid w:val="00A15A83"/>
    <w:rsid w:val="00A3218C"/>
    <w:rsid w:val="00A43739"/>
    <w:rsid w:val="00A64FF6"/>
    <w:rsid w:val="00A66FE1"/>
    <w:rsid w:val="00A74C0C"/>
    <w:rsid w:val="00A8387E"/>
    <w:rsid w:val="00A9282C"/>
    <w:rsid w:val="00AA4763"/>
    <w:rsid w:val="00AA4808"/>
    <w:rsid w:val="00AB387A"/>
    <w:rsid w:val="00AF66D0"/>
    <w:rsid w:val="00B06989"/>
    <w:rsid w:val="00B2080B"/>
    <w:rsid w:val="00B25717"/>
    <w:rsid w:val="00B46FB5"/>
    <w:rsid w:val="00BA2812"/>
    <w:rsid w:val="00BB3680"/>
    <w:rsid w:val="00BC5A28"/>
    <w:rsid w:val="00C232B1"/>
    <w:rsid w:val="00C346A9"/>
    <w:rsid w:val="00C548B2"/>
    <w:rsid w:val="00CA6711"/>
    <w:rsid w:val="00CC5A4F"/>
    <w:rsid w:val="00CD3583"/>
    <w:rsid w:val="00CD44E9"/>
    <w:rsid w:val="00CF2E09"/>
    <w:rsid w:val="00D054C4"/>
    <w:rsid w:val="00D462F8"/>
    <w:rsid w:val="00D540D2"/>
    <w:rsid w:val="00D91ECB"/>
    <w:rsid w:val="00DB0710"/>
    <w:rsid w:val="00DB1568"/>
    <w:rsid w:val="00DB20CF"/>
    <w:rsid w:val="00DB3E21"/>
    <w:rsid w:val="00DB6B63"/>
    <w:rsid w:val="00DE5EC7"/>
    <w:rsid w:val="00DF6EC4"/>
    <w:rsid w:val="00E31A33"/>
    <w:rsid w:val="00E34065"/>
    <w:rsid w:val="00E3731B"/>
    <w:rsid w:val="00E457F8"/>
    <w:rsid w:val="00E847CB"/>
    <w:rsid w:val="00EC02CD"/>
    <w:rsid w:val="00EC2B69"/>
    <w:rsid w:val="00ED14ED"/>
    <w:rsid w:val="00EE0EFC"/>
    <w:rsid w:val="00EE22E8"/>
    <w:rsid w:val="00EF4AF2"/>
    <w:rsid w:val="00F44EB6"/>
    <w:rsid w:val="00F51803"/>
    <w:rsid w:val="00F531E9"/>
    <w:rsid w:val="00FE4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A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A55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A55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55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55EC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774DC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6">
    <w:name w:val="List Paragraph"/>
    <w:basedOn w:val="a"/>
    <w:uiPriority w:val="34"/>
    <w:qFormat/>
    <w:rsid w:val="00350655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37418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7418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5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9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973548">
                  <w:marLeft w:val="-75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4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4866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DCDCDC"/>
                            <w:left w:val="single" w:sz="6" w:space="8" w:color="DCDCDC"/>
                            <w:bottom w:val="single" w:sz="6" w:space="8" w:color="DCDCDC"/>
                            <w:right w:val="single" w:sz="6" w:space="8" w:color="DCDCDC"/>
                          </w:divBdr>
                          <w:divsChild>
                            <w:div w:id="273098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267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6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313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tek</dc:creator>
  <cp:keywords/>
  <dc:description/>
  <cp:lastModifiedBy>何昕(送（会签）部门相关人员)</cp:lastModifiedBy>
  <cp:revision>131</cp:revision>
  <cp:lastPrinted>2019-10-29T00:42:00Z</cp:lastPrinted>
  <dcterms:created xsi:type="dcterms:W3CDTF">2019-10-28T09:57:00Z</dcterms:created>
  <dcterms:modified xsi:type="dcterms:W3CDTF">2020-10-30T10:09:00Z</dcterms:modified>
</cp:coreProperties>
</file>