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3EA0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Style w:val="8"/>
          <w:rFonts w:hint="eastAsia" w:ascii="方正大标宋简体" w:hAnsi="方正大标宋简体" w:eastAsia="方正大标宋简体" w:cs="方正大标宋简体"/>
          <w:sz w:val="44"/>
          <w:szCs w:val="44"/>
          <w:lang w:val="en-US" w:eastAsia="zh-CN" w:bidi="ar"/>
        </w:rPr>
      </w:pPr>
    </w:p>
    <w:p w14:paraId="4A5EDCF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Style w:val="8"/>
          <w:rFonts w:hint="eastAsia" w:ascii="方正大标宋简体" w:hAnsi="方正大标宋简体" w:eastAsia="方正大标宋简体" w:cs="方正大标宋简体"/>
          <w:sz w:val="44"/>
          <w:szCs w:val="44"/>
          <w:lang w:val="en-US" w:eastAsia="zh-CN" w:bidi="ar"/>
        </w:rPr>
      </w:pPr>
    </w:p>
    <w:p w14:paraId="0EE094E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Style w:val="8"/>
          <w:rFonts w:hint="eastAsia" w:ascii="方正大标宋简体" w:hAnsi="方正大标宋简体" w:eastAsia="方正大标宋简体" w:cs="方正大标宋简体"/>
          <w:sz w:val="44"/>
          <w:szCs w:val="44"/>
          <w:lang w:val="en-US" w:eastAsia="zh-CN" w:bidi="ar"/>
        </w:rPr>
      </w:pPr>
    </w:p>
    <w:p w14:paraId="12684C0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Style w:val="8"/>
          <w:rFonts w:hint="eastAsia" w:ascii="方正大标宋简体" w:hAnsi="方正大标宋简体" w:eastAsia="方正大标宋简体" w:cs="方正大标宋简体"/>
          <w:sz w:val="44"/>
          <w:szCs w:val="44"/>
          <w:lang w:val="en-US" w:eastAsia="zh-CN" w:bidi="ar"/>
        </w:rPr>
      </w:pPr>
    </w:p>
    <w:p w14:paraId="294094F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Style w:val="8"/>
          <w:rFonts w:hint="eastAsia" w:ascii="方正大标宋简体" w:hAnsi="方正大标宋简体" w:eastAsia="方正大标宋简体" w:cs="方正大标宋简体"/>
          <w:sz w:val="44"/>
          <w:szCs w:val="44"/>
          <w:lang w:val="en-US" w:eastAsia="zh-CN" w:bidi="ar"/>
        </w:rPr>
      </w:pPr>
    </w:p>
    <w:p w14:paraId="096FFAA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Style w:val="8"/>
          <w:rFonts w:hint="eastAsia" w:ascii="方正大标宋简体" w:hAnsi="方正大标宋简体" w:eastAsia="方正大标宋简体" w:cs="方正大标宋简体"/>
          <w:sz w:val="44"/>
          <w:szCs w:val="44"/>
          <w:lang w:val="en-US" w:eastAsia="zh-CN" w:bidi="ar"/>
        </w:rPr>
      </w:pPr>
      <w:r>
        <w:rPr>
          <w:rStyle w:val="8"/>
          <w:rFonts w:hint="eastAsia" w:ascii="方正大标宋简体" w:hAnsi="方正大标宋简体" w:eastAsia="方正大标宋简体" w:cs="方正大标宋简体"/>
          <w:sz w:val="44"/>
          <w:szCs w:val="44"/>
          <w:lang w:val="en-US" w:eastAsia="zh-CN" w:bidi="ar"/>
        </w:rPr>
        <w:t>上海证券交易所证券交易业务指南第11号</w:t>
      </w:r>
    </w:p>
    <w:p w14:paraId="7FE7EF3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Style w:val="8"/>
          <w:rFonts w:hint="eastAsia"/>
          <w:sz w:val="44"/>
          <w:szCs w:val="44"/>
          <w:lang w:val="en-US" w:eastAsia="zh-CN" w:bidi="ar"/>
        </w:rPr>
      </w:pPr>
      <w:r>
        <w:rPr>
          <w:rStyle w:val="8"/>
          <w:rFonts w:hint="eastAsia" w:ascii="方正大标宋简体" w:hAnsi="方正大标宋简体" w:eastAsia="方正大标宋简体" w:cs="方正大标宋简体"/>
          <w:sz w:val="44"/>
          <w:szCs w:val="44"/>
          <w:lang w:val="en-US" w:eastAsia="zh-CN" w:bidi="ar"/>
        </w:rPr>
        <w:t>——指</w:t>
      </w:r>
      <w:bookmarkStart w:id="25" w:name="_GoBack"/>
      <w:bookmarkEnd w:id="25"/>
      <w:r>
        <w:rPr>
          <w:rStyle w:val="8"/>
          <w:rFonts w:hint="eastAsia" w:ascii="方正大标宋简体" w:hAnsi="方正大标宋简体" w:eastAsia="方正大标宋简体" w:cs="方正大标宋简体"/>
          <w:sz w:val="44"/>
          <w:szCs w:val="44"/>
          <w:lang w:val="en-US" w:eastAsia="zh-CN" w:bidi="ar"/>
        </w:rPr>
        <w:t>定交易业务</w:t>
      </w:r>
    </w:p>
    <w:p w14:paraId="2E777728">
      <w:pPr>
        <w:keepNext w:val="0"/>
        <w:keepLines w:val="0"/>
        <w:widowControl/>
        <w:suppressLineNumbers w:val="0"/>
        <w:jc w:val="center"/>
        <w:rPr>
          <w:rStyle w:val="8"/>
          <w:rFonts w:hint="eastAsia"/>
          <w:sz w:val="44"/>
          <w:szCs w:val="44"/>
          <w:lang w:val="en-US" w:eastAsia="zh-CN" w:bidi="ar"/>
        </w:rPr>
      </w:pPr>
    </w:p>
    <w:p w14:paraId="5B76F81A">
      <w:pPr>
        <w:keepNext w:val="0"/>
        <w:keepLines w:val="0"/>
        <w:widowControl/>
        <w:suppressLineNumbers w:val="0"/>
        <w:jc w:val="center"/>
        <w:rPr>
          <w:rStyle w:val="8"/>
          <w:rFonts w:hint="eastAsia"/>
          <w:sz w:val="44"/>
          <w:szCs w:val="44"/>
          <w:lang w:val="en-US" w:eastAsia="zh-CN" w:bidi="ar"/>
        </w:rPr>
      </w:pPr>
    </w:p>
    <w:p w14:paraId="02DF1A13">
      <w:pPr>
        <w:keepNext w:val="0"/>
        <w:keepLines w:val="0"/>
        <w:widowControl/>
        <w:suppressLineNumbers w:val="0"/>
        <w:jc w:val="center"/>
        <w:rPr>
          <w:rStyle w:val="8"/>
          <w:rFonts w:hint="eastAsia"/>
          <w:sz w:val="44"/>
          <w:szCs w:val="44"/>
          <w:lang w:val="en-US" w:eastAsia="zh-CN" w:bidi="ar"/>
        </w:rPr>
      </w:pPr>
    </w:p>
    <w:p w14:paraId="3DCD5C1D">
      <w:pPr>
        <w:keepNext w:val="0"/>
        <w:keepLines w:val="0"/>
        <w:widowControl/>
        <w:suppressLineNumbers w:val="0"/>
        <w:jc w:val="center"/>
        <w:rPr>
          <w:rStyle w:val="8"/>
          <w:rFonts w:hint="eastAsia"/>
          <w:sz w:val="44"/>
          <w:szCs w:val="44"/>
          <w:lang w:val="en-US" w:eastAsia="zh-CN" w:bidi="ar"/>
        </w:rPr>
      </w:pPr>
    </w:p>
    <w:p w14:paraId="15499B66">
      <w:pPr>
        <w:keepNext w:val="0"/>
        <w:keepLines w:val="0"/>
        <w:widowControl/>
        <w:suppressLineNumbers w:val="0"/>
        <w:jc w:val="center"/>
        <w:rPr>
          <w:rStyle w:val="8"/>
          <w:rFonts w:hint="eastAsia"/>
          <w:sz w:val="44"/>
          <w:szCs w:val="44"/>
          <w:lang w:val="en-US" w:eastAsia="zh-CN" w:bidi="ar"/>
        </w:rPr>
      </w:pPr>
    </w:p>
    <w:p w14:paraId="27C5A3B9">
      <w:pPr>
        <w:keepNext w:val="0"/>
        <w:keepLines w:val="0"/>
        <w:widowControl/>
        <w:suppressLineNumbers w:val="0"/>
        <w:jc w:val="center"/>
        <w:rPr>
          <w:rStyle w:val="8"/>
          <w:rFonts w:hint="eastAsia"/>
          <w:sz w:val="44"/>
          <w:szCs w:val="44"/>
          <w:lang w:val="en-US" w:eastAsia="zh-CN" w:bidi="ar"/>
        </w:rPr>
      </w:pPr>
    </w:p>
    <w:p w14:paraId="6A718EE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Style w:val="9"/>
          <w:rFonts w:hint="eastAsia" w:ascii="Times New Roman" w:hAnsi="Times New Roman" w:cs="Times New Roman"/>
          <w:sz w:val="32"/>
          <w:szCs w:val="32"/>
          <w:lang w:val="en-US" w:eastAsia="zh-CN" w:bidi="ar"/>
        </w:rPr>
      </w:pPr>
      <w:r>
        <w:rPr>
          <w:rStyle w:val="9"/>
          <w:rFonts w:hint="eastAsia" w:ascii="Times New Roman" w:hAnsi="Times New Roman" w:cs="Times New Roman"/>
          <w:sz w:val="32"/>
          <w:szCs w:val="32"/>
          <w:lang w:val="en-US" w:eastAsia="zh-CN" w:bidi="ar"/>
        </w:rPr>
        <w:t>上海证券交易所</w:t>
      </w:r>
    </w:p>
    <w:p w14:paraId="7E5CD5A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Style w:val="8"/>
          <w:rFonts w:hint="default"/>
          <w:sz w:val="44"/>
          <w:szCs w:val="44"/>
          <w:lang w:val="en-US" w:eastAsia="zh-CN" w:bidi="ar"/>
        </w:rPr>
      </w:pPr>
      <w:r>
        <w:rPr>
          <w:rStyle w:val="9"/>
          <w:rFonts w:hint="eastAsia" w:ascii="Times New Roman" w:hAnsi="Times New Roman" w:cs="Times New Roman"/>
          <w:sz w:val="32"/>
          <w:szCs w:val="32"/>
          <w:lang w:val="en-US" w:eastAsia="zh-CN" w:bidi="ar"/>
        </w:rPr>
        <w:t>2025年5月</w:t>
      </w:r>
    </w:p>
    <w:p w14:paraId="0788B11F">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ascii="宋体" w:hAnsi="宋体" w:eastAsia="宋体" w:cs="Times New Roman"/>
          <w:kern w:val="2"/>
          <w:sz w:val="32"/>
          <w:szCs w:val="40"/>
          <w:lang w:val="en-US" w:eastAsia="zh-CN" w:bidi="ar-SA"/>
        </w:rPr>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pPr>
    </w:p>
    <w:p w14:paraId="3F21D32D">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黑体" w:hAnsi="黑体" w:eastAsia="黑体" w:cs="黑体"/>
          <w:sz w:val="44"/>
          <w:szCs w:val="44"/>
        </w:rPr>
      </w:pPr>
      <w:r>
        <w:rPr>
          <w:rFonts w:hint="eastAsia" w:ascii="黑体" w:hAnsi="黑体" w:eastAsia="黑体" w:cs="黑体"/>
          <w:sz w:val="44"/>
          <w:szCs w:val="44"/>
        </w:rPr>
        <w:t>目录</w:t>
      </w:r>
    </w:p>
    <w:p w14:paraId="593A255D">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黑体" w:hAnsi="黑体" w:eastAsia="黑体" w:cs="黑体"/>
          <w:sz w:val="44"/>
          <w:szCs w:val="44"/>
        </w:rPr>
      </w:pPr>
    </w:p>
    <w:p w14:paraId="5C64FC07">
      <w:pPr>
        <w:pStyle w:val="4"/>
        <w:tabs>
          <w:tab w:val="right" w:leader="dot" w:pos="8306"/>
        </w:tabs>
        <w:rPr>
          <w:rFonts w:hint="default" w:ascii="Times New Roman" w:hAnsi="Times New Roman" w:eastAsia="仿宋_GB2312" w:cs="Times New Roman"/>
          <w:sz w:val="32"/>
          <w:szCs w:val="32"/>
        </w:rPr>
      </w:pPr>
      <w:r>
        <w:rPr>
          <w:rStyle w:val="8"/>
          <w:rFonts w:hint="default" w:ascii="Times New Roman" w:hAnsi="Times New Roman" w:eastAsia="仿宋_GB2312" w:cs="Times New Roman"/>
          <w:sz w:val="32"/>
          <w:szCs w:val="32"/>
          <w:lang w:val="en-US" w:eastAsia="zh-CN" w:bidi="ar"/>
        </w:rPr>
        <w:fldChar w:fldCharType="begin"/>
      </w:r>
      <w:r>
        <w:rPr>
          <w:rStyle w:val="8"/>
          <w:rFonts w:hint="default" w:ascii="Times New Roman" w:hAnsi="Times New Roman" w:eastAsia="仿宋_GB2312" w:cs="Times New Roman"/>
          <w:sz w:val="32"/>
          <w:szCs w:val="32"/>
          <w:lang w:val="en-US" w:eastAsia="zh-CN" w:bidi="ar"/>
        </w:rPr>
        <w:instrText xml:space="preserve">TOC \o "1-2" \h \u </w:instrText>
      </w:r>
      <w:r>
        <w:rPr>
          <w:rStyle w:val="8"/>
          <w:rFonts w:hint="default" w:ascii="Times New Roman" w:hAnsi="Times New Roman" w:eastAsia="仿宋_GB2312" w:cs="Times New Roman"/>
          <w:sz w:val="32"/>
          <w:szCs w:val="32"/>
          <w:lang w:val="en-US" w:eastAsia="zh-CN" w:bidi="ar"/>
        </w:rPr>
        <w:fldChar w:fldCharType="separate"/>
      </w:r>
      <w:r>
        <w:rPr>
          <w:rFonts w:hint="default" w:ascii="Times New Roman" w:hAnsi="Times New Roman" w:eastAsia="仿宋_GB2312" w:cs="Times New Roman"/>
          <w:sz w:val="32"/>
          <w:szCs w:val="32"/>
          <w:lang w:val="en-US" w:eastAsia="zh-CN" w:bidi="ar"/>
        </w:rPr>
        <w:fldChar w:fldCharType="begin"/>
      </w:r>
      <w:r>
        <w:rPr>
          <w:rFonts w:hint="default" w:ascii="Times New Roman" w:hAnsi="Times New Roman" w:eastAsia="仿宋_GB2312" w:cs="Times New Roman"/>
          <w:sz w:val="32"/>
          <w:szCs w:val="32"/>
          <w:lang w:val="en-US" w:eastAsia="zh-CN" w:bidi="ar"/>
        </w:rPr>
        <w:instrText xml:space="preserve"> HYPERLINK \l _Toc8402 </w:instrText>
      </w:r>
      <w:r>
        <w:rPr>
          <w:rFonts w:hint="default" w:ascii="Times New Roman" w:hAnsi="Times New Roman" w:eastAsia="仿宋_GB2312" w:cs="Times New Roman"/>
          <w:sz w:val="32"/>
          <w:szCs w:val="32"/>
          <w:lang w:val="en-US" w:eastAsia="zh-CN" w:bidi="ar"/>
        </w:rPr>
        <w:fldChar w:fldCharType="separate"/>
      </w:r>
      <w:r>
        <w:rPr>
          <w:rFonts w:hint="default" w:ascii="Times New Roman" w:hAnsi="Times New Roman" w:eastAsia="仿宋_GB2312" w:cs="Times New Roman"/>
          <w:sz w:val="32"/>
          <w:szCs w:val="32"/>
          <w:lang w:val="en-US" w:eastAsia="zh-CN" w:bidi="ar"/>
        </w:rPr>
        <w:t>一、指定交易业务概述</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_Toc8402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xml:space="preserve"> 1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bidi="ar"/>
        </w:rPr>
        <w:fldChar w:fldCharType="end"/>
      </w:r>
    </w:p>
    <w:p w14:paraId="23E53EC7">
      <w:pPr>
        <w:pStyle w:val="4"/>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bidi="ar"/>
        </w:rPr>
        <w:fldChar w:fldCharType="begin"/>
      </w:r>
      <w:r>
        <w:rPr>
          <w:rFonts w:hint="default" w:ascii="Times New Roman" w:hAnsi="Times New Roman" w:eastAsia="仿宋_GB2312" w:cs="Times New Roman"/>
          <w:sz w:val="32"/>
          <w:szCs w:val="32"/>
          <w:lang w:val="en-US" w:eastAsia="zh-CN" w:bidi="ar"/>
        </w:rPr>
        <w:instrText xml:space="preserve"> HYPERLINK \l _Toc16680 </w:instrText>
      </w:r>
      <w:r>
        <w:rPr>
          <w:rFonts w:hint="default" w:ascii="Times New Roman" w:hAnsi="Times New Roman" w:eastAsia="仿宋_GB2312" w:cs="Times New Roman"/>
          <w:sz w:val="32"/>
          <w:szCs w:val="32"/>
          <w:lang w:val="en-US" w:eastAsia="zh-CN" w:bidi="ar"/>
        </w:rPr>
        <w:fldChar w:fldCharType="separate"/>
      </w:r>
      <w:r>
        <w:rPr>
          <w:rFonts w:hint="default" w:ascii="Times New Roman" w:hAnsi="Times New Roman" w:eastAsia="仿宋_GB2312" w:cs="Times New Roman"/>
          <w:bCs w:val="0"/>
          <w:i w:val="0"/>
          <w:iCs w:val="0"/>
          <w:kern w:val="0"/>
          <w:sz w:val="32"/>
          <w:szCs w:val="32"/>
          <w:lang w:val="en-US" w:eastAsia="zh-CN" w:bidi="ar"/>
        </w:rPr>
        <w:t>二、指定交易的办理和撤销</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_Toc16680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xml:space="preserve"> 1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bidi="ar"/>
        </w:rPr>
        <w:fldChar w:fldCharType="end"/>
      </w:r>
    </w:p>
    <w:p w14:paraId="0CED584E">
      <w:pPr>
        <w:pStyle w:val="5"/>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bidi="ar"/>
        </w:rPr>
        <w:fldChar w:fldCharType="begin"/>
      </w:r>
      <w:r>
        <w:rPr>
          <w:rFonts w:hint="default" w:ascii="Times New Roman" w:hAnsi="Times New Roman" w:eastAsia="仿宋_GB2312" w:cs="Times New Roman"/>
          <w:sz w:val="32"/>
          <w:szCs w:val="32"/>
          <w:lang w:val="en-US" w:eastAsia="zh-CN" w:bidi="ar"/>
        </w:rPr>
        <w:instrText xml:space="preserve"> HYPERLINK \l _Toc22021 </w:instrText>
      </w:r>
      <w:r>
        <w:rPr>
          <w:rFonts w:hint="default" w:ascii="Times New Roman" w:hAnsi="Times New Roman" w:eastAsia="仿宋_GB2312" w:cs="Times New Roman"/>
          <w:sz w:val="32"/>
          <w:szCs w:val="32"/>
          <w:lang w:val="en-US" w:eastAsia="zh-CN" w:bidi="ar"/>
        </w:rPr>
        <w:fldChar w:fldCharType="separate"/>
      </w:r>
      <w:r>
        <w:rPr>
          <w:rFonts w:hint="default" w:ascii="Times New Roman" w:hAnsi="Times New Roman" w:eastAsia="仿宋_GB2312" w:cs="Times New Roman"/>
          <w:bCs w:val="0"/>
          <w:i w:val="0"/>
          <w:iCs w:val="0"/>
          <w:kern w:val="0"/>
          <w:sz w:val="32"/>
          <w:szCs w:val="32"/>
          <w:lang w:val="en-US" w:eastAsia="zh-CN" w:bidi="ar"/>
        </w:rPr>
        <w:t>（一）指定交易的办理</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_Toc22021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xml:space="preserve"> 1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bidi="ar"/>
        </w:rPr>
        <w:fldChar w:fldCharType="end"/>
      </w:r>
    </w:p>
    <w:p w14:paraId="041BA061">
      <w:pPr>
        <w:pStyle w:val="5"/>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bidi="ar"/>
        </w:rPr>
        <w:fldChar w:fldCharType="begin"/>
      </w:r>
      <w:r>
        <w:rPr>
          <w:rFonts w:hint="default" w:ascii="Times New Roman" w:hAnsi="Times New Roman" w:eastAsia="仿宋_GB2312" w:cs="Times New Roman"/>
          <w:sz w:val="32"/>
          <w:szCs w:val="32"/>
          <w:lang w:val="en-US" w:eastAsia="zh-CN" w:bidi="ar"/>
        </w:rPr>
        <w:instrText xml:space="preserve"> HYPERLINK \l _Toc19134 </w:instrText>
      </w:r>
      <w:r>
        <w:rPr>
          <w:rFonts w:hint="default" w:ascii="Times New Roman" w:hAnsi="Times New Roman" w:eastAsia="仿宋_GB2312" w:cs="Times New Roman"/>
          <w:sz w:val="32"/>
          <w:szCs w:val="32"/>
          <w:lang w:val="en-US" w:eastAsia="zh-CN" w:bidi="ar"/>
        </w:rPr>
        <w:fldChar w:fldCharType="separate"/>
      </w:r>
      <w:r>
        <w:rPr>
          <w:rFonts w:hint="default" w:ascii="Times New Roman" w:hAnsi="Times New Roman" w:eastAsia="仿宋_GB2312" w:cs="Times New Roman"/>
          <w:bCs w:val="0"/>
          <w:i w:val="0"/>
          <w:iCs w:val="0"/>
          <w:kern w:val="0"/>
          <w:sz w:val="32"/>
          <w:szCs w:val="32"/>
          <w:lang w:val="en-US" w:eastAsia="zh-CN" w:bidi="ar"/>
        </w:rPr>
        <w:t>（二）指定交易的撤销</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_Toc19134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xml:space="preserve"> 2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bidi="ar"/>
        </w:rPr>
        <w:fldChar w:fldCharType="end"/>
      </w:r>
    </w:p>
    <w:p w14:paraId="775E89DA">
      <w:pPr>
        <w:pStyle w:val="4"/>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bidi="ar"/>
        </w:rPr>
        <w:fldChar w:fldCharType="begin"/>
      </w:r>
      <w:r>
        <w:rPr>
          <w:rFonts w:hint="default" w:ascii="Times New Roman" w:hAnsi="Times New Roman" w:eastAsia="仿宋_GB2312" w:cs="Times New Roman"/>
          <w:sz w:val="32"/>
          <w:szCs w:val="32"/>
          <w:lang w:val="en-US" w:eastAsia="zh-CN" w:bidi="ar"/>
        </w:rPr>
        <w:instrText xml:space="preserve"> HYPERLINK \l _Toc21463 </w:instrText>
      </w:r>
      <w:r>
        <w:rPr>
          <w:rFonts w:hint="default" w:ascii="Times New Roman" w:hAnsi="Times New Roman" w:eastAsia="仿宋_GB2312" w:cs="Times New Roman"/>
          <w:sz w:val="32"/>
          <w:szCs w:val="32"/>
          <w:lang w:val="en-US" w:eastAsia="zh-CN" w:bidi="ar"/>
        </w:rPr>
        <w:fldChar w:fldCharType="separate"/>
      </w:r>
      <w:r>
        <w:rPr>
          <w:rFonts w:hint="default" w:ascii="Times New Roman" w:hAnsi="Times New Roman" w:eastAsia="仿宋_GB2312" w:cs="Times New Roman"/>
          <w:bCs w:val="0"/>
          <w:i w:val="0"/>
          <w:iCs w:val="0"/>
          <w:kern w:val="0"/>
          <w:sz w:val="32"/>
          <w:szCs w:val="32"/>
          <w:lang w:val="en-US" w:eastAsia="zh-CN" w:bidi="ar"/>
        </w:rPr>
        <w:t>三、指定交易状态的查询</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_Toc21463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xml:space="preserve"> 2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bidi="ar"/>
        </w:rPr>
        <w:fldChar w:fldCharType="end"/>
      </w:r>
    </w:p>
    <w:p w14:paraId="6C759FD9">
      <w:pPr>
        <w:pStyle w:val="5"/>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bidi="ar"/>
        </w:rPr>
        <w:fldChar w:fldCharType="begin"/>
      </w:r>
      <w:r>
        <w:rPr>
          <w:rFonts w:hint="default" w:ascii="Times New Roman" w:hAnsi="Times New Roman" w:eastAsia="仿宋_GB2312" w:cs="Times New Roman"/>
          <w:sz w:val="32"/>
          <w:szCs w:val="32"/>
          <w:lang w:val="en-US" w:eastAsia="zh-CN" w:bidi="ar"/>
        </w:rPr>
        <w:instrText xml:space="preserve"> HYPERLINK \l _Toc16174 </w:instrText>
      </w:r>
      <w:r>
        <w:rPr>
          <w:rFonts w:hint="default" w:ascii="Times New Roman" w:hAnsi="Times New Roman" w:eastAsia="仿宋_GB2312" w:cs="Times New Roman"/>
          <w:sz w:val="32"/>
          <w:szCs w:val="32"/>
          <w:lang w:val="en-US" w:eastAsia="zh-CN" w:bidi="ar"/>
        </w:rPr>
        <w:fldChar w:fldCharType="separate"/>
      </w:r>
      <w:r>
        <w:rPr>
          <w:rFonts w:hint="default" w:ascii="Times New Roman" w:hAnsi="Times New Roman" w:eastAsia="仿宋_GB2312" w:cs="Times New Roman"/>
          <w:bCs w:val="0"/>
          <w:i w:val="0"/>
          <w:iCs w:val="0"/>
          <w:kern w:val="0"/>
          <w:sz w:val="32"/>
          <w:szCs w:val="32"/>
          <w:lang w:val="en-US" w:eastAsia="zh-CN" w:bidi="ar"/>
        </w:rPr>
        <w:t>（一）指定交易当日查询</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_Toc16174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xml:space="preserve"> 2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bidi="ar"/>
        </w:rPr>
        <w:fldChar w:fldCharType="end"/>
      </w:r>
    </w:p>
    <w:p w14:paraId="43594E89">
      <w:pPr>
        <w:pStyle w:val="5"/>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bidi="ar"/>
        </w:rPr>
        <w:fldChar w:fldCharType="begin"/>
      </w:r>
      <w:r>
        <w:rPr>
          <w:rFonts w:hint="default" w:ascii="Times New Roman" w:hAnsi="Times New Roman" w:eastAsia="仿宋_GB2312" w:cs="Times New Roman"/>
          <w:sz w:val="32"/>
          <w:szCs w:val="32"/>
          <w:lang w:val="en-US" w:eastAsia="zh-CN" w:bidi="ar"/>
        </w:rPr>
        <w:instrText xml:space="preserve"> HYPERLINK \l _Toc29682 </w:instrText>
      </w:r>
      <w:r>
        <w:rPr>
          <w:rFonts w:hint="default" w:ascii="Times New Roman" w:hAnsi="Times New Roman" w:eastAsia="仿宋_GB2312" w:cs="Times New Roman"/>
          <w:sz w:val="32"/>
          <w:szCs w:val="32"/>
          <w:lang w:val="en-US" w:eastAsia="zh-CN" w:bidi="ar"/>
        </w:rPr>
        <w:fldChar w:fldCharType="separate"/>
      </w:r>
      <w:r>
        <w:rPr>
          <w:rFonts w:hint="default" w:ascii="Times New Roman" w:hAnsi="Times New Roman" w:eastAsia="仿宋_GB2312" w:cs="Times New Roman"/>
          <w:bCs w:val="0"/>
          <w:i w:val="0"/>
          <w:iCs w:val="0"/>
          <w:kern w:val="0"/>
          <w:sz w:val="32"/>
          <w:szCs w:val="32"/>
          <w:lang w:val="en-US" w:eastAsia="zh-CN" w:bidi="ar"/>
        </w:rPr>
        <w:t>（二）指定交易状态遗忘后的查询</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_Toc29682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xml:space="preserve"> 2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bidi="ar"/>
        </w:rPr>
        <w:fldChar w:fldCharType="end"/>
      </w:r>
    </w:p>
    <w:p w14:paraId="3630859D">
      <w:pPr>
        <w:pStyle w:val="4"/>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bidi="ar"/>
        </w:rPr>
        <w:fldChar w:fldCharType="begin"/>
      </w:r>
      <w:r>
        <w:rPr>
          <w:rFonts w:hint="default" w:ascii="Times New Roman" w:hAnsi="Times New Roman" w:eastAsia="仿宋_GB2312" w:cs="Times New Roman"/>
          <w:sz w:val="32"/>
          <w:szCs w:val="32"/>
          <w:lang w:val="en-US" w:eastAsia="zh-CN" w:bidi="ar"/>
        </w:rPr>
        <w:instrText xml:space="preserve"> HYPERLINK \l _Toc4415 </w:instrText>
      </w:r>
      <w:r>
        <w:rPr>
          <w:rFonts w:hint="default" w:ascii="Times New Roman" w:hAnsi="Times New Roman" w:eastAsia="仿宋_GB2312" w:cs="Times New Roman"/>
          <w:sz w:val="32"/>
          <w:szCs w:val="32"/>
          <w:lang w:val="en-US" w:eastAsia="zh-CN" w:bidi="ar"/>
        </w:rPr>
        <w:fldChar w:fldCharType="separate"/>
      </w:r>
      <w:r>
        <w:rPr>
          <w:rFonts w:hint="default" w:ascii="Times New Roman" w:hAnsi="Times New Roman" w:eastAsia="仿宋_GB2312" w:cs="Times New Roman"/>
          <w:bCs w:val="0"/>
          <w:i w:val="0"/>
          <w:iCs w:val="0"/>
          <w:kern w:val="0"/>
          <w:sz w:val="32"/>
          <w:szCs w:val="32"/>
          <w:lang w:val="en-US" w:eastAsia="zh-CN" w:bidi="ar"/>
        </w:rPr>
        <w:t>四、指定交易业务办理规范和要求</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_Toc4415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xml:space="preserve"> 3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bidi="ar"/>
        </w:rPr>
        <w:fldChar w:fldCharType="end"/>
      </w:r>
    </w:p>
    <w:p w14:paraId="5C8004E2">
      <w:pPr>
        <w:pStyle w:val="5"/>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bidi="ar"/>
        </w:rPr>
        <w:fldChar w:fldCharType="begin"/>
      </w:r>
      <w:r>
        <w:rPr>
          <w:rFonts w:hint="default" w:ascii="Times New Roman" w:hAnsi="Times New Roman" w:eastAsia="仿宋_GB2312" w:cs="Times New Roman"/>
          <w:sz w:val="32"/>
          <w:szCs w:val="32"/>
          <w:lang w:val="en-US" w:eastAsia="zh-CN" w:bidi="ar"/>
        </w:rPr>
        <w:instrText xml:space="preserve"> HYPERLINK \l _Toc26299 </w:instrText>
      </w:r>
      <w:r>
        <w:rPr>
          <w:rFonts w:hint="default" w:ascii="Times New Roman" w:hAnsi="Times New Roman" w:eastAsia="仿宋_GB2312" w:cs="Times New Roman"/>
          <w:sz w:val="32"/>
          <w:szCs w:val="32"/>
          <w:lang w:val="en-US" w:eastAsia="zh-CN" w:bidi="ar"/>
        </w:rPr>
        <w:fldChar w:fldCharType="separate"/>
      </w:r>
      <w:r>
        <w:rPr>
          <w:rFonts w:hint="default" w:ascii="Times New Roman" w:hAnsi="Times New Roman" w:eastAsia="仿宋_GB2312" w:cs="Times New Roman"/>
          <w:bCs w:val="0"/>
          <w:i w:val="0"/>
          <w:iCs w:val="0"/>
          <w:kern w:val="0"/>
          <w:sz w:val="32"/>
          <w:szCs w:val="32"/>
          <w:lang w:val="en-US" w:eastAsia="zh-CN" w:bidi="ar"/>
        </w:rPr>
        <w:t>（一）投资者不得办理撤销指定交易的特定情况</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_Toc26299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xml:space="preserve"> 3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bidi="ar"/>
        </w:rPr>
        <w:fldChar w:fldCharType="end"/>
      </w:r>
    </w:p>
    <w:p w14:paraId="0DB97F4E">
      <w:pPr>
        <w:pStyle w:val="5"/>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bidi="ar"/>
        </w:rPr>
        <w:fldChar w:fldCharType="begin"/>
      </w:r>
      <w:r>
        <w:rPr>
          <w:rFonts w:hint="default" w:ascii="Times New Roman" w:hAnsi="Times New Roman" w:eastAsia="仿宋_GB2312" w:cs="Times New Roman"/>
          <w:sz w:val="32"/>
          <w:szCs w:val="32"/>
          <w:lang w:val="en-US" w:eastAsia="zh-CN" w:bidi="ar"/>
        </w:rPr>
        <w:instrText xml:space="preserve"> HYPERLINK \l _Toc32147 </w:instrText>
      </w:r>
      <w:r>
        <w:rPr>
          <w:rFonts w:hint="default" w:ascii="Times New Roman" w:hAnsi="Times New Roman" w:eastAsia="仿宋_GB2312" w:cs="Times New Roman"/>
          <w:sz w:val="32"/>
          <w:szCs w:val="32"/>
          <w:lang w:val="en-US" w:eastAsia="zh-CN" w:bidi="ar"/>
        </w:rPr>
        <w:fldChar w:fldCharType="separate"/>
      </w:r>
      <w:r>
        <w:rPr>
          <w:rFonts w:hint="default" w:ascii="Times New Roman" w:hAnsi="Times New Roman" w:eastAsia="仿宋_GB2312" w:cs="Times New Roman"/>
          <w:bCs w:val="0"/>
          <w:i w:val="0"/>
          <w:iCs w:val="0"/>
          <w:kern w:val="0"/>
          <w:sz w:val="32"/>
          <w:szCs w:val="32"/>
          <w:lang w:val="en-US" w:eastAsia="zh-CN" w:bidi="ar"/>
        </w:rPr>
        <w:t>（二）交易参与人的相关义务</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_Toc32147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xml:space="preserve"> 4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bidi="ar"/>
        </w:rPr>
        <w:fldChar w:fldCharType="end"/>
      </w:r>
    </w:p>
    <w:p w14:paraId="5A92AF22">
      <w:pPr>
        <w:pStyle w:val="5"/>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bidi="ar"/>
        </w:rPr>
        <w:fldChar w:fldCharType="begin"/>
      </w:r>
      <w:r>
        <w:rPr>
          <w:rFonts w:hint="default" w:ascii="Times New Roman" w:hAnsi="Times New Roman" w:eastAsia="仿宋_GB2312" w:cs="Times New Roman"/>
          <w:sz w:val="32"/>
          <w:szCs w:val="32"/>
          <w:lang w:val="en-US" w:eastAsia="zh-CN" w:bidi="ar"/>
        </w:rPr>
        <w:instrText xml:space="preserve"> HYPERLINK \l _Toc21717 </w:instrText>
      </w:r>
      <w:r>
        <w:rPr>
          <w:rFonts w:hint="default" w:ascii="Times New Roman" w:hAnsi="Times New Roman" w:eastAsia="仿宋_GB2312" w:cs="Times New Roman"/>
          <w:sz w:val="32"/>
          <w:szCs w:val="32"/>
          <w:lang w:val="en-US" w:eastAsia="zh-CN" w:bidi="ar"/>
        </w:rPr>
        <w:fldChar w:fldCharType="separate"/>
      </w:r>
      <w:r>
        <w:rPr>
          <w:rFonts w:hint="default" w:ascii="Times New Roman" w:hAnsi="Times New Roman" w:eastAsia="仿宋_GB2312" w:cs="Times New Roman"/>
          <w:bCs w:val="0"/>
          <w:i w:val="0"/>
          <w:iCs w:val="0"/>
          <w:kern w:val="0"/>
          <w:sz w:val="32"/>
          <w:szCs w:val="32"/>
          <w:lang w:val="en-US" w:eastAsia="zh-CN" w:bidi="ar"/>
        </w:rPr>
        <w:t>（三）交易参与人办理撤销指定交易业务的相关要求</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_Toc21717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xml:space="preserve"> 4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bidi="ar"/>
        </w:rPr>
        <w:fldChar w:fldCharType="end"/>
      </w:r>
    </w:p>
    <w:p w14:paraId="4BB2DA83">
      <w:pPr>
        <w:pStyle w:val="4"/>
        <w:tabs>
          <w:tab w:val="right" w:leader="dot" w:pos="8306"/>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bidi="ar"/>
        </w:rPr>
        <w:fldChar w:fldCharType="begin"/>
      </w:r>
      <w:r>
        <w:rPr>
          <w:rFonts w:hint="default" w:ascii="Times New Roman" w:hAnsi="Times New Roman" w:eastAsia="仿宋_GB2312" w:cs="Times New Roman"/>
          <w:sz w:val="32"/>
          <w:szCs w:val="32"/>
          <w:lang w:val="en-US" w:eastAsia="zh-CN" w:bidi="ar"/>
        </w:rPr>
        <w:instrText xml:space="preserve"> HYPERLINK \l _Toc5793 </w:instrText>
      </w:r>
      <w:r>
        <w:rPr>
          <w:rFonts w:hint="default" w:ascii="Times New Roman" w:hAnsi="Times New Roman" w:eastAsia="仿宋_GB2312" w:cs="Times New Roman"/>
          <w:sz w:val="32"/>
          <w:szCs w:val="32"/>
          <w:lang w:val="en-US" w:eastAsia="zh-CN" w:bidi="ar"/>
        </w:rPr>
        <w:fldChar w:fldCharType="separate"/>
      </w:r>
      <w:r>
        <w:rPr>
          <w:rFonts w:hint="default" w:ascii="Times New Roman" w:hAnsi="Times New Roman" w:eastAsia="仿宋_GB2312" w:cs="Times New Roman"/>
          <w:bCs w:val="0"/>
          <w:i w:val="0"/>
          <w:iCs w:val="0"/>
          <w:kern w:val="0"/>
          <w:sz w:val="32"/>
          <w:szCs w:val="32"/>
          <w:lang w:val="en-US" w:eastAsia="zh-CN" w:bidi="ar"/>
        </w:rPr>
        <w:t>五、附件 指定交易协议书参考范例</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_Toc5793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xml:space="preserve"> 4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bidi="ar"/>
        </w:rPr>
        <w:fldChar w:fldCharType="end"/>
      </w:r>
    </w:p>
    <w:p w14:paraId="20E19B4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Style w:val="8"/>
          <w:rFonts w:hint="eastAsia"/>
          <w:lang w:val="en-US" w:eastAsia="zh-CN" w:bidi="ar"/>
        </w:rPr>
      </w:pPr>
      <w:r>
        <w:rPr>
          <w:rFonts w:hint="default" w:ascii="Times New Roman" w:hAnsi="Times New Roman" w:eastAsia="仿宋_GB2312" w:cs="Times New Roman"/>
          <w:sz w:val="32"/>
          <w:szCs w:val="32"/>
          <w:lang w:val="en-US" w:eastAsia="zh-CN" w:bidi="ar"/>
        </w:rPr>
        <w:fldChar w:fldCharType="end"/>
      </w:r>
    </w:p>
    <w:p w14:paraId="0485FEEC">
      <w:pPr>
        <w:rPr>
          <w:rStyle w:val="8"/>
          <w:rFonts w:hint="eastAsia"/>
          <w:lang w:val="en-US" w:eastAsia="zh-CN" w:bidi="ar"/>
        </w:rPr>
        <w:sectPr>
          <w:footerReference r:id="rId5" w:type="default"/>
          <w:pgSz w:w="11906" w:h="16838"/>
          <w:pgMar w:top="1440" w:right="1800" w:bottom="1440" w:left="1800" w:header="851" w:footer="992" w:gutter="0"/>
          <w:pgNumType w:fmt="numberInDash"/>
          <w:cols w:space="720" w:num="1"/>
          <w:docGrid w:type="lines" w:linePitch="312" w:charSpace="0"/>
        </w:sectPr>
      </w:pPr>
    </w:p>
    <w:p w14:paraId="032E026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outlineLvl w:val="0"/>
        <w:rPr>
          <w:sz w:val="32"/>
          <w:szCs w:val="32"/>
        </w:rPr>
      </w:pPr>
      <w:bookmarkStart w:id="0" w:name="_Toc8402"/>
      <w:bookmarkStart w:id="1" w:name="_Toc28086"/>
      <w:r>
        <w:rPr>
          <w:rStyle w:val="8"/>
          <w:sz w:val="32"/>
          <w:szCs w:val="32"/>
          <w:lang w:val="en-US" w:eastAsia="zh-CN" w:bidi="ar"/>
        </w:rPr>
        <w:t>一、指定交易业务概述</w:t>
      </w:r>
      <w:bookmarkEnd w:id="0"/>
      <w:bookmarkEnd w:id="1"/>
    </w:p>
    <w:p w14:paraId="41B5E19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sz w:val="32"/>
          <w:szCs w:val="32"/>
        </w:rPr>
      </w:pPr>
      <w:r>
        <w:rPr>
          <w:rStyle w:val="9"/>
          <w:rFonts w:ascii="Times New Roman" w:hAnsi="Times New Roman" w:cs="Times New Roman"/>
          <w:sz w:val="32"/>
          <w:szCs w:val="32"/>
          <w:lang w:val="en-US" w:eastAsia="zh-CN" w:bidi="ar"/>
        </w:rPr>
        <w:t>指定交易是指：凡在上海证券交易所（以下简称本所）市场进行证券交易的投资者，必须事先指定本所市场某一交易参与人</w:t>
      </w:r>
      <w:r>
        <w:rPr>
          <w:rStyle w:val="9"/>
          <w:rFonts w:hint="default" w:ascii="Times New Roman" w:hAnsi="Times New Roman" w:cs="Times New Roman"/>
          <w:sz w:val="32"/>
          <w:szCs w:val="32"/>
          <w:lang w:val="en-US" w:eastAsia="zh-CN" w:bidi="ar"/>
        </w:rPr>
        <w:t>（会员机构）</w:t>
      </w:r>
      <w:r>
        <w:rPr>
          <w:rStyle w:val="9"/>
          <w:rFonts w:ascii="Times New Roman" w:hAnsi="Times New Roman" w:cs="Times New Roman"/>
          <w:sz w:val="32"/>
          <w:szCs w:val="32"/>
          <w:lang w:val="en-US" w:eastAsia="zh-CN" w:bidi="ar"/>
        </w:rPr>
        <w:t>，作为其证券交易的唯一受托人，并由该交易参与人通过其特定的参与者交易业务单元参与本所市场证券交易的制度。</w:t>
      </w:r>
    </w:p>
    <w:p w14:paraId="7F299A6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宋体" w:cs="Times New Roman"/>
          <w:kern w:val="0"/>
          <w:sz w:val="32"/>
          <w:szCs w:val="32"/>
          <w:lang w:val="en-US" w:eastAsia="zh-CN" w:bidi="ar"/>
        </w:rPr>
      </w:pPr>
      <w:r>
        <w:rPr>
          <w:rStyle w:val="9"/>
          <w:rFonts w:ascii="Times New Roman" w:hAnsi="Times New Roman" w:cs="Times New Roman"/>
          <w:sz w:val="32"/>
          <w:szCs w:val="32"/>
          <w:lang w:val="en-US" w:eastAsia="zh-CN" w:bidi="ar"/>
        </w:rPr>
        <w:t>本所市场交易参与人以及投资者均应</w:t>
      </w:r>
      <w:r>
        <w:rPr>
          <w:rStyle w:val="9"/>
          <w:rFonts w:hint="eastAsia" w:ascii="Times New Roman" w:hAnsi="Times New Roman" w:cs="Times New Roman"/>
          <w:sz w:val="32"/>
          <w:szCs w:val="32"/>
          <w:lang w:val="en-US" w:eastAsia="zh-CN" w:bidi="ar"/>
        </w:rPr>
        <w:t>当</w:t>
      </w:r>
      <w:r>
        <w:rPr>
          <w:rStyle w:val="9"/>
          <w:rFonts w:ascii="Times New Roman" w:hAnsi="Times New Roman" w:cs="Times New Roman"/>
          <w:sz w:val="32"/>
          <w:szCs w:val="32"/>
          <w:lang w:val="en-US" w:eastAsia="zh-CN" w:bidi="ar"/>
        </w:rPr>
        <w:t>遵守本所</w:t>
      </w:r>
      <w:r>
        <w:rPr>
          <w:rStyle w:val="9"/>
          <w:rFonts w:hint="default" w:ascii="Times New Roman" w:hAnsi="Times New Roman" w:cs="Times New Roman"/>
          <w:sz w:val="32"/>
          <w:szCs w:val="32"/>
          <w:lang w:val="en-US" w:eastAsia="zh-CN" w:bidi="ar"/>
        </w:rPr>
        <w:t>指定交易业务相关规则</w:t>
      </w:r>
      <w:r>
        <w:rPr>
          <w:rStyle w:val="9"/>
          <w:rFonts w:hint="eastAsia" w:ascii="Times New Roman" w:hAnsi="Times New Roman" w:cs="Times New Roman"/>
          <w:sz w:val="32"/>
          <w:szCs w:val="32"/>
          <w:lang w:val="en-US" w:eastAsia="zh-CN" w:bidi="ar"/>
        </w:rPr>
        <w:t>制度</w:t>
      </w:r>
      <w:r>
        <w:rPr>
          <w:rStyle w:val="9"/>
          <w:rFonts w:ascii="Times New Roman" w:hAnsi="Times New Roman" w:cs="Times New Roman"/>
          <w:sz w:val="32"/>
          <w:szCs w:val="32"/>
          <w:lang w:val="en-US" w:eastAsia="zh-CN" w:bidi="ar"/>
        </w:rPr>
        <w:t>。</w:t>
      </w:r>
    </w:p>
    <w:p w14:paraId="0A2E0D1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outlineLvl w:val="0"/>
        <w:rPr>
          <w:rFonts w:ascii="Times New Roman" w:hAnsi="Times New Roman" w:cs="Times New Roman"/>
          <w:sz w:val="32"/>
          <w:szCs w:val="32"/>
        </w:rPr>
      </w:pPr>
      <w:bookmarkStart w:id="2" w:name="_Toc26641"/>
      <w:bookmarkStart w:id="3" w:name="_Toc16680"/>
      <w:r>
        <w:rPr>
          <w:rFonts w:ascii="Times New Roman" w:hAnsi="Times New Roman" w:eastAsia="黑体" w:cs="Times New Roman"/>
          <w:b w:val="0"/>
          <w:bCs w:val="0"/>
          <w:i w:val="0"/>
          <w:iCs w:val="0"/>
          <w:color w:val="000000"/>
          <w:kern w:val="0"/>
          <w:sz w:val="32"/>
          <w:szCs w:val="32"/>
          <w:lang w:val="en-US" w:eastAsia="zh-CN" w:bidi="ar"/>
        </w:rPr>
        <w:t>二、指定交易的办理和撤销</w:t>
      </w:r>
      <w:bookmarkEnd w:id="2"/>
      <w:bookmarkEnd w:id="3"/>
    </w:p>
    <w:p w14:paraId="13767B5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b w:val="0"/>
          <w:bCs w:val="0"/>
          <w:i w:val="0"/>
          <w:iCs w:val="0"/>
          <w:color w:val="000000"/>
          <w:kern w:val="0"/>
          <w:sz w:val="32"/>
          <w:szCs w:val="32"/>
          <w:lang w:val="en-US" w:eastAsia="zh-CN" w:bidi="ar"/>
        </w:rPr>
      </w:pPr>
      <w:bookmarkStart w:id="4" w:name="_Toc30972"/>
      <w:bookmarkStart w:id="5" w:name="_Toc22021"/>
      <w:r>
        <w:rPr>
          <w:rFonts w:hint="eastAsia" w:ascii="楷体_GB2312" w:hAnsi="楷体_GB2312" w:eastAsia="楷体_GB2312" w:cs="楷体_GB2312"/>
          <w:b w:val="0"/>
          <w:bCs w:val="0"/>
          <w:i w:val="0"/>
          <w:iCs w:val="0"/>
          <w:color w:val="000000"/>
          <w:kern w:val="0"/>
          <w:sz w:val="32"/>
          <w:szCs w:val="32"/>
          <w:lang w:val="en-US" w:eastAsia="zh-CN" w:bidi="ar"/>
        </w:rPr>
        <w:t>（一）指定交易的办理</w:t>
      </w:r>
      <w:bookmarkEnd w:id="4"/>
      <w:bookmarkEnd w:id="5"/>
    </w:p>
    <w:p w14:paraId="76159BE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sz w:val="32"/>
          <w:szCs w:val="32"/>
        </w:rPr>
      </w:pPr>
      <w:r>
        <w:rPr>
          <w:rFonts w:ascii="Times New Roman" w:hAnsi="Times New Roman" w:eastAsia="仿宋_GB2312" w:cs="Times New Roman"/>
          <w:b w:val="0"/>
          <w:bCs w:val="0"/>
          <w:i w:val="0"/>
          <w:iCs w:val="0"/>
          <w:color w:val="000000"/>
          <w:kern w:val="0"/>
          <w:sz w:val="32"/>
          <w:szCs w:val="32"/>
          <w:lang w:val="en-US" w:eastAsia="zh-CN" w:bidi="ar"/>
        </w:rPr>
        <w:t>交易参与人为投资者办理指定交易业务，需经过签订指定交易协议、办理指定交易两步：</w:t>
      </w:r>
    </w:p>
    <w:p w14:paraId="12CE08B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sz w:val="32"/>
          <w:szCs w:val="32"/>
        </w:rPr>
      </w:pPr>
      <w:r>
        <w:rPr>
          <w:rFonts w:ascii="Times New Roman" w:hAnsi="Times New Roman" w:eastAsia="仿宋_GB2312" w:cs="Times New Roman"/>
          <w:b w:val="0"/>
          <w:bCs w:val="0"/>
          <w:i w:val="0"/>
          <w:iCs w:val="0"/>
          <w:color w:val="000000"/>
          <w:kern w:val="0"/>
          <w:sz w:val="32"/>
          <w:szCs w:val="32"/>
          <w:lang w:val="en-US" w:eastAsia="zh-CN" w:bidi="ar"/>
        </w:rPr>
        <w:t>1</w:t>
      </w:r>
      <w:r>
        <w:rPr>
          <w:rFonts w:hint="eastAsia" w:ascii="Times New Roman" w:hAnsi="Times New Roman" w:eastAsia="仿宋_GB2312" w:cs="Times New Roman"/>
          <w:b w:val="0"/>
          <w:bCs w:val="0"/>
          <w:i w:val="0"/>
          <w:iCs w:val="0"/>
          <w:color w:val="000000"/>
          <w:kern w:val="0"/>
          <w:sz w:val="32"/>
          <w:szCs w:val="32"/>
          <w:lang w:val="en-US" w:eastAsia="zh-CN" w:bidi="ar"/>
        </w:rPr>
        <w:t>.</w:t>
      </w:r>
      <w:r>
        <w:rPr>
          <w:rFonts w:ascii="Times New Roman" w:hAnsi="Times New Roman" w:eastAsia="仿宋_GB2312" w:cs="Times New Roman"/>
          <w:b w:val="0"/>
          <w:bCs w:val="0"/>
          <w:i w:val="0"/>
          <w:iCs w:val="0"/>
          <w:color w:val="000000"/>
          <w:kern w:val="0"/>
          <w:sz w:val="32"/>
          <w:szCs w:val="32"/>
          <w:lang w:val="en-US" w:eastAsia="zh-CN" w:bidi="ar"/>
        </w:rPr>
        <w:t>交易参与人与投资者签订指定交易协议</w:t>
      </w:r>
    </w:p>
    <w:p w14:paraId="1557157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b w:val="0"/>
          <w:bCs w:val="0"/>
          <w:i w:val="0"/>
          <w:iCs w:val="0"/>
          <w:color w:val="000000"/>
          <w:kern w:val="0"/>
          <w:sz w:val="32"/>
          <w:szCs w:val="32"/>
          <w:lang w:val="en-US" w:eastAsia="zh-CN" w:bidi="ar"/>
        </w:rPr>
      </w:pPr>
      <w:r>
        <w:rPr>
          <w:rFonts w:ascii="Times New Roman" w:hAnsi="Times New Roman" w:eastAsia="仿宋_GB2312" w:cs="Times New Roman"/>
          <w:b w:val="0"/>
          <w:bCs w:val="0"/>
          <w:i w:val="0"/>
          <w:iCs w:val="0"/>
          <w:color w:val="000000"/>
          <w:kern w:val="0"/>
          <w:sz w:val="32"/>
          <w:szCs w:val="32"/>
          <w:lang w:val="en-US" w:eastAsia="zh-CN" w:bidi="ar"/>
        </w:rPr>
        <w:t>交易参与人应当与投资者签订指定交易协议，明确双方的权利、义务和责任。</w:t>
      </w:r>
    </w:p>
    <w:p w14:paraId="2369556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sz w:val="32"/>
          <w:szCs w:val="32"/>
        </w:rPr>
      </w:pPr>
      <w:r>
        <w:rPr>
          <w:rFonts w:ascii="Times New Roman" w:hAnsi="Times New Roman" w:eastAsia="仿宋_GB2312" w:cs="Times New Roman"/>
          <w:b w:val="0"/>
          <w:bCs w:val="0"/>
          <w:i w:val="0"/>
          <w:iCs w:val="0"/>
          <w:color w:val="000000"/>
          <w:kern w:val="0"/>
          <w:sz w:val="32"/>
          <w:szCs w:val="32"/>
          <w:lang w:val="en-US" w:eastAsia="zh-CN" w:bidi="ar"/>
        </w:rPr>
        <w:t>（指定交易协议范例参考本文附件）</w:t>
      </w:r>
    </w:p>
    <w:p w14:paraId="3B02162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sz w:val="32"/>
          <w:szCs w:val="32"/>
        </w:rPr>
      </w:pPr>
      <w:r>
        <w:rPr>
          <w:rFonts w:ascii="Times New Roman" w:hAnsi="Times New Roman" w:eastAsia="仿宋_GB2312" w:cs="Times New Roman"/>
          <w:b w:val="0"/>
          <w:bCs w:val="0"/>
          <w:i w:val="0"/>
          <w:iCs w:val="0"/>
          <w:color w:val="000000"/>
          <w:kern w:val="0"/>
          <w:sz w:val="32"/>
          <w:szCs w:val="32"/>
          <w:lang w:val="en-US" w:eastAsia="zh-CN" w:bidi="ar"/>
        </w:rPr>
        <w:t>2</w:t>
      </w:r>
      <w:r>
        <w:rPr>
          <w:rFonts w:hint="eastAsia" w:ascii="Times New Roman" w:hAnsi="Times New Roman" w:eastAsia="仿宋_GB2312" w:cs="Times New Roman"/>
          <w:b w:val="0"/>
          <w:bCs w:val="0"/>
          <w:i w:val="0"/>
          <w:iCs w:val="0"/>
          <w:color w:val="000000"/>
          <w:kern w:val="0"/>
          <w:sz w:val="32"/>
          <w:szCs w:val="32"/>
          <w:lang w:val="en-US" w:eastAsia="zh-CN" w:bidi="ar"/>
        </w:rPr>
        <w:t>.</w:t>
      </w:r>
      <w:r>
        <w:rPr>
          <w:rFonts w:ascii="Times New Roman" w:hAnsi="Times New Roman" w:eastAsia="仿宋_GB2312" w:cs="Times New Roman"/>
          <w:b w:val="0"/>
          <w:bCs w:val="0"/>
          <w:i w:val="0"/>
          <w:iCs w:val="0"/>
          <w:color w:val="000000"/>
          <w:kern w:val="0"/>
          <w:sz w:val="32"/>
          <w:szCs w:val="32"/>
          <w:lang w:val="en-US" w:eastAsia="zh-CN" w:bidi="ar"/>
        </w:rPr>
        <w:t>交易参与人为投资者申报指定交易指令</w:t>
      </w:r>
    </w:p>
    <w:p w14:paraId="1AD19D1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sz w:val="32"/>
          <w:szCs w:val="32"/>
        </w:rPr>
      </w:pPr>
      <w:r>
        <w:rPr>
          <w:rFonts w:ascii="Times New Roman" w:hAnsi="Times New Roman" w:eastAsia="仿宋_GB2312" w:cs="Times New Roman"/>
          <w:b w:val="0"/>
          <w:bCs w:val="0"/>
          <w:i w:val="0"/>
          <w:iCs w:val="0"/>
          <w:color w:val="000000"/>
          <w:kern w:val="0"/>
          <w:sz w:val="32"/>
          <w:szCs w:val="32"/>
          <w:lang w:val="en-US" w:eastAsia="zh-CN" w:bidi="ar"/>
        </w:rPr>
        <w:t>交易参与人与投资者签订指定交易协议后，交易参与人可</w:t>
      </w:r>
      <w:r>
        <w:rPr>
          <w:rFonts w:hint="eastAsia" w:ascii="Times New Roman" w:hAnsi="Times New Roman" w:eastAsia="仿宋_GB2312" w:cs="Times New Roman"/>
          <w:b w:val="0"/>
          <w:bCs w:val="0"/>
          <w:i w:val="0"/>
          <w:iCs w:val="0"/>
          <w:color w:val="000000"/>
          <w:kern w:val="0"/>
          <w:sz w:val="32"/>
          <w:szCs w:val="32"/>
          <w:lang w:val="en-US" w:eastAsia="zh-CN" w:bidi="ar"/>
        </w:rPr>
        <w:t>以</w:t>
      </w:r>
      <w:r>
        <w:rPr>
          <w:rFonts w:ascii="Times New Roman" w:hAnsi="Times New Roman" w:eastAsia="仿宋_GB2312" w:cs="Times New Roman"/>
          <w:b w:val="0"/>
          <w:bCs w:val="0"/>
          <w:i w:val="0"/>
          <w:iCs w:val="0"/>
          <w:color w:val="000000"/>
          <w:kern w:val="0"/>
          <w:sz w:val="32"/>
          <w:szCs w:val="32"/>
          <w:lang w:val="en-US" w:eastAsia="zh-CN" w:bidi="ar"/>
        </w:rPr>
        <w:t>根据投资者的申请向本所交易主机申报办理指定交易手续。</w:t>
      </w:r>
    </w:p>
    <w:p w14:paraId="5101239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宋体" w:cs="Times New Roman"/>
          <w:kern w:val="0"/>
          <w:sz w:val="32"/>
          <w:szCs w:val="32"/>
          <w:lang w:val="en-US" w:eastAsia="zh-CN" w:bidi="ar"/>
        </w:rPr>
      </w:pPr>
      <w:r>
        <w:rPr>
          <w:rFonts w:ascii="Times New Roman" w:hAnsi="Times New Roman" w:eastAsia="仿宋_GB2312" w:cs="Times New Roman"/>
          <w:b w:val="0"/>
          <w:bCs w:val="0"/>
          <w:i w:val="0"/>
          <w:iCs w:val="0"/>
          <w:color w:val="000000"/>
          <w:kern w:val="0"/>
          <w:sz w:val="32"/>
          <w:szCs w:val="32"/>
          <w:lang w:val="en-US" w:eastAsia="zh-CN" w:bidi="ar"/>
        </w:rPr>
        <w:t>申报代码：799999，买入价格为1，数量1。</w:t>
      </w:r>
    </w:p>
    <w:p w14:paraId="472B424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sz w:val="32"/>
          <w:szCs w:val="32"/>
        </w:rPr>
      </w:pPr>
      <w:r>
        <w:rPr>
          <w:rFonts w:ascii="Times New Roman" w:hAnsi="Times New Roman" w:eastAsia="仿宋_GB2312" w:cs="Times New Roman"/>
          <w:b w:val="0"/>
          <w:bCs w:val="0"/>
          <w:i w:val="0"/>
          <w:iCs w:val="0"/>
          <w:color w:val="000000"/>
          <w:kern w:val="0"/>
          <w:sz w:val="32"/>
          <w:szCs w:val="32"/>
          <w:lang w:val="en-US" w:eastAsia="zh-CN" w:bidi="ar"/>
        </w:rPr>
        <w:t>本所接受申报时间：每个交易日的9:15至11:30、13:00至15:00。</w:t>
      </w:r>
    </w:p>
    <w:p w14:paraId="400B5E5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sz w:val="32"/>
          <w:szCs w:val="32"/>
        </w:rPr>
      </w:pPr>
      <w:r>
        <w:rPr>
          <w:rFonts w:ascii="Times New Roman" w:hAnsi="Times New Roman" w:eastAsia="仿宋_GB2312" w:cs="Times New Roman"/>
          <w:b w:val="0"/>
          <w:bCs w:val="0"/>
          <w:i w:val="0"/>
          <w:iCs w:val="0"/>
          <w:color w:val="000000"/>
          <w:kern w:val="0"/>
          <w:sz w:val="32"/>
          <w:szCs w:val="32"/>
          <w:lang w:val="en-US" w:eastAsia="zh-CN" w:bidi="ar"/>
        </w:rPr>
        <w:t>指定交易确认方式：本所交易主机收到指定交易申报后</w:t>
      </w:r>
      <w:r>
        <w:rPr>
          <w:rFonts w:ascii="Times New Roman" w:hAnsi="Times New Roman" w:eastAsia="仿宋_GB2312" w:cs="Times New Roman"/>
          <w:b w:val="0"/>
          <w:bCs w:val="0"/>
          <w:i w:val="0"/>
          <w:iCs w:val="0"/>
          <w:color w:val="000000"/>
          <w:kern w:val="0"/>
          <w:sz w:val="32"/>
          <w:szCs w:val="32"/>
          <w:highlight w:val="none"/>
          <w:lang w:val="en-US" w:eastAsia="zh-CN" w:bidi="ar"/>
        </w:rPr>
        <w:t>即刻生效</w:t>
      </w:r>
      <w:r>
        <w:rPr>
          <w:rFonts w:ascii="Times New Roman" w:hAnsi="Times New Roman" w:eastAsia="仿宋_GB2312" w:cs="Times New Roman"/>
          <w:b w:val="0"/>
          <w:bCs w:val="0"/>
          <w:i w:val="0"/>
          <w:iCs w:val="0"/>
          <w:color w:val="000000"/>
          <w:kern w:val="0"/>
          <w:sz w:val="32"/>
          <w:szCs w:val="32"/>
          <w:lang w:val="en-US" w:eastAsia="zh-CN" w:bidi="ar"/>
        </w:rPr>
        <w:t>并向交易参与人返回申报确认信息。</w:t>
      </w:r>
    </w:p>
    <w:p w14:paraId="4A3C46A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b w:val="0"/>
          <w:bCs w:val="0"/>
          <w:i w:val="0"/>
          <w:iCs w:val="0"/>
          <w:color w:val="000000"/>
          <w:kern w:val="0"/>
          <w:sz w:val="32"/>
          <w:szCs w:val="32"/>
          <w:lang w:val="en-US" w:eastAsia="zh-CN" w:bidi="ar"/>
        </w:rPr>
      </w:pPr>
      <w:bookmarkStart w:id="6" w:name="_Toc6522"/>
      <w:bookmarkStart w:id="7" w:name="_Toc19134"/>
      <w:r>
        <w:rPr>
          <w:rFonts w:hint="eastAsia" w:ascii="楷体_GB2312" w:hAnsi="楷体_GB2312" w:eastAsia="楷体_GB2312" w:cs="楷体_GB2312"/>
          <w:b w:val="0"/>
          <w:bCs w:val="0"/>
          <w:i w:val="0"/>
          <w:iCs w:val="0"/>
          <w:color w:val="000000"/>
          <w:kern w:val="0"/>
          <w:sz w:val="32"/>
          <w:szCs w:val="32"/>
          <w:lang w:val="en-US" w:eastAsia="zh-CN" w:bidi="ar"/>
        </w:rPr>
        <w:t>（二）指定交易的撤销</w:t>
      </w:r>
      <w:bookmarkEnd w:id="6"/>
      <w:bookmarkEnd w:id="7"/>
    </w:p>
    <w:p w14:paraId="2B1A66C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olor w:val="000000"/>
          <w:kern w:val="0"/>
          <w:sz w:val="32"/>
          <w:szCs w:val="32"/>
          <w:lang w:val="en-US" w:eastAsia="zh-CN" w:bidi="ar"/>
        </w:rPr>
      </w:pPr>
      <w:r>
        <w:rPr>
          <w:rFonts w:ascii="Times New Roman" w:hAnsi="Times New Roman" w:eastAsia="仿宋_GB2312" w:cs="Times New Roman"/>
          <w:b w:val="0"/>
          <w:bCs w:val="0"/>
          <w:i w:val="0"/>
          <w:iCs w:val="0"/>
          <w:color w:val="000000"/>
          <w:kern w:val="0"/>
          <w:sz w:val="32"/>
          <w:szCs w:val="32"/>
          <w:lang w:val="en-US" w:eastAsia="zh-CN" w:bidi="ar"/>
        </w:rPr>
        <w:t>办理指定交易变更手续时</w:t>
      </w:r>
      <w:r>
        <w:rPr>
          <w:rFonts w:hint="eastAsia" w:ascii="Times New Roman" w:hAnsi="Times New Roman" w:eastAsia="仿宋_GB2312" w:cs="Times New Roman"/>
          <w:b w:val="0"/>
          <w:bCs w:val="0"/>
          <w:i w:val="0"/>
          <w:iCs w:val="0"/>
          <w:color w:val="000000"/>
          <w:kern w:val="0"/>
          <w:sz w:val="32"/>
          <w:szCs w:val="32"/>
          <w:lang w:val="en-US" w:eastAsia="zh-CN" w:bidi="ar"/>
        </w:rPr>
        <w:t>，</w:t>
      </w:r>
      <w:r>
        <w:rPr>
          <w:rFonts w:ascii="Times New Roman" w:hAnsi="Times New Roman" w:eastAsia="仿宋_GB2312" w:cs="Times New Roman"/>
          <w:b w:val="0"/>
          <w:bCs w:val="0"/>
          <w:i w:val="0"/>
          <w:iCs w:val="0"/>
          <w:color w:val="000000"/>
          <w:kern w:val="0"/>
          <w:sz w:val="32"/>
          <w:szCs w:val="32"/>
          <w:lang w:val="en-US" w:eastAsia="zh-CN" w:bidi="ar"/>
        </w:rPr>
        <w:t>投资者</w:t>
      </w:r>
      <w:r>
        <w:rPr>
          <w:rFonts w:hint="eastAsia" w:ascii="Times New Roman" w:hAnsi="Times New Roman" w:eastAsia="仿宋_GB2312" w:cs="Times New Roman"/>
          <w:b w:val="0"/>
          <w:bCs w:val="0"/>
          <w:i w:val="0"/>
          <w:iCs w:val="0"/>
          <w:color w:val="000000"/>
          <w:kern w:val="0"/>
          <w:sz w:val="32"/>
          <w:szCs w:val="32"/>
          <w:lang w:val="en-US" w:eastAsia="zh-CN" w:bidi="ar"/>
        </w:rPr>
        <w:t>应当</w:t>
      </w:r>
      <w:r>
        <w:rPr>
          <w:rFonts w:ascii="Times New Roman" w:hAnsi="Times New Roman" w:eastAsia="仿宋_GB2312" w:cs="Times New Roman"/>
          <w:b w:val="0"/>
          <w:bCs w:val="0"/>
          <w:i w:val="0"/>
          <w:iCs w:val="0"/>
          <w:color w:val="000000"/>
          <w:kern w:val="0"/>
          <w:sz w:val="32"/>
          <w:szCs w:val="32"/>
          <w:lang w:val="en-US" w:eastAsia="zh-CN" w:bidi="ar"/>
        </w:rPr>
        <w:t>向其原指定交易的交易参与人提出撤销指定交易的申请</w:t>
      </w:r>
      <w:r>
        <w:rPr>
          <w:rFonts w:hint="eastAsia" w:ascii="Times New Roman" w:hAnsi="Times New Roman" w:eastAsia="仿宋_GB2312" w:cs="Times New Roman"/>
          <w:b w:val="0"/>
          <w:bCs w:val="0"/>
          <w:i w:val="0"/>
          <w:iCs w:val="0"/>
          <w:color w:val="000000"/>
          <w:kern w:val="0"/>
          <w:sz w:val="32"/>
          <w:szCs w:val="32"/>
          <w:lang w:val="en-US" w:eastAsia="zh-CN" w:bidi="ar"/>
        </w:rPr>
        <w:t>，</w:t>
      </w:r>
      <w:r>
        <w:rPr>
          <w:rFonts w:ascii="Times New Roman" w:hAnsi="Times New Roman" w:eastAsia="仿宋_GB2312" w:cs="Times New Roman"/>
          <w:b w:val="0"/>
          <w:bCs w:val="0"/>
          <w:i w:val="0"/>
          <w:iCs w:val="0"/>
          <w:color w:val="000000"/>
          <w:kern w:val="0"/>
          <w:sz w:val="32"/>
          <w:szCs w:val="32"/>
          <w:lang w:val="en-US" w:eastAsia="zh-CN" w:bidi="ar"/>
        </w:rPr>
        <w:t>并由原交易参与人完成向本所交易系统撤销指定交易的指令申报。申报一经确认</w:t>
      </w:r>
      <w:r>
        <w:rPr>
          <w:rFonts w:hint="eastAsia" w:ascii="Times New Roman" w:hAnsi="Times New Roman" w:eastAsia="仿宋_GB2312" w:cs="Times New Roman"/>
          <w:b w:val="0"/>
          <w:bCs w:val="0"/>
          <w:i w:val="0"/>
          <w:iCs w:val="0"/>
          <w:color w:val="000000"/>
          <w:kern w:val="0"/>
          <w:sz w:val="32"/>
          <w:szCs w:val="32"/>
          <w:lang w:val="en-US" w:eastAsia="zh-CN" w:bidi="ar"/>
        </w:rPr>
        <w:t>，</w:t>
      </w:r>
      <w:r>
        <w:rPr>
          <w:rFonts w:ascii="Times New Roman" w:hAnsi="Times New Roman" w:eastAsia="仿宋_GB2312" w:cs="Times New Roman"/>
          <w:b w:val="0"/>
          <w:bCs w:val="0"/>
          <w:i w:val="0"/>
          <w:iCs w:val="0"/>
          <w:color w:val="000000"/>
          <w:kern w:val="0"/>
          <w:sz w:val="32"/>
          <w:szCs w:val="32"/>
          <w:lang w:val="en-US" w:eastAsia="zh-CN" w:bidi="ar"/>
        </w:rPr>
        <w:t>其撤销即刻</w:t>
      </w:r>
      <w:r>
        <w:rPr>
          <w:rFonts w:hint="default" w:ascii="Times New Roman" w:hAnsi="Times New Roman" w:eastAsia="仿宋_GB2312" w:cs="Times New Roman"/>
          <w:b w:val="0"/>
          <w:bCs w:val="0"/>
          <w:i w:val="0"/>
          <w:iCs w:val="0"/>
          <w:color w:val="000000"/>
          <w:kern w:val="0"/>
          <w:sz w:val="32"/>
          <w:szCs w:val="32"/>
          <w:lang w:val="en-US" w:eastAsia="zh-CN" w:bidi="ar"/>
        </w:rPr>
        <w:t>生效。</w:t>
      </w:r>
    </w:p>
    <w:p w14:paraId="6C4C043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sz w:val="32"/>
          <w:szCs w:val="32"/>
        </w:rPr>
      </w:pPr>
      <w:r>
        <w:rPr>
          <w:rFonts w:ascii="Times New Roman" w:hAnsi="Times New Roman" w:eastAsia="仿宋_GB2312" w:cs="Times New Roman"/>
          <w:b w:val="0"/>
          <w:bCs w:val="0"/>
          <w:i w:val="0"/>
          <w:iCs w:val="0"/>
          <w:color w:val="000000"/>
          <w:kern w:val="0"/>
          <w:sz w:val="32"/>
          <w:szCs w:val="32"/>
          <w:lang w:val="en-US" w:eastAsia="zh-CN" w:bidi="ar"/>
        </w:rPr>
        <w:t>申报代码：799998，买入价格为1，数量1。</w:t>
      </w:r>
    </w:p>
    <w:p w14:paraId="667D056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sz w:val="32"/>
          <w:szCs w:val="32"/>
        </w:rPr>
      </w:pPr>
      <w:r>
        <w:rPr>
          <w:rFonts w:ascii="Times New Roman" w:hAnsi="Times New Roman" w:eastAsia="仿宋_GB2312" w:cs="Times New Roman"/>
          <w:b w:val="0"/>
          <w:bCs w:val="0"/>
          <w:i w:val="0"/>
          <w:iCs w:val="0"/>
          <w:color w:val="000000"/>
          <w:kern w:val="0"/>
          <w:sz w:val="32"/>
          <w:szCs w:val="32"/>
          <w:lang w:val="en-US" w:eastAsia="zh-CN" w:bidi="ar"/>
        </w:rPr>
        <w:t>本所接受申报时间：每个交易日的9:15至11:30、13:00至15:00。</w:t>
      </w:r>
    </w:p>
    <w:p w14:paraId="2922910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宋体" w:cs="Times New Roman"/>
          <w:kern w:val="0"/>
          <w:sz w:val="32"/>
          <w:szCs w:val="32"/>
          <w:lang w:val="en-US" w:eastAsia="zh-CN" w:bidi="ar"/>
        </w:rPr>
      </w:pPr>
      <w:r>
        <w:rPr>
          <w:rFonts w:ascii="Times New Roman" w:hAnsi="Times New Roman" w:eastAsia="仿宋_GB2312" w:cs="Times New Roman"/>
          <w:b w:val="0"/>
          <w:bCs w:val="0"/>
          <w:i w:val="0"/>
          <w:iCs w:val="0"/>
          <w:color w:val="000000"/>
          <w:kern w:val="0"/>
          <w:sz w:val="32"/>
          <w:szCs w:val="32"/>
          <w:lang w:val="en-US" w:eastAsia="zh-CN" w:bidi="ar"/>
        </w:rPr>
        <w:t>撤销指定交易确认方式：本所交易主机收到撤销指定交易申报后即刻生效并向交易参与人返回申报确认信息。</w:t>
      </w:r>
    </w:p>
    <w:p w14:paraId="4CA25EA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outlineLvl w:val="0"/>
        <w:rPr>
          <w:rFonts w:ascii="Times New Roman" w:hAnsi="Times New Roman" w:eastAsia="黑体" w:cs="Times New Roman"/>
          <w:b w:val="0"/>
          <w:bCs w:val="0"/>
          <w:i w:val="0"/>
          <w:iCs w:val="0"/>
          <w:color w:val="000000"/>
          <w:kern w:val="0"/>
          <w:sz w:val="32"/>
          <w:szCs w:val="32"/>
          <w:lang w:val="en-US" w:eastAsia="zh-CN" w:bidi="ar"/>
        </w:rPr>
      </w:pPr>
      <w:bookmarkStart w:id="8" w:name="_Toc21463"/>
      <w:bookmarkStart w:id="9" w:name="_Toc1201"/>
      <w:r>
        <w:rPr>
          <w:rFonts w:ascii="Times New Roman" w:hAnsi="Times New Roman" w:eastAsia="黑体" w:cs="Times New Roman"/>
          <w:b w:val="0"/>
          <w:bCs w:val="0"/>
          <w:i w:val="0"/>
          <w:iCs w:val="0"/>
          <w:color w:val="000000"/>
          <w:kern w:val="0"/>
          <w:sz w:val="32"/>
          <w:szCs w:val="32"/>
          <w:lang w:val="en-US" w:eastAsia="zh-CN" w:bidi="ar"/>
        </w:rPr>
        <w:t>三、指定交易状态的查询</w:t>
      </w:r>
      <w:bookmarkEnd w:id="8"/>
      <w:bookmarkEnd w:id="9"/>
    </w:p>
    <w:p w14:paraId="0AF04A3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b w:val="0"/>
          <w:bCs w:val="0"/>
          <w:i w:val="0"/>
          <w:iCs w:val="0"/>
          <w:color w:val="000000"/>
          <w:kern w:val="0"/>
          <w:sz w:val="32"/>
          <w:szCs w:val="32"/>
          <w:lang w:val="en-US" w:eastAsia="zh-CN" w:bidi="ar"/>
        </w:rPr>
      </w:pPr>
      <w:bookmarkStart w:id="10" w:name="_Toc18850"/>
      <w:bookmarkStart w:id="11" w:name="_Toc16174"/>
      <w:r>
        <w:rPr>
          <w:rFonts w:hint="eastAsia" w:ascii="楷体_GB2312" w:hAnsi="楷体_GB2312" w:eastAsia="楷体_GB2312" w:cs="楷体_GB2312"/>
          <w:b w:val="0"/>
          <w:bCs w:val="0"/>
          <w:i w:val="0"/>
          <w:iCs w:val="0"/>
          <w:color w:val="000000"/>
          <w:kern w:val="0"/>
          <w:sz w:val="32"/>
          <w:szCs w:val="32"/>
          <w:lang w:val="en-US" w:eastAsia="zh-CN" w:bidi="ar"/>
        </w:rPr>
        <w:t>（一）指定交易当日查询</w:t>
      </w:r>
      <w:bookmarkEnd w:id="10"/>
      <w:bookmarkEnd w:id="11"/>
    </w:p>
    <w:p w14:paraId="5473456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sz w:val="32"/>
          <w:szCs w:val="32"/>
        </w:rPr>
      </w:pPr>
      <w:r>
        <w:rPr>
          <w:rFonts w:ascii="Times New Roman" w:hAnsi="Times New Roman" w:eastAsia="仿宋_GB2312" w:cs="Times New Roman"/>
          <w:b w:val="0"/>
          <w:bCs w:val="0"/>
          <w:i w:val="0"/>
          <w:iCs w:val="0"/>
          <w:color w:val="000000"/>
          <w:kern w:val="0"/>
          <w:sz w:val="32"/>
          <w:szCs w:val="32"/>
          <w:lang w:val="en-US" w:eastAsia="zh-CN" w:bidi="ar"/>
        </w:rPr>
        <w:t>指定交易指令经申报确认后即刻生效，申报指定交易的交易日结束、完成清算交收后，申报指定交易成功的投资者可以在指定交易</w:t>
      </w:r>
      <w:r>
        <w:rPr>
          <w:rFonts w:hint="default" w:ascii="Times New Roman" w:hAnsi="Times New Roman" w:eastAsia="仿宋_GB2312" w:cs="Times New Roman"/>
          <w:b w:val="0"/>
          <w:bCs w:val="0"/>
          <w:i w:val="0"/>
          <w:iCs w:val="0"/>
          <w:color w:val="000000"/>
          <w:kern w:val="0"/>
          <w:sz w:val="32"/>
          <w:szCs w:val="32"/>
          <w:lang w:val="en-US" w:eastAsia="zh-CN" w:bidi="ar"/>
        </w:rPr>
        <w:t>的</w:t>
      </w:r>
      <w:r>
        <w:rPr>
          <w:rFonts w:ascii="Times New Roman" w:hAnsi="Times New Roman" w:eastAsia="仿宋_GB2312" w:cs="Times New Roman"/>
          <w:b w:val="0"/>
          <w:bCs w:val="0"/>
          <w:i w:val="0"/>
          <w:iCs w:val="0"/>
          <w:color w:val="000000"/>
          <w:kern w:val="0"/>
          <w:sz w:val="32"/>
          <w:szCs w:val="32"/>
          <w:lang w:val="en-US" w:eastAsia="zh-CN" w:bidi="ar"/>
        </w:rPr>
        <w:t>会员营业部查询到本人所持有的沪市证券的余额。</w:t>
      </w:r>
    </w:p>
    <w:p w14:paraId="5263575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b w:val="0"/>
          <w:bCs w:val="0"/>
          <w:i w:val="0"/>
          <w:iCs w:val="0"/>
          <w:color w:val="000000"/>
          <w:kern w:val="0"/>
          <w:sz w:val="32"/>
          <w:szCs w:val="32"/>
          <w:lang w:val="en-US" w:eastAsia="zh-CN" w:bidi="ar"/>
        </w:rPr>
      </w:pPr>
      <w:bookmarkStart w:id="12" w:name="_Toc24829"/>
      <w:bookmarkStart w:id="13" w:name="_Toc29682"/>
      <w:r>
        <w:rPr>
          <w:rFonts w:hint="default" w:ascii="楷体_GB2312" w:hAnsi="楷体_GB2312" w:eastAsia="楷体_GB2312" w:cs="楷体_GB2312"/>
          <w:b w:val="0"/>
          <w:bCs w:val="0"/>
          <w:i w:val="0"/>
          <w:iCs w:val="0"/>
          <w:color w:val="000000"/>
          <w:kern w:val="0"/>
          <w:sz w:val="32"/>
          <w:szCs w:val="32"/>
          <w:lang w:val="en-US" w:eastAsia="zh-CN" w:bidi="ar"/>
        </w:rPr>
        <w:t>（二）</w:t>
      </w:r>
      <w:r>
        <w:rPr>
          <w:rFonts w:hint="eastAsia" w:ascii="楷体_GB2312" w:hAnsi="楷体_GB2312" w:eastAsia="楷体_GB2312" w:cs="楷体_GB2312"/>
          <w:b w:val="0"/>
          <w:bCs w:val="0"/>
          <w:i w:val="0"/>
          <w:iCs w:val="0"/>
          <w:color w:val="000000"/>
          <w:kern w:val="0"/>
          <w:sz w:val="32"/>
          <w:szCs w:val="32"/>
          <w:lang w:val="en-US" w:eastAsia="zh-CN" w:bidi="ar"/>
        </w:rPr>
        <w:t>指定交易状态遗忘后的查询</w:t>
      </w:r>
      <w:bookmarkEnd w:id="12"/>
      <w:bookmarkEnd w:id="13"/>
    </w:p>
    <w:p w14:paraId="1FC8920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宋体" w:cs="Times New Roman"/>
          <w:kern w:val="0"/>
          <w:sz w:val="32"/>
          <w:szCs w:val="32"/>
          <w:lang w:val="en-US" w:eastAsia="zh-CN" w:bidi="ar"/>
        </w:rPr>
      </w:pPr>
      <w:r>
        <w:rPr>
          <w:rFonts w:ascii="Times New Roman" w:hAnsi="Times New Roman" w:eastAsia="仿宋_GB2312" w:cs="Times New Roman"/>
          <w:b w:val="0"/>
          <w:bCs w:val="0"/>
          <w:i w:val="0"/>
          <w:iCs w:val="0"/>
          <w:color w:val="000000"/>
          <w:kern w:val="0"/>
          <w:sz w:val="32"/>
          <w:szCs w:val="32"/>
          <w:lang w:val="en-US" w:eastAsia="zh-CN" w:bidi="ar"/>
        </w:rPr>
        <w:t>投资者如遗忘本人证券账户的指定交易状态和指定交易</w:t>
      </w:r>
      <w:r>
        <w:rPr>
          <w:rFonts w:hint="default" w:ascii="Times New Roman" w:hAnsi="Times New Roman" w:eastAsia="仿宋_GB2312" w:cs="Times New Roman"/>
          <w:b w:val="0"/>
          <w:bCs w:val="0"/>
          <w:i w:val="0"/>
          <w:iCs w:val="0"/>
          <w:color w:val="000000"/>
          <w:kern w:val="0"/>
          <w:sz w:val="32"/>
          <w:szCs w:val="32"/>
          <w:lang w:val="en-US" w:eastAsia="zh-CN" w:bidi="ar"/>
        </w:rPr>
        <w:t>的</w:t>
      </w:r>
      <w:r>
        <w:rPr>
          <w:rFonts w:ascii="Times New Roman" w:hAnsi="Times New Roman" w:eastAsia="仿宋_GB2312" w:cs="Times New Roman"/>
          <w:b w:val="0"/>
          <w:bCs w:val="0"/>
          <w:i w:val="0"/>
          <w:iCs w:val="0"/>
          <w:color w:val="000000"/>
          <w:kern w:val="0"/>
          <w:sz w:val="32"/>
          <w:szCs w:val="32"/>
          <w:lang w:val="en-US" w:eastAsia="zh-CN" w:bidi="ar"/>
        </w:rPr>
        <w:t>证券营业部，可</w:t>
      </w:r>
      <w:r>
        <w:rPr>
          <w:rFonts w:hint="eastAsia" w:ascii="Times New Roman" w:hAnsi="Times New Roman" w:eastAsia="仿宋_GB2312" w:cs="Times New Roman"/>
          <w:b w:val="0"/>
          <w:bCs w:val="0"/>
          <w:i w:val="0"/>
          <w:iCs w:val="0"/>
          <w:color w:val="000000"/>
          <w:kern w:val="0"/>
          <w:sz w:val="32"/>
          <w:szCs w:val="32"/>
          <w:lang w:val="en-US" w:eastAsia="zh-CN" w:bidi="ar"/>
        </w:rPr>
        <w:t>以</w:t>
      </w:r>
      <w:r>
        <w:rPr>
          <w:rFonts w:ascii="Times New Roman" w:hAnsi="Times New Roman" w:eastAsia="仿宋_GB2312" w:cs="Times New Roman"/>
          <w:b w:val="0"/>
          <w:bCs w:val="0"/>
          <w:i w:val="0"/>
          <w:iCs w:val="0"/>
          <w:color w:val="000000"/>
          <w:kern w:val="0"/>
          <w:sz w:val="32"/>
          <w:szCs w:val="32"/>
          <w:lang w:val="en-US" w:eastAsia="zh-CN" w:bidi="ar"/>
        </w:rPr>
        <w:t>通过本所</w:t>
      </w:r>
      <w:r>
        <w:rPr>
          <w:rFonts w:hint="eastAsia" w:ascii="Times New Roman" w:hAnsi="Times New Roman" w:eastAsia="仿宋_GB2312" w:cs="Times New Roman"/>
          <w:b w:val="0"/>
          <w:bCs w:val="0"/>
          <w:i w:val="0"/>
          <w:iCs w:val="0"/>
          <w:color w:val="000000"/>
          <w:kern w:val="0"/>
          <w:sz w:val="32"/>
          <w:szCs w:val="32"/>
          <w:lang w:val="en-US" w:eastAsia="zh-CN" w:bidi="ar"/>
        </w:rPr>
        <w:t>官网—一网通办—投资者（服务公开）—交易服务</w:t>
      </w:r>
      <w:r>
        <w:rPr>
          <w:rFonts w:ascii="Times New Roman" w:hAnsi="Times New Roman" w:eastAsia="仿宋_GB2312" w:cs="Times New Roman"/>
          <w:b w:val="0"/>
          <w:bCs w:val="0"/>
          <w:i w:val="0"/>
          <w:iCs w:val="0"/>
          <w:color w:val="000000"/>
          <w:kern w:val="0"/>
          <w:sz w:val="32"/>
          <w:szCs w:val="32"/>
          <w:lang w:val="en-US" w:eastAsia="zh-CN" w:bidi="ar"/>
        </w:rPr>
        <w:t>，在指定交易查询栏目中输入</w:t>
      </w:r>
      <w:r>
        <w:rPr>
          <w:rFonts w:hint="eastAsia" w:ascii="Times New Roman" w:hAnsi="Times New Roman" w:eastAsia="仿宋_GB2312" w:cs="Times New Roman"/>
          <w:b w:val="0"/>
          <w:bCs w:val="0"/>
          <w:i w:val="0"/>
          <w:iCs w:val="0"/>
          <w:color w:val="000000"/>
          <w:kern w:val="0"/>
          <w:sz w:val="32"/>
          <w:szCs w:val="32"/>
          <w:lang w:val="en-US" w:eastAsia="zh-CN" w:bidi="ar"/>
        </w:rPr>
        <w:t>股东卡号、</w:t>
      </w:r>
      <w:r>
        <w:rPr>
          <w:rFonts w:ascii="Times New Roman" w:hAnsi="Times New Roman" w:eastAsia="仿宋_GB2312" w:cs="Times New Roman"/>
          <w:b w:val="0"/>
          <w:bCs w:val="0"/>
          <w:i w:val="0"/>
          <w:iCs w:val="0"/>
          <w:color w:val="000000"/>
          <w:kern w:val="0"/>
          <w:sz w:val="32"/>
          <w:szCs w:val="32"/>
          <w:lang w:val="en-US" w:eastAsia="zh-CN" w:bidi="ar"/>
        </w:rPr>
        <w:t>身份证号码</w:t>
      </w:r>
      <w:r>
        <w:rPr>
          <w:rFonts w:hint="eastAsia" w:ascii="Times New Roman" w:hAnsi="Times New Roman" w:eastAsia="仿宋_GB2312" w:cs="Times New Roman"/>
          <w:b w:val="0"/>
          <w:bCs w:val="0"/>
          <w:i w:val="0"/>
          <w:iCs w:val="0"/>
          <w:color w:val="000000"/>
          <w:kern w:val="0"/>
          <w:sz w:val="32"/>
          <w:szCs w:val="32"/>
          <w:lang w:val="en-US" w:eastAsia="zh-CN" w:bidi="ar"/>
        </w:rPr>
        <w:t>、手机号码</w:t>
      </w:r>
      <w:r>
        <w:rPr>
          <w:rFonts w:ascii="Times New Roman" w:hAnsi="Times New Roman" w:eastAsia="仿宋_GB2312" w:cs="Times New Roman"/>
          <w:b w:val="0"/>
          <w:bCs w:val="0"/>
          <w:i w:val="0"/>
          <w:iCs w:val="0"/>
          <w:color w:val="000000"/>
          <w:kern w:val="0"/>
          <w:sz w:val="32"/>
          <w:szCs w:val="32"/>
          <w:lang w:val="en-US" w:eastAsia="zh-CN" w:bidi="ar"/>
        </w:rPr>
        <w:t>等资料后进行查询。网站参考图片如下：</w:t>
      </w:r>
    </w:p>
    <w:p w14:paraId="5777F268">
      <w:pPr>
        <w:keepNext w:val="0"/>
        <w:keepLines w:val="0"/>
        <w:widowControl/>
        <w:suppressLineNumbers w:val="0"/>
        <w:spacing w:line="560" w:lineRule="exact"/>
        <w:ind w:firstLine="640" w:firstLineChars="200"/>
        <w:jc w:val="both"/>
        <w:rPr>
          <w:rFonts w:ascii="Times New Roman" w:hAnsi="Times New Roman" w:eastAsia="宋体" w:cs="Times New Roman"/>
          <w:kern w:val="0"/>
          <w:sz w:val="32"/>
          <w:szCs w:val="32"/>
          <w:lang w:val="en-US" w:eastAsia="zh-CN" w:bidi="ar"/>
        </w:rPr>
      </w:pPr>
    </w:p>
    <w:p w14:paraId="1F610293">
      <w:pPr>
        <w:keepNext w:val="0"/>
        <w:keepLines w:val="0"/>
        <w:widowControl/>
        <w:suppressLineNumbers w:val="0"/>
        <w:spacing w:line="560" w:lineRule="exact"/>
        <w:ind w:firstLine="640" w:firstLineChars="200"/>
        <w:jc w:val="both"/>
        <w:rPr>
          <w:rFonts w:ascii="Times New Roman" w:hAnsi="Times New Roman" w:eastAsia="宋体" w:cs="Times New Roman"/>
          <w:kern w:val="0"/>
          <w:sz w:val="32"/>
          <w:szCs w:val="32"/>
          <w:lang w:val="en-US" w:eastAsia="zh-CN" w:bidi="ar"/>
        </w:rPr>
      </w:pPr>
    </w:p>
    <w:p w14:paraId="71ECF4BC">
      <w:pPr>
        <w:keepNext w:val="0"/>
        <w:keepLines w:val="0"/>
        <w:widowControl/>
        <w:suppressLineNumbers w:val="0"/>
        <w:spacing w:line="560" w:lineRule="exact"/>
        <w:jc w:val="both"/>
        <w:rPr>
          <w:rFonts w:ascii="Times New Roman" w:hAnsi="Times New Roman" w:eastAsia="宋体" w:cs="Times New Roman"/>
          <w:kern w:val="0"/>
          <w:sz w:val="32"/>
          <w:szCs w:val="32"/>
          <w:lang w:val="en-US" w:eastAsia="zh-CN" w:bidi="ar"/>
        </w:rPr>
      </w:pPr>
    </w:p>
    <w:p w14:paraId="562BC34B">
      <w:pPr>
        <w:keepNext w:val="0"/>
        <w:keepLines w:val="0"/>
        <w:widowControl/>
        <w:suppressLineNumbers w:val="0"/>
        <w:spacing w:line="560" w:lineRule="exact"/>
        <w:jc w:val="both"/>
        <w:rPr>
          <w:rFonts w:ascii="Times New Roman" w:hAnsi="Times New Roman" w:eastAsia="宋体" w:cs="Times New Roman"/>
          <w:kern w:val="0"/>
          <w:sz w:val="32"/>
          <w:szCs w:val="32"/>
          <w:lang w:val="en-US" w:eastAsia="zh-CN" w:bidi="ar"/>
        </w:rPr>
      </w:pPr>
    </w:p>
    <w:p w14:paraId="413DA58C">
      <w:pPr>
        <w:keepNext w:val="0"/>
        <w:keepLines w:val="0"/>
        <w:widowControl/>
        <w:suppressLineNumbers w:val="0"/>
        <w:spacing w:line="560" w:lineRule="exact"/>
        <w:jc w:val="both"/>
        <w:rPr>
          <w:rFonts w:ascii="Times New Roman" w:hAnsi="Times New Roman" w:eastAsia="宋体" w:cs="Times New Roman"/>
          <w:kern w:val="0"/>
          <w:sz w:val="32"/>
          <w:szCs w:val="32"/>
          <w:lang w:val="en-US" w:eastAsia="zh-CN" w:bidi="ar"/>
        </w:rPr>
      </w:pPr>
    </w:p>
    <w:p w14:paraId="202681BF">
      <w:pPr>
        <w:keepNext w:val="0"/>
        <w:keepLines w:val="0"/>
        <w:widowControl/>
        <w:suppressLineNumbers w:val="0"/>
        <w:spacing w:line="560" w:lineRule="exact"/>
        <w:jc w:val="both"/>
        <w:rPr>
          <w:rFonts w:ascii="Times New Roman" w:hAnsi="Times New Roman" w:eastAsia="宋体" w:cs="Times New Roman"/>
          <w:kern w:val="0"/>
          <w:sz w:val="32"/>
          <w:szCs w:val="32"/>
          <w:lang w:val="en-US" w:eastAsia="zh-CN" w:bidi="ar"/>
        </w:rPr>
      </w:pPr>
    </w:p>
    <w:p w14:paraId="5726FA4F">
      <w:pPr>
        <w:keepNext w:val="0"/>
        <w:keepLines w:val="0"/>
        <w:widowControl/>
        <w:suppressLineNumbers w:val="0"/>
        <w:spacing w:line="560" w:lineRule="exact"/>
        <w:jc w:val="both"/>
        <w:rPr>
          <w:rFonts w:ascii="Times New Roman" w:hAnsi="Times New Roman" w:eastAsia="宋体" w:cs="Times New Roman"/>
          <w:kern w:val="0"/>
          <w:sz w:val="32"/>
          <w:szCs w:val="32"/>
          <w:lang w:val="en-US" w:eastAsia="zh-CN" w:bidi="ar"/>
        </w:rPr>
      </w:pPr>
    </w:p>
    <w:p w14:paraId="317AF1DB">
      <w:pPr>
        <w:keepNext w:val="0"/>
        <w:keepLines w:val="0"/>
        <w:widowControl/>
        <w:suppressLineNumbers w:val="0"/>
        <w:spacing w:line="560" w:lineRule="exact"/>
        <w:jc w:val="both"/>
        <w:rPr>
          <w:rFonts w:ascii="Times New Roman" w:hAnsi="Times New Roman" w:eastAsia="宋体" w:cs="Times New Roman"/>
          <w:kern w:val="0"/>
          <w:sz w:val="32"/>
          <w:szCs w:val="32"/>
          <w:lang w:val="en-US" w:eastAsia="zh-CN" w:bidi="ar"/>
        </w:rPr>
      </w:pPr>
      <w:r>
        <w:rPr>
          <w:rFonts w:ascii="Times New Roman" w:hAnsi="Times New Roman" w:eastAsia="宋体" w:cs="Times New Roman"/>
          <w:kern w:val="0"/>
          <w:sz w:val="32"/>
          <w:szCs w:val="32"/>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-2211070</wp:posOffset>
            </wp:positionV>
            <wp:extent cx="5264150" cy="2493010"/>
            <wp:effectExtent l="0" t="0" r="12700" b="2540"/>
            <wp:wrapNone/>
            <wp:docPr id="1" name="图片 1" descr="网站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网站1"/>
                    <pic:cNvPicPr>
                      <a:picLocks noChangeAspect="1"/>
                    </pic:cNvPicPr>
                  </pic:nvPicPr>
                  <pic:blipFill>
                    <a:blip r:embed="rId7"/>
                    <a:stretch>
                      <a:fillRect/>
                    </a:stretch>
                  </pic:blipFill>
                  <pic:spPr>
                    <a:xfrm>
                      <a:off x="0" y="0"/>
                      <a:ext cx="5264150" cy="2493010"/>
                    </a:xfrm>
                    <a:prstGeom prst="rect">
                      <a:avLst/>
                    </a:prstGeom>
                    <a:noFill/>
                    <a:ln>
                      <a:noFill/>
                    </a:ln>
                  </pic:spPr>
                </pic:pic>
              </a:graphicData>
            </a:graphic>
          </wp:anchor>
        </w:drawing>
      </w:r>
    </w:p>
    <w:p w14:paraId="330DA497">
      <w:pPr>
        <w:keepNext w:val="0"/>
        <w:keepLines w:val="0"/>
        <w:widowControl/>
        <w:suppressLineNumbers w:val="0"/>
        <w:spacing w:line="560" w:lineRule="exact"/>
        <w:ind w:firstLine="640" w:firstLineChars="200"/>
        <w:jc w:val="both"/>
        <w:rPr>
          <w:rFonts w:hint="eastAsia" w:ascii="Times New Roman" w:hAnsi="Times New Roman" w:eastAsia="仿宋_GB2312" w:cs="Times New Roman"/>
          <w:b w:val="0"/>
          <w:bCs w:val="0"/>
          <w:i w:val="0"/>
          <w:iCs w:val="0"/>
          <w:color w:val="000000"/>
          <w:kern w:val="0"/>
          <w:sz w:val="32"/>
          <w:szCs w:val="32"/>
          <w:lang w:val="en-US" w:eastAsia="zh-CN" w:bidi="ar"/>
        </w:rPr>
      </w:pPr>
      <w:r>
        <w:rPr>
          <w:rFonts w:hint="default" w:ascii="Times New Roman" w:hAnsi="Times New Roman" w:eastAsia="仿宋_GB2312" w:cs="Times New Roman"/>
          <w:b w:val="0"/>
          <w:bCs w:val="0"/>
          <w:i w:val="0"/>
          <w:iCs w:val="0"/>
          <w:color w:val="000000"/>
          <w:kern w:val="0"/>
          <w:sz w:val="32"/>
          <w:szCs w:val="32"/>
          <w:lang w:val="en-US" w:eastAsia="zh-CN" w:bidi="ar"/>
        </w:rPr>
        <w:t>点击进入</w:t>
      </w:r>
      <w:r>
        <w:rPr>
          <w:rFonts w:hint="eastAsia" w:ascii="Times New Roman" w:hAnsi="Times New Roman" w:eastAsia="仿宋_GB2312" w:cs="Times New Roman"/>
          <w:b w:val="0"/>
          <w:bCs w:val="0"/>
          <w:i w:val="0"/>
          <w:iCs w:val="0"/>
          <w:color w:val="000000"/>
          <w:kern w:val="0"/>
          <w:sz w:val="32"/>
          <w:szCs w:val="32"/>
          <w:lang w:val="en-US" w:eastAsia="zh-CN" w:bidi="ar"/>
        </w:rPr>
        <w:t>如下查询界面：</w:t>
      </w:r>
    </w:p>
    <w:p w14:paraId="3D222F3B">
      <w:pPr>
        <w:keepNext w:val="0"/>
        <w:keepLines w:val="0"/>
        <w:widowControl/>
        <w:suppressLineNumbers w:val="0"/>
        <w:spacing w:line="560" w:lineRule="exact"/>
        <w:ind w:firstLine="640" w:firstLineChars="200"/>
        <w:jc w:val="both"/>
        <w:rPr>
          <w:rFonts w:hint="eastAsia" w:ascii="Times New Roman" w:hAnsi="Times New Roman" w:eastAsia="仿宋_GB2312" w:cs="Times New Roman"/>
          <w:b w:val="0"/>
          <w:bCs w:val="0"/>
          <w:i w:val="0"/>
          <w:iCs w:val="0"/>
          <w:color w:val="000000"/>
          <w:kern w:val="0"/>
          <w:sz w:val="32"/>
          <w:szCs w:val="32"/>
          <w:lang w:val="en-US" w:eastAsia="zh-CN" w:bidi="ar"/>
        </w:rPr>
      </w:pPr>
    </w:p>
    <w:p w14:paraId="12155541">
      <w:pPr>
        <w:keepNext w:val="0"/>
        <w:keepLines w:val="0"/>
        <w:widowControl/>
        <w:suppressLineNumbers w:val="0"/>
        <w:spacing w:line="560" w:lineRule="exact"/>
        <w:ind w:firstLine="640" w:firstLineChars="200"/>
        <w:jc w:val="both"/>
        <w:rPr>
          <w:rFonts w:hint="eastAsia" w:ascii="Times New Roman" w:hAnsi="Times New Roman" w:eastAsia="仿宋_GB2312" w:cs="Times New Roman"/>
          <w:b w:val="0"/>
          <w:bCs w:val="0"/>
          <w:i w:val="0"/>
          <w:iCs w:val="0"/>
          <w:color w:val="000000"/>
          <w:kern w:val="0"/>
          <w:sz w:val="32"/>
          <w:szCs w:val="32"/>
          <w:lang w:val="en-US" w:eastAsia="zh-CN" w:bidi="ar"/>
        </w:rPr>
      </w:pPr>
    </w:p>
    <w:p w14:paraId="595B867B">
      <w:pPr>
        <w:keepNext w:val="0"/>
        <w:keepLines w:val="0"/>
        <w:widowControl/>
        <w:suppressLineNumbers w:val="0"/>
        <w:spacing w:line="560" w:lineRule="exact"/>
        <w:ind w:firstLine="640" w:firstLineChars="200"/>
        <w:jc w:val="both"/>
        <w:rPr>
          <w:rFonts w:hint="eastAsia" w:ascii="Times New Roman" w:hAnsi="Times New Roman" w:eastAsia="仿宋_GB2312" w:cs="Times New Roman"/>
          <w:b w:val="0"/>
          <w:bCs w:val="0"/>
          <w:i w:val="0"/>
          <w:iCs w:val="0"/>
          <w:color w:val="000000"/>
          <w:kern w:val="0"/>
          <w:sz w:val="32"/>
          <w:szCs w:val="32"/>
          <w:lang w:val="en-US" w:eastAsia="zh-CN" w:bidi="ar"/>
        </w:rPr>
      </w:pPr>
    </w:p>
    <w:p w14:paraId="7C49A899">
      <w:pPr>
        <w:keepNext w:val="0"/>
        <w:keepLines w:val="0"/>
        <w:widowControl/>
        <w:suppressLineNumbers w:val="0"/>
        <w:spacing w:line="560" w:lineRule="exact"/>
        <w:ind w:firstLine="640" w:firstLineChars="200"/>
        <w:jc w:val="both"/>
        <w:rPr>
          <w:rFonts w:hint="eastAsia" w:ascii="Times New Roman" w:hAnsi="Times New Roman" w:eastAsia="仿宋_GB2312" w:cs="Times New Roman"/>
          <w:b w:val="0"/>
          <w:bCs w:val="0"/>
          <w:i w:val="0"/>
          <w:iCs w:val="0"/>
          <w:color w:val="000000"/>
          <w:kern w:val="0"/>
          <w:sz w:val="32"/>
          <w:szCs w:val="32"/>
          <w:lang w:val="en-US" w:eastAsia="zh-CN" w:bidi="ar"/>
        </w:rPr>
      </w:pPr>
    </w:p>
    <w:p w14:paraId="2240B768">
      <w:pPr>
        <w:keepNext w:val="0"/>
        <w:keepLines w:val="0"/>
        <w:widowControl/>
        <w:suppressLineNumbers w:val="0"/>
        <w:spacing w:line="560" w:lineRule="exact"/>
        <w:ind w:firstLine="640" w:firstLineChars="200"/>
        <w:jc w:val="both"/>
        <w:rPr>
          <w:rFonts w:hint="eastAsia" w:ascii="Times New Roman" w:hAnsi="Times New Roman" w:eastAsia="仿宋_GB2312" w:cs="Times New Roman"/>
          <w:b w:val="0"/>
          <w:bCs w:val="0"/>
          <w:i w:val="0"/>
          <w:iCs w:val="0"/>
          <w:color w:val="000000"/>
          <w:kern w:val="0"/>
          <w:sz w:val="32"/>
          <w:szCs w:val="32"/>
          <w:lang w:val="en-US" w:eastAsia="zh-CN" w:bidi="ar"/>
        </w:rPr>
      </w:pPr>
    </w:p>
    <w:p w14:paraId="0F2BBF1D">
      <w:pPr>
        <w:keepNext w:val="0"/>
        <w:keepLines w:val="0"/>
        <w:widowControl/>
        <w:suppressLineNumbers w:val="0"/>
        <w:spacing w:line="560" w:lineRule="exact"/>
        <w:ind w:firstLine="640" w:firstLineChars="200"/>
        <w:jc w:val="both"/>
        <w:rPr>
          <w:rFonts w:hint="eastAsia" w:ascii="Times New Roman" w:hAnsi="Times New Roman" w:eastAsia="仿宋_GB2312" w:cs="Times New Roman"/>
          <w:b w:val="0"/>
          <w:bCs w:val="0"/>
          <w:i w:val="0"/>
          <w:iCs w:val="0"/>
          <w:color w:val="000000"/>
          <w:kern w:val="0"/>
          <w:sz w:val="32"/>
          <w:szCs w:val="32"/>
          <w:lang w:val="en-US" w:eastAsia="zh-CN" w:bidi="ar"/>
        </w:rPr>
      </w:pPr>
    </w:p>
    <w:p w14:paraId="49FBB2F4">
      <w:pPr>
        <w:keepNext w:val="0"/>
        <w:keepLines w:val="0"/>
        <w:widowControl/>
        <w:suppressLineNumbers w:val="0"/>
        <w:spacing w:line="560" w:lineRule="exact"/>
        <w:jc w:val="center"/>
        <w:rPr>
          <w:rFonts w:ascii="Times New Roman" w:hAnsi="Times New Roman" w:eastAsia="黑体" w:cs="Times New Roman"/>
          <w:b w:val="0"/>
          <w:bCs w:val="0"/>
          <w:i w:val="0"/>
          <w:iCs w:val="0"/>
          <w:color w:val="000000"/>
          <w:kern w:val="0"/>
          <w:sz w:val="32"/>
          <w:szCs w:val="32"/>
          <w:lang w:val="en-US" w:eastAsia="zh-CN" w:bidi="ar"/>
        </w:rPr>
      </w:pPr>
      <w:r>
        <w:rPr>
          <w:rFonts w:hint="eastAsia" w:ascii="Times New Roman" w:hAnsi="Times New Roman" w:eastAsia="仿宋_GB2312" w:cs="Times New Roman"/>
          <w:b w:val="0"/>
          <w:bCs w:val="0"/>
          <w:i w:val="0"/>
          <w:iCs w:val="0"/>
          <w:color w:val="000000"/>
          <w:kern w:val="0"/>
          <w:sz w:val="32"/>
          <w:szCs w:val="32"/>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-2096770</wp:posOffset>
            </wp:positionV>
            <wp:extent cx="5273040" cy="2381250"/>
            <wp:effectExtent l="0" t="0" r="3810" b="0"/>
            <wp:wrapNone/>
            <wp:docPr id="2" name="图片 2" descr="网站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网站2"/>
                    <pic:cNvPicPr>
                      <a:picLocks noChangeAspect="1"/>
                    </pic:cNvPicPr>
                  </pic:nvPicPr>
                  <pic:blipFill>
                    <a:blip r:embed="rId8"/>
                    <a:stretch>
                      <a:fillRect/>
                    </a:stretch>
                  </pic:blipFill>
                  <pic:spPr>
                    <a:xfrm>
                      <a:off x="0" y="0"/>
                      <a:ext cx="5273040" cy="2381250"/>
                    </a:xfrm>
                    <a:prstGeom prst="rect">
                      <a:avLst/>
                    </a:prstGeom>
                    <a:noFill/>
                    <a:ln>
                      <a:noFill/>
                    </a:ln>
                  </pic:spPr>
                </pic:pic>
              </a:graphicData>
            </a:graphic>
          </wp:anchor>
        </w:drawing>
      </w:r>
    </w:p>
    <w:p w14:paraId="6F08162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val="0"/>
          <w:bCs w:val="0"/>
          <w:i w:val="0"/>
          <w:iCs w:val="0"/>
          <w:color w:val="000000"/>
          <w:kern w:val="0"/>
          <w:sz w:val="32"/>
          <w:szCs w:val="32"/>
          <w:lang w:val="en-US" w:eastAsia="zh-CN" w:bidi="ar"/>
        </w:rPr>
      </w:pPr>
      <w:r>
        <w:rPr>
          <w:rFonts w:hint="eastAsia" w:ascii="仿宋_GB2312" w:hAnsi="仿宋_GB2312" w:eastAsia="仿宋_GB2312" w:cs="仿宋_GB2312"/>
          <w:b w:val="0"/>
          <w:bCs w:val="0"/>
          <w:i w:val="0"/>
          <w:iCs w:val="0"/>
          <w:color w:val="000000"/>
          <w:kern w:val="0"/>
          <w:sz w:val="32"/>
          <w:szCs w:val="32"/>
          <w:lang w:val="en-US" w:eastAsia="zh-CN" w:bidi="ar"/>
        </w:rPr>
        <w:t>输入相关要素条件，进行查询后可获知结果。</w:t>
      </w:r>
    </w:p>
    <w:p w14:paraId="066E3A4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outlineLvl w:val="0"/>
        <w:rPr>
          <w:rFonts w:ascii="Times New Roman" w:hAnsi="Times New Roman" w:eastAsia="黑体" w:cs="Times New Roman"/>
          <w:b w:val="0"/>
          <w:bCs w:val="0"/>
          <w:i w:val="0"/>
          <w:iCs w:val="0"/>
          <w:color w:val="000000"/>
          <w:kern w:val="0"/>
          <w:sz w:val="32"/>
          <w:szCs w:val="32"/>
          <w:lang w:val="en-US" w:eastAsia="zh-CN" w:bidi="ar"/>
        </w:rPr>
      </w:pPr>
      <w:bookmarkStart w:id="14" w:name="_Toc14992"/>
      <w:bookmarkStart w:id="15" w:name="_Toc4415"/>
      <w:r>
        <w:rPr>
          <w:rFonts w:ascii="Times New Roman" w:hAnsi="Times New Roman" w:eastAsia="黑体" w:cs="Times New Roman"/>
          <w:b w:val="0"/>
          <w:bCs w:val="0"/>
          <w:i w:val="0"/>
          <w:iCs w:val="0"/>
          <w:color w:val="000000"/>
          <w:kern w:val="0"/>
          <w:sz w:val="32"/>
          <w:szCs w:val="32"/>
          <w:lang w:val="en-US" w:eastAsia="zh-CN" w:bidi="ar"/>
        </w:rPr>
        <w:t>四、指定交易业务办理规范和要求</w:t>
      </w:r>
      <w:bookmarkEnd w:id="14"/>
      <w:bookmarkEnd w:id="15"/>
    </w:p>
    <w:p w14:paraId="7EBE65B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b w:val="0"/>
          <w:bCs w:val="0"/>
          <w:i w:val="0"/>
          <w:iCs w:val="0"/>
          <w:color w:val="000000"/>
          <w:kern w:val="0"/>
          <w:sz w:val="32"/>
          <w:szCs w:val="32"/>
          <w:lang w:val="en-US" w:eastAsia="zh-CN" w:bidi="ar"/>
        </w:rPr>
      </w:pPr>
      <w:bookmarkStart w:id="16" w:name="_Toc6237"/>
      <w:bookmarkStart w:id="17" w:name="_Toc26299"/>
      <w:r>
        <w:rPr>
          <w:rFonts w:hint="eastAsia" w:ascii="楷体_GB2312" w:hAnsi="楷体_GB2312" w:eastAsia="楷体_GB2312" w:cs="楷体_GB2312"/>
          <w:b w:val="0"/>
          <w:bCs w:val="0"/>
          <w:i w:val="0"/>
          <w:iCs w:val="0"/>
          <w:color w:val="000000"/>
          <w:kern w:val="0"/>
          <w:sz w:val="32"/>
          <w:szCs w:val="32"/>
          <w:lang w:val="en-US" w:eastAsia="zh-CN" w:bidi="ar"/>
        </w:rPr>
        <w:t>（一）投资者不得办理撤销指定交易的特定情况</w:t>
      </w:r>
      <w:bookmarkEnd w:id="16"/>
      <w:bookmarkEnd w:id="17"/>
    </w:p>
    <w:p w14:paraId="1D6918B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sz w:val="32"/>
          <w:szCs w:val="32"/>
        </w:rPr>
      </w:pPr>
      <w:r>
        <w:rPr>
          <w:rFonts w:ascii="Times New Roman" w:hAnsi="Times New Roman" w:eastAsia="仿宋_GB2312" w:cs="Times New Roman"/>
          <w:b w:val="0"/>
          <w:bCs w:val="0"/>
          <w:i w:val="0"/>
          <w:iCs w:val="0"/>
          <w:color w:val="000000"/>
          <w:kern w:val="0"/>
          <w:sz w:val="32"/>
          <w:szCs w:val="32"/>
          <w:lang w:val="en-US" w:eastAsia="zh-CN" w:bidi="ar"/>
        </w:rPr>
        <w:t>投资者具有下列情形之一的，交易参与人不得为其申报撤销指定交易：</w:t>
      </w:r>
    </w:p>
    <w:p w14:paraId="310DC83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sz w:val="32"/>
          <w:szCs w:val="32"/>
        </w:rPr>
      </w:pPr>
      <w:r>
        <w:rPr>
          <w:rFonts w:ascii="Times New Roman" w:hAnsi="Times New Roman" w:eastAsia="仿宋_GB2312" w:cs="Times New Roman"/>
          <w:b w:val="0"/>
          <w:bCs w:val="0"/>
          <w:i w:val="0"/>
          <w:iCs w:val="0"/>
          <w:color w:val="000000"/>
          <w:kern w:val="0"/>
          <w:sz w:val="32"/>
          <w:szCs w:val="32"/>
          <w:lang w:val="en-US" w:eastAsia="zh-CN" w:bidi="ar"/>
        </w:rPr>
        <w:t>1</w:t>
      </w:r>
      <w:r>
        <w:rPr>
          <w:rFonts w:hint="default" w:ascii="Times New Roman" w:hAnsi="Times New Roman" w:eastAsia="仿宋_GB2312" w:cs="Times New Roman"/>
          <w:b w:val="0"/>
          <w:bCs w:val="0"/>
          <w:i w:val="0"/>
          <w:iCs w:val="0"/>
          <w:color w:val="000000"/>
          <w:kern w:val="0"/>
          <w:sz w:val="32"/>
          <w:szCs w:val="32"/>
          <w:lang w:val="en-US" w:eastAsia="zh-CN" w:bidi="ar"/>
        </w:rPr>
        <w:t>.</w:t>
      </w:r>
      <w:r>
        <w:rPr>
          <w:rFonts w:ascii="Times New Roman" w:hAnsi="Times New Roman" w:eastAsia="仿宋_GB2312" w:cs="Times New Roman"/>
          <w:b w:val="0"/>
          <w:bCs w:val="0"/>
          <w:i w:val="0"/>
          <w:iCs w:val="0"/>
          <w:color w:val="000000"/>
          <w:kern w:val="0"/>
          <w:sz w:val="32"/>
          <w:szCs w:val="32"/>
          <w:lang w:val="en-US" w:eastAsia="zh-CN" w:bidi="ar"/>
        </w:rPr>
        <w:t>撤销当日有交易行为的；</w:t>
      </w:r>
    </w:p>
    <w:p w14:paraId="61CE986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sz w:val="32"/>
          <w:szCs w:val="32"/>
        </w:rPr>
      </w:pPr>
      <w:r>
        <w:rPr>
          <w:rFonts w:ascii="Times New Roman" w:hAnsi="Times New Roman" w:eastAsia="仿宋_GB2312" w:cs="Times New Roman"/>
          <w:b w:val="0"/>
          <w:bCs w:val="0"/>
          <w:i w:val="0"/>
          <w:iCs w:val="0"/>
          <w:color w:val="000000"/>
          <w:kern w:val="0"/>
          <w:sz w:val="32"/>
          <w:szCs w:val="32"/>
          <w:lang w:val="en-US" w:eastAsia="zh-CN" w:bidi="ar"/>
        </w:rPr>
        <w:t>2</w:t>
      </w:r>
      <w:r>
        <w:rPr>
          <w:rFonts w:hint="default" w:ascii="Times New Roman" w:hAnsi="Times New Roman" w:eastAsia="仿宋_GB2312" w:cs="Times New Roman"/>
          <w:b w:val="0"/>
          <w:bCs w:val="0"/>
          <w:i w:val="0"/>
          <w:iCs w:val="0"/>
          <w:color w:val="000000"/>
          <w:kern w:val="0"/>
          <w:sz w:val="32"/>
          <w:szCs w:val="32"/>
          <w:lang w:val="en-US" w:eastAsia="zh-CN" w:bidi="ar"/>
        </w:rPr>
        <w:t>.</w:t>
      </w:r>
      <w:r>
        <w:rPr>
          <w:rFonts w:ascii="Times New Roman" w:hAnsi="Times New Roman" w:eastAsia="仿宋_GB2312" w:cs="Times New Roman"/>
          <w:b w:val="0"/>
          <w:bCs w:val="0"/>
          <w:i w:val="0"/>
          <w:iCs w:val="0"/>
          <w:color w:val="000000"/>
          <w:kern w:val="0"/>
          <w:sz w:val="32"/>
          <w:szCs w:val="32"/>
          <w:lang w:val="en-US" w:eastAsia="zh-CN" w:bidi="ar"/>
        </w:rPr>
        <w:t>撤销当日有申报</w:t>
      </w:r>
      <w:r>
        <w:rPr>
          <w:rFonts w:hint="eastAsia" w:ascii="Times New Roman" w:hAnsi="Times New Roman" w:eastAsia="仿宋_GB2312" w:cs="Times New Roman"/>
          <w:b w:val="0"/>
          <w:bCs w:val="0"/>
          <w:i w:val="0"/>
          <w:iCs w:val="0"/>
          <w:color w:val="000000"/>
          <w:kern w:val="0"/>
          <w:sz w:val="32"/>
          <w:szCs w:val="32"/>
          <w:lang w:val="en-US" w:eastAsia="zh-CN" w:bidi="ar"/>
        </w:rPr>
        <w:t>的</w:t>
      </w:r>
      <w:r>
        <w:rPr>
          <w:rFonts w:ascii="Times New Roman" w:hAnsi="Times New Roman" w:eastAsia="仿宋_GB2312" w:cs="Times New Roman"/>
          <w:b w:val="0"/>
          <w:bCs w:val="0"/>
          <w:i w:val="0"/>
          <w:iCs w:val="0"/>
          <w:color w:val="000000"/>
          <w:kern w:val="0"/>
          <w:sz w:val="32"/>
          <w:szCs w:val="32"/>
          <w:lang w:val="en-US" w:eastAsia="zh-CN" w:bidi="ar"/>
        </w:rPr>
        <w:t>；</w:t>
      </w:r>
    </w:p>
    <w:p w14:paraId="2799921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sz w:val="32"/>
          <w:szCs w:val="32"/>
        </w:rPr>
      </w:pPr>
      <w:r>
        <w:rPr>
          <w:rFonts w:ascii="Times New Roman" w:hAnsi="Times New Roman" w:eastAsia="仿宋_GB2312" w:cs="Times New Roman"/>
          <w:b w:val="0"/>
          <w:bCs w:val="0"/>
          <w:i w:val="0"/>
          <w:iCs w:val="0"/>
          <w:color w:val="000000"/>
          <w:kern w:val="0"/>
          <w:sz w:val="32"/>
          <w:szCs w:val="32"/>
          <w:lang w:val="en-US" w:eastAsia="zh-CN" w:bidi="ar"/>
        </w:rPr>
        <w:t>3</w:t>
      </w:r>
      <w:r>
        <w:rPr>
          <w:rFonts w:hint="default" w:ascii="Times New Roman" w:hAnsi="Times New Roman" w:eastAsia="仿宋_GB2312" w:cs="Times New Roman"/>
          <w:b w:val="0"/>
          <w:bCs w:val="0"/>
          <w:i w:val="0"/>
          <w:iCs w:val="0"/>
          <w:color w:val="000000"/>
          <w:kern w:val="0"/>
          <w:sz w:val="32"/>
          <w:szCs w:val="32"/>
          <w:lang w:val="en-US" w:eastAsia="zh-CN" w:bidi="ar"/>
        </w:rPr>
        <w:t>.</w:t>
      </w:r>
      <w:r>
        <w:rPr>
          <w:rFonts w:ascii="Times New Roman" w:hAnsi="Times New Roman" w:eastAsia="仿宋_GB2312" w:cs="Times New Roman"/>
          <w:b w:val="0"/>
          <w:bCs w:val="0"/>
          <w:i w:val="0"/>
          <w:iCs w:val="0"/>
          <w:color w:val="000000"/>
          <w:kern w:val="0"/>
          <w:sz w:val="32"/>
          <w:szCs w:val="32"/>
          <w:lang w:val="en-US" w:eastAsia="zh-CN" w:bidi="ar"/>
        </w:rPr>
        <w:t>新股申购未到期的；</w:t>
      </w:r>
    </w:p>
    <w:p w14:paraId="4E7928E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sz w:val="32"/>
          <w:szCs w:val="32"/>
        </w:rPr>
      </w:pPr>
      <w:r>
        <w:rPr>
          <w:rFonts w:ascii="Times New Roman" w:hAnsi="Times New Roman" w:eastAsia="仿宋_GB2312" w:cs="Times New Roman"/>
          <w:b w:val="0"/>
          <w:bCs w:val="0"/>
          <w:i w:val="0"/>
          <w:iCs w:val="0"/>
          <w:color w:val="000000"/>
          <w:kern w:val="0"/>
          <w:sz w:val="32"/>
          <w:szCs w:val="32"/>
          <w:lang w:val="en-US" w:eastAsia="zh-CN" w:bidi="ar"/>
        </w:rPr>
        <w:t>4</w:t>
      </w:r>
      <w:r>
        <w:rPr>
          <w:rFonts w:hint="default" w:ascii="Times New Roman" w:hAnsi="Times New Roman" w:eastAsia="仿宋_GB2312" w:cs="Times New Roman"/>
          <w:b w:val="0"/>
          <w:bCs w:val="0"/>
          <w:i w:val="0"/>
          <w:iCs w:val="0"/>
          <w:color w:val="000000"/>
          <w:kern w:val="0"/>
          <w:sz w:val="32"/>
          <w:szCs w:val="32"/>
          <w:lang w:val="en-US" w:eastAsia="zh-CN" w:bidi="ar"/>
        </w:rPr>
        <w:t>.</w:t>
      </w:r>
      <w:r>
        <w:rPr>
          <w:rFonts w:ascii="Times New Roman" w:hAnsi="Times New Roman" w:eastAsia="仿宋_GB2312" w:cs="Times New Roman"/>
          <w:b w:val="0"/>
          <w:bCs w:val="0"/>
          <w:i w:val="0"/>
          <w:iCs w:val="0"/>
          <w:color w:val="000000"/>
          <w:kern w:val="0"/>
          <w:sz w:val="32"/>
          <w:szCs w:val="32"/>
          <w:lang w:val="en-US" w:eastAsia="zh-CN" w:bidi="ar"/>
        </w:rPr>
        <w:t>因回购或其他事项未了结的；</w:t>
      </w:r>
    </w:p>
    <w:p w14:paraId="77642BE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sz w:val="32"/>
          <w:szCs w:val="32"/>
        </w:rPr>
      </w:pPr>
      <w:r>
        <w:rPr>
          <w:rFonts w:ascii="Times New Roman" w:hAnsi="Times New Roman" w:eastAsia="仿宋_GB2312" w:cs="Times New Roman"/>
          <w:b w:val="0"/>
          <w:bCs w:val="0"/>
          <w:i w:val="0"/>
          <w:iCs w:val="0"/>
          <w:color w:val="000000"/>
          <w:kern w:val="0"/>
          <w:sz w:val="32"/>
          <w:szCs w:val="32"/>
          <w:lang w:val="en-US" w:eastAsia="zh-CN" w:bidi="ar"/>
        </w:rPr>
        <w:t>5</w:t>
      </w:r>
      <w:r>
        <w:rPr>
          <w:rFonts w:hint="default" w:ascii="Times New Roman" w:hAnsi="Times New Roman" w:eastAsia="仿宋_GB2312" w:cs="Times New Roman"/>
          <w:b w:val="0"/>
          <w:bCs w:val="0"/>
          <w:i w:val="0"/>
          <w:iCs w:val="0"/>
          <w:color w:val="000000"/>
          <w:kern w:val="0"/>
          <w:sz w:val="32"/>
          <w:szCs w:val="32"/>
          <w:lang w:val="en-US" w:eastAsia="zh-CN" w:bidi="ar"/>
        </w:rPr>
        <w:t>.</w:t>
      </w:r>
      <w:r>
        <w:rPr>
          <w:rFonts w:ascii="Times New Roman" w:hAnsi="Times New Roman" w:eastAsia="仿宋_GB2312" w:cs="Times New Roman"/>
          <w:b w:val="0"/>
          <w:bCs w:val="0"/>
          <w:i w:val="0"/>
          <w:iCs w:val="0"/>
          <w:color w:val="000000"/>
          <w:kern w:val="0"/>
          <w:sz w:val="32"/>
          <w:szCs w:val="32"/>
          <w:lang w:val="en-US" w:eastAsia="zh-CN" w:bidi="ar"/>
        </w:rPr>
        <w:t>相关机构未允许撤销的。</w:t>
      </w:r>
    </w:p>
    <w:p w14:paraId="2B3A1C6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b w:val="0"/>
          <w:bCs w:val="0"/>
          <w:i w:val="0"/>
          <w:iCs w:val="0"/>
          <w:color w:val="000000"/>
          <w:kern w:val="0"/>
          <w:sz w:val="32"/>
          <w:szCs w:val="32"/>
          <w:lang w:val="en-US" w:eastAsia="zh-CN" w:bidi="ar"/>
        </w:rPr>
      </w:pPr>
      <w:bookmarkStart w:id="18" w:name="_Toc8982"/>
      <w:bookmarkStart w:id="19" w:name="_Toc32147"/>
      <w:r>
        <w:rPr>
          <w:rFonts w:hint="eastAsia" w:ascii="楷体_GB2312" w:hAnsi="楷体_GB2312" w:eastAsia="楷体_GB2312" w:cs="楷体_GB2312"/>
          <w:b w:val="0"/>
          <w:bCs w:val="0"/>
          <w:i w:val="0"/>
          <w:iCs w:val="0"/>
          <w:color w:val="000000"/>
          <w:kern w:val="0"/>
          <w:sz w:val="32"/>
          <w:szCs w:val="32"/>
          <w:lang w:val="en-US" w:eastAsia="zh-CN" w:bidi="ar"/>
        </w:rPr>
        <w:t>（二）交易参与人的相关义务</w:t>
      </w:r>
      <w:bookmarkEnd w:id="18"/>
      <w:bookmarkEnd w:id="19"/>
    </w:p>
    <w:p w14:paraId="2238161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sz w:val="32"/>
          <w:szCs w:val="32"/>
        </w:rPr>
      </w:pPr>
      <w:r>
        <w:rPr>
          <w:rFonts w:ascii="Times New Roman" w:hAnsi="Times New Roman" w:eastAsia="仿宋_GB2312" w:cs="Times New Roman"/>
          <w:b w:val="0"/>
          <w:bCs w:val="0"/>
          <w:i w:val="0"/>
          <w:iCs w:val="0"/>
          <w:color w:val="000000"/>
          <w:kern w:val="0"/>
          <w:sz w:val="32"/>
          <w:szCs w:val="32"/>
          <w:lang w:val="en-US" w:eastAsia="zh-CN" w:bidi="ar"/>
        </w:rPr>
        <w:t>投资者办理指定交易后，交易参与人</w:t>
      </w:r>
      <w:r>
        <w:rPr>
          <w:rFonts w:hint="eastAsia" w:ascii="Times New Roman" w:hAnsi="Times New Roman" w:eastAsia="仿宋_GB2312" w:cs="Times New Roman"/>
          <w:b w:val="0"/>
          <w:bCs w:val="0"/>
          <w:i w:val="0"/>
          <w:iCs w:val="0"/>
          <w:color w:val="000000"/>
          <w:kern w:val="0"/>
          <w:sz w:val="32"/>
          <w:szCs w:val="32"/>
          <w:lang w:val="en-US" w:eastAsia="zh-CN" w:bidi="ar"/>
        </w:rPr>
        <w:t>应当</w:t>
      </w:r>
      <w:r>
        <w:rPr>
          <w:rFonts w:ascii="Times New Roman" w:hAnsi="Times New Roman" w:eastAsia="仿宋_GB2312" w:cs="Times New Roman"/>
          <w:b w:val="0"/>
          <w:bCs w:val="0"/>
          <w:i w:val="0"/>
          <w:iCs w:val="0"/>
          <w:color w:val="000000"/>
          <w:kern w:val="0"/>
          <w:sz w:val="32"/>
          <w:szCs w:val="32"/>
          <w:lang w:val="en-US" w:eastAsia="zh-CN" w:bidi="ar"/>
        </w:rPr>
        <w:t>为投资者提供下列服务：</w:t>
      </w:r>
    </w:p>
    <w:p w14:paraId="2CE94DE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sz w:val="32"/>
          <w:szCs w:val="32"/>
        </w:rPr>
      </w:pPr>
      <w:r>
        <w:rPr>
          <w:rFonts w:ascii="Times New Roman" w:hAnsi="Times New Roman" w:eastAsia="仿宋_GB2312" w:cs="Times New Roman"/>
          <w:b w:val="0"/>
          <w:bCs w:val="0"/>
          <w:i w:val="0"/>
          <w:iCs w:val="0"/>
          <w:color w:val="000000"/>
          <w:kern w:val="0"/>
          <w:sz w:val="32"/>
          <w:szCs w:val="32"/>
          <w:lang w:val="en-US" w:eastAsia="zh-CN" w:bidi="ar"/>
        </w:rPr>
        <w:t>1</w:t>
      </w:r>
      <w:r>
        <w:rPr>
          <w:rFonts w:hint="default" w:ascii="Times New Roman" w:hAnsi="Times New Roman" w:eastAsia="仿宋_GB2312" w:cs="Times New Roman"/>
          <w:b w:val="0"/>
          <w:bCs w:val="0"/>
          <w:i w:val="0"/>
          <w:iCs w:val="0"/>
          <w:color w:val="000000"/>
          <w:kern w:val="0"/>
          <w:sz w:val="32"/>
          <w:szCs w:val="32"/>
          <w:lang w:val="en-US" w:eastAsia="zh-CN" w:bidi="ar"/>
        </w:rPr>
        <w:t>.</w:t>
      </w:r>
      <w:r>
        <w:rPr>
          <w:rFonts w:ascii="Times New Roman" w:hAnsi="Times New Roman" w:eastAsia="仿宋_GB2312" w:cs="Times New Roman"/>
          <w:b w:val="0"/>
          <w:bCs w:val="0"/>
          <w:i w:val="0"/>
          <w:iCs w:val="0"/>
          <w:color w:val="000000"/>
          <w:kern w:val="0"/>
          <w:sz w:val="32"/>
          <w:szCs w:val="32"/>
          <w:lang w:val="en-US" w:eastAsia="zh-CN" w:bidi="ar"/>
        </w:rPr>
        <w:t>提供全面的证券委托、查询等服务。</w:t>
      </w:r>
    </w:p>
    <w:p w14:paraId="0A5F75F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sz w:val="32"/>
          <w:szCs w:val="32"/>
        </w:rPr>
      </w:pPr>
      <w:r>
        <w:rPr>
          <w:rFonts w:ascii="Times New Roman" w:hAnsi="Times New Roman" w:eastAsia="仿宋_GB2312" w:cs="Times New Roman"/>
          <w:b w:val="0"/>
          <w:bCs w:val="0"/>
          <w:i w:val="0"/>
          <w:iCs w:val="0"/>
          <w:color w:val="000000"/>
          <w:kern w:val="0"/>
          <w:sz w:val="32"/>
          <w:szCs w:val="32"/>
          <w:lang w:val="en-US" w:eastAsia="zh-CN" w:bidi="ar"/>
        </w:rPr>
        <w:t>2</w:t>
      </w:r>
      <w:r>
        <w:rPr>
          <w:rFonts w:hint="default" w:ascii="Times New Roman" w:hAnsi="Times New Roman" w:eastAsia="仿宋_GB2312" w:cs="Times New Roman"/>
          <w:b w:val="0"/>
          <w:bCs w:val="0"/>
          <w:i w:val="0"/>
          <w:iCs w:val="0"/>
          <w:color w:val="000000"/>
          <w:kern w:val="0"/>
          <w:sz w:val="32"/>
          <w:szCs w:val="32"/>
          <w:lang w:val="en-US" w:eastAsia="zh-CN" w:bidi="ar"/>
        </w:rPr>
        <w:t>.</w:t>
      </w:r>
      <w:r>
        <w:rPr>
          <w:rFonts w:ascii="Times New Roman" w:hAnsi="Times New Roman" w:eastAsia="仿宋_GB2312" w:cs="Times New Roman"/>
          <w:b w:val="0"/>
          <w:bCs w:val="0"/>
          <w:i w:val="0"/>
          <w:iCs w:val="0"/>
          <w:color w:val="000000"/>
          <w:kern w:val="0"/>
          <w:sz w:val="32"/>
          <w:szCs w:val="32"/>
          <w:lang w:val="en-US" w:eastAsia="zh-CN" w:bidi="ar"/>
        </w:rPr>
        <w:t>为投资者办理自动领取现金红利（包括各种权益，债券利息，</w:t>
      </w:r>
      <w:r>
        <w:rPr>
          <w:rFonts w:hint="eastAsia" w:ascii="Times New Roman" w:hAnsi="Times New Roman" w:eastAsia="仿宋_GB2312" w:cs="Times New Roman"/>
          <w:b w:val="0"/>
          <w:bCs w:val="0"/>
          <w:i w:val="0"/>
          <w:iCs w:val="0"/>
          <w:color w:val="000000"/>
          <w:kern w:val="0"/>
          <w:sz w:val="32"/>
          <w:szCs w:val="32"/>
          <w:lang w:val="en-US" w:eastAsia="zh-CN" w:bidi="ar"/>
        </w:rPr>
        <w:t>兑</w:t>
      </w:r>
      <w:r>
        <w:rPr>
          <w:rFonts w:ascii="Times New Roman" w:hAnsi="Times New Roman" w:eastAsia="仿宋_GB2312" w:cs="Times New Roman"/>
          <w:b w:val="0"/>
          <w:bCs w:val="0"/>
          <w:i w:val="0"/>
          <w:iCs w:val="0"/>
          <w:color w:val="000000"/>
          <w:kern w:val="0"/>
          <w:sz w:val="32"/>
          <w:szCs w:val="32"/>
          <w:lang w:val="en-US" w:eastAsia="zh-CN" w:bidi="ar"/>
        </w:rPr>
        <w:t>付债券本息）等业务。</w:t>
      </w:r>
    </w:p>
    <w:p w14:paraId="7B9DCB1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i w:val="0"/>
          <w:iCs w:val="0"/>
          <w:color w:val="000000"/>
          <w:kern w:val="0"/>
          <w:sz w:val="32"/>
          <w:szCs w:val="32"/>
          <w:lang w:val="en-US" w:eastAsia="zh-CN" w:bidi="ar"/>
        </w:rPr>
      </w:pPr>
      <w:r>
        <w:rPr>
          <w:rFonts w:hint="eastAsia" w:ascii="Times New Roman" w:hAnsi="Times New Roman" w:eastAsia="仿宋_GB2312" w:cs="Times New Roman"/>
          <w:b w:val="0"/>
          <w:bCs w:val="0"/>
          <w:i w:val="0"/>
          <w:iCs w:val="0"/>
          <w:color w:val="000000"/>
          <w:kern w:val="0"/>
          <w:sz w:val="32"/>
          <w:szCs w:val="32"/>
          <w:lang w:val="en-US" w:eastAsia="zh-CN" w:bidi="ar"/>
        </w:rPr>
        <w:t>3.提供投资者指定交易账户下证券的对账服务。</w:t>
      </w:r>
    </w:p>
    <w:p w14:paraId="015B11E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i w:val="0"/>
          <w:iCs w:val="0"/>
          <w:color w:val="000000"/>
          <w:kern w:val="0"/>
          <w:sz w:val="32"/>
          <w:szCs w:val="32"/>
          <w:lang w:val="en-US" w:eastAsia="zh-CN" w:bidi="ar"/>
        </w:rPr>
      </w:pPr>
      <w:r>
        <w:rPr>
          <w:rFonts w:hint="eastAsia" w:ascii="Times New Roman" w:hAnsi="Times New Roman" w:eastAsia="仿宋_GB2312" w:cs="Times New Roman"/>
          <w:b w:val="0"/>
          <w:bCs w:val="0"/>
          <w:i w:val="0"/>
          <w:iCs w:val="0"/>
          <w:color w:val="000000"/>
          <w:kern w:val="0"/>
          <w:sz w:val="32"/>
          <w:szCs w:val="32"/>
          <w:lang w:val="en-US" w:eastAsia="zh-CN" w:bidi="ar"/>
        </w:rPr>
        <w:t>4.其他与指定交易相关的服务。</w:t>
      </w:r>
    </w:p>
    <w:p w14:paraId="6A026F1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b w:val="0"/>
          <w:bCs w:val="0"/>
          <w:i w:val="0"/>
          <w:iCs w:val="0"/>
          <w:color w:val="000000"/>
          <w:kern w:val="0"/>
          <w:sz w:val="32"/>
          <w:szCs w:val="32"/>
          <w:lang w:val="en-US" w:eastAsia="zh-CN" w:bidi="ar"/>
        </w:rPr>
      </w:pPr>
      <w:bookmarkStart w:id="20" w:name="_Toc11130"/>
      <w:bookmarkStart w:id="21" w:name="_Toc21717"/>
      <w:r>
        <w:rPr>
          <w:rFonts w:hint="eastAsia" w:ascii="楷体_GB2312" w:hAnsi="楷体_GB2312" w:eastAsia="楷体_GB2312" w:cs="楷体_GB2312"/>
          <w:b w:val="0"/>
          <w:bCs w:val="0"/>
          <w:i w:val="0"/>
          <w:iCs w:val="0"/>
          <w:color w:val="000000"/>
          <w:kern w:val="0"/>
          <w:sz w:val="32"/>
          <w:szCs w:val="32"/>
          <w:lang w:val="en-US" w:eastAsia="zh-CN" w:bidi="ar"/>
        </w:rPr>
        <w:t>（三）交易参与人办理撤销指定交易业务的相关要求</w:t>
      </w:r>
      <w:bookmarkEnd w:id="20"/>
      <w:bookmarkEnd w:id="21"/>
    </w:p>
    <w:p w14:paraId="503CBA3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olor w:val="000000"/>
          <w:kern w:val="0"/>
          <w:sz w:val="32"/>
          <w:szCs w:val="32"/>
          <w:lang w:val="en-US" w:eastAsia="zh-CN" w:bidi="ar"/>
        </w:rPr>
      </w:pPr>
      <w:r>
        <w:rPr>
          <w:rFonts w:hint="eastAsia" w:ascii="Times New Roman" w:hAnsi="Times New Roman" w:eastAsia="仿宋_GB2312" w:cs="Times New Roman"/>
          <w:b w:val="0"/>
          <w:bCs w:val="0"/>
          <w:i w:val="0"/>
          <w:iCs w:val="0"/>
          <w:color w:val="000000"/>
          <w:kern w:val="0"/>
          <w:sz w:val="32"/>
          <w:szCs w:val="32"/>
          <w:lang w:val="en-US" w:eastAsia="zh-CN" w:bidi="ar"/>
        </w:rPr>
        <w:t>交易参与人</w:t>
      </w:r>
      <w:r>
        <w:rPr>
          <w:rFonts w:hint="default" w:ascii="Times New Roman" w:hAnsi="Times New Roman" w:eastAsia="仿宋_GB2312" w:cs="Times New Roman"/>
          <w:b w:val="0"/>
          <w:bCs w:val="0"/>
          <w:i w:val="0"/>
          <w:iCs w:val="0"/>
          <w:color w:val="000000"/>
          <w:kern w:val="0"/>
          <w:sz w:val="32"/>
          <w:szCs w:val="32"/>
          <w:lang w:val="en-US" w:eastAsia="zh-CN" w:bidi="ar"/>
        </w:rPr>
        <w:t>为投资者办理撤销指定交易业务，应</w:t>
      </w:r>
      <w:r>
        <w:rPr>
          <w:rFonts w:hint="eastAsia" w:ascii="Times New Roman" w:hAnsi="Times New Roman" w:eastAsia="仿宋_GB2312" w:cs="Times New Roman"/>
          <w:b w:val="0"/>
          <w:bCs w:val="0"/>
          <w:i w:val="0"/>
          <w:iCs w:val="0"/>
          <w:color w:val="000000"/>
          <w:kern w:val="0"/>
          <w:sz w:val="32"/>
          <w:szCs w:val="32"/>
          <w:lang w:val="en-US" w:eastAsia="zh-CN" w:bidi="ar"/>
        </w:rPr>
        <w:t>当</w:t>
      </w:r>
      <w:r>
        <w:rPr>
          <w:rFonts w:hint="default" w:ascii="Times New Roman" w:hAnsi="Times New Roman" w:eastAsia="仿宋_GB2312" w:cs="Times New Roman"/>
          <w:b w:val="0"/>
          <w:bCs w:val="0"/>
          <w:i w:val="0"/>
          <w:iCs w:val="0"/>
          <w:color w:val="000000"/>
          <w:kern w:val="0"/>
          <w:sz w:val="32"/>
          <w:szCs w:val="32"/>
          <w:lang w:val="en-US" w:eastAsia="zh-CN" w:bidi="ar"/>
        </w:rPr>
        <w:t>遵守以下要求：</w:t>
      </w:r>
    </w:p>
    <w:p w14:paraId="7E20609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olor w:val="000000"/>
          <w:kern w:val="0"/>
          <w:sz w:val="32"/>
          <w:szCs w:val="32"/>
          <w:lang w:val="en-US" w:eastAsia="zh-CN" w:bidi="ar"/>
        </w:rPr>
      </w:pPr>
      <w:r>
        <w:rPr>
          <w:rFonts w:hint="eastAsia" w:ascii="Times New Roman" w:hAnsi="Times New Roman" w:eastAsia="仿宋_GB2312" w:cs="Times New Roman"/>
          <w:b w:val="0"/>
          <w:bCs w:val="0"/>
          <w:i w:val="0"/>
          <w:iCs w:val="0"/>
          <w:color w:val="000000"/>
          <w:kern w:val="0"/>
          <w:sz w:val="32"/>
          <w:szCs w:val="32"/>
          <w:lang w:val="en-US" w:eastAsia="zh-CN" w:bidi="ar"/>
        </w:rPr>
        <w:t>1.除投资者未履行交易交收义务等情况，</w:t>
      </w:r>
      <w:r>
        <w:rPr>
          <w:rFonts w:hint="default" w:ascii="Times New Roman" w:hAnsi="Times New Roman" w:eastAsia="仿宋_GB2312" w:cs="Times New Roman"/>
          <w:b w:val="0"/>
          <w:bCs w:val="0"/>
          <w:i w:val="0"/>
          <w:iCs w:val="0"/>
          <w:color w:val="000000"/>
          <w:kern w:val="0"/>
          <w:sz w:val="32"/>
          <w:szCs w:val="32"/>
          <w:lang w:val="en-US" w:eastAsia="zh-CN" w:bidi="ar"/>
        </w:rPr>
        <w:t>应</w:t>
      </w:r>
      <w:r>
        <w:rPr>
          <w:rFonts w:hint="eastAsia" w:ascii="Times New Roman" w:hAnsi="Times New Roman" w:eastAsia="仿宋_GB2312" w:cs="Times New Roman"/>
          <w:b w:val="0"/>
          <w:bCs w:val="0"/>
          <w:i w:val="0"/>
          <w:iCs w:val="0"/>
          <w:color w:val="000000"/>
          <w:kern w:val="0"/>
          <w:sz w:val="32"/>
          <w:szCs w:val="32"/>
          <w:lang w:val="en-US" w:eastAsia="zh-CN" w:bidi="ar"/>
        </w:rPr>
        <w:t>当</w:t>
      </w:r>
      <w:r>
        <w:rPr>
          <w:rFonts w:hint="default" w:ascii="Times New Roman" w:hAnsi="Times New Roman" w:eastAsia="仿宋_GB2312" w:cs="Times New Roman"/>
          <w:b w:val="0"/>
          <w:bCs w:val="0"/>
          <w:i w:val="0"/>
          <w:iCs w:val="0"/>
          <w:color w:val="000000"/>
          <w:kern w:val="0"/>
          <w:sz w:val="32"/>
          <w:szCs w:val="32"/>
          <w:lang w:val="en-US" w:eastAsia="zh-CN" w:bidi="ar"/>
        </w:rPr>
        <w:t>在</w:t>
      </w:r>
      <w:r>
        <w:rPr>
          <w:rFonts w:hint="eastAsia" w:ascii="Times New Roman" w:hAnsi="Times New Roman" w:eastAsia="仿宋_GB2312" w:cs="Times New Roman"/>
          <w:b w:val="0"/>
          <w:bCs w:val="0"/>
          <w:i w:val="0"/>
          <w:iCs w:val="0"/>
          <w:color w:val="000000"/>
          <w:kern w:val="0"/>
          <w:sz w:val="32"/>
          <w:szCs w:val="32"/>
          <w:lang w:val="en-US" w:eastAsia="zh-CN" w:bidi="ar"/>
        </w:rPr>
        <w:t>投资者</w:t>
      </w:r>
      <w:r>
        <w:rPr>
          <w:rFonts w:hint="default" w:ascii="Times New Roman" w:hAnsi="Times New Roman" w:eastAsia="仿宋_GB2312" w:cs="Times New Roman"/>
          <w:b w:val="0"/>
          <w:bCs w:val="0"/>
          <w:i w:val="0"/>
          <w:iCs w:val="0"/>
          <w:color w:val="000000"/>
          <w:kern w:val="0"/>
          <w:sz w:val="32"/>
          <w:szCs w:val="32"/>
          <w:lang w:val="en-US" w:eastAsia="zh-CN" w:bidi="ar"/>
        </w:rPr>
        <w:t>提出申请</w:t>
      </w:r>
      <w:r>
        <w:rPr>
          <w:rFonts w:hint="eastAsia" w:ascii="Times New Roman" w:hAnsi="Times New Roman" w:eastAsia="仿宋_GB2312" w:cs="Times New Roman"/>
          <w:b w:val="0"/>
          <w:bCs w:val="0"/>
          <w:i w:val="0"/>
          <w:iCs w:val="0"/>
          <w:color w:val="000000"/>
          <w:kern w:val="0"/>
          <w:sz w:val="32"/>
          <w:szCs w:val="32"/>
          <w:lang w:val="en-US" w:eastAsia="zh-CN" w:bidi="ar"/>
        </w:rPr>
        <w:t>的当日为其办理撤销指定交易申报，在非交易日或交易日盘后提出申请的，顺延至下一交易日办理</w:t>
      </w:r>
      <w:r>
        <w:rPr>
          <w:rFonts w:hint="default" w:ascii="Times New Roman" w:hAnsi="Times New Roman" w:eastAsia="仿宋_GB2312" w:cs="Times New Roman"/>
          <w:b w:val="0"/>
          <w:bCs w:val="0"/>
          <w:i w:val="0"/>
          <w:iCs w:val="0"/>
          <w:color w:val="000000"/>
          <w:kern w:val="0"/>
          <w:sz w:val="32"/>
          <w:szCs w:val="32"/>
          <w:lang w:val="en-US" w:eastAsia="zh-CN" w:bidi="ar"/>
        </w:rPr>
        <w:t>。</w:t>
      </w:r>
    </w:p>
    <w:p w14:paraId="5E34E51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olor w:val="000000"/>
          <w:kern w:val="0"/>
          <w:sz w:val="32"/>
          <w:szCs w:val="32"/>
          <w:lang w:val="en-US" w:eastAsia="zh-CN" w:bidi="ar"/>
        </w:rPr>
      </w:pPr>
      <w:r>
        <w:rPr>
          <w:rFonts w:hint="eastAsia" w:ascii="Times New Roman" w:hAnsi="Times New Roman" w:eastAsia="仿宋_GB2312" w:cs="Times New Roman"/>
          <w:b w:val="0"/>
          <w:bCs w:val="0"/>
          <w:i w:val="0"/>
          <w:iCs w:val="0"/>
          <w:color w:val="000000"/>
          <w:kern w:val="0"/>
          <w:sz w:val="32"/>
          <w:szCs w:val="32"/>
          <w:lang w:val="en-US" w:eastAsia="zh-CN" w:bidi="ar"/>
        </w:rPr>
        <w:t>2.</w:t>
      </w:r>
      <w:r>
        <w:rPr>
          <w:rFonts w:hint="default" w:ascii="Times New Roman" w:hAnsi="Times New Roman" w:eastAsia="仿宋_GB2312" w:cs="Times New Roman"/>
          <w:b w:val="0"/>
          <w:bCs w:val="0"/>
          <w:i w:val="0"/>
          <w:iCs w:val="0"/>
          <w:color w:val="000000"/>
          <w:kern w:val="0"/>
          <w:sz w:val="32"/>
          <w:szCs w:val="32"/>
          <w:lang w:val="en-US" w:eastAsia="zh-CN" w:bidi="ar"/>
        </w:rPr>
        <w:t>除投资者未履行交易交收义务等情况，不得以任何理由拖延或者拒绝办理投资者撤销指定交易的申请。</w:t>
      </w:r>
    </w:p>
    <w:p w14:paraId="56FA911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olor w:val="000000"/>
          <w:kern w:val="0"/>
          <w:sz w:val="32"/>
          <w:szCs w:val="32"/>
          <w:lang w:val="en-US" w:eastAsia="zh-CN" w:bidi="ar"/>
        </w:rPr>
      </w:pPr>
      <w:r>
        <w:rPr>
          <w:rFonts w:hint="eastAsia" w:ascii="Times New Roman" w:hAnsi="Times New Roman" w:eastAsia="仿宋_GB2312" w:cs="Times New Roman"/>
          <w:b w:val="0"/>
          <w:bCs w:val="0"/>
          <w:i w:val="0"/>
          <w:iCs w:val="0"/>
          <w:color w:val="000000"/>
          <w:kern w:val="0"/>
          <w:sz w:val="32"/>
          <w:szCs w:val="32"/>
          <w:lang w:val="en-US" w:eastAsia="zh-CN" w:bidi="ar"/>
        </w:rPr>
        <w:t>3.提供线上及现场两种撤销指定交易业务办理途径，供自然人投资者选择。</w:t>
      </w:r>
    </w:p>
    <w:p w14:paraId="4FCC040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olor w:val="000000"/>
          <w:kern w:val="0"/>
          <w:sz w:val="32"/>
          <w:szCs w:val="32"/>
          <w:lang w:val="en-US" w:eastAsia="zh-CN" w:bidi="ar"/>
        </w:rPr>
      </w:pPr>
      <w:r>
        <w:rPr>
          <w:rFonts w:hint="eastAsia" w:ascii="Times New Roman" w:hAnsi="Times New Roman" w:eastAsia="仿宋_GB2312" w:cs="Times New Roman"/>
          <w:b w:val="0"/>
          <w:bCs w:val="0"/>
          <w:i w:val="0"/>
          <w:iCs w:val="0"/>
          <w:color w:val="000000"/>
          <w:kern w:val="0"/>
          <w:sz w:val="32"/>
          <w:szCs w:val="32"/>
          <w:lang w:val="en-US" w:eastAsia="zh-CN" w:bidi="ar"/>
        </w:rPr>
        <w:t>4.</w:t>
      </w:r>
      <w:r>
        <w:rPr>
          <w:rFonts w:hint="default" w:ascii="Times New Roman" w:hAnsi="Times New Roman" w:eastAsia="仿宋_GB2312" w:cs="Times New Roman"/>
          <w:b w:val="0"/>
          <w:bCs w:val="0"/>
          <w:i w:val="0"/>
          <w:iCs w:val="0"/>
          <w:color w:val="000000"/>
          <w:kern w:val="0"/>
          <w:sz w:val="32"/>
          <w:szCs w:val="32"/>
          <w:lang w:val="en-US" w:eastAsia="zh-CN" w:bidi="ar"/>
        </w:rPr>
        <w:t>不得要求投资者至特定营业部办理，投资者</w:t>
      </w:r>
      <w:r>
        <w:rPr>
          <w:rFonts w:hint="eastAsia" w:ascii="Times New Roman" w:hAnsi="Times New Roman" w:eastAsia="仿宋_GB2312" w:cs="Times New Roman"/>
          <w:b w:val="0"/>
          <w:bCs w:val="0"/>
          <w:i w:val="0"/>
          <w:iCs w:val="0"/>
          <w:color w:val="000000"/>
          <w:kern w:val="0"/>
          <w:sz w:val="32"/>
          <w:szCs w:val="32"/>
          <w:lang w:val="en-US" w:eastAsia="zh-CN" w:bidi="ar"/>
        </w:rPr>
        <w:t>因</w:t>
      </w:r>
      <w:r>
        <w:rPr>
          <w:rFonts w:hint="default" w:ascii="Times New Roman" w:hAnsi="Times New Roman" w:eastAsia="仿宋_GB2312" w:cs="Times New Roman"/>
          <w:b w:val="0"/>
          <w:bCs w:val="0"/>
          <w:i w:val="0"/>
          <w:iCs w:val="0"/>
          <w:color w:val="000000"/>
          <w:kern w:val="0"/>
          <w:sz w:val="32"/>
          <w:szCs w:val="32"/>
          <w:lang w:val="en-US" w:eastAsia="zh-CN" w:bidi="ar"/>
        </w:rPr>
        <w:t>履行特定交易交收义务所需</w:t>
      </w:r>
      <w:r>
        <w:rPr>
          <w:rFonts w:hint="eastAsia" w:ascii="Times New Roman" w:hAnsi="Times New Roman" w:eastAsia="仿宋_GB2312" w:cs="Times New Roman"/>
          <w:b w:val="0"/>
          <w:bCs w:val="0"/>
          <w:i w:val="0"/>
          <w:iCs w:val="0"/>
          <w:color w:val="000000"/>
          <w:kern w:val="0"/>
          <w:sz w:val="32"/>
          <w:szCs w:val="32"/>
          <w:lang w:val="en-US" w:eastAsia="zh-CN" w:bidi="ar"/>
        </w:rPr>
        <w:t>的</w:t>
      </w:r>
      <w:r>
        <w:rPr>
          <w:rFonts w:hint="default" w:ascii="Times New Roman" w:hAnsi="Times New Roman" w:eastAsia="仿宋_GB2312" w:cs="Times New Roman"/>
          <w:b w:val="0"/>
          <w:bCs w:val="0"/>
          <w:i w:val="0"/>
          <w:iCs w:val="0"/>
          <w:color w:val="000000"/>
          <w:kern w:val="0"/>
          <w:sz w:val="32"/>
          <w:szCs w:val="32"/>
          <w:lang w:val="en-US" w:eastAsia="zh-CN" w:bidi="ar"/>
        </w:rPr>
        <w:t>除外。</w:t>
      </w:r>
    </w:p>
    <w:p w14:paraId="3236F6E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outlineLvl w:val="0"/>
        <w:rPr>
          <w:rFonts w:hint="eastAsia" w:ascii="Times New Roman" w:hAnsi="Times New Roman" w:eastAsia="黑体" w:cs="Times New Roman"/>
          <w:b w:val="0"/>
          <w:bCs w:val="0"/>
          <w:i w:val="0"/>
          <w:iCs w:val="0"/>
          <w:color w:val="000000"/>
          <w:kern w:val="0"/>
          <w:sz w:val="32"/>
          <w:szCs w:val="32"/>
          <w:lang w:val="en-US" w:eastAsia="zh-CN" w:bidi="ar"/>
        </w:rPr>
      </w:pPr>
      <w:bookmarkStart w:id="22" w:name="_Toc6611"/>
      <w:bookmarkStart w:id="23" w:name="_Toc5793"/>
      <w:r>
        <w:rPr>
          <w:rFonts w:hint="eastAsia" w:ascii="Times New Roman" w:hAnsi="Times New Roman" w:eastAsia="黑体" w:cs="Times New Roman"/>
          <w:b w:val="0"/>
          <w:bCs w:val="0"/>
          <w:i w:val="0"/>
          <w:iCs w:val="0"/>
          <w:color w:val="000000"/>
          <w:kern w:val="0"/>
          <w:sz w:val="32"/>
          <w:szCs w:val="32"/>
          <w:lang w:val="en-US" w:eastAsia="zh-CN" w:bidi="ar"/>
        </w:rPr>
        <w:t>五</w:t>
      </w:r>
      <w:r>
        <w:rPr>
          <w:rFonts w:ascii="Times New Roman" w:hAnsi="Times New Roman" w:eastAsia="黑体" w:cs="Times New Roman"/>
          <w:b w:val="0"/>
          <w:bCs w:val="0"/>
          <w:i w:val="0"/>
          <w:iCs w:val="0"/>
          <w:color w:val="000000"/>
          <w:kern w:val="0"/>
          <w:sz w:val="32"/>
          <w:szCs w:val="32"/>
          <w:lang w:val="en-US" w:eastAsia="zh-CN" w:bidi="ar"/>
        </w:rPr>
        <w:t>、</w:t>
      </w:r>
      <w:bookmarkEnd w:id="22"/>
      <w:bookmarkStart w:id="24" w:name="_Toc29868"/>
      <w:r>
        <w:rPr>
          <w:rFonts w:hint="eastAsia" w:ascii="Times New Roman" w:hAnsi="Times New Roman" w:eastAsia="黑体" w:cs="Times New Roman"/>
          <w:b w:val="0"/>
          <w:bCs w:val="0"/>
          <w:i w:val="0"/>
          <w:iCs w:val="0"/>
          <w:color w:val="000000"/>
          <w:kern w:val="0"/>
          <w:sz w:val="32"/>
          <w:szCs w:val="32"/>
          <w:lang w:val="en-US" w:eastAsia="zh-CN" w:bidi="ar"/>
        </w:rPr>
        <w:t>附件 指定交易协议书参考范例</w:t>
      </w:r>
      <w:bookmarkEnd w:id="23"/>
      <w:bookmarkEnd w:id="24"/>
    </w:p>
    <w:p w14:paraId="6520B6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sz w:val="32"/>
          <w:szCs w:val="32"/>
          <w:lang w:val="en-US" w:eastAsia="zh-CN" w:bidi="ar"/>
        </w:rPr>
      </w:pPr>
      <w:r>
        <w:rPr>
          <w:rFonts w:ascii="仿宋_GB2312" w:hAnsi="仿宋_GB2312" w:eastAsia="仿宋_GB2312" w:cs="仿宋_GB2312"/>
          <w:color w:val="000000"/>
          <w:sz w:val="32"/>
          <w:szCs w:val="32"/>
          <w:lang w:val="en-US" w:eastAsia="zh-CN" w:bidi="ar"/>
        </w:rPr>
        <w:t>指定交易协议</w:t>
      </w:r>
    </w:p>
    <w:p w14:paraId="5C30A09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ascii="仿宋_GB2312" w:hAnsi="仿宋_GB2312" w:eastAsia="仿宋_GB2312" w:cs="仿宋_GB2312"/>
          <w:color w:val="000000"/>
          <w:sz w:val="32"/>
          <w:szCs w:val="32"/>
          <w:lang w:val="en-US" w:eastAsia="zh-CN" w:bidi="ar"/>
        </w:rPr>
        <w:t>第一条 甲乙双方根据《上海证券交易所指定交易实施细则》及有关规定，经过自愿协商，甲方______选择</w:t>
      </w:r>
      <w:r>
        <w:rPr>
          <w:rFonts w:hint="eastAsia" w:ascii="仿宋_GB2312" w:hAnsi="仿宋_GB2312" w:eastAsia="仿宋_GB2312" w:cs="仿宋_GB2312"/>
          <w:color w:val="000000"/>
          <w:sz w:val="32"/>
          <w:szCs w:val="32"/>
          <w:lang w:val="en-US" w:eastAsia="zh-CN" w:bidi="ar"/>
        </w:rPr>
        <w:t>乙方</w:t>
      </w:r>
      <w:r>
        <w:rPr>
          <w:rFonts w:ascii="仿宋_GB2312" w:hAnsi="仿宋_GB2312" w:eastAsia="仿宋_GB2312" w:cs="仿宋_GB2312"/>
          <w:color w:val="000000"/>
          <w:sz w:val="32"/>
          <w:szCs w:val="32"/>
          <w:lang w:val="en-US" w:eastAsia="zh-CN" w:bidi="ar"/>
        </w:rPr>
        <w:t>______________公司为其证券指定交易的代理商，并以其所属的____为指定交易点。乙方经审核同意接受甲方委托。</w:t>
      </w:r>
    </w:p>
    <w:p w14:paraId="3662AF8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ascii="仿宋_GB2312" w:hAnsi="仿宋_GB2312" w:eastAsia="仿宋_GB2312" w:cs="仿宋_GB2312"/>
          <w:color w:val="000000"/>
          <w:sz w:val="32"/>
          <w:szCs w:val="32"/>
          <w:lang w:val="en-US" w:eastAsia="zh-CN" w:bidi="ar"/>
        </w:rPr>
        <w:t>第二条 指定交易的证券品种范围，以在上海证券交易所上市交易的证券为限。</w:t>
      </w:r>
    </w:p>
    <w:p w14:paraId="2EEF942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ascii="仿宋_GB2312" w:hAnsi="仿宋_GB2312" w:eastAsia="仿宋_GB2312" w:cs="仿宋_GB2312"/>
          <w:color w:val="000000"/>
          <w:sz w:val="32"/>
          <w:szCs w:val="32"/>
          <w:lang w:val="en-US" w:eastAsia="zh-CN" w:bidi="ar"/>
        </w:rPr>
        <w:t>第三条 本协议书签订当日，乙方应为甲方完成指定交易账户的申报指令，如因故延迟，乙方应告</w:t>
      </w:r>
      <w:r>
        <w:rPr>
          <w:rFonts w:hint="eastAsia" w:ascii="仿宋_GB2312" w:hAnsi="仿宋_GB2312" w:eastAsia="仿宋_GB2312" w:cs="仿宋_GB2312"/>
          <w:color w:val="000000"/>
          <w:sz w:val="32"/>
          <w:szCs w:val="32"/>
          <w:lang w:val="en-US" w:eastAsia="zh-CN" w:bidi="ar"/>
        </w:rPr>
        <w:t>知</w:t>
      </w:r>
      <w:r>
        <w:rPr>
          <w:rFonts w:ascii="仿宋_GB2312" w:hAnsi="仿宋_GB2312" w:eastAsia="仿宋_GB2312" w:cs="仿宋_GB2312"/>
          <w:color w:val="000000"/>
          <w:sz w:val="32"/>
          <w:szCs w:val="32"/>
          <w:lang w:val="en-US" w:eastAsia="zh-CN" w:bidi="ar"/>
        </w:rPr>
        <w:t>甲方，并最迟于本协议书签订之日起下一个交易日完成该指定交易账户的申报指令。</w:t>
      </w:r>
    </w:p>
    <w:p w14:paraId="6F33F34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ascii="仿宋_GB2312" w:hAnsi="仿宋_GB2312" w:eastAsia="仿宋_GB2312" w:cs="仿宋_GB2312"/>
          <w:color w:val="000000"/>
          <w:sz w:val="32"/>
          <w:szCs w:val="32"/>
          <w:lang w:val="en-US" w:eastAsia="zh-CN" w:bidi="ar"/>
        </w:rPr>
        <w:t>第四条 甲方在乙方处办理指定交易生效后，其证券账户内的证券即同时在乙方处托管。乙方根据上海证券交易所及中国证券登记结算公司上海分公司传送的指定交易证券账户的证券余额，为甲方建立明细账，用于进行相关证券的结算过户。</w:t>
      </w:r>
    </w:p>
    <w:p w14:paraId="5D23215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ascii="仿宋_GB2312" w:hAnsi="仿宋_GB2312" w:eastAsia="仿宋_GB2312" w:cs="仿宋_GB2312"/>
          <w:color w:val="000000"/>
          <w:sz w:val="32"/>
          <w:szCs w:val="32"/>
          <w:lang w:val="en-US" w:eastAsia="zh-CN" w:bidi="ar"/>
        </w:rPr>
        <w:t>第五条 甲方在指定交易期间的证券买卖均需通过乙方代理，并有权享有乙方提供的交易查询、代领证券红利、证券余额对账等服务。乙方提供其它服务项目的，应与甲方另订协议。</w:t>
      </w:r>
    </w:p>
    <w:p w14:paraId="30BBF22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ascii="仿宋_GB2312" w:hAnsi="仿宋_GB2312" w:eastAsia="仿宋_GB2312" w:cs="仿宋_GB2312"/>
          <w:color w:val="000000"/>
          <w:sz w:val="32"/>
          <w:szCs w:val="32"/>
          <w:lang w:val="en-US" w:eastAsia="zh-CN" w:bidi="ar"/>
        </w:rPr>
        <w:t>第六条 甲方证券账户内的证券余额一经托管在乙方处，须遵守乙方有关严禁证券账户“卖空”的规定。</w:t>
      </w:r>
    </w:p>
    <w:p w14:paraId="68183A3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ascii="仿宋_GB2312" w:hAnsi="仿宋_GB2312" w:eastAsia="仿宋_GB2312" w:cs="仿宋_GB2312"/>
          <w:color w:val="000000"/>
          <w:sz w:val="32"/>
          <w:szCs w:val="32"/>
          <w:lang w:val="en-US" w:eastAsia="zh-CN" w:bidi="ar"/>
        </w:rPr>
        <w:t>第七条 甲方证券账户一旦遗失，应先行向乙方挂失，由乙方及时采取措施防止该账户再被他人使用。甲方持乙方挂失证明到中国证券登记结算公司上海分公司及其代理机构申请补办证券账户。账户一经补办，甲方应持补办账户在乙方处办理证券余额的转户手续。</w:t>
      </w:r>
    </w:p>
    <w:p w14:paraId="1D7B533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ascii="仿宋_GB2312" w:hAnsi="仿宋_GB2312" w:eastAsia="仿宋_GB2312" w:cs="仿宋_GB2312"/>
          <w:color w:val="000000"/>
          <w:sz w:val="32"/>
          <w:szCs w:val="32"/>
          <w:lang w:val="en-US" w:eastAsia="zh-CN" w:bidi="ar"/>
        </w:rPr>
        <w:t>第八条 甲方根据需要可申请撤销在乙方处的指定交易（因甲方未履行交易交收</w:t>
      </w:r>
      <w:r>
        <w:rPr>
          <w:rFonts w:hint="eastAsia" w:ascii="仿宋_GB2312" w:hAnsi="仿宋_GB2312" w:eastAsia="仿宋_GB2312" w:cs="仿宋_GB2312"/>
          <w:color w:val="000000"/>
          <w:sz w:val="32"/>
          <w:szCs w:val="32"/>
          <w:lang w:val="en-US" w:eastAsia="zh-CN" w:bidi="ar"/>
        </w:rPr>
        <w:t>义务</w:t>
      </w:r>
      <w:r>
        <w:rPr>
          <w:rFonts w:ascii="仿宋_GB2312" w:hAnsi="仿宋_GB2312" w:eastAsia="仿宋_GB2312" w:cs="仿宋_GB2312"/>
          <w:color w:val="000000"/>
          <w:sz w:val="32"/>
          <w:szCs w:val="32"/>
          <w:lang w:val="en-US" w:eastAsia="zh-CN" w:bidi="ar"/>
        </w:rPr>
        <w:t>等情况除外），乙方应在甲方申请的当日为其办理撤销指定交易申报。</w:t>
      </w:r>
    </w:p>
    <w:p w14:paraId="3CF3679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ascii="仿宋_GB2312" w:hAnsi="仿宋_GB2312" w:eastAsia="仿宋_GB2312" w:cs="仿宋_GB2312"/>
          <w:color w:val="000000"/>
          <w:sz w:val="32"/>
          <w:szCs w:val="32"/>
          <w:lang w:val="en-US" w:eastAsia="zh-CN" w:bidi="ar"/>
        </w:rPr>
        <w:t>第九条 甲乙双方在指定交易期间，应遵守国家有关法律法规以及上海证券交易所及中国证券登记结算公司上海分公司的各项业务规则。</w:t>
      </w:r>
    </w:p>
    <w:p w14:paraId="61C36F2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ascii="仿宋_GB2312" w:hAnsi="仿宋_GB2312" w:eastAsia="仿宋_GB2312" w:cs="仿宋_GB2312"/>
          <w:color w:val="000000"/>
          <w:sz w:val="32"/>
          <w:szCs w:val="32"/>
          <w:lang w:val="en-US" w:eastAsia="zh-CN" w:bidi="ar"/>
        </w:rPr>
        <w:t>第十条 甲方若在乙方处办理指定交易之前已经在其他券商处办理指定交易，甲方应及时在原指定处撤销指定。乙方对甲方因其在原指定处有关手续办理不妥影响甲方在乙方处的正常交易而遭致的损失不承担任何责任。</w:t>
      </w:r>
    </w:p>
    <w:p w14:paraId="6422152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ascii="仿宋_GB2312" w:hAnsi="仿宋_GB2312" w:eastAsia="仿宋_GB2312" w:cs="仿宋_GB2312"/>
          <w:color w:val="000000"/>
          <w:sz w:val="32"/>
          <w:szCs w:val="32"/>
          <w:lang w:val="en-US" w:eastAsia="zh-CN" w:bidi="ar"/>
        </w:rPr>
        <w:t>第十一条 本协议自甲乙双方签订之日起生效，直至乙方撤销指定交易</w:t>
      </w:r>
      <w:r>
        <w:rPr>
          <w:rFonts w:hint="eastAsia" w:ascii="仿宋_GB2312" w:hAnsi="仿宋_GB2312" w:eastAsia="仿宋_GB2312" w:cs="仿宋_GB2312"/>
          <w:color w:val="000000"/>
          <w:sz w:val="32"/>
          <w:szCs w:val="32"/>
          <w:lang w:val="en-US" w:eastAsia="zh-CN" w:bidi="ar"/>
        </w:rPr>
        <w:t>为</w:t>
      </w:r>
      <w:r>
        <w:rPr>
          <w:rFonts w:ascii="仿宋_GB2312" w:hAnsi="仿宋_GB2312" w:eastAsia="仿宋_GB2312" w:cs="仿宋_GB2312"/>
          <w:color w:val="000000"/>
          <w:sz w:val="32"/>
          <w:szCs w:val="32"/>
          <w:lang w:val="en-US" w:eastAsia="zh-CN" w:bidi="ar"/>
        </w:rPr>
        <w:t>止。</w:t>
      </w:r>
    </w:p>
    <w:p w14:paraId="175890C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lang w:val="en-US" w:eastAsia="zh-CN" w:bidi="ar"/>
        </w:rPr>
      </w:pPr>
      <w:r>
        <w:rPr>
          <w:rFonts w:ascii="仿宋_GB2312" w:hAnsi="仿宋_GB2312" w:eastAsia="仿宋_GB2312" w:cs="仿宋_GB2312"/>
          <w:color w:val="000000"/>
          <w:sz w:val="32"/>
          <w:szCs w:val="32"/>
          <w:lang w:val="en-US" w:eastAsia="zh-CN" w:bidi="ar"/>
        </w:rPr>
        <w:t>第十二条 本协议一式两份，双方各执一份，具有同等法律效力。</w:t>
      </w:r>
    </w:p>
    <w:p w14:paraId="56A0A88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 w:name="楷体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2319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A4185">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C2F3">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F5CFC"/>
    <w:rsid w:val="4D9E1DE7"/>
    <w:rsid w:val="76FF38BD"/>
    <w:rsid w:val="79FFE72B"/>
    <w:rsid w:val="E9EF5284"/>
    <w:rsid w:val="FFBD368A"/>
    <w:rsid w:val="FFFF5C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style>
  <w:style w:type="paragraph" w:styleId="5">
    <w:name w:val="toc 2"/>
    <w:basedOn w:val="1"/>
    <w:next w:val="1"/>
    <w:qFormat/>
    <w:uiPriority w:val="0"/>
    <w:pPr>
      <w:ind w:left="420" w:leftChars="200"/>
    </w:pPr>
  </w:style>
  <w:style w:type="character" w:customStyle="1" w:styleId="8">
    <w:name w:val="fontstyle01"/>
    <w:basedOn w:val="7"/>
    <w:qFormat/>
    <w:uiPriority w:val="0"/>
    <w:rPr>
      <w:rFonts w:ascii="黑体" w:hAnsi="宋体" w:eastAsia="黑体" w:cs="黑体"/>
      <w:color w:val="000000"/>
      <w:sz w:val="32"/>
      <w:szCs w:val="32"/>
    </w:rPr>
  </w:style>
  <w:style w:type="character" w:customStyle="1" w:styleId="9">
    <w:name w:val="fontstyle11"/>
    <w:basedOn w:val="7"/>
    <w:qFormat/>
    <w:uiPriority w:val="0"/>
    <w:rPr>
      <w:rFonts w:ascii="仿宋_GB2312" w:hAnsi="仿宋_GB2312" w:eastAsia="仿宋_GB2312" w:cs="仿宋_GB2312"/>
      <w:color w:val="000000"/>
      <w:sz w:val="30"/>
      <w:szCs w:val="30"/>
    </w:rPr>
  </w:style>
  <w:style w:type="character" w:customStyle="1" w:styleId="10">
    <w:name w:val="fontstyle21"/>
    <w:basedOn w:val="7"/>
    <w:qFormat/>
    <w:uiPriority w:val="0"/>
    <w:rPr>
      <w:rFonts w:ascii="TimesNewRomanPSMT" w:hAnsi="TimesNewRomanPSMT" w:eastAsia="TimesNewRomanPSMT" w:cs="TimesNewRomanPSMT"/>
      <w:color w:val="000000"/>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2444</Words>
  <Characters>2524</Characters>
  <Lines>0</Lines>
  <Paragraphs>0</Paragraphs>
  <TotalTime>13</TotalTime>
  <ScaleCrop>false</ScaleCrop>
  <LinksUpToDate>false</LinksUpToDate>
  <CharactersWithSpaces>2574</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2025-05-24T17:51:00Z</dcterms:created>
  <dc:creator>sse</dc:creator>
  <cp:lastModifiedBy>whxu</cp:lastModifiedBy>
  <dcterms:modified xsi:type="dcterms:W3CDTF">2025-05-27T14:43:54Z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BB5CF5B84AF8C96830383068A7B05B2F_43</vt:lpwstr>
  </property>
</Properties>
</file>