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1E51">
      <w:pPr>
        <w:spacing w:line="560" w:lineRule="exact"/>
        <w:ind w:left="0" w:leftChars="0" w:firstLine="0" w:firstLineChars="0"/>
        <w:jc w:val="center"/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44"/>
          <w:szCs w:val="44"/>
        </w:rPr>
        <w:t>上海证券交易所上市公司自律监管指南第4号——可持续发展报告编制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（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2026年1月</w:t>
      </w:r>
    </w:p>
    <w:p w14:paraId="08650C6E">
      <w:pPr>
        <w:spacing w:line="560" w:lineRule="exact"/>
        <w:ind w:left="0" w:leftChars="0" w:firstLine="0" w:firstLineChars="0"/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修订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）</w:t>
      </w:r>
    </w:p>
    <w:p w14:paraId="2412CBD1">
      <w:pPr>
        <w:spacing w:line="560" w:lineRule="exact"/>
        <w:rPr>
          <w:rFonts w:ascii="黑体" w:hAnsi="黑体" w:eastAsia="黑体"/>
          <w:sz w:val="36"/>
          <w:szCs w:val="36"/>
        </w:rPr>
      </w:pPr>
    </w:p>
    <w:p w14:paraId="40092DA5"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Calibri" w:cs="Times New Roman"/>
          <w:color w:val="000000"/>
          <w:szCs w:val="30"/>
        </w:rPr>
      </w:pPr>
      <w:r>
        <w:rPr>
          <w:rFonts w:hint="eastAsia" w:ascii="仿宋_GB2312" w:hAnsi="Calibri" w:cs="Times New Roman"/>
          <w:b/>
          <w:bCs/>
          <w:color w:val="000000"/>
          <w:szCs w:val="30"/>
        </w:rPr>
        <w:t>第一条</w:t>
      </w:r>
      <w:r>
        <w:rPr>
          <w:rFonts w:ascii="仿宋_GB2312" w:hAnsi="Calibri" w:cs="Times New Roman"/>
          <w:color w:val="000000"/>
          <w:szCs w:val="30"/>
        </w:rPr>
        <w:t xml:space="preserve"> </w:t>
      </w:r>
      <w:r>
        <w:rPr>
          <w:rFonts w:hint="eastAsia" w:ascii="仿宋_GB2312" w:hAnsi="Calibri" w:cs="Times New Roman"/>
          <w:color w:val="000000"/>
          <w:szCs w:val="30"/>
        </w:rPr>
        <w:t>为了帮助上市公司准确理解适用《上海证券交易所上市公司自律监管指引第14号——可持续发展报告（试行）》（以下简称《指引》）相关规定，规范上市公司编制可持续发展报告，根据《上海证券交易所股票上市规则》和《指引》，制定本指南。</w:t>
      </w:r>
    </w:p>
    <w:p w14:paraId="13A4D648"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Calibri" w:cs="Times New Roman"/>
          <w:color w:val="000000"/>
          <w:szCs w:val="30"/>
        </w:rPr>
      </w:pPr>
      <w:r>
        <w:rPr>
          <w:rFonts w:hint="eastAsia" w:ascii="仿宋_GB2312" w:hAnsi="Calibri" w:cs="Times New Roman"/>
          <w:b/>
          <w:bCs/>
          <w:color w:val="000000"/>
          <w:szCs w:val="30"/>
        </w:rPr>
        <w:t>第二条</w:t>
      </w:r>
      <w:r>
        <w:rPr>
          <w:rFonts w:ascii="仿宋_GB2312" w:hAnsi="Calibri" w:cs="Times New Roman"/>
          <w:color w:val="000000"/>
          <w:szCs w:val="30"/>
        </w:rPr>
        <w:t xml:space="preserve"> </w:t>
      </w:r>
      <w:r>
        <w:rPr>
          <w:rFonts w:hint="eastAsia" w:ascii="仿宋_GB2312" w:hAnsi="Calibri" w:cs="Times New Roman"/>
          <w:color w:val="000000"/>
          <w:szCs w:val="30"/>
        </w:rPr>
        <w:t>上海证券交易所（以下简称本所）上市公司编制</w:t>
      </w:r>
      <w:r>
        <w:rPr>
          <w:rFonts w:hint="eastAsia"/>
          <w:szCs w:val="30"/>
          <w:lang w:bidi="ar"/>
        </w:rPr>
        <w:t>可持续发展报告</w:t>
      </w:r>
      <w:r>
        <w:rPr>
          <w:rFonts w:hint="eastAsia" w:ascii="仿宋_GB2312" w:hAnsi="Calibri" w:cs="Times New Roman"/>
          <w:color w:val="000000"/>
          <w:szCs w:val="30"/>
        </w:rPr>
        <w:t>涉及报告体例、议题内容等事宜，适用本指南。</w:t>
      </w:r>
    </w:p>
    <w:p w14:paraId="29CD2DB7">
      <w:pPr>
        <w:widowControl/>
        <w:adjustRightInd w:val="0"/>
        <w:snapToGrid w:val="0"/>
        <w:spacing w:line="560" w:lineRule="exact"/>
        <w:ind w:firstLine="640" w:firstLineChars="200"/>
        <w:rPr>
          <w:szCs w:val="30"/>
          <w:lang w:bidi="ar"/>
        </w:rPr>
      </w:pPr>
      <w:r>
        <w:rPr>
          <w:rFonts w:hint="eastAsia" w:ascii="仿宋_GB2312" w:hAnsi="Calibri" w:cs="Times New Roman"/>
          <w:color w:val="000000"/>
          <w:szCs w:val="30"/>
        </w:rPr>
        <w:t>前款所称上市公司，包括</w:t>
      </w:r>
      <w:r>
        <w:rPr>
          <w:rFonts w:hint="eastAsia"/>
          <w:szCs w:val="30"/>
          <w:lang w:bidi="ar"/>
        </w:rPr>
        <w:t>按照</w:t>
      </w:r>
      <w:r>
        <w:rPr>
          <w:szCs w:val="30"/>
          <w:lang w:bidi="ar"/>
        </w:rPr>
        <w:t>《指引》</w:t>
      </w:r>
      <w:r>
        <w:rPr>
          <w:rFonts w:hint="eastAsia"/>
          <w:szCs w:val="30"/>
          <w:lang w:bidi="ar"/>
        </w:rPr>
        <w:t>规定强制</w:t>
      </w:r>
      <w:r>
        <w:rPr>
          <w:szCs w:val="30"/>
          <w:lang w:bidi="ar"/>
        </w:rPr>
        <w:t>披露</w:t>
      </w:r>
      <w:r>
        <w:rPr>
          <w:rFonts w:hint="eastAsia"/>
          <w:szCs w:val="30"/>
          <w:lang w:bidi="ar"/>
        </w:rPr>
        <w:t>以及</w:t>
      </w:r>
      <w:r>
        <w:rPr>
          <w:szCs w:val="30"/>
          <w:lang w:bidi="ar"/>
        </w:rPr>
        <w:t>自愿披露可持续发展报告的上市公司。</w:t>
      </w:r>
    </w:p>
    <w:p w14:paraId="2ECB83FA"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Calibri" w:cs="Times New Roman"/>
          <w:color w:val="000000"/>
          <w:szCs w:val="30"/>
        </w:rPr>
      </w:pPr>
      <w:r>
        <w:rPr>
          <w:rFonts w:hint="eastAsia" w:ascii="仿宋_GB2312" w:hAnsi="Calibri" w:cs="Times New Roman"/>
          <w:b/>
          <w:bCs/>
          <w:color w:val="000000"/>
          <w:szCs w:val="30"/>
        </w:rPr>
        <w:t>第三条</w:t>
      </w:r>
      <w:r>
        <w:rPr>
          <w:rFonts w:hint="eastAsia" w:ascii="仿宋_GB2312" w:hAnsi="Calibri" w:cs="Times New Roman"/>
          <w:color w:val="000000"/>
          <w:szCs w:val="30"/>
        </w:rPr>
        <w:t xml:space="preserve"> 本所鼓励上市公司参考本指南附件编制</w:t>
      </w:r>
      <w:r>
        <w:rPr>
          <w:szCs w:val="30"/>
          <w:lang w:bidi="ar"/>
        </w:rPr>
        <w:t>可持续发展报告</w:t>
      </w:r>
      <w:r>
        <w:rPr>
          <w:rFonts w:hint="eastAsia" w:ascii="仿宋_GB2312" w:hAnsi="Calibri" w:cs="Times New Roman"/>
          <w:color w:val="000000"/>
          <w:szCs w:val="30"/>
        </w:rPr>
        <w:t>，体现本指南附件规定的相关披露要点，并可根据实际情况参考本指南附件提供的示例文本进行披露。</w:t>
      </w:r>
    </w:p>
    <w:p w14:paraId="3B1A9D48"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Calibri" w:cs="Times New Roman"/>
          <w:color w:val="000000"/>
          <w:szCs w:val="30"/>
        </w:rPr>
      </w:pPr>
      <w:r>
        <w:rPr>
          <w:rFonts w:hint="eastAsia" w:ascii="仿宋_GB2312" w:hAnsi="Calibri" w:cs="Times New Roman"/>
          <w:b/>
          <w:bCs/>
          <w:color w:val="000000"/>
          <w:szCs w:val="30"/>
        </w:rPr>
        <w:t>第四条</w:t>
      </w:r>
      <w:r>
        <w:rPr>
          <w:rFonts w:ascii="仿宋_GB2312" w:hAnsi="Calibri" w:cs="Times New Roman"/>
          <w:color w:val="000000"/>
          <w:szCs w:val="30"/>
        </w:rPr>
        <w:t xml:space="preserve"> </w:t>
      </w:r>
      <w:r>
        <w:rPr>
          <w:rFonts w:hint="eastAsia" w:ascii="仿宋_GB2312" w:hAnsi="Calibri" w:cs="Times New Roman"/>
          <w:color w:val="000000"/>
          <w:szCs w:val="30"/>
        </w:rPr>
        <w:t>上市公司</w:t>
      </w:r>
      <w:r>
        <w:rPr>
          <w:rFonts w:ascii="仿宋_GB2312" w:hAnsi="Calibri" w:cs="Times New Roman"/>
          <w:color w:val="000000"/>
          <w:szCs w:val="30"/>
        </w:rPr>
        <w:t>编制</w:t>
      </w:r>
      <w:r>
        <w:rPr>
          <w:rFonts w:hint="eastAsia" w:ascii="仿宋_GB2312" w:hAnsi="Calibri" w:cs="Times New Roman"/>
          <w:color w:val="000000"/>
          <w:szCs w:val="30"/>
        </w:rPr>
        <w:t>可持续发展报告</w:t>
      </w:r>
      <w:r>
        <w:rPr>
          <w:rFonts w:ascii="仿宋_GB2312" w:hAnsi="Calibri" w:cs="Times New Roman"/>
          <w:color w:val="000000"/>
          <w:szCs w:val="30"/>
        </w:rPr>
        <w:t>应当遵守法律、行政法规、部门规章、规范性文件、</w:t>
      </w:r>
      <w:r>
        <w:rPr>
          <w:rFonts w:hint="eastAsia" w:ascii="仿宋_GB2312" w:hAnsi="Calibri" w:cs="Times New Roman"/>
          <w:color w:val="000000"/>
          <w:szCs w:val="30"/>
        </w:rPr>
        <w:t>《指引》及本所其他业务规则的</w:t>
      </w:r>
      <w:r>
        <w:rPr>
          <w:rFonts w:ascii="仿宋_GB2312" w:hAnsi="Calibri" w:cs="Times New Roman"/>
          <w:color w:val="000000"/>
          <w:szCs w:val="30"/>
        </w:rPr>
        <w:t>规定，及时、公平地披露信息，并保证所披露信息的真实、准确、完整。</w:t>
      </w:r>
    </w:p>
    <w:p w14:paraId="38024A8F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Calibri" w:cs="Times New Roman"/>
          <w:color w:val="000000"/>
          <w:szCs w:val="30"/>
        </w:rPr>
      </w:pPr>
      <w:r>
        <w:rPr>
          <w:rFonts w:ascii="仿宋_GB2312" w:hAnsi="Calibri" w:cs="Times New Roman"/>
          <w:color w:val="000000"/>
          <w:szCs w:val="30"/>
        </w:rPr>
        <w:t>上市公司及相关信息披露义务人未</w:t>
      </w:r>
      <w:r>
        <w:rPr>
          <w:rFonts w:hint="eastAsia" w:ascii="仿宋_GB2312" w:hAnsi="Calibri" w:cs="Times New Roman"/>
          <w:color w:val="000000"/>
          <w:szCs w:val="30"/>
        </w:rPr>
        <w:t>按照规定</w:t>
      </w:r>
      <w:r>
        <w:rPr>
          <w:rFonts w:ascii="仿宋_GB2312" w:hAnsi="Calibri" w:cs="Times New Roman"/>
          <w:color w:val="000000"/>
          <w:szCs w:val="30"/>
        </w:rPr>
        <w:t>履行信息披露义务，</w:t>
      </w:r>
      <w:r>
        <w:rPr>
          <w:rFonts w:hint="eastAsia" w:ascii="仿宋_GB2312" w:hAnsi="Calibri" w:cs="Times New Roman"/>
          <w:color w:val="000000"/>
          <w:szCs w:val="30"/>
        </w:rPr>
        <w:t>导致信息披露存在虚假记载、误导性陈述或者重大遗漏的，</w:t>
      </w:r>
      <w:r>
        <w:rPr>
          <w:rFonts w:ascii="仿宋_GB2312" w:hAnsi="Calibri" w:cs="Times New Roman"/>
          <w:color w:val="000000"/>
          <w:szCs w:val="30"/>
        </w:rPr>
        <w:t>应当承担相应的法律责任。</w:t>
      </w:r>
    </w:p>
    <w:p w14:paraId="02CED450"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Calibri" w:cs="Times New Roman"/>
          <w:color w:val="000000"/>
          <w:szCs w:val="30"/>
        </w:rPr>
      </w:pPr>
      <w:r>
        <w:rPr>
          <w:rFonts w:hint="eastAsia" w:ascii="仿宋_GB2312" w:hAnsi="仿宋_GB2312" w:cs="仿宋_GB2312"/>
          <w:b/>
          <w:szCs w:val="30"/>
        </w:rPr>
        <w:t>第五条</w:t>
      </w:r>
      <w:r>
        <w:rPr>
          <w:rFonts w:hint="eastAsia" w:ascii="仿宋_GB2312" w:hAnsi="仿宋_GB2312" w:cs="仿宋_GB2312"/>
          <w:szCs w:val="30"/>
        </w:rPr>
        <w:t xml:space="preserve"> 本指南由本所负责解释。</w:t>
      </w:r>
    </w:p>
    <w:p w14:paraId="6160E970"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Calibri" w:cs="Times New Roman"/>
          <w:color w:val="000000"/>
          <w:szCs w:val="30"/>
        </w:rPr>
      </w:pPr>
      <w:r>
        <w:rPr>
          <w:rFonts w:hint="eastAsia" w:ascii="仿宋_GB2312" w:hAnsi="Calibri" w:cs="Times New Roman"/>
          <w:b/>
          <w:bCs/>
          <w:color w:val="000000"/>
          <w:szCs w:val="30"/>
        </w:rPr>
        <w:t>第六条</w:t>
      </w:r>
      <w:r>
        <w:rPr>
          <w:rFonts w:hint="eastAsia" w:ascii="仿宋_GB2312" w:hAnsi="Calibri" w:cs="Times New Roman"/>
          <w:color w:val="000000"/>
          <w:szCs w:val="30"/>
        </w:rPr>
        <w:t xml:space="preserve"> 本指南自发布之日起施行。</w:t>
      </w:r>
    </w:p>
    <w:p w14:paraId="30C61CC5">
      <w:pPr>
        <w:widowControl/>
        <w:shd w:val="clear" w:color="auto" w:fill="FFFFFF"/>
        <w:spacing w:line="560" w:lineRule="exact"/>
        <w:rPr>
          <w:rFonts w:ascii="仿宋_GB2312" w:hAnsi="Calibri" w:cs="Times New Roman"/>
          <w:color w:val="000000"/>
          <w:szCs w:val="30"/>
        </w:rPr>
      </w:pPr>
    </w:p>
    <w:p w14:paraId="54EF9F38">
      <w:pPr>
        <w:widowControl/>
        <w:shd w:val="clear" w:color="auto" w:fill="FFFFFF"/>
        <w:spacing w:line="560" w:lineRule="exact"/>
        <w:rPr>
          <w:rFonts w:ascii="仿宋_GB2312" w:hAnsi="Calibri" w:cs="Times New Roman"/>
          <w:color w:val="000000"/>
          <w:szCs w:val="30"/>
        </w:rPr>
      </w:pPr>
      <w:r>
        <w:rPr>
          <w:rFonts w:hint="eastAsia" w:ascii="仿宋_GB2312" w:hAnsi="Calibri" w:cs="Times New Roman"/>
          <w:color w:val="000000"/>
          <w:szCs w:val="30"/>
        </w:rPr>
        <w:t xml:space="preserve">附件： </w:t>
      </w:r>
    </w:p>
    <w:p w14:paraId="3763D968">
      <w:pPr>
        <w:spacing w:line="560" w:lineRule="exact"/>
        <w:rPr>
          <w:rFonts w:ascii="仿宋_GB2312"/>
        </w:rPr>
      </w:pPr>
      <w:r>
        <w:rPr>
          <w:rFonts w:hint="eastAsia" w:ascii="仿宋_GB2312"/>
        </w:rPr>
        <w:t>第一号 总体要求与披露框架</w:t>
      </w:r>
    </w:p>
    <w:p w14:paraId="6FE7E6F1">
      <w:pPr>
        <w:spacing w:line="560" w:lineRule="exact"/>
        <w:rPr>
          <w:rFonts w:ascii="仿宋_GB2312"/>
        </w:rPr>
      </w:pPr>
      <w:r>
        <w:rPr>
          <w:rFonts w:hint="eastAsia" w:ascii="仿宋_GB2312"/>
        </w:rPr>
        <w:t>第二号 应对气候变化</w:t>
      </w:r>
    </w:p>
    <w:p w14:paraId="3C01AA5D">
      <w:pPr>
        <w:spacing w:line="560" w:lineRule="exact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eastAsia="zh-CN"/>
        </w:rPr>
        <w:t>第三号</w:t>
      </w:r>
      <w:r>
        <w:rPr>
          <w:rFonts w:hint="eastAsia" w:ascii="仿宋_GB2312"/>
          <w:lang w:val="en-US" w:eastAsia="zh-CN"/>
        </w:rPr>
        <w:t xml:space="preserve"> 污染物排放</w:t>
      </w:r>
    </w:p>
    <w:p w14:paraId="3ED83EC2">
      <w:pPr>
        <w:spacing w:line="560" w:lineRule="exact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第四号 能源利用</w:t>
      </w:r>
    </w:p>
    <w:p w14:paraId="429A9D10">
      <w:pPr>
        <w:spacing w:line="560" w:lineRule="exact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第五号 水资源利用</w:t>
      </w:r>
    </w:p>
    <w:p w14:paraId="6E9345C0">
      <w:pPr>
        <w:ind w:left="0" w:leftChars="0" w:firstLine="0" w:firstLineChars="0"/>
        <w:rPr>
          <w:rFonts w:hint="default" w:ascii="Times New Roman" w:hAnsi="Times New Roman" w:eastAsia="方正大标宋简体" w:cs="Times New Roman"/>
          <w:bCs/>
          <w:color w:val="000000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8B78E27"/>
    <w:rsid w:val="98B78E27"/>
    <w:rsid w:val="F13C8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2026-01-31T00:18:00Z</dcterms:created>
  <dc:creator>mxing</dc:creator>
  <cp:lastModifiedBy>whxu</cp:lastModifiedBy>
  <dcterms:modified xsi:type="dcterms:W3CDTF">2026-01-30T17:21:16Z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90DA7AE091031A260C787C69BD8028D2_43</vt:lpwstr>
  </property>
</Properties>
</file>