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29" w:rsidRDefault="00362529" w:rsidP="00362529">
      <w:pPr>
        <w:jc w:val="left"/>
        <w:rPr>
          <w:rFonts w:ascii="黑体" w:eastAsia="黑体" w:hAnsi="黑体"/>
          <w:b/>
          <w:sz w:val="30"/>
          <w:szCs w:val="30"/>
        </w:rPr>
      </w:pPr>
      <w:r>
        <w:rPr>
          <w:rFonts w:ascii="黑体" w:eastAsia="黑体" w:hAnsi="黑体" w:hint="eastAsia"/>
          <w:b/>
          <w:sz w:val="30"/>
          <w:szCs w:val="30"/>
        </w:rPr>
        <w:t>附录：</w:t>
      </w:r>
    </w:p>
    <w:p w:rsidR="00362529" w:rsidRDefault="00362529" w:rsidP="00362529">
      <w:pPr>
        <w:jc w:val="left"/>
        <w:rPr>
          <w:rFonts w:ascii="黑体" w:eastAsia="黑体" w:hAnsi="黑体"/>
          <w:b/>
          <w:sz w:val="30"/>
          <w:szCs w:val="30"/>
        </w:rPr>
      </w:pPr>
    </w:p>
    <w:p w:rsidR="00362529" w:rsidRDefault="00362529" w:rsidP="00362529">
      <w:pPr>
        <w:jc w:val="center"/>
        <w:rPr>
          <w:rFonts w:ascii="黑体" w:eastAsia="黑体" w:hAnsi="黑体"/>
          <w:b/>
          <w:sz w:val="36"/>
          <w:szCs w:val="36"/>
        </w:rPr>
      </w:pPr>
      <w:r>
        <w:rPr>
          <w:rFonts w:ascii="黑体" w:eastAsia="黑体" w:hAnsi="黑体" w:hint="eastAsia"/>
          <w:b/>
          <w:sz w:val="36"/>
          <w:szCs w:val="36"/>
        </w:rPr>
        <w:t>第一号 存托凭证权益分派实施公告</w:t>
      </w:r>
    </w:p>
    <w:p w:rsidR="00362529" w:rsidRDefault="00362529" w:rsidP="00362529"/>
    <w:p w:rsidR="00362529" w:rsidRDefault="00362529" w:rsidP="00362529">
      <w:pPr>
        <w:autoSpaceDE w:val="0"/>
        <w:autoSpaceDN w:val="0"/>
        <w:adjustRightInd w:val="0"/>
        <w:spacing w:line="360" w:lineRule="exact"/>
        <w:ind w:right="360"/>
        <w:jc w:val="left"/>
        <w:rPr>
          <w:rFonts w:asciiTheme="minorEastAsia" w:hAnsiTheme="minorEastAsia"/>
          <w:b/>
          <w:sz w:val="24"/>
        </w:rPr>
      </w:pPr>
      <w:r>
        <w:rPr>
          <w:rFonts w:asciiTheme="minorEastAsia" w:hAnsiTheme="minorEastAsia" w:hint="eastAsia"/>
          <w:b/>
          <w:sz w:val="24"/>
        </w:rPr>
        <w:t>适用范围：</w:t>
      </w:r>
    </w:p>
    <w:p w:rsidR="00362529" w:rsidRDefault="00362529" w:rsidP="00362529">
      <w:pPr>
        <w:autoSpaceDE w:val="0"/>
        <w:autoSpaceDN w:val="0"/>
        <w:adjustRightInd w:val="0"/>
        <w:spacing w:line="360" w:lineRule="exact"/>
        <w:ind w:right="360" w:firstLineChars="200" w:firstLine="480"/>
        <w:jc w:val="left"/>
        <w:rPr>
          <w:rFonts w:asciiTheme="minorEastAsia" w:hAnsiTheme="minorEastAsia"/>
          <w:sz w:val="24"/>
        </w:rPr>
      </w:pPr>
      <w:r>
        <w:rPr>
          <w:rFonts w:asciiTheme="minorEastAsia" w:hAnsiTheme="minorEastAsia" w:hint="eastAsia"/>
          <w:sz w:val="24"/>
        </w:rPr>
        <w:t>本公告格式指引适用于发行存托凭证的上市公司实施利润分配及转增股本方案，存托人根据有关规定和存托协议约定，相应向境内存托凭证持有人实施权益分派的公告。上市公司发布存托凭证权益分派实施公告的，参照适用本公告格式指引。</w:t>
      </w:r>
    </w:p>
    <w:p w:rsidR="00362529" w:rsidRDefault="00362529" w:rsidP="00362529">
      <w:pPr>
        <w:tabs>
          <w:tab w:val="num" w:pos="720"/>
        </w:tabs>
        <w:adjustRightInd w:val="0"/>
        <w:snapToGrid w:val="0"/>
        <w:spacing w:line="360" w:lineRule="auto"/>
        <w:ind w:firstLineChars="200" w:firstLine="482"/>
        <w:rPr>
          <w:rFonts w:ascii="宋体" w:hAnsi="宋体"/>
          <w:b/>
          <w:sz w:val="24"/>
        </w:rPr>
      </w:pPr>
    </w:p>
    <w:p w:rsidR="00362529" w:rsidRDefault="00362529" w:rsidP="00362529">
      <w:pPr>
        <w:adjustRightInd w:val="0"/>
        <w:snapToGrid w:val="0"/>
        <w:spacing w:line="360" w:lineRule="auto"/>
        <w:rPr>
          <w:rFonts w:ascii="宋体" w:hAnsi="宋体"/>
          <w:sz w:val="24"/>
        </w:rPr>
      </w:pPr>
      <w:r>
        <w:rPr>
          <w:rFonts w:ascii="宋体" w:hAnsi="宋体" w:hint="eastAsia"/>
          <w:sz w:val="24"/>
        </w:rPr>
        <w:t xml:space="preserve">存托凭证代码：     存托凭证简称：     </w:t>
      </w:r>
      <w:r>
        <w:rPr>
          <w:rFonts w:asciiTheme="minorEastAsia" w:hAnsiTheme="minorEastAsia" w:hint="eastAsia"/>
          <w:sz w:val="24"/>
        </w:rPr>
        <w:t>公告编号：存托人20XX-XX号</w:t>
      </w:r>
    </w:p>
    <w:p w:rsidR="00362529" w:rsidRDefault="00362529" w:rsidP="00362529">
      <w:pPr>
        <w:adjustRightInd w:val="0"/>
        <w:snapToGrid w:val="0"/>
        <w:spacing w:line="360" w:lineRule="auto"/>
        <w:jc w:val="center"/>
        <w:rPr>
          <w:rFonts w:ascii="宋体" w:hAnsi="宋体"/>
          <w:sz w:val="36"/>
          <w:szCs w:val="36"/>
        </w:rPr>
      </w:pPr>
    </w:p>
    <w:p w:rsidR="00362529" w:rsidRDefault="00362529" w:rsidP="00362529">
      <w:pPr>
        <w:adjustRightInd w:val="0"/>
        <w:snapToGrid w:val="0"/>
        <w:spacing w:line="360" w:lineRule="auto"/>
        <w:jc w:val="center"/>
        <w:rPr>
          <w:rFonts w:ascii="黑体" w:eastAsia="黑体" w:hAnsi="黑体"/>
          <w:b/>
          <w:sz w:val="36"/>
          <w:szCs w:val="36"/>
        </w:rPr>
      </w:pPr>
      <w:r>
        <w:rPr>
          <w:rFonts w:ascii="黑体" w:eastAsia="黑体" w:hAnsi="黑体" w:hint="eastAsia"/>
          <w:b/>
          <w:sz w:val="36"/>
          <w:szCs w:val="36"/>
        </w:rPr>
        <w:t>存托人XX关于XX公司XX年境内存托凭证</w:t>
      </w:r>
    </w:p>
    <w:p w:rsidR="00362529" w:rsidRDefault="00362529" w:rsidP="00362529">
      <w:pPr>
        <w:adjustRightInd w:val="0"/>
        <w:snapToGrid w:val="0"/>
        <w:spacing w:line="360" w:lineRule="auto"/>
        <w:jc w:val="center"/>
        <w:rPr>
          <w:rFonts w:ascii="黑体" w:eastAsia="黑体" w:hAnsi="黑体"/>
          <w:b/>
          <w:sz w:val="36"/>
          <w:szCs w:val="36"/>
        </w:rPr>
      </w:pPr>
      <w:r>
        <w:rPr>
          <w:rFonts w:ascii="黑体" w:eastAsia="黑体" w:hAnsi="黑体" w:hint="eastAsia"/>
          <w:b/>
          <w:sz w:val="36"/>
          <w:szCs w:val="36"/>
        </w:rPr>
        <w:t>权益分派实施公告</w:t>
      </w:r>
    </w:p>
    <w:p w:rsidR="00362529" w:rsidRDefault="00362529" w:rsidP="00362529">
      <w:pPr>
        <w:adjustRightInd w:val="0"/>
        <w:snapToGrid w:val="0"/>
        <w:spacing w:line="360" w:lineRule="auto"/>
        <w:ind w:firstLineChars="200" w:firstLine="480"/>
        <w:rPr>
          <w:rFonts w:ascii="楷体" w:eastAsia="楷体" w:hAnsi="楷体"/>
          <w:sz w:val="24"/>
        </w:rPr>
      </w:pPr>
      <w:r>
        <w:rPr>
          <w:rFonts w:ascii="楷体" w:eastAsia="楷体" w:hAnsi="楷体" w:hint="eastAsia"/>
          <w:sz w:val="24"/>
          <w:u w:val="single"/>
        </w:rPr>
        <w:t>（编制提醒：在编制本公告前，存托人须就权益分派的具体实施办法、存托凭证登记日、分派日期、自行发放对象、税收缴纳等有关事项，提前联系、征询中国结算上海分公司，并根据征询结果编制本公告。）</w:t>
      </w:r>
    </w:p>
    <w:p w:rsidR="00362529" w:rsidRDefault="00362529" w:rsidP="00362529">
      <w:pPr>
        <w:autoSpaceDE w:val="0"/>
        <w:autoSpaceDN w:val="0"/>
        <w:adjustRightInd w:val="0"/>
        <w:spacing w:line="360" w:lineRule="exact"/>
        <w:ind w:right="360"/>
        <w:rPr>
          <w:rFonts w:asciiTheme="minorEastAsia" w:hAnsiTheme="minorEastAsia"/>
          <w:b/>
          <w:sz w:val="24"/>
        </w:rPr>
      </w:pPr>
    </w:p>
    <w:p w:rsidR="00362529" w:rsidRDefault="00362529" w:rsidP="00362529">
      <w:pPr>
        <w:pBdr>
          <w:top w:val="single" w:sz="4" w:space="1" w:color="auto"/>
          <w:left w:val="single" w:sz="4" w:space="4" w:color="auto"/>
          <w:bottom w:val="single" w:sz="4" w:space="7" w:color="auto"/>
          <w:right w:val="single" w:sz="4" w:space="4" w:color="auto"/>
        </w:pBdr>
        <w:adjustRightInd w:val="0"/>
        <w:snapToGrid w:val="0"/>
        <w:spacing w:line="520" w:lineRule="exact"/>
        <w:ind w:left="360" w:firstLineChars="200" w:firstLine="482"/>
        <w:rPr>
          <w:rFonts w:asciiTheme="minorEastAsia" w:hAnsiTheme="minorEastAsia"/>
          <w:b/>
          <w:i/>
          <w:sz w:val="24"/>
        </w:rPr>
      </w:pPr>
      <w:bookmarkStart w:id="0" w:name="OLE_LINK1"/>
      <w:r>
        <w:rPr>
          <w:rFonts w:asciiTheme="minorEastAsia" w:hAnsiTheme="minorEastAsia" w:hint="eastAsia"/>
          <w:b/>
          <w:sz w:val="24"/>
        </w:rPr>
        <w:t>本公司保证本公告内容不存在虚假记载、误导性陈述或者重大遗漏，并对其内容的真实、准确和完整依法承担法律责任。</w:t>
      </w:r>
      <w:bookmarkEnd w:id="0"/>
    </w:p>
    <w:p w:rsidR="00362529" w:rsidRDefault="00362529" w:rsidP="00362529">
      <w:pPr>
        <w:adjustRightInd w:val="0"/>
        <w:snapToGrid w:val="0"/>
        <w:spacing w:line="360" w:lineRule="auto"/>
        <w:rPr>
          <w:rFonts w:ascii="宋体" w:hAnsi="宋体"/>
          <w:sz w:val="24"/>
        </w:rPr>
      </w:pPr>
    </w:p>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重要内容提示：</w:t>
      </w:r>
    </w:p>
    <w:p w:rsidR="00362529" w:rsidRDefault="00362529" w:rsidP="00362529">
      <w:pPr>
        <w:numPr>
          <w:ilvl w:val="3"/>
          <w:numId w:val="1"/>
        </w:numPr>
        <w:tabs>
          <w:tab w:val="num" w:pos="1080"/>
        </w:tabs>
        <w:adjustRightInd w:val="0"/>
        <w:snapToGrid w:val="0"/>
        <w:spacing w:line="360" w:lineRule="auto"/>
        <w:ind w:left="0" w:firstLineChars="200" w:firstLine="480"/>
        <w:rPr>
          <w:rFonts w:ascii="宋体" w:hAnsi="宋体"/>
          <w:sz w:val="24"/>
        </w:rPr>
      </w:pPr>
      <w:r>
        <w:rPr>
          <w:rFonts w:ascii="宋体" w:hAnsi="宋体" w:hint="eastAsia"/>
          <w:sz w:val="24"/>
        </w:rPr>
        <w:t>每股基础股票现金红利：XX元</w:t>
      </w:r>
    </w:p>
    <w:p w:rsidR="00362529" w:rsidRDefault="00362529" w:rsidP="00362529">
      <w:pPr>
        <w:adjustRightInd w:val="0"/>
        <w:snapToGrid w:val="0"/>
        <w:spacing w:line="360" w:lineRule="auto"/>
        <w:ind w:leftChars="229" w:left="481" w:firstLineChars="250" w:firstLine="600"/>
        <w:rPr>
          <w:rFonts w:ascii="宋体" w:hAnsi="宋体"/>
          <w:sz w:val="24"/>
        </w:rPr>
      </w:pPr>
      <w:r>
        <w:rPr>
          <w:rFonts w:ascii="宋体" w:hAnsi="宋体" w:hint="eastAsia"/>
          <w:sz w:val="24"/>
        </w:rPr>
        <w:t>每股基础股票派送红股：XX股</w:t>
      </w:r>
    </w:p>
    <w:p w:rsidR="00362529" w:rsidRDefault="00362529" w:rsidP="00362529">
      <w:pPr>
        <w:adjustRightInd w:val="0"/>
        <w:snapToGrid w:val="0"/>
        <w:spacing w:line="360" w:lineRule="auto"/>
        <w:ind w:leftChars="229" w:left="481" w:firstLineChars="250" w:firstLine="600"/>
        <w:rPr>
          <w:rFonts w:ascii="宋体" w:hAnsi="宋体"/>
          <w:sz w:val="24"/>
        </w:rPr>
      </w:pPr>
      <w:r>
        <w:rPr>
          <w:rFonts w:ascii="宋体" w:hAnsi="宋体" w:hint="eastAsia"/>
          <w:sz w:val="24"/>
        </w:rPr>
        <w:t>每股基础股票转增：XX股</w:t>
      </w:r>
    </w:p>
    <w:p w:rsidR="00362529" w:rsidRDefault="00362529" w:rsidP="00362529">
      <w:pPr>
        <w:numPr>
          <w:ilvl w:val="3"/>
          <w:numId w:val="1"/>
        </w:numPr>
        <w:tabs>
          <w:tab w:val="num" w:pos="1080"/>
        </w:tabs>
        <w:adjustRightInd w:val="0"/>
        <w:snapToGrid w:val="0"/>
        <w:spacing w:line="360" w:lineRule="auto"/>
        <w:ind w:left="0" w:firstLineChars="200" w:firstLine="480"/>
        <w:rPr>
          <w:rFonts w:ascii="宋体" w:hAnsi="宋体"/>
          <w:sz w:val="24"/>
        </w:rPr>
      </w:pPr>
      <w:r>
        <w:rPr>
          <w:rFonts w:ascii="宋体" w:hAnsi="宋体" w:hint="eastAsia"/>
          <w:sz w:val="24"/>
        </w:rPr>
        <w:t>每份存托凭证现金红利：XX元</w:t>
      </w:r>
    </w:p>
    <w:p w:rsidR="00362529" w:rsidRDefault="00362529" w:rsidP="00362529">
      <w:pPr>
        <w:adjustRightInd w:val="0"/>
        <w:snapToGrid w:val="0"/>
        <w:spacing w:line="360" w:lineRule="auto"/>
        <w:ind w:leftChars="229" w:left="481" w:firstLineChars="250" w:firstLine="600"/>
        <w:rPr>
          <w:rFonts w:ascii="宋体" w:hAnsi="宋体"/>
          <w:sz w:val="24"/>
        </w:rPr>
      </w:pPr>
      <w:r>
        <w:rPr>
          <w:rFonts w:ascii="宋体" w:hAnsi="宋体" w:hint="eastAsia"/>
          <w:sz w:val="24"/>
        </w:rPr>
        <w:t>每份存托凭证因送红股增加的存托凭证：XX份</w:t>
      </w:r>
    </w:p>
    <w:p w:rsidR="00362529" w:rsidRDefault="00362529" w:rsidP="00362529">
      <w:pPr>
        <w:adjustRightInd w:val="0"/>
        <w:snapToGrid w:val="0"/>
        <w:spacing w:line="360" w:lineRule="auto"/>
        <w:ind w:leftChars="229" w:left="481" w:firstLineChars="250" w:firstLine="600"/>
        <w:rPr>
          <w:rFonts w:ascii="宋体" w:hAnsi="宋体"/>
          <w:sz w:val="24"/>
        </w:rPr>
      </w:pPr>
      <w:r>
        <w:rPr>
          <w:rFonts w:ascii="宋体" w:hAnsi="宋体" w:hint="eastAsia"/>
          <w:sz w:val="24"/>
        </w:rPr>
        <w:t>每份存托凭证因转增增加的存托凭证：XX份</w:t>
      </w:r>
    </w:p>
    <w:p w:rsidR="00362529" w:rsidRDefault="00362529" w:rsidP="00362529">
      <w:pPr>
        <w:numPr>
          <w:ilvl w:val="3"/>
          <w:numId w:val="1"/>
        </w:numPr>
        <w:tabs>
          <w:tab w:val="num" w:pos="1080"/>
        </w:tabs>
        <w:adjustRightInd w:val="0"/>
        <w:snapToGrid w:val="0"/>
        <w:spacing w:line="360" w:lineRule="auto"/>
        <w:ind w:left="0" w:firstLineChars="200" w:firstLine="480"/>
        <w:rPr>
          <w:rFonts w:ascii="宋体" w:hAnsi="宋体"/>
          <w:sz w:val="24"/>
        </w:rPr>
      </w:pPr>
      <w:r>
        <w:rPr>
          <w:rFonts w:ascii="宋体" w:hAnsi="宋体" w:hint="eastAsia"/>
          <w:sz w:val="24"/>
        </w:rPr>
        <w:lastRenderedPageBreak/>
        <w:t>相关日期</w:t>
      </w:r>
    </w:p>
    <w:tbl>
      <w:tblPr>
        <w:tblStyle w:val="a6"/>
        <w:tblW w:w="4887" w:type="pct"/>
        <w:tblLook w:val="04A0"/>
      </w:tblPr>
      <w:tblGrid>
        <w:gridCol w:w="1789"/>
        <w:gridCol w:w="1476"/>
        <w:gridCol w:w="3241"/>
        <w:gridCol w:w="1823"/>
      </w:tblGrid>
      <w:tr w:rsidR="00362529" w:rsidTr="00E06B95">
        <w:trPr>
          <w:trHeight w:val="317"/>
        </w:trPr>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Cs w:val="21"/>
              </w:rPr>
            </w:pPr>
            <w:proofErr w:type="spellStart"/>
            <w:r>
              <w:rPr>
                <w:rFonts w:ascii="宋体" w:hAnsi="宋体" w:cs="宋体" w:hint="eastAsia"/>
                <w:kern w:val="0"/>
                <w:szCs w:val="21"/>
              </w:rPr>
              <w:t>存托凭证登记日</w:t>
            </w:r>
            <w:proofErr w:type="spellEnd"/>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Cs w:val="21"/>
              </w:rPr>
            </w:pPr>
            <w:proofErr w:type="spellStart"/>
            <w:r>
              <w:rPr>
                <w:rFonts w:ascii="宋体" w:hAnsi="宋体" w:cs="宋体" w:hint="eastAsia"/>
                <w:kern w:val="0"/>
                <w:szCs w:val="21"/>
              </w:rPr>
              <w:t>除权（息）日</w:t>
            </w:r>
            <w:proofErr w:type="spellEnd"/>
          </w:p>
        </w:tc>
        <w:tc>
          <w:tcPr>
            <w:tcW w:w="19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Cs w:val="21"/>
              </w:rPr>
            </w:pPr>
            <w:proofErr w:type="spellStart"/>
            <w:r>
              <w:rPr>
                <w:rFonts w:ascii="宋体" w:hAnsi="宋体" w:hint="eastAsia"/>
                <w:szCs w:val="21"/>
              </w:rPr>
              <w:t>新增无限售条件存托凭证上市日</w:t>
            </w:r>
            <w:proofErr w:type="spellEnd"/>
          </w:p>
        </w:tc>
        <w:tc>
          <w:tcPr>
            <w:tcW w:w="11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Cs w:val="21"/>
              </w:rPr>
            </w:pPr>
            <w:proofErr w:type="spellStart"/>
            <w:r>
              <w:rPr>
                <w:rFonts w:ascii="宋体" w:hAnsi="宋体" w:hint="eastAsia"/>
                <w:szCs w:val="21"/>
              </w:rPr>
              <w:t>现金红利发放日</w:t>
            </w:r>
            <w:proofErr w:type="spellEnd"/>
          </w:p>
        </w:tc>
      </w:tr>
      <w:tr w:rsidR="00362529" w:rsidTr="00E06B95">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szCs w:val="21"/>
              </w:rPr>
            </w:pPr>
          </w:p>
        </w:tc>
        <w:tc>
          <w:tcPr>
            <w:tcW w:w="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2529" w:rsidRDefault="00362529" w:rsidP="00E06B95">
            <w:pPr>
              <w:jc w:val="right"/>
              <w:rPr>
                <w:rFonts w:ascii="宋体" w:eastAsiaTheme="minorEastAsia" w:hAnsi="宋体" w:cs="宋体"/>
                <w:kern w:val="0"/>
                <w:szCs w:val="21"/>
              </w:rPr>
            </w:pPr>
          </w:p>
        </w:tc>
        <w:tc>
          <w:tcPr>
            <w:tcW w:w="1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cs="宋体"/>
                <w:kern w:val="0"/>
                <w:szCs w:val="21"/>
              </w:rPr>
            </w:pPr>
          </w:p>
        </w:tc>
        <w:tc>
          <w:tcPr>
            <w:tcW w:w="1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cs="宋体"/>
                <w:kern w:val="0"/>
                <w:szCs w:val="21"/>
              </w:rPr>
            </w:pPr>
          </w:p>
        </w:tc>
      </w:tr>
    </w:tbl>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【编制提醒：上述存托凭证登记日（R日）请提前与中国结算上海分公司协商确定，除权除息日及存托凭证现金红利发放日为（R+1日）、新增无限售条件存托凭证上市日为（R＋2日）】。</w:t>
      </w:r>
    </w:p>
    <w:p w:rsidR="00362529" w:rsidRDefault="00362529" w:rsidP="00362529">
      <w:pPr>
        <w:numPr>
          <w:ilvl w:val="3"/>
          <w:numId w:val="1"/>
        </w:numPr>
        <w:tabs>
          <w:tab w:val="num" w:pos="1080"/>
        </w:tabs>
        <w:adjustRightInd w:val="0"/>
        <w:snapToGrid w:val="0"/>
        <w:spacing w:line="360" w:lineRule="auto"/>
        <w:ind w:left="0" w:firstLineChars="200" w:firstLine="480"/>
        <w:rPr>
          <w:rFonts w:ascii="宋体" w:hAnsi="宋体"/>
          <w:sz w:val="24"/>
        </w:rPr>
      </w:pPr>
      <w:r>
        <w:rPr>
          <w:rFonts w:ascii="宋体" w:hAnsi="宋体" w:hint="eastAsia"/>
          <w:sz w:val="24"/>
        </w:rPr>
        <w:t>差异化分红送转：是或否</w:t>
      </w:r>
    </w:p>
    <w:p w:rsidR="00362529" w:rsidRDefault="00362529" w:rsidP="00362529">
      <w:pPr>
        <w:adjustRightInd w:val="0"/>
        <w:snapToGrid w:val="0"/>
        <w:spacing w:line="360" w:lineRule="auto"/>
        <w:ind w:left="480"/>
        <w:rPr>
          <w:rFonts w:ascii="宋体" w:hAnsi="宋体"/>
          <w:sz w:val="24"/>
        </w:rPr>
      </w:pP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XXXX年XX月XX日，</w:t>
      </w:r>
      <w:r>
        <w:rPr>
          <w:rFonts w:asciiTheme="minorEastAsia" w:hAnsiTheme="minorEastAsia" w:cs="宋体" w:hint="eastAsia"/>
          <w:kern w:val="0"/>
          <w:sz w:val="24"/>
        </w:rPr>
        <w:t>XX公司（以下简称上市公司）</w:t>
      </w:r>
      <w:r>
        <w:rPr>
          <w:rFonts w:ascii="宋体" w:hAnsi="宋体" w:hint="eastAsia"/>
          <w:sz w:val="24"/>
        </w:rPr>
        <w:t>XXXX年年度/第X次临时董事会</w:t>
      </w:r>
      <w:r>
        <w:rPr>
          <w:rFonts w:ascii="楷体" w:eastAsia="楷体" w:hAnsi="楷体" w:hint="eastAsia"/>
          <w:sz w:val="24"/>
          <w:u w:val="single"/>
        </w:rPr>
        <w:t>（编制提醒：根据公司实际决策程序情况填写）</w:t>
      </w:r>
      <w:r>
        <w:rPr>
          <w:rFonts w:ascii="宋体" w:hAnsi="宋体" w:hint="eastAsia"/>
          <w:kern w:val="0"/>
          <w:sz w:val="24"/>
        </w:rPr>
        <w:t>通过了XXXX年年度/中期利润分配及转增股本方案。</w:t>
      </w:r>
      <w:r>
        <w:rPr>
          <w:rFonts w:asciiTheme="minorEastAsia" w:hAnsiTheme="minorEastAsia" w:cs="宋体" w:hint="eastAsia"/>
          <w:kern w:val="0"/>
          <w:sz w:val="24"/>
        </w:rPr>
        <w:t>上市公司以</w:t>
      </w:r>
      <w:r>
        <w:rPr>
          <w:rFonts w:ascii="宋体" w:hAnsi="宋体" w:hint="eastAsia"/>
          <w:sz w:val="24"/>
        </w:rPr>
        <w:t>方案实施前的公司总股本_</w:t>
      </w:r>
      <w:r>
        <w:rPr>
          <w:rFonts w:ascii="宋体" w:hAnsi="宋体" w:hint="eastAsia"/>
          <w:sz w:val="24"/>
          <w:u w:val="single"/>
        </w:rPr>
        <w:t xml:space="preserve">_  </w:t>
      </w:r>
      <w:r>
        <w:rPr>
          <w:rFonts w:ascii="宋体" w:hAnsi="宋体" w:hint="eastAsia"/>
          <w:sz w:val="24"/>
        </w:rPr>
        <w:t>为基数，向截至股权登记日XXXX年XX月XX日（XX时区）下午营业结束时登记在册的公司全体股东每股派发现金红利__元，每股派送红股__股，以资本公积金向全体股东每股转增__股，共计派发现金红利__元，派送红股__股，转增__股。</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（编制提醒：请根据公司实际利润分配及股本转增方案在公告中说明。）</w:t>
      </w:r>
    </w:p>
    <w:p w:rsidR="00362529" w:rsidRDefault="00362529" w:rsidP="00362529">
      <w:pPr>
        <w:adjustRightInd w:val="0"/>
        <w:snapToGrid w:val="0"/>
        <w:spacing w:line="360" w:lineRule="auto"/>
        <w:ind w:firstLineChars="200" w:firstLine="480"/>
        <w:rPr>
          <w:rFonts w:ascii="宋体" w:hAnsi="宋体"/>
          <w:kern w:val="0"/>
          <w:sz w:val="24"/>
        </w:rPr>
      </w:pPr>
      <w:r>
        <w:rPr>
          <w:rFonts w:ascii="宋体" w:hAnsi="宋体" w:hint="eastAsia"/>
          <w:kern w:val="0"/>
          <w:sz w:val="24"/>
        </w:rPr>
        <w:t>基本前述方案，存托人XX拟向</w:t>
      </w:r>
      <w:r>
        <w:rPr>
          <w:rFonts w:asciiTheme="minorEastAsia" w:hAnsiTheme="minorEastAsia" w:hint="eastAsia"/>
          <w:sz w:val="24"/>
        </w:rPr>
        <w:t>截至存托凭证登记日XXXX年XX月XX日</w:t>
      </w:r>
      <w:r>
        <w:rPr>
          <w:rFonts w:ascii="宋体" w:hAnsi="宋体" w:hint="eastAsia"/>
          <w:sz w:val="24"/>
        </w:rPr>
        <w:t>（北京时区）</w:t>
      </w:r>
      <w:r>
        <w:rPr>
          <w:rFonts w:asciiTheme="minorEastAsia" w:hAnsiTheme="minorEastAsia" w:hint="eastAsia"/>
          <w:sz w:val="24"/>
        </w:rPr>
        <w:t>沪市</w:t>
      </w:r>
      <w:r>
        <w:rPr>
          <w:rFonts w:asciiTheme="minorEastAsia" w:hAnsiTheme="minorEastAsia" w:cs="宋体" w:hint="eastAsia"/>
          <w:kern w:val="0"/>
          <w:sz w:val="24"/>
        </w:rPr>
        <w:t>下午收市后，在中国登记结算有限责任公司上海分公司（以下简称中国结算上海分公司）登记在册的境内存托凭证持有人，</w:t>
      </w:r>
      <w:r>
        <w:rPr>
          <w:rFonts w:ascii="宋体" w:hAnsi="宋体" w:hint="eastAsia"/>
          <w:sz w:val="24"/>
        </w:rPr>
        <w:t>派发境内存托凭证对应的权益。现就</w:t>
      </w:r>
      <w:r>
        <w:rPr>
          <w:rFonts w:ascii="宋体" w:hAnsi="宋体" w:hint="eastAsia"/>
          <w:kern w:val="0"/>
          <w:sz w:val="24"/>
        </w:rPr>
        <w:t>本次权益分派实施安排的相关事项公告如下。</w:t>
      </w:r>
    </w:p>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一、权益分派主要内容</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（一）发放年度</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XXXX年年度/中期。</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（二）分派方案</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本次分派以方案实施前公司境内存托凭证总数__</w:t>
      </w:r>
      <w:r>
        <w:rPr>
          <w:rFonts w:ascii="宋体" w:hAnsi="宋体" w:hint="eastAsia"/>
          <w:sz w:val="24"/>
          <w:u w:val="single"/>
        </w:rPr>
        <w:t xml:space="preserve">   </w:t>
      </w:r>
      <w:r>
        <w:rPr>
          <w:rFonts w:ascii="宋体" w:hAnsi="宋体" w:hint="eastAsia"/>
          <w:sz w:val="24"/>
        </w:rPr>
        <w:t>份为基数，按如下具体方案进行分派：</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1.每份存托凭证派发现金红利__元，共计派发现金红利__元。</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2.每份存托凭证因送红股增加的存托凭证</w:t>
      </w:r>
      <w:r>
        <w:rPr>
          <w:rFonts w:ascii="宋体" w:hAnsi="宋体" w:hint="eastAsia"/>
          <w:sz w:val="24"/>
          <w:u w:val="single"/>
        </w:rPr>
        <w:t xml:space="preserve">   </w:t>
      </w:r>
      <w:r>
        <w:rPr>
          <w:rFonts w:ascii="宋体" w:hAnsi="宋体" w:hint="eastAsia"/>
          <w:sz w:val="24"/>
        </w:rPr>
        <w:t>份，每份存托凭证因转增增加的存托凭证</w:t>
      </w:r>
      <w:r>
        <w:rPr>
          <w:rFonts w:ascii="宋体" w:hAnsi="宋体" w:hint="eastAsia"/>
          <w:sz w:val="24"/>
          <w:u w:val="single"/>
        </w:rPr>
        <w:t xml:space="preserve">   </w:t>
      </w:r>
      <w:r>
        <w:rPr>
          <w:rFonts w:ascii="宋体" w:hAnsi="宋体" w:hint="eastAsia"/>
          <w:sz w:val="24"/>
        </w:rPr>
        <w:t>份，每份存托凭证合计分派__份。</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因送红股增加的存托凭证共计</w:t>
      </w:r>
      <w:r>
        <w:rPr>
          <w:rFonts w:ascii="宋体" w:hAnsi="宋体" w:hint="eastAsia"/>
          <w:sz w:val="24"/>
          <w:u w:val="single"/>
        </w:rPr>
        <w:t xml:space="preserve">_     </w:t>
      </w:r>
      <w:r>
        <w:rPr>
          <w:rFonts w:ascii="宋体" w:hAnsi="宋体" w:hint="eastAsia"/>
          <w:sz w:val="24"/>
        </w:rPr>
        <w:t>份，因转增增加的存托凭证共计__</w:t>
      </w:r>
      <w:r>
        <w:rPr>
          <w:rFonts w:ascii="宋体" w:hAnsi="宋体" w:hint="eastAsia"/>
          <w:sz w:val="24"/>
          <w:u w:val="single"/>
        </w:rPr>
        <w:t xml:space="preserve">  </w:t>
      </w:r>
      <w:r>
        <w:rPr>
          <w:rFonts w:ascii="宋体" w:hAnsi="宋体" w:hint="eastAsia"/>
          <w:sz w:val="24"/>
        </w:rPr>
        <w:t>份。本次分派后，公司境内存托凭证共计</w:t>
      </w:r>
      <w:r>
        <w:rPr>
          <w:rFonts w:ascii="宋体" w:hAnsi="宋体" w:hint="eastAsia"/>
          <w:sz w:val="24"/>
          <w:u w:val="single"/>
        </w:rPr>
        <w:t xml:space="preserve">      </w:t>
      </w:r>
      <w:r>
        <w:rPr>
          <w:rFonts w:ascii="宋体" w:hAnsi="宋体" w:hint="eastAsia"/>
          <w:sz w:val="24"/>
        </w:rPr>
        <w:t>份。</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lastRenderedPageBreak/>
        <w:t>（三）分派对象</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截至存托凭证登记日XXXX年XX月XX日（北京时区）下午沪市收市后，在中国结算上海分公司登记在册的上市公司全体境内存托凭证持有人。</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（四）差异化分红送转方案</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（编制提醒：如存在差异化分红送转方案，应当就具体的分派情况和除权除息方法进行说明。）</w:t>
      </w:r>
    </w:p>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二、相关日期</w:t>
      </w:r>
    </w:p>
    <w:tbl>
      <w:tblPr>
        <w:tblStyle w:val="a6"/>
        <w:tblW w:w="4887" w:type="pct"/>
        <w:tblLook w:val="04A0"/>
      </w:tblPr>
      <w:tblGrid>
        <w:gridCol w:w="2203"/>
        <w:gridCol w:w="1656"/>
        <w:gridCol w:w="2236"/>
        <w:gridCol w:w="2234"/>
      </w:tblGrid>
      <w:tr w:rsidR="00362529" w:rsidTr="00E06B95">
        <w:trPr>
          <w:trHeight w:val="317"/>
        </w:trPr>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 w:val="24"/>
              </w:rPr>
            </w:pPr>
            <w:proofErr w:type="spellStart"/>
            <w:r>
              <w:rPr>
                <w:rFonts w:ascii="宋体" w:hAnsi="宋体" w:cs="宋体" w:hint="eastAsia"/>
                <w:kern w:val="0"/>
                <w:sz w:val="24"/>
              </w:rPr>
              <w:t>存托凭证登记日</w:t>
            </w:r>
            <w:proofErr w:type="spellEnd"/>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 w:val="24"/>
              </w:rPr>
            </w:pPr>
            <w:proofErr w:type="spellStart"/>
            <w:r>
              <w:rPr>
                <w:rFonts w:ascii="宋体" w:hAnsi="宋体" w:cs="宋体" w:hint="eastAsia"/>
                <w:kern w:val="0"/>
                <w:sz w:val="24"/>
              </w:rPr>
              <w:t>除权（息）日</w:t>
            </w:r>
            <w:proofErr w:type="spellEnd"/>
          </w:p>
        </w:tc>
        <w:tc>
          <w:tcPr>
            <w:tcW w:w="13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sz w:val="24"/>
              </w:rPr>
            </w:pPr>
            <w:proofErr w:type="spellStart"/>
            <w:r>
              <w:rPr>
                <w:rFonts w:ascii="宋体" w:hAnsi="宋体" w:hint="eastAsia"/>
                <w:sz w:val="24"/>
              </w:rPr>
              <w:t>新增无限售条件</w:t>
            </w:r>
            <w:proofErr w:type="spellEnd"/>
          </w:p>
          <w:p w:rsidR="00362529" w:rsidRDefault="00362529" w:rsidP="00E06B95">
            <w:pPr>
              <w:widowControl/>
              <w:jc w:val="center"/>
              <w:rPr>
                <w:rFonts w:ascii="宋体" w:eastAsiaTheme="minorEastAsia" w:hAnsi="宋体" w:cs="宋体"/>
                <w:kern w:val="0"/>
                <w:sz w:val="24"/>
              </w:rPr>
            </w:pPr>
            <w:proofErr w:type="spellStart"/>
            <w:r>
              <w:rPr>
                <w:rFonts w:ascii="宋体" w:hAnsi="宋体" w:hint="eastAsia"/>
                <w:sz w:val="24"/>
              </w:rPr>
              <w:t>存托凭证上市日</w:t>
            </w:r>
            <w:proofErr w:type="spellEnd"/>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529" w:rsidRDefault="00362529" w:rsidP="00E06B95">
            <w:pPr>
              <w:widowControl/>
              <w:jc w:val="center"/>
              <w:rPr>
                <w:rFonts w:ascii="宋体" w:eastAsiaTheme="minorEastAsia" w:hAnsi="宋体" w:cs="宋体"/>
                <w:kern w:val="0"/>
                <w:sz w:val="24"/>
              </w:rPr>
            </w:pPr>
            <w:proofErr w:type="spellStart"/>
            <w:r>
              <w:rPr>
                <w:rFonts w:ascii="宋体" w:hAnsi="宋体" w:hint="eastAsia"/>
                <w:sz w:val="24"/>
              </w:rPr>
              <w:t>现金红利发放日</w:t>
            </w:r>
            <w:proofErr w:type="spellEnd"/>
          </w:p>
        </w:tc>
      </w:tr>
      <w:tr w:rsidR="00362529" w:rsidTr="00E06B95">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sz w:val="24"/>
              </w:rPr>
            </w:pPr>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2529" w:rsidRDefault="00362529" w:rsidP="00E06B95">
            <w:pPr>
              <w:jc w:val="right"/>
              <w:rPr>
                <w:rFonts w:ascii="宋体" w:eastAsiaTheme="minorEastAsia" w:hAnsi="宋体" w:cs="宋体"/>
                <w:kern w:val="0"/>
                <w:sz w:val="24"/>
              </w:rPr>
            </w:pPr>
          </w:p>
        </w:tc>
        <w:tc>
          <w:tcPr>
            <w:tcW w:w="13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cs="宋体"/>
                <w:kern w:val="0"/>
                <w:sz w:val="24"/>
              </w:rPr>
            </w:pP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529" w:rsidRDefault="00362529" w:rsidP="00E06B95">
            <w:pPr>
              <w:jc w:val="right"/>
              <w:rPr>
                <w:rFonts w:ascii="宋体" w:eastAsiaTheme="minorEastAsia" w:hAnsi="宋体" w:cs="宋体"/>
                <w:kern w:val="0"/>
                <w:sz w:val="24"/>
              </w:rPr>
            </w:pPr>
          </w:p>
        </w:tc>
      </w:tr>
    </w:tbl>
    <w:p w:rsidR="00362529" w:rsidRDefault="00362529" w:rsidP="00362529">
      <w:pPr>
        <w:adjustRightInd w:val="0"/>
        <w:snapToGrid w:val="0"/>
        <w:spacing w:line="360" w:lineRule="auto"/>
        <w:ind w:firstLineChars="200" w:firstLine="482"/>
        <w:rPr>
          <w:rFonts w:ascii="宋体" w:hAnsi="宋体"/>
          <w:sz w:val="24"/>
        </w:rPr>
      </w:pPr>
      <w:r>
        <w:rPr>
          <w:rFonts w:ascii="宋体" w:hAnsi="宋体" w:hint="eastAsia"/>
          <w:b/>
          <w:sz w:val="24"/>
        </w:rPr>
        <w:t>三、权益分派实施办法</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（编制提醒：存托人须就权益分派的具体实施办法、分派日期、自行发放对象、税收缴纳等有关事项，提前联系、征询中国结算上海分公司，并根据征询结果编制本部分内容。）</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（一）实施办法</w:t>
      </w:r>
    </w:p>
    <w:p w:rsidR="00362529" w:rsidRDefault="00362529" w:rsidP="00362529">
      <w:pPr>
        <w:adjustRightInd w:val="0"/>
        <w:snapToGrid w:val="0"/>
        <w:spacing w:line="360" w:lineRule="auto"/>
        <w:ind w:firstLine="540"/>
        <w:rPr>
          <w:rFonts w:ascii="宋体" w:hAnsi="宋体"/>
          <w:sz w:val="24"/>
        </w:rPr>
      </w:pPr>
      <w:r>
        <w:rPr>
          <w:rFonts w:ascii="宋体" w:hAnsi="宋体" w:hint="eastAsia"/>
          <w:sz w:val="24"/>
        </w:rPr>
        <w:t>1.无限售条件存托凭证持有人的现金红利，委托中国结算上海分公司通过其资金清算系统，向存托凭证登记日沪市收市后登记在册，并在上海证券交易所各会员办理了指定交易的存托凭证持有人派发。已办理指定交易的投资者可于红利发放日在其指定的证券营业部领取现金红利，未办理指定交易的存托凭证持有人红利暂由中国结算上海分公司保管，待办理指定交易后再进行派发。</w:t>
      </w:r>
    </w:p>
    <w:p w:rsidR="00362529" w:rsidRDefault="00362529" w:rsidP="00362529">
      <w:pPr>
        <w:adjustRightInd w:val="0"/>
        <w:snapToGrid w:val="0"/>
        <w:spacing w:line="360" w:lineRule="auto"/>
        <w:ind w:firstLine="540"/>
        <w:rPr>
          <w:rFonts w:ascii="宋体" w:hAnsi="宋体"/>
          <w:sz w:val="24"/>
        </w:rPr>
      </w:pPr>
      <w:r>
        <w:rPr>
          <w:rFonts w:ascii="宋体" w:hAnsi="宋体" w:hint="eastAsia"/>
          <w:sz w:val="24"/>
        </w:rPr>
        <w:t>2.派送因送红股增加的存托凭证或者因转增股本增加的存托凭证的，由中国结算上海分公司根据存托凭证登记日沪市收市后登记在册的存托凭证持有人所持存托凭证份数，按比例直接计入存托凭证持有人账户。</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（二）自行发放对象</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1.有限售条件的存托凭证持有人的现金红利，由存托人自行发放/委托中国结算上海分公司代为发放。</w:t>
      </w:r>
    </w:p>
    <w:p w:rsidR="00362529" w:rsidRDefault="00362529" w:rsidP="00362529">
      <w:pPr>
        <w:adjustRightInd w:val="0"/>
        <w:snapToGrid w:val="0"/>
        <w:spacing w:line="360" w:lineRule="auto"/>
        <w:ind w:firstLineChars="200" w:firstLine="480"/>
        <w:rPr>
          <w:rFonts w:ascii="宋体" w:hAnsi="宋体"/>
          <w:sz w:val="24"/>
        </w:rPr>
      </w:pPr>
      <w:r>
        <w:rPr>
          <w:rFonts w:ascii="楷体" w:eastAsia="楷体" w:hAnsi="楷体" w:hint="eastAsia"/>
          <w:sz w:val="24"/>
          <w:u w:val="single"/>
        </w:rPr>
        <w:t>（编制提醒：有限售条件的存托凭证持有人的现金红利，可由存托人自行发放，也可由存托人委托中国结算上海分公司代为发放，请存托人提前与中国结算上海分公司协商确定。）</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2.无限售存托凭证持有人的现金红利，由存托人自行发放的，应在公告中列示。</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lastRenderedPageBreak/>
        <w:t>（三）扣税说明</w:t>
      </w:r>
    </w:p>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四、股本及存托凭证结构变动表</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（编制提醒：如无股本及存托凭证结构变动，免披露本项内容。下表中，如果某行没有数字，公司可予以省略，序号作相应调整。）</w:t>
      </w: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（一）公司股本结构变动表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417"/>
        <w:gridCol w:w="993"/>
        <w:gridCol w:w="992"/>
        <w:gridCol w:w="850"/>
        <w:gridCol w:w="1610"/>
      </w:tblGrid>
      <w:tr w:rsidR="00362529" w:rsidTr="00E06B95">
        <w:trPr>
          <w:trHeight w:val="468"/>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股份类别</w:t>
            </w:r>
          </w:p>
          <w:p w:rsidR="00362529" w:rsidRDefault="00362529" w:rsidP="00E06B95">
            <w:pPr>
              <w:adjustRightInd w:val="0"/>
              <w:snapToGrid w:val="0"/>
              <w:spacing w:line="360" w:lineRule="auto"/>
              <w:jc w:val="center"/>
              <w:rPr>
                <w:rFonts w:ascii="宋体" w:hAnsi="宋体"/>
                <w:sz w:val="24"/>
              </w:rPr>
            </w:pPr>
            <w:r>
              <w:rPr>
                <w:rFonts w:ascii="宋体" w:hAnsi="宋体" w:hint="eastAsia"/>
                <w:color w:val="000000"/>
                <w:kern w:val="0"/>
                <w:sz w:val="24"/>
              </w:rPr>
              <w:t>（单位：股）</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变动前数量</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ind w:firstLineChars="400" w:firstLine="960"/>
              <w:jc w:val="left"/>
              <w:rPr>
                <w:rFonts w:ascii="宋体" w:hAnsi="宋体"/>
                <w:color w:val="000000"/>
                <w:kern w:val="0"/>
                <w:sz w:val="24"/>
              </w:rPr>
            </w:pPr>
            <w:r>
              <w:rPr>
                <w:rFonts w:ascii="宋体" w:hAnsi="宋体" w:hint="eastAsia"/>
                <w:color w:val="000000"/>
                <w:kern w:val="0"/>
                <w:sz w:val="24"/>
              </w:rPr>
              <w:t>变动数</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变动后数量</w:t>
            </w:r>
          </w:p>
        </w:tc>
      </w:tr>
      <w:tr w:rsidR="00362529" w:rsidTr="00E06B95">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送股</w:t>
            </w:r>
          </w:p>
        </w:tc>
        <w:tc>
          <w:tcPr>
            <w:tcW w:w="992" w:type="dxa"/>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转增</w:t>
            </w:r>
          </w:p>
        </w:tc>
        <w:tc>
          <w:tcPr>
            <w:tcW w:w="850" w:type="dxa"/>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合计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color w:val="000000"/>
                <w:kern w:val="0"/>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rPr>
                <w:rFonts w:ascii="宋体" w:hAnsi="宋体"/>
                <w:sz w:val="24"/>
              </w:rPr>
            </w:pPr>
            <w:r>
              <w:rPr>
                <w:rFonts w:ascii="宋体" w:hAnsi="宋体" w:hint="eastAsia"/>
                <w:color w:val="000000"/>
                <w:kern w:val="0"/>
                <w:sz w:val="24"/>
              </w:rPr>
              <w:t>1．一般普通股</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rPr>
                <w:rFonts w:ascii="宋体" w:hAnsi="宋体"/>
                <w:color w:val="000000"/>
                <w:kern w:val="0"/>
                <w:sz w:val="24"/>
              </w:rPr>
            </w:pPr>
            <w:r>
              <w:rPr>
                <w:rFonts w:ascii="宋体" w:hAnsi="宋体" w:hint="eastAsia"/>
                <w:color w:val="000000"/>
                <w:kern w:val="0"/>
                <w:sz w:val="24"/>
              </w:rPr>
              <w:t>2．特别投票权普通股（如有）</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rPr>
                <w:rFonts w:ascii="宋体" w:hAnsi="宋体"/>
                <w:i/>
                <w:sz w:val="24"/>
                <w:u w:val="single"/>
              </w:rPr>
            </w:pPr>
            <w:r>
              <w:rPr>
                <w:rFonts w:ascii="宋体" w:hAnsi="宋体" w:hint="eastAsia"/>
                <w:color w:val="000000"/>
                <w:kern w:val="0"/>
                <w:sz w:val="24"/>
              </w:rPr>
              <w:t>3．其他类别股份（如有）</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jc w:val="center"/>
              <w:rPr>
                <w:rFonts w:ascii="宋体" w:hAnsi="宋体"/>
                <w:sz w:val="24"/>
              </w:rPr>
            </w:pPr>
            <w:r>
              <w:rPr>
                <w:rFonts w:ascii="宋体" w:hAnsi="宋体" w:hint="eastAsia"/>
                <w:color w:val="000000"/>
                <w:kern w:val="0"/>
                <w:sz w:val="24"/>
              </w:rPr>
              <w:t>股本合计</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rPr>
                <w:rFonts w:ascii="宋体" w:hAnsi="宋体"/>
                <w:sz w:val="24"/>
              </w:rPr>
            </w:pPr>
          </w:p>
        </w:tc>
      </w:tr>
    </w:tbl>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（二）公司境内存托凭证结构变动表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417"/>
        <w:gridCol w:w="993"/>
        <w:gridCol w:w="992"/>
        <w:gridCol w:w="850"/>
        <w:gridCol w:w="1610"/>
      </w:tblGrid>
      <w:tr w:rsidR="00362529" w:rsidTr="00E06B95">
        <w:trPr>
          <w:cantSplit/>
          <w:trHeight w:val="5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存托凭证类别</w:t>
            </w:r>
          </w:p>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（单位：份）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sz w:val="24"/>
              </w:rPr>
            </w:pPr>
            <w:r>
              <w:rPr>
                <w:rFonts w:ascii="宋体" w:hAnsi="宋体" w:hint="eastAsia"/>
                <w:color w:val="000000"/>
                <w:kern w:val="0"/>
                <w:sz w:val="24"/>
              </w:rPr>
              <w:t>变动前数量</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sz w:val="24"/>
              </w:rPr>
            </w:pPr>
            <w:r>
              <w:rPr>
                <w:rFonts w:ascii="宋体" w:hAnsi="宋体" w:hint="eastAsia"/>
                <w:color w:val="000000"/>
                <w:kern w:val="0"/>
                <w:sz w:val="24"/>
              </w:rPr>
              <w:t>变动数</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adjustRightInd w:val="0"/>
              <w:snapToGrid w:val="0"/>
              <w:spacing w:line="360" w:lineRule="auto"/>
              <w:jc w:val="center"/>
              <w:rPr>
                <w:rFonts w:ascii="宋体" w:hAnsi="宋体"/>
                <w:sz w:val="24"/>
              </w:rPr>
            </w:pPr>
            <w:r>
              <w:rPr>
                <w:rFonts w:ascii="宋体" w:hAnsi="宋体" w:hint="eastAsia"/>
                <w:color w:val="000000"/>
                <w:kern w:val="0"/>
                <w:sz w:val="24"/>
              </w:rPr>
              <w:t>变动后数量</w:t>
            </w:r>
          </w:p>
        </w:tc>
      </w:tr>
      <w:tr w:rsidR="00362529" w:rsidTr="00E06B95">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因送股</w:t>
            </w:r>
          </w:p>
        </w:tc>
        <w:tc>
          <w:tcPr>
            <w:tcW w:w="992"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因转增</w:t>
            </w:r>
          </w:p>
        </w:tc>
        <w:tc>
          <w:tcPr>
            <w:tcW w:w="850" w:type="dxa"/>
            <w:tcBorders>
              <w:top w:val="single" w:sz="4" w:space="0" w:color="auto"/>
              <w:left w:val="single" w:sz="4" w:space="0" w:color="auto"/>
              <w:bottom w:val="single" w:sz="4" w:space="0" w:color="auto"/>
              <w:right w:val="single" w:sz="4" w:space="0" w:color="auto"/>
            </w:tcBorders>
            <w:hideMark/>
          </w:tcPr>
          <w:p w:rsidR="00362529" w:rsidRDefault="00362529" w:rsidP="00E06B95">
            <w:pPr>
              <w:adjustRightInd w:val="0"/>
              <w:snapToGrid w:val="0"/>
              <w:spacing w:line="360" w:lineRule="auto"/>
              <w:jc w:val="center"/>
              <w:rPr>
                <w:rFonts w:ascii="宋体" w:hAnsi="宋体"/>
                <w:color w:val="000000"/>
                <w:kern w:val="0"/>
                <w:sz w:val="24"/>
              </w:rPr>
            </w:pPr>
            <w:r>
              <w:rPr>
                <w:rFonts w:ascii="宋体" w:hAnsi="宋体" w:hint="eastAsia"/>
                <w:color w:val="000000"/>
                <w:kern w:val="0"/>
                <w:sz w:val="24"/>
              </w:rPr>
              <w:t>合计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529" w:rsidRDefault="00362529" w:rsidP="00E06B95">
            <w:pPr>
              <w:widowControl/>
              <w:jc w:val="left"/>
              <w:rPr>
                <w:rFonts w:ascii="宋体" w:hAnsi="宋体"/>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jc w:val="center"/>
              <w:rPr>
                <w:rFonts w:ascii="宋体" w:hAnsi="宋体"/>
                <w:sz w:val="24"/>
              </w:rPr>
            </w:pPr>
            <w:r>
              <w:rPr>
                <w:rFonts w:ascii="宋体" w:hAnsi="宋体" w:hint="eastAsia"/>
                <w:sz w:val="24"/>
              </w:rPr>
              <w:t>有限售条件存托凭证</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pStyle w:val="a5"/>
              <w:jc w:val="center"/>
              <w:rPr>
                <w:rFonts w:ascii="宋体" w:hAnsi="宋体"/>
                <w:sz w:val="24"/>
                <w:szCs w:val="24"/>
              </w:rPr>
            </w:pPr>
            <w:r>
              <w:rPr>
                <w:rFonts w:ascii="宋体" w:hAnsi="宋体" w:hint="eastAsia"/>
                <w:sz w:val="24"/>
                <w:szCs w:val="24"/>
              </w:rPr>
              <w:t>无限售条件存托凭证</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jc w:val="center"/>
              <w:rPr>
                <w:rFonts w:ascii="宋体" w:hAnsi="宋体"/>
                <w:sz w:val="24"/>
              </w:rPr>
            </w:pPr>
            <w:r>
              <w:rPr>
                <w:rFonts w:ascii="宋体" w:hAnsi="宋体" w:hint="eastAsia"/>
                <w:sz w:val="24"/>
              </w:rPr>
              <w:t>合计</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r>
      <w:tr w:rsidR="00362529" w:rsidTr="00E06B95">
        <w:trPr>
          <w:cantSplit/>
        </w:trPr>
        <w:tc>
          <w:tcPr>
            <w:tcW w:w="2660" w:type="dxa"/>
            <w:tcBorders>
              <w:top w:val="single" w:sz="4" w:space="0" w:color="auto"/>
              <w:left w:val="single" w:sz="4" w:space="0" w:color="auto"/>
              <w:bottom w:val="single" w:sz="4" w:space="0" w:color="auto"/>
              <w:right w:val="single" w:sz="4" w:space="0" w:color="auto"/>
            </w:tcBorders>
            <w:hideMark/>
          </w:tcPr>
          <w:p w:rsidR="00362529" w:rsidRDefault="00362529" w:rsidP="00E06B95">
            <w:pPr>
              <w:jc w:val="center"/>
              <w:rPr>
                <w:rFonts w:ascii="宋体" w:hAnsi="宋体"/>
                <w:sz w:val="24"/>
              </w:rPr>
            </w:pPr>
            <w:r>
              <w:rPr>
                <w:rFonts w:ascii="宋体" w:hAnsi="宋体" w:hint="eastAsia"/>
                <w:sz w:val="24"/>
              </w:rPr>
              <w:t>对应的基础股票合计</w:t>
            </w:r>
          </w:p>
        </w:tc>
        <w:tc>
          <w:tcPr>
            <w:tcW w:w="1417"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3"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c>
          <w:tcPr>
            <w:tcW w:w="1610" w:type="dxa"/>
            <w:tcBorders>
              <w:top w:val="single" w:sz="4" w:space="0" w:color="auto"/>
              <w:left w:val="single" w:sz="4" w:space="0" w:color="auto"/>
              <w:bottom w:val="single" w:sz="4" w:space="0" w:color="auto"/>
              <w:right w:val="single" w:sz="4" w:space="0" w:color="auto"/>
            </w:tcBorders>
          </w:tcPr>
          <w:p w:rsidR="00362529" w:rsidRDefault="00362529" w:rsidP="00E06B95">
            <w:pPr>
              <w:adjustRightInd w:val="0"/>
              <w:snapToGrid w:val="0"/>
              <w:spacing w:line="360" w:lineRule="auto"/>
              <w:jc w:val="center"/>
              <w:rPr>
                <w:rFonts w:ascii="宋体" w:hAnsi="宋体"/>
                <w:color w:val="000000"/>
                <w:kern w:val="0"/>
                <w:sz w:val="24"/>
              </w:rPr>
            </w:pPr>
          </w:p>
        </w:tc>
      </w:tr>
    </w:tbl>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五、摊薄每份存托凭证收益说明</w:t>
      </w:r>
    </w:p>
    <w:p w:rsidR="00362529" w:rsidRDefault="00362529" w:rsidP="00362529">
      <w:pPr>
        <w:adjustRightInd w:val="0"/>
        <w:snapToGrid w:val="0"/>
        <w:spacing w:line="360" w:lineRule="auto"/>
        <w:ind w:firstLine="555"/>
        <w:rPr>
          <w:rFonts w:ascii="宋体" w:hAnsi="宋体"/>
          <w:sz w:val="24"/>
        </w:rPr>
      </w:pPr>
      <w:r>
        <w:rPr>
          <w:rFonts w:ascii="宋体" w:hAnsi="宋体" w:hint="eastAsia"/>
          <w:sz w:val="24"/>
        </w:rPr>
        <w:t>上市公司实施上述送转股方案后，按新股本总额__</w:t>
      </w:r>
      <w:r>
        <w:rPr>
          <w:rFonts w:ascii="宋体" w:hAnsi="宋体" w:hint="eastAsia"/>
          <w:sz w:val="24"/>
          <w:u w:val="single"/>
        </w:rPr>
        <w:t xml:space="preserve">   </w:t>
      </w:r>
      <w:r>
        <w:rPr>
          <w:rFonts w:ascii="宋体" w:hAnsi="宋体" w:hint="eastAsia"/>
          <w:sz w:val="24"/>
        </w:rPr>
        <w:t>股摊薄计算的（上年度或本年度中期）每股收益为__元，对应的每份境内存托凭证收益为__元。</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（编制提醒：</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1.如无存托凭证数量变动的，免本项内容；</w:t>
      </w:r>
    </w:p>
    <w:p w:rsidR="00362529" w:rsidRDefault="00362529" w:rsidP="00362529">
      <w:pPr>
        <w:adjustRightInd w:val="0"/>
        <w:snapToGrid w:val="0"/>
        <w:spacing w:line="360" w:lineRule="auto"/>
        <w:ind w:firstLineChars="200" w:firstLine="480"/>
        <w:rPr>
          <w:rFonts w:ascii="楷体" w:eastAsia="楷体" w:hAnsi="楷体"/>
          <w:sz w:val="24"/>
          <w:u w:val="single"/>
        </w:rPr>
      </w:pPr>
      <w:r>
        <w:rPr>
          <w:rFonts w:ascii="楷体" w:eastAsia="楷体" w:hAnsi="楷体" w:hint="eastAsia"/>
          <w:sz w:val="24"/>
          <w:u w:val="single"/>
        </w:rPr>
        <w:t>2.公告中需说明上述每股收益、每份存托凭证收益，是否按照中国企业会计准则编制的财务报告计算。如系按照国际财务报告准则或美国会计准则编制的财务报告计算的，需同时披露按照中国企业会计准则调整后的每股收益、每份存托凭证收益。）</w:t>
      </w:r>
    </w:p>
    <w:p w:rsidR="00362529" w:rsidRDefault="00362529" w:rsidP="00362529">
      <w:pPr>
        <w:adjustRightInd w:val="0"/>
        <w:snapToGrid w:val="0"/>
        <w:spacing w:line="360" w:lineRule="auto"/>
        <w:ind w:firstLineChars="200" w:firstLine="482"/>
        <w:rPr>
          <w:rFonts w:ascii="宋体" w:hAnsi="宋体"/>
          <w:b/>
          <w:sz w:val="24"/>
        </w:rPr>
      </w:pPr>
      <w:r>
        <w:rPr>
          <w:rFonts w:ascii="宋体" w:hAnsi="宋体" w:hint="eastAsia"/>
          <w:b/>
          <w:sz w:val="24"/>
        </w:rPr>
        <w:t>六、有关咨询方法</w:t>
      </w:r>
    </w:p>
    <w:p w:rsidR="00362529" w:rsidRDefault="00362529" w:rsidP="00362529">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lastRenderedPageBreak/>
        <w:t>本存托人、上市公司的联系方式（包括联系人姓名、电话号码、传真号码、电子邮箱等）等。</w:t>
      </w:r>
    </w:p>
    <w:p w:rsidR="00362529" w:rsidRDefault="00362529" w:rsidP="00362529">
      <w:pPr>
        <w:adjustRightInd w:val="0"/>
        <w:snapToGrid w:val="0"/>
        <w:spacing w:line="360" w:lineRule="auto"/>
        <w:ind w:firstLineChars="200" w:firstLine="480"/>
        <w:rPr>
          <w:rFonts w:ascii="宋体" w:hAnsi="宋体"/>
          <w:sz w:val="24"/>
        </w:rPr>
      </w:pPr>
    </w:p>
    <w:p w:rsidR="00362529" w:rsidRDefault="00362529" w:rsidP="00362529">
      <w:pPr>
        <w:adjustRightInd w:val="0"/>
        <w:snapToGrid w:val="0"/>
        <w:spacing w:line="360" w:lineRule="auto"/>
        <w:ind w:firstLineChars="200" w:firstLine="480"/>
        <w:rPr>
          <w:rFonts w:ascii="宋体" w:hAnsi="宋体"/>
          <w:sz w:val="24"/>
        </w:rPr>
      </w:pPr>
      <w:r>
        <w:rPr>
          <w:rFonts w:ascii="宋体" w:hAnsi="宋体" w:hint="eastAsia"/>
          <w:sz w:val="24"/>
        </w:rPr>
        <w:t>特此公告。</w:t>
      </w:r>
    </w:p>
    <w:p w:rsidR="00362529" w:rsidRDefault="00362529" w:rsidP="00362529">
      <w:pPr>
        <w:adjustRightInd w:val="0"/>
        <w:snapToGrid w:val="0"/>
        <w:spacing w:line="360" w:lineRule="auto"/>
        <w:ind w:firstLineChars="200" w:firstLine="480"/>
        <w:rPr>
          <w:rFonts w:ascii="宋体" w:hAnsi="宋体"/>
          <w:sz w:val="24"/>
        </w:rPr>
      </w:pPr>
    </w:p>
    <w:p w:rsidR="00362529" w:rsidRDefault="00362529" w:rsidP="00362529">
      <w:pPr>
        <w:adjustRightInd w:val="0"/>
        <w:snapToGrid w:val="0"/>
        <w:spacing w:line="360" w:lineRule="auto"/>
        <w:ind w:firstLineChars="200" w:firstLine="480"/>
        <w:jc w:val="right"/>
        <w:rPr>
          <w:rFonts w:asciiTheme="minorEastAsia" w:hAnsiTheme="minorEastAsia" w:cs="宋体"/>
          <w:kern w:val="0"/>
          <w:sz w:val="24"/>
        </w:rPr>
      </w:pPr>
      <w:r>
        <w:rPr>
          <w:rFonts w:asciiTheme="minorEastAsia" w:hAnsiTheme="minorEastAsia" w:cs="宋体" w:hint="eastAsia"/>
          <w:kern w:val="0"/>
          <w:sz w:val="24"/>
        </w:rPr>
        <w:t xml:space="preserve">存托人：XX公司 </w:t>
      </w:r>
    </w:p>
    <w:p w:rsidR="00362529" w:rsidRDefault="00362529" w:rsidP="00362529">
      <w:pPr>
        <w:adjustRightInd w:val="0"/>
        <w:snapToGrid w:val="0"/>
        <w:spacing w:line="360" w:lineRule="auto"/>
        <w:ind w:firstLineChars="200" w:firstLine="480"/>
        <w:jc w:val="right"/>
        <w:rPr>
          <w:rFonts w:ascii="宋体" w:hAnsi="宋体"/>
          <w:sz w:val="24"/>
        </w:rPr>
      </w:pPr>
      <w:r>
        <w:rPr>
          <w:rFonts w:ascii="宋体" w:hAnsi="宋体" w:hint="eastAsia"/>
          <w:sz w:val="24"/>
        </w:rPr>
        <w:t>XXXX年XX月XX日</w:t>
      </w:r>
    </w:p>
    <w:p w:rsidR="00000000" w:rsidRPr="00362529" w:rsidRDefault="00362529"/>
    <w:sectPr w:rsidR="00000000" w:rsidRPr="003625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529" w:rsidRDefault="00362529" w:rsidP="00362529">
      <w:r>
        <w:separator/>
      </w:r>
    </w:p>
  </w:endnote>
  <w:endnote w:type="continuationSeparator" w:id="1">
    <w:p w:rsidR="00362529" w:rsidRDefault="00362529" w:rsidP="003625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529" w:rsidRDefault="00362529" w:rsidP="00362529">
      <w:r>
        <w:separator/>
      </w:r>
    </w:p>
  </w:footnote>
  <w:footnote w:type="continuationSeparator" w:id="1">
    <w:p w:rsidR="00362529" w:rsidRDefault="00362529" w:rsidP="00362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86009"/>
    <w:multiLevelType w:val="hybridMultilevel"/>
    <w:tmpl w:val="EE0E1A90"/>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529"/>
    <w:rsid w:val="003625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2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2529"/>
    <w:rPr>
      <w:sz w:val="18"/>
      <w:szCs w:val="18"/>
    </w:rPr>
  </w:style>
  <w:style w:type="paragraph" w:styleId="a4">
    <w:name w:val="footer"/>
    <w:basedOn w:val="a"/>
    <w:link w:val="Char0"/>
    <w:uiPriority w:val="99"/>
    <w:semiHidden/>
    <w:unhideWhenUsed/>
    <w:rsid w:val="003625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2529"/>
    <w:rPr>
      <w:sz w:val="18"/>
      <w:szCs w:val="18"/>
    </w:rPr>
  </w:style>
  <w:style w:type="paragraph" w:styleId="a5">
    <w:name w:val="Salutation"/>
    <w:basedOn w:val="a"/>
    <w:next w:val="a"/>
    <w:link w:val="Char1"/>
    <w:uiPriority w:val="99"/>
    <w:unhideWhenUsed/>
    <w:rsid w:val="00362529"/>
    <w:rPr>
      <w:rFonts w:ascii="Times New Roman" w:eastAsia="宋体" w:hAnsi="Times New Roman" w:cs="Times New Roman"/>
      <w:szCs w:val="21"/>
    </w:rPr>
  </w:style>
  <w:style w:type="character" w:customStyle="1" w:styleId="Char1">
    <w:name w:val="称呼 Char"/>
    <w:basedOn w:val="a0"/>
    <w:link w:val="a5"/>
    <w:uiPriority w:val="99"/>
    <w:rsid w:val="00362529"/>
    <w:rPr>
      <w:rFonts w:ascii="Times New Roman" w:eastAsia="宋体" w:hAnsi="Times New Roman" w:cs="Times New Roman"/>
      <w:szCs w:val="21"/>
    </w:rPr>
  </w:style>
  <w:style w:type="table" w:styleId="a6">
    <w:name w:val="Table Grid"/>
    <w:basedOn w:val="a1"/>
    <w:uiPriority w:val="59"/>
    <w:rsid w:val="00362529"/>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2018-06-15T11:00:00Z</dcterms:created>
  <dcterms:modified xsi:type="dcterms:W3CDTF">2018-06-15T11:00:00Z</dcterms:modified>
</cp:coreProperties>
</file>