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9118F">
      <w:pPr>
        <w:adjustRightInd w:val="0"/>
        <w:snapToGrid w:val="0"/>
        <w:spacing w:line="560" w:lineRule="exact"/>
        <w:jc w:val="both"/>
        <w:rPr>
          <w:rFonts w:hint="eastAsia" w:ascii="黑体" w:hAnsi="黑体" w:eastAsia="黑体" w:cs="黑体"/>
          <w:b w:val="0"/>
          <w:color w:val="000000"/>
          <w:sz w:val="32"/>
          <w:szCs w:val="32"/>
          <w:highlight w:val="none"/>
          <w:lang w:val="en-US" w:eastAsia="zh-CN"/>
        </w:rPr>
      </w:pPr>
      <w:bookmarkStart w:id="5" w:name="_GoBack"/>
      <w:bookmarkEnd w:id="5"/>
      <w:r>
        <w:rPr>
          <w:rFonts w:hint="eastAsia" w:ascii="黑体" w:hAnsi="黑体" w:eastAsia="黑体" w:cs="黑体"/>
          <w:b w:val="0"/>
          <w:color w:val="000000"/>
          <w:sz w:val="32"/>
          <w:szCs w:val="32"/>
          <w:highlight w:val="none"/>
          <w:lang w:eastAsia="zh-CN"/>
        </w:rPr>
        <w:t>附件</w:t>
      </w:r>
    </w:p>
    <w:p w14:paraId="217DE29E">
      <w:pPr>
        <w:spacing w:line="560" w:lineRule="exact"/>
        <w:jc w:val="center"/>
        <w:rPr>
          <w:rFonts w:hint="eastAsia" w:ascii="Times New Roman" w:hAnsi="Times New Roman" w:eastAsia="方正大标宋简体"/>
          <w:sz w:val="42"/>
          <w:szCs w:val="42"/>
        </w:rPr>
      </w:pPr>
    </w:p>
    <w:p w14:paraId="5CD79FE3">
      <w:pPr>
        <w:spacing w:line="560" w:lineRule="exact"/>
        <w:jc w:val="center"/>
        <w:rPr>
          <w:rFonts w:ascii="Times New Roman" w:hAnsi="Times New Roman" w:eastAsia="方正大标宋简体"/>
          <w:sz w:val="44"/>
          <w:szCs w:val="44"/>
        </w:rPr>
      </w:pPr>
      <w:r>
        <w:rPr>
          <w:rFonts w:hint="eastAsia" w:ascii="Times New Roman" w:hAnsi="Times New Roman" w:eastAsia="方正大标宋简体"/>
          <w:sz w:val="44"/>
          <w:szCs w:val="44"/>
        </w:rPr>
        <w:t>上海证券交易所协助执法查询工作指南</w:t>
      </w:r>
    </w:p>
    <w:p w14:paraId="53092484">
      <w:pPr>
        <w:spacing w:line="560" w:lineRule="exact"/>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default" w:ascii="Times New Roman" w:hAnsi="Times New Roman" w:eastAsia="楷体_GB2312"/>
          <w:sz w:val="32"/>
          <w:szCs w:val="32"/>
        </w:rPr>
        <w:t>202</w:t>
      </w:r>
      <w:r>
        <w:rPr>
          <w:rFonts w:hint="default" w:ascii="Times New Roman" w:hAnsi="Times New Roman" w:eastAsia="楷体_GB2312"/>
          <w:sz w:val="32"/>
          <w:szCs w:val="32"/>
          <w:lang w:val="en-US" w:eastAsia="zh-CN"/>
        </w:rPr>
        <w:t>6</w:t>
      </w:r>
      <w:r>
        <w:rPr>
          <w:rFonts w:hint="eastAsia" w:ascii="楷体_GB2312" w:hAnsi="楷体_GB2312" w:eastAsia="楷体_GB2312" w:cs="楷体_GB2312"/>
          <w:sz w:val="32"/>
          <w:szCs w:val="32"/>
        </w:rPr>
        <w:t>年修订）</w:t>
      </w:r>
    </w:p>
    <w:p w14:paraId="349D40A6">
      <w:pPr>
        <w:spacing w:line="560" w:lineRule="exact"/>
        <w:jc w:val="center"/>
        <w:rPr>
          <w:rFonts w:ascii="Times New Roman" w:hAnsi="Times New Roman" w:eastAsia="方正大标宋简体"/>
          <w:sz w:val="42"/>
          <w:szCs w:val="42"/>
        </w:rPr>
      </w:pPr>
    </w:p>
    <w:p w14:paraId="2EDA371C">
      <w:pPr>
        <w:spacing w:line="560" w:lineRule="exact"/>
        <w:jc w:val="center"/>
        <w:rPr>
          <w:rFonts w:hint="eastAsia" w:ascii="Times New Roman" w:hAnsi="Times New Roman" w:eastAsia="黑体" w:cs="黑体"/>
          <w:b w:val="0"/>
          <w:color w:val="000000"/>
          <w:sz w:val="32"/>
          <w:szCs w:val="32"/>
        </w:rPr>
      </w:pPr>
      <w:r>
        <w:rPr>
          <w:rFonts w:hint="eastAsia" w:ascii="Times New Roman" w:hAnsi="Times New Roman" w:eastAsia="黑体" w:cs="黑体"/>
          <w:b w:val="0"/>
          <w:color w:val="000000"/>
          <w:sz w:val="32"/>
          <w:szCs w:val="32"/>
        </w:rPr>
        <w:t>第一章 总则</w:t>
      </w:r>
    </w:p>
    <w:p w14:paraId="34FBCBF9">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 xml:space="preserve">第一条 </w:t>
      </w:r>
      <w:bookmarkStart w:id="0" w:name="OLE_LINK3"/>
      <w:bookmarkStart w:id="1" w:name="OLE_LINK1"/>
      <w:r>
        <w:rPr>
          <w:rFonts w:hint="eastAsia" w:ascii="Times New Roman" w:hAnsi="Times New Roman" w:eastAsia="仿宋_GB2312"/>
          <w:bCs/>
          <w:color w:val="000000"/>
          <w:sz w:val="32"/>
          <w:szCs w:val="32"/>
        </w:rPr>
        <w:t>为规范上海证券交易所（以下简称本所）协助执法查询（以下简称协助查询）工作，明确协助查询办理程序，依据相关法律法规</w:t>
      </w:r>
      <w:bookmarkEnd w:id="0"/>
      <w:bookmarkEnd w:id="1"/>
      <w:r>
        <w:rPr>
          <w:rFonts w:hint="eastAsia" w:ascii="Times New Roman" w:hAnsi="Times New Roman" w:eastAsia="仿宋_GB2312"/>
          <w:bCs/>
          <w:color w:val="000000"/>
          <w:sz w:val="32"/>
          <w:szCs w:val="32"/>
        </w:rPr>
        <w:t>制定本指南。</w:t>
      </w:r>
    </w:p>
    <w:p w14:paraId="68B9B270">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第二条 本所依据法律规定，按照司法机关及其他执法单位（以下统称查询单位）的要求查询并提供相应信息，协助执行相关法律文书及提供其他协助的，适用本指南。</w:t>
      </w:r>
    </w:p>
    <w:p w14:paraId="6BD5167E">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第三条 查询单位包括：</w:t>
      </w:r>
    </w:p>
    <w:p w14:paraId="294917C1">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（一）各级公安机关、人民检察院、人民法院及军事、海事、铁道等专门司法机关；</w:t>
      </w:r>
    </w:p>
    <w:p w14:paraId="46A55C6B">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（二）各级审计机关、税务机关；</w:t>
      </w:r>
    </w:p>
    <w:p w14:paraId="65F04793">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（三）各级监察委、</w:t>
      </w:r>
      <w:bookmarkStart w:id="2" w:name="OLE_LINK2"/>
      <w:r>
        <w:rPr>
          <w:rFonts w:hint="eastAsia" w:ascii="Times New Roman" w:hAnsi="Times New Roman" w:eastAsia="仿宋_GB2312"/>
          <w:bCs/>
          <w:color w:val="000000"/>
          <w:sz w:val="32"/>
          <w:szCs w:val="32"/>
        </w:rPr>
        <w:t>中央纪律检查委员会</w:t>
      </w:r>
      <w:bookmarkEnd w:id="2"/>
      <w:r>
        <w:rPr>
          <w:rFonts w:hint="eastAsia" w:ascii="Times New Roman" w:hAnsi="Times New Roman" w:eastAsia="仿宋_GB2312"/>
          <w:bCs/>
          <w:color w:val="000000"/>
          <w:sz w:val="32"/>
          <w:szCs w:val="32"/>
        </w:rPr>
        <w:t>及其派出机构；</w:t>
      </w:r>
    </w:p>
    <w:p w14:paraId="250BB842">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（四）其他党政机关以及法律规定的有权机关。</w:t>
      </w:r>
    </w:p>
    <w:p w14:paraId="13BF983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第四条 协助查询的事项主要包括：</w:t>
      </w:r>
    </w:p>
    <w:p w14:paraId="0FFDB86E">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（一）证券交易的行情信息；</w:t>
      </w:r>
    </w:p>
    <w:p w14:paraId="0E079405">
      <w:pPr>
        <w:pStyle w:val="10"/>
        <w:spacing w:line="560" w:lineRule="exact"/>
        <w:ind w:firstLine="600" w:firstLineChars="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（二）证券账户参与证券交易的申报、成交信息，包括证券名称、代码、成交时间、成交数量及成交金额等；</w:t>
      </w:r>
    </w:p>
    <w:p w14:paraId="0ABD0B07">
      <w:pPr>
        <w:spacing w:line="560" w:lineRule="exact"/>
        <w:ind w:firstLine="640" w:firstLineChars="2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（三）信息披露义务人提交的信息披露相关文件（含证券上市、挂牌申请及持续披露文件）；</w:t>
      </w:r>
    </w:p>
    <w:p w14:paraId="5DDB7EF3">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（四）本所在日常监管工作中向监管对象发出的监管决定或函件；</w:t>
      </w:r>
    </w:p>
    <w:p w14:paraId="12C672D5">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（五）查询、冻结、续冻、解冻或者强制转让会员席位；</w:t>
      </w:r>
    </w:p>
    <w:p w14:paraId="1BB1AD7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（六）依照有关法律规定应当提供协助的其他事项。</w:t>
      </w:r>
    </w:p>
    <w:p w14:paraId="5404702F">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查询单位向本所提出有关业务咨询的，参照协助查询办理。</w:t>
      </w:r>
    </w:p>
    <w:p w14:paraId="32FD39DA">
      <w:pPr>
        <w:spacing w:line="560" w:lineRule="exact"/>
        <w:ind w:firstLineChars="0"/>
        <w:jc w:val="center"/>
        <w:rPr>
          <w:rFonts w:hint="eastAsia" w:ascii="Times New Roman" w:hAnsi="Times New Roman" w:eastAsia="黑体" w:cs="黑体"/>
          <w:b w:val="0"/>
          <w:bCs w:val="0"/>
          <w:color w:val="000000"/>
          <w:sz w:val="32"/>
          <w:szCs w:val="32"/>
        </w:rPr>
      </w:pPr>
      <w:r>
        <w:rPr>
          <w:rFonts w:hint="eastAsia" w:ascii="Times New Roman" w:hAnsi="Times New Roman" w:eastAsia="黑体" w:cs="黑体"/>
          <w:b w:val="0"/>
          <w:color w:val="000000"/>
          <w:sz w:val="32"/>
          <w:szCs w:val="32"/>
        </w:rPr>
        <w:t>第二章 协助查询的提出</w:t>
      </w:r>
    </w:p>
    <w:p w14:paraId="71C31030">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第五条 查询单位向本所提出协助查询需求的，原则上由两名执法工作人员携带相关文件前往本所指定的办公场地，或者将相关查询文件寄送至本所（联系方式见附件1），由本所指定部门负责接收。</w:t>
      </w:r>
    </w:p>
    <w:p w14:paraId="161FDA48">
      <w:pPr>
        <w:pStyle w:val="10"/>
        <w:spacing w:line="560" w:lineRule="exact"/>
        <w:ind w:firstLine="600"/>
        <w:rPr>
          <w:rFonts w:hint="eastAsia"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第六条  查询单位提出协助查询需求的，一般由本所法律事务部负责接收和安排回复。</w:t>
      </w:r>
    </w:p>
    <w:p w14:paraId="55F6619F">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第七条 查询单位提出协助查询需求的，应当向本所提交以下文件：</w:t>
      </w:r>
    </w:p>
    <w:p w14:paraId="6E411D9B">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w:t>
      </w:r>
      <w:r>
        <w:rPr>
          <w:rFonts w:hint="eastAsia" w:ascii="Times New Roman" w:hAnsi="Times New Roman" w:eastAsia="仿宋_GB2312"/>
          <w:bCs/>
          <w:color w:val="000000"/>
          <w:sz w:val="32"/>
          <w:szCs w:val="32"/>
          <w:lang w:eastAsia="zh-CN"/>
        </w:rPr>
        <w:t>一</w:t>
      </w:r>
      <w:r>
        <w:rPr>
          <w:rFonts w:hint="eastAsia" w:ascii="Times New Roman" w:hAnsi="Times New Roman" w:eastAsia="仿宋_GB2312"/>
          <w:bCs/>
          <w:color w:val="000000"/>
          <w:sz w:val="32"/>
          <w:szCs w:val="32"/>
        </w:rPr>
        <w:t>）两名执法人员的工作证或者执行公务证原件和复印件，本所核查后返还原件，留存复印件；</w:t>
      </w:r>
    </w:p>
    <w:p w14:paraId="30FC0AA8">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w:t>
      </w:r>
      <w:r>
        <w:rPr>
          <w:rFonts w:hint="eastAsia" w:ascii="Times New Roman" w:hAnsi="Times New Roman" w:eastAsia="仿宋_GB2312"/>
          <w:bCs/>
          <w:color w:val="000000"/>
          <w:sz w:val="32"/>
          <w:szCs w:val="32"/>
          <w:lang w:eastAsia="zh-CN"/>
        </w:rPr>
        <w:t>二</w:t>
      </w:r>
      <w:r>
        <w:rPr>
          <w:rFonts w:hint="eastAsia" w:ascii="Times New Roman" w:hAnsi="Times New Roman" w:eastAsia="仿宋_GB2312"/>
          <w:bCs/>
          <w:color w:val="000000"/>
          <w:sz w:val="32"/>
          <w:szCs w:val="32"/>
        </w:rPr>
        <w:t>）加盖查询单位公章的各类协助查询通知书或者函件。</w:t>
      </w:r>
    </w:p>
    <w:p w14:paraId="35CE4FE6">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查询单位冻结、续冻、解冻或者强制转让会员席位的，还需提交相应裁定书及其他生效文书。</w:t>
      </w:r>
    </w:p>
    <w:p w14:paraId="339DCCCF">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第八条 查询单位向本所出具的协助查询通知书或者函件应当至少列明如下内容：</w:t>
      </w:r>
    </w:p>
    <w:p w14:paraId="259FC14E">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（一）送达单位：上海证券交易所；</w:t>
      </w:r>
    </w:p>
    <w:p w14:paraId="7BF3AE39">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（二）案号（如有）；</w:t>
      </w:r>
    </w:p>
    <w:p w14:paraId="7B2D395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（三）查询单位名称及其签章；</w:t>
      </w:r>
    </w:p>
    <w:p w14:paraId="3D27428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（四）明确、具体的协助内容；</w:t>
      </w:r>
    </w:p>
    <w:p w14:paraId="3B717F6F">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（五）查询自然人个人相关信息的，应当列明投资者账户（证券账户或一码通账户）和姓名；</w:t>
      </w:r>
    </w:p>
    <w:p w14:paraId="5C231E56">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（六）查询法人或者非法人组织相关信息的，应当列明投资者账户（证券账户或一码通账户）和全称；</w:t>
      </w:r>
    </w:p>
    <w:p w14:paraId="56B732B8">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（七）查询会员席位的，应当提供会员全称和席位编号。</w:t>
      </w:r>
    </w:p>
    <w:p w14:paraId="00260418">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第九条 查询单位要求本所对证券交易的原始记录进行分析或者加工的，应当提供明确的分析或者加工方法。本所根据查询单位要求提供对证券交易记录的原始数据进行分析或者加工的结果，仅供查询单位参考。</w:t>
      </w:r>
    </w:p>
    <w:p w14:paraId="7F199511">
      <w:pPr>
        <w:spacing w:line="560" w:lineRule="exact"/>
        <w:ind w:firstLine="640" w:firstLineChars="2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查询单位要求本所提供信息披露义务人有关信息披露文件的，本所不确保信息披露文件的真实性、准确性和完整性。</w:t>
      </w:r>
    </w:p>
    <w:p w14:paraId="2BC305CB">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第十条 本所指定部门收到查询单位相关协助查询文件的，对文件进行核对，并对符合法律、本指南规定的协助查询需求予以接收。</w:t>
      </w:r>
    </w:p>
    <w:p w14:paraId="3616E21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查询单位、协助查询内容不符合法律规定，或者存在其他违法情形的，本所不予接收并说明原因。</w:t>
      </w:r>
    </w:p>
    <w:p w14:paraId="62CD6036">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查询单位提交的文件形式不符合法律或者本指南规定的，本所一次性告知查询单位补齐后再予以接收。</w:t>
      </w:r>
    </w:p>
    <w:p w14:paraId="43CB8D92">
      <w:pPr>
        <w:spacing w:line="560" w:lineRule="exact"/>
        <w:ind w:firstLineChars="0"/>
        <w:jc w:val="center"/>
        <w:rPr>
          <w:rFonts w:hint="eastAsia" w:ascii="Times New Roman" w:hAnsi="Times New Roman" w:eastAsia="黑体" w:cs="黑体"/>
          <w:b w:val="0"/>
          <w:bCs w:val="0"/>
          <w:color w:val="000000"/>
          <w:sz w:val="32"/>
          <w:szCs w:val="32"/>
        </w:rPr>
      </w:pPr>
      <w:r>
        <w:rPr>
          <w:rFonts w:hint="eastAsia" w:ascii="Times New Roman" w:hAnsi="Times New Roman" w:eastAsia="黑体" w:cs="黑体"/>
          <w:b w:val="0"/>
          <w:bCs w:val="0"/>
          <w:color w:val="000000"/>
          <w:sz w:val="32"/>
          <w:szCs w:val="32"/>
        </w:rPr>
        <w:t>第三章 协助查询的接收和回复</w:t>
      </w:r>
    </w:p>
    <w:p w14:paraId="110C2209">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第十一条 本所指定部门接收协助查询需求后，按照业务范围转交相关业务部门予以办理，并由本所指定部门将查询或办理结果反馈给查询单位。</w:t>
      </w:r>
    </w:p>
    <w:p w14:paraId="60623B48">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查询单位工作人员现场收取查询或办理结果的，应当在签收单上签字（样本见</w:t>
      </w:r>
      <w:bookmarkStart w:id="3" w:name="OLE_LINK5"/>
      <w:bookmarkStart w:id="4" w:name="OLE_LINK4"/>
      <w:r>
        <w:rPr>
          <w:rFonts w:hint="eastAsia" w:ascii="Times New Roman" w:hAnsi="Times New Roman" w:eastAsia="仿宋_GB2312"/>
          <w:bCs/>
          <w:color w:val="000000"/>
          <w:sz w:val="32"/>
          <w:szCs w:val="32"/>
        </w:rPr>
        <w:t>附件</w:t>
      </w:r>
      <w:bookmarkEnd w:id="3"/>
      <w:bookmarkEnd w:id="4"/>
      <w:r>
        <w:rPr>
          <w:rFonts w:hint="eastAsia" w:ascii="Times New Roman" w:hAnsi="Times New Roman" w:eastAsia="仿宋_GB2312"/>
          <w:bCs/>
          <w:color w:val="000000"/>
          <w:sz w:val="32"/>
          <w:szCs w:val="32"/>
        </w:rPr>
        <w:t>2）。</w:t>
      </w:r>
    </w:p>
    <w:p w14:paraId="087812A3">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第十二条 本所根据《</w:t>
      </w:r>
      <w:r>
        <w:rPr>
          <w:rFonts w:hint="eastAsia" w:ascii="Times New Roman" w:hAnsi="Times New Roman" w:eastAsia="仿宋_GB2312"/>
          <w:bCs/>
          <w:color w:val="000000"/>
          <w:sz w:val="32"/>
          <w:szCs w:val="32"/>
          <w:lang w:eastAsia="zh-CN"/>
        </w:rPr>
        <w:t>中华人民共和国</w:t>
      </w:r>
      <w:r>
        <w:rPr>
          <w:rFonts w:hint="eastAsia" w:ascii="Times New Roman" w:hAnsi="Times New Roman" w:eastAsia="仿宋_GB2312"/>
          <w:bCs/>
          <w:color w:val="000000"/>
          <w:sz w:val="32"/>
          <w:szCs w:val="32"/>
        </w:rPr>
        <w:t>证券法》</w:t>
      </w:r>
      <w:r>
        <w:rPr>
          <w:rFonts w:hint="eastAsia" w:ascii="Times New Roman" w:hAnsi="Times New Roman" w:eastAsia="仿宋_GB2312"/>
          <w:bCs/>
          <w:color w:val="000000"/>
          <w:sz w:val="32"/>
          <w:szCs w:val="32"/>
          <w:lang w:eastAsia="zh-CN"/>
        </w:rPr>
        <w:t>《中华人民共和国个人信息保护法》</w:t>
      </w:r>
      <w:r>
        <w:rPr>
          <w:rFonts w:hint="eastAsia" w:ascii="Times New Roman" w:hAnsi="Times New Roman" w:eastAsia="仿宋_GB2312"/>
          <w:bCs/>
          <w:color w:val="000000"/>
          <w:sz w:val="32"/>
          <w:szCs w:val="32"/>
        </w:rPr>
        <w:t>等法律相关规定为投资者的信息保密。</w:t>
      </w:r>
    </w:p>
    <w:p w14:paraId="0FF5BA1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依法要求本所协助查询投资者交易相关信息的，原则上应当提供明确、具体的查询对象。无法提供的，查询单位应当填写《不特定账户信息司法查询表》（样本见附件3），说明案由和查询的具体用途，同时提供有关法律法规的具体规定作为查询依据。查询单位应按照必要、合理的原则确定查询范围，并承诺严格限定适用范围。</w:t>
      </w:r>
    </w:p>
    <w:p w14:paraId="460E9845">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查询单位及相关人员、本所相关人员应当对协助查询所知悉的国家秘密、商业秘密和个人信息予以保密，不得泄露相关信息。</w:t>
      </w:r>
    </w:p>
    <w:p w14:paraId="1D632189">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第十三条 本所接收的协助查询业务，原则上自本所指定部门接收之日起</w:t>
      </w:r>
      <w:r>
        <w:rPr>
          <w:rFonts w:hint="default" w:ascii="Times New Roman" w:hAnsi="Times New Roman" w:eastAsia="仿宋_GB2312"/>
          <w:bCs/>
          <w:color w:val="000000"/>
          <w:sz w:val="32"/>
          <w:szCs w:val="32"/>
        </w:rPr>
        <w:t>10</w:t>
      </w:r>
      <w:r>
        <w:rPr>
          <w:rFonts w:hint="eastAsia" w:ascii="Times New Roman" w:hAnsi="Times New Roman" w:eastAsia="仿宋_GB2312"/>
          <w:bCs/>
          <w:color w:val="000000"/>
          <w:sz w:val="32"/>
          <w:szCs w:val="32"/>
        </w:rPr>
        <w:t>个交易日内办理完毕。对于内容较多或者较为复杂的协助查询业务，本所可视情况延长办理时间，但一般不超过30个交易日。</w:t>
      </w:r>
    </w:p>
    <w:p w14:paraId="21CE58B4">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查询单位补充、变更需求的</w:t>
      </w:r>
      <w:r>
        <w:rPr>
          <w:rFonts w:hint="eastAsia" w:ascii="Times New Roman" w:hAnsi="Times New Roman" w:eastAsia="仿宋_GB2312"/>
          <w:bCs/>
          <w:color w:val="000000"/>
          <w:sz w:val="32"/>
          <w:szCs w:val="32"/>
          <w:lang w:eastAsia="zh-CN"/>
        </w:rPr>
        <w:t>，</w:t>
      </w:r>
      <w:r>
        <w:rPr>
          <w:rFonts w:hint="eastAsia" w:ascii="Times New Roman" w:hAnsi="Times New Roman" w:eastAsia="仿宋_GB2312"/>
          <w:bCs/>
          <w:color w:val="000000"/>
          <w:sz w:val="32"/>
          <w:szCs w:val="32"/>
        </w:rPr>
        <w:t>回复期限重新起算。</w:t>
      </w:r>
    </w:p>
    <w:p w14:paraId="306B78B6">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第十四条 查询单位要求协助对会员席位进行冻结、续冻、解冻或者强制转让的，应当先办理会员席位的查询。对于已经被其他单位依法冻结的会员席位，应当先依法解除冻结后，方可办理强制转让。</w:t>
      </w:r>
    </w:p>
    <w:p w14:paraId="26312758">
      <w:pPr>
        <w:spacing w:line="560" w:lineRule="exact"/>
        <w:jc w:val="center"/>
        <w:rPr>
          <w:rFonts w:hint="eastAsia" w:ascii="Times New Roman" w:hAnsi="Times New Roman" w:eastAsia="黑体" w:cs="黑体"/>
          <w:b w:val="0"/>
          <w:bCs w:val="0"/>
          <w:color w:val="000000"/>
          <w:sz w:val="32"/>
          <w:szCs w:val="32"/>
        </w:rPr>
      </w:pPr>
      <w:r>
        <w:rPr>
          <w:rFonts w:hint="eastAsia" w:ascii="Times New Roman" w:hAnsi="Times New Roman" w:eastAsia="黑体" w:cs="黑体"/>
          <w:b w:val="0"/>
          <w:bCs w:val="0"/>
          <w:color w:val="000000"/>
          <w:sz w:val="32"/>
          <w:szCs w:val="32"/>
        </w:rPr>
        <w:t>第四章 附则</w:t>
      </w:r>
    </w:p>
    <w:p w14:paraId="65049139">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第十五条 查询单位与本所就协助执行方式等另有约定且与本指南不一致的，按相关约定办理。</w:t>
      </w:r>
    </w:p>
    <w:p w14:paraId="34CDD460">
      <w:pPr>
        <w:pStyle w:val="10"/>
        <w:spacing w:line="560" w:lineRule="exact"/>
        <w:ind w:firstLine="600"/>
        <w:rPr>
          <w:rFonts w:hint="eastAsia" w:ascii="Times New Roman" w:hAnsi="Times New Roman" w:eastAsia="仿宋_GB2312"/>
          <w:bCs/>
          <w:color w:val="000000"/>
          <w:sz w:val="32"/>
          <w:szCs w:val="32"/>
        </w:rPr>
      </w:pPr>
      <w:r>
        <w:rPr>
          <w:rFonts w:hint="eastAsia" w:ascii="Times New Roman" w:hAnsi="Times New Roman" w:eastAsia="仿宋_GB2312"/>
          <w:bCs/>
          <w:color w:val="000000"/>
          <w:sz w:val="32"/>
          <w:szCs w:val="32"/>
        </w:rPr>
        <w:t>第十六条 本指南由本所负责解释，并自发布之日起实施。本所于</w:t>
      </w:r>
      <w:r>
        <w:rPr>
          <w:rFonts w:hint="default" w:ascii="Times New Roman" w:hAnsi="Times New Roman" w:eastAsia="仿宋_GB2312"/>
          <w:bCs/>
          <w:color w:val="000000"/>
          <w:sz w:val="32"/>
          <w:szCs w:val="32"/>
        </w:rPr>
        <w:t>202</w:t>
      </w:r>
      <w:r>
        <w:rPr>
          <w:rFonts w:hint="default" w:ascii="Times New Roman" w:hAnsi="Times New Roman" w:eastAsia="仿宋_GB2312"/>
          <w:bCs/>
          <w:color w:val="000000"/>
          <w:sz w:val="32"/>
          <w:szCs w:val="32"/>
          <w:highlight w:val="none"/>
          <w:lang w:eastAsia="zh-CN"/>
        </w:rPr>
        <w:t>1</w:t>
      </w:r>
      <w:r>
        <w:rPr>
          <w:rFonts w:hint="default" w:ascii="Times New Roman" w:hAnsi="Times New Roman" w:eastAsia="仿宋_GB2312"/>
          <w:bCs/>
          <w:color w:val="000000"/>
          <w:sz w:val="32"/>
          <w:szCs w:val="32"/>
        </w:rPr>
        <w:t>年</w:t>
      </w:r>
      <w:r>
        <w:rPr>
          <w:rFonts w:hint="default" w:ascii="Times New Roman" w:hAnsi="Times New Roman" w:eastAsia="仿宋_GB2312"/>
          <w:bCs/>
          <w:color w:val="000000"/>
          <w:sz w:val="32"/>
          <w:szCs w:val="32"/>
          <w:highlight w:val="none"/>
          <w:lang w:eastAsia="zh-CN"/>
        </w:rPr>
        <w:t>7</w:t>
      </w:r>
      <w:r>
        <w:rPr>
          <w:rFonts w:hint="default" w:ascii="Times New Roman" w:hAnsi="Times New Roman" w:eastAsia="仿宋_GB2312"/>
          <w:bCs/>
          <w:color w:val="000000"/>
          <w:sz w:val="32"/>
          <w:szCs w:val="32"/>
        </w:rPr>
        <w:t>月</w:t>
      </w:r>
      <w:r>
        <w:rPr>
          <w:rFonts w:hint="default" w:ascii="Times New Roman" w:hAnsi="Times New Roman" w:eastAsia="仿宋_GB2312"/>
          <w:bCs/>
          <w:color w:val="000000"/>
          <w:sz w:val="32"/>
          <w:szCs w:val="32"/>
          <w:highlight w:val="none"/>
          <w:lang w:eastAsia="zh-CN"/>
        </w:rPr>
        <w:t>2</w:t>
      </w:r>
      <w:r>
        <w:rPr>
          <w:rFonts w:hint="default" w:ascii="Times New Roman" w:hAnsi="Times New Roman" w:eastAsia="仿宋_GB2312"/>
          <w:bCs/>
          <w:color w:val="000000"/>
          <w:sz w:val="32"/>
          <w:szCs w:val="32"/>
          <w:highlight w:val="none"/>
          <w:lang w:val="en-US" w:eastAsia="zh-CN"/>
        </w:rPr>
        <w:t>8</w:t>
      </w:r>
      <w:r>
        <w:rPr>
          <w:rFonts w:hint="default" w:ascii="Times New Roman" w:hAnsi="Times New Roman" w:eastAsia="仿宋_GB2312"/>
          <w:bCs/>
          <w:color w:val="000000"/>
          <w:sz w:val="32"/>
          <w:szCs w:val="32"/>
        </w:rPr>
        <w:t>日发布的《上海证券交易所协助执法查询工作指南</w:t>
      </w:r>
      <w:r>
        <w:rPr>
          <w:rFonts w:hint="default" w:ascii="Times New Roman" w:hAnsi="Times New Roman" w:eastAsia="仿宋_GB2312"/>
          <w:bCs/>
          <w:color w:val="000000"/>
          <w:sz w:val="32"/>
          <w:szCs w:val="32"/>
          <w:highlight w:val="none"/>
        </w:rPr>
        <w:t>（2021年修订）</w:t>
      </w:r>
      <w:r>
        <w:rPr>
          <w:rFonts w:hint="default" w:ascii="Times New Roman" w:hAnsi="Times New Roman" w:eastAsia="仿宋_GB2312"/>
          <w:bCs/>
          <w:color w:val="000000"/>
          <w:sz w:val="32"/>
          <w:szCs w:val="32"/>
        </w:rPr>
        <w:t>》（上证函〔202</w:t>
      </w:r>
      <w:r>
        <w:rPr>
          <w:rFonts w:hint="default" w:ascii="Times New Roman" w:hAnsi="Times New Roman" w:eastAsia="仿宋_GB2312"/>
          <w:bCs/>
          <w:color w:val="000000"/>
          <w:sz w:val="32"/>
          <w:szCs w:val="32"/>
          <w:highlight w:val="none"/>
          <w:lang w:eastAsia="zh-CN"/>
        </w:rPr>
        <w:t>1</w:t>
      </w:r>
      <w:r>
        <w:rPr>
          <w:rFonts w:hint="default" w:ascii="Times New Roman" w:hAnsi="Times New Roman" w:eastAsia="仿宋_GB2312"/>
          <w:bCs/>
          <w:color w:val="000000"/>
          <w:sz w:val="32"/>
          <w:szCs w:val="32"/>
        </w:rPr>
        <w:t>〕</w:t>
      </w:r>
      <w:r>
        <w:rPr>
          <w:rFonts w:hint="default" w:ascii="Times New Roman" w:hAnsi="Times New Roman" w:eastAsia="仿宋_GB2312"/>
          <w:bCs/>
          <w:color w:val="000000"/>
          <w:sz w:val="32"/>
          <w:szCs w:val="32"/>
          <w:highlight w:val="none"/>
          <w:lang w:eastAsia="zh-CN"/>
        </w:rPr>
        <w:t>1</w:t>
      </w:r>
      <w:r>
        <w:rPr>
          <w:rFonts w:hint="default" w:ascii="Times New Roman" w:hAnsi="Times New Roman" w:eastAsia="仿宋_GB2312"/>
          <w:bCs/>
          <w:color w:val="000000"/>
          <w:sz w:val="32"/>
          <w:szCs w:val="32"/>
          <w:highlight w:val="none"/>
          <w:lang w:val="en-US" w:eastAsia="zh-CN"/>
        </w:rPr>
        <w:t>219</w:t>
      </w:r>
      <w:r>
        <w:rPr>
          <w:rFonts w:hint="eastAsia" w:ascii="Times New Roman" w:hAnsi="Times New Roman" w:eastAsia="仿宋_GB2312"/>
          <w:bCs/>
          <w:color w:val="000000"/>
          <w:sz w:val="32"/>
          <w:szCs w:val="32"/>
        </w:rPr>
        <w:t>号）同时废止。</w:t>
      </w:r>
    </w:p>
    <w:p w14:paraId="69FF66F2">
      <w:pPr>
        <w:pStyle w:val="10"/>
        <w:spacing w:line="560" w:lineRule="exact"/>
        <w:ind w:firstLine="0" w:firstLineChars="0"/>
        <w:rPr>
          <w:rFonts w:ascii="Times New Roman" w:hAnsi="Times New Roman" w:eastAsia="仿宋_GB2312"/>
          <w:bCs/>
          <w:color w:val="000000"/>
          <w:sz w:val="32"/>
          <w:szCs w:val="32"/>
        </w:rPr>
      </w:pPr>
    </w:p>
    <w:p w14:paraId="7F65003E">
      <w:pPr>
        <w:pStyle w:val="10"/>
        <w:spacing w:line="560" w:lineRule="exact"/>
        <w:ind w:firstLine="600"/>
        <w:rPr>
          <w:rFonts w:ascii="Times New Roman" w:hAnsi="Times New Roman" w:eastAsia="仿宋_GB2312"/>
          <w:bCs/>
          <w:color w:val="000000"/>
          <w:sz w:val="32"/>
          <w:szCs w:val="32"/>
        </w:rPr>
      </w:pPr>
      <w:r>
        <w:rPr>
          <w:rFonts w:hint="eastAsia" w:ascii="Times New Roman" w:hAnsi="Times New Roman" w:eastAsia="仿宋_GB2312"/>
          <w:bCs/>
          <w:color w:val="000000"/>
          <w:sz w:val="32"/>
          <w:szCs w:val="32"/>
        </w:rPr>
        <w:t>附件：</w:t>
      </w:r>
      <w:r>
        <w:rPr>
          <w:rFonts w:hint="default" w:ascii="Times New Roman" w:hAnsi="Times New Roman" w:eastAsia="仿宋_GB2312"/>
          <w:bCs/>
          <w:color w:val="000000"/>
          <w:sz w:val="32"/>
          <w:szCs w:val="32"/>
        </w:rPr>
        <w:t>1.上海证券交易所协助执法查询工作联系方式</w:t>
      </w:r>
    </w:p>
    <w:p w14:paraId="3C7ED11D">
      <w:pPr>
        <w:pStyle w:val="10"/>
        <w:spacing w:line="560" w:lineRule="exact"/>
        <w:ind w:firstLine="1600" w:firstLineChars="500"/>
        <w:rPr>
          <w:rFonts w:ascii="Times New Roman" w:hAnsi="Times New Roman" w:eastAsia="仿宋_GB2312"/>
          <w:bCs/>
          <w:color w:val="000000"/>
          <w:sz w:val="32"/>
          <w:szCs w:val="32"/>
        </w:rPr>
      </w:pPr>
      <w:r>
        <w:rPr>
          <w:rFonts w:hint="default" w:ascii="Times New Roman" w:hAnsi="Times New Roman" w:eastAsia="仿宋_GB2312"/>
          <w:bCs/>
          <w:color w:val="000000"/>
          <w:sz w:val="32"/>
          <w:szCs w:val="32"/>
        </w:rPr>
        <w:t>2.交易数据查询结果签收单</w:t>
      </w:r>
    </w:p>
    <w:p w14:paraId="0B3A63AA">
      <w:pPr>
        <w:pStyle w:val="10"/>
        <w:spacing w:line="560" w:lineRule="exact"/>
        <w:ind w:firstLine="1600" w:firstLineChars="500"/>
        <w:rPr>
          <w:rFonts w:ascii="Times New Roman" w:hAnsi="Times New Roman" w:eastAsia="仿宋_GB2312"/>
          <w:bCs/>
          <w:color w:val="000000"/>
          <w:sz w:val="32"/>
          <w:szCs w:val="32"/>
        </w:rPr>
      </w:pPr>
      <w:r>
        <w:rPr>
          <w:rFonts w:hint="default" w:ascii="Times New Roman" w:hAnsi="Times New Roman" w:eastAsia="仿宋_GB2312"/>
          <w:bCs/>
          <w:color w:val="000000"/>
          <w:sz w:val="32"/>
          <w:szCs w:val="32"/>
        </w:rPr>
        <w:t>3.不特定账户信息司法查询表</w:t>
      </w:r>
    </w:p>
    <w:p w14:paraId="4C1E471F">
      <w:pPr>
        <w:pStyle w:val="10"/>
        <w:spacing w:line="560" w:lineRule="exact"/>
        <w:ind w:firstLine="0" w:firstLineChars="0"/>
        <w:rPr>
          <w:rFonts w:ascii="仿宋_GB2312" w:hAnsi="宋体" w:eastAsia="仿宋_GB2312"/>
          <w:b/>
          <w:bCs/>
          <w:color w:val="000000"/>
          <w:sz w:val="30"/>
          <w:szCs w:val="30"/>
        </w:rPr>
      </w:pPr>
      <w:r>
        <w:rPr>
          <w:rFonts w:hint="eastAsia" w:ascii="仿宋_GB2312" w:hAnsi="宋体" w:eastAsia="仿宋_GB2312"/>
          <w:bCs/>
          <w:color w:val="000000"/>
          <w:sz w:val="30"/>
          <w:szCs w:val="30"/>
        </w:rPr>
        <w:br w:type="page"/>
      </w:r>
      <w:r>
        <w:rPr>
          <w:rFonts w:hint="eastAsia" w:ascii="黑体" w:hAnsi="黑体" w:eastAsia="黑体" w:cs="黑体"/>
          <w:b w:val="0"/>
          <w:bCs w:val="0"/>
          <w:color w:val="000000"/>
          <w:sz w:val="32"/>
          <w:szCs w:val="32"/>
        </w:rPr>
        <w:t>附件1</w:t>
      </w:r>
    </w:p>
    <w:p w14:paraId="3CD49FEB">
      <w:pPr>
        <w:spacing w:line="560" w:lineRule="exact"/>
        <w:jc w:val="center"/>
        <w:rPr>
          <w:rFonts w:eastAsia="黑体"/>
          <w:b/>
          <w:bCs/>
          <w:sz w:val="30"/>
          <w:szCs w:val="30"/>
        </w:rPr>
      </w:pPr>
    </w:p>
    <w:p w14:paraId="1888846E">
      <w:pPr>
        <w:spacing w:line="560" w:lineRule="exact"/>
        <w:jc w:val="center"/>
        <w:rPr>
          <w:rFonts w:hint="eastAsia" w:ascii="方正大标宋简体" w:hAnsi="黑体" w:eastAsia="方正大标宋简体"/>
          <w:b w:val="0"/>
          <w:bCs w:val="0"/>
          <w:sz w:val="44"/>
          <w:szCs w:val="44"/>
        </w:rPr>
      </w:pPr>
      <w:r>
        <w:rPr>
          <w:rFonts w:hint="eastAsia" w:ascii="方正大标宋简体" w:hAnsi="黑体" w:eastAsia="方正大标宋简体"/>
          <w:b w:val="0"/>
          <w:bCs w:val="0"/>
          <w:sz w:val="44"/>
          <w:szCs w:val="44"/>
        </w:rPr>
        <w:t>上海证券交易所协助执法查询</w:t>
      </w:r>
    </w:p>
    <w:p w14:paraId="4E79BD69">
      <w:pPr>
        <w:spacing w:line="560" w:lineRule="exact"/>
        <w:jc w:val="center"/>
        <w:rPr>
          <w:rFonts w:hint="eastAsia" w:ascii="方正大标宋简体" w:hAnsi="黑体" w:eastAsia="方正大标宋简体"/>
          <w:b w:val="0"/>
          <w:bCs w:val="0"/>
          <w:sz w:val="44"/>
          <w:szCs w:val="44"/>
        </w:rPr>
      </w:pPr>
      <w:r>
        <w:rPr>
          <w:rFonts w:hint="eastAsia" w:ascii="方正大标宋简体" w:hAnsi="黑体" w:eastAsia="方正大标宋简体"/>
          <w:b w:val="0"/>
          <w:bCs w:val="0"/>
          <w:sz w:val="44"/>
          <w:szCs w:val="44"/>
        </w:rPr>
        <w:t>工作联系方式</w:t>
      </w:r>
    </w:p>
    <w:p w14:paraId="58A6DBB7">
      <w:pPr>
        <w:jc w:val="center"/>
        <w:rPr>
          <w:rFonts w:eastAsia="黑体"/>
          <w:b/>
          <w:bCs/>
          <w:sz w:val="30"/>
          <w:szCs w:val="30"/>
        </w:rPr>
      </w:pPr>
    </w:p>
    <w:tbl>
      <w:tblPr>
        <w:tblStyle w:val="6"/>
        <w:tblW w:w="8844"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8"/>
        <w:gridCol w:w="5666"/>
      </w:tblGrid>
      <w:tr w14:paraId="68DA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45C5E43">
            <w:pPr>
              <w:widowControl/>
              <w:jc w:val="left"/>
              <w:rPr>
                <w:rFonts w:hint="eastAsia" w:ascii="仿宋_GB2312" w:eastAsia="仿宋_GB2312"/>
                <w:bCs/>
                <w:sz w:val="30"/>
                <w:szCs w:val="30"/>
              </w:rPr>
            </w:pPr>
            <w:r>
              <w:rPr>
                <w:rFonts w:hint="eastAsia" w:ascii="仿宋_GB2312" w:eastAsia="仿宋_GB2312"/>
                <w:bCs/>
                <w:sz w:val="30"/>
                <w:szCs w:val="30"/>
              </w:rPr>
              <w:t>联系电话</w:t>
            </w:r>
          </w:p>
        </w:tc>
        <w:tc>
          <w:tcPr>
            <w:tcW w:w="562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7A92642">
            <w:pPr>
              <w:widowControl/>
              <w:jc w:val="left"/>
              <w:rPr>
                <w:rFonts w:hint="default" w:ascii="仿宋_GB2312" w:eastAsia="仿宋_GB2312"/>
                <w:bCs/>
                <w:sz w:val="30"/>
                <w:szCs w:val="30"/>
                <w:lang w:val="en-US" w:eastAsia="zh-CN"/>
              </w:rPr>
            </w:pPr>
            <w:r>
              <w:rPr>
                <w:rFonts w:hint="default" w:ascii="仿宋_GB2312" w:eastAsia="仿宋_GB2312"/>
                <w:bCs/>
                <w:sz w:val="30"/>
                <w:szCs w:val="30"/>
                <w:lang w:val="en-US" w:eastAsia="zh-CN"/>
              </w:rPr>
              <w:t>4008888400-1-6</w:t>
            </w:r>
          </w:p>
        </w:tc>
      </w:tr>
      <w:tr w14:paraId="0E9F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2765753">
            <w:pPr>
              <w:widowControl/>
              <w:jc w:val="left"/>
              <w:rPr>
                <w:rFonts w:ascii="仿宋_GB2312" w:eastAsia="仿宋_GB2312"/>
                <w:bCs/>
                <w:sz w:val="30"/>
                <w:szCs w:val="30"/>
              </w:rPr>
            </w:pPr>
            <w:r>
              <w:rPr>
                <w:rFonts w:hint="eastAsia" w:ascii="仿宋_GB2312" w:eastAsia="仿宋_GB2312"/>
                <w:bCs/>
                <w:sz w:val="30"/>
                <w:szCs w:val="30"/>
              </w:rPr>
              <w:t>联系邮箱</w:t>
            </w:r>
          </w:p>
        </w:tc>
        <w:tc>
          <w:tcPr>
            <w:tcW w:w="562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E88C81B">
            <w:pPr>
              <w:widowControl/>
              <w:jc w:val="left"/>
              <w:rPr>
                <w:rFonts w:ascii="仿宋_GB2312" w:eastAsia="仿宋_GB2312"/>
                <w:bCs/>
                <w:sz w:val="30"/>
                <w:szCs w:val="30"/>
              </w:rPr>
            </w:pPr>
            <w:r>
              <w:rPr>
                <w:rFonts w:hint="eastAsia" w:ascii="仿宋_GB2312" w:eastAsia="仿宋_GB2312"/>
                <w:bCs/>
                <w:sz w:val="30"/>
                <w:szCs w:val="30"/>
              </w:rPr>
              <w:t>flb@sse.com.cn</w:t>
            </w:r>
          </w:p>
        </w:tc>
      </w:tr>
      <w:tr w14:paraId="649A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1C4FBCE">
            <w:pPr>
              <w:widowControl/>
              <w:jc w:val="left"/>
              <w:rPr>
                <w:rFonts w:ascii="仿宋_GB2312" w:eastAsia="仿宋_GB2312"/>
                <w:bCs/>
                <w:sz w:val="30"/>
                <w:szCs w:val="30"/>
              </w:rPr>
            </w:pPr>
            <w:r>
              <w:rPr>
                <w:rFonts w:hint="eastAsia" w:ascii="仿宋_GB2312" w:eastAsia="仿宋_GB2312"/>
                <w:bCs/>
                <w:sz w:val="30"/>
                <w:szCs w:val="30"/>
              </w:rPr>
              <w:t>办理材料邮寄地址</w:t>
            </w:r>
          </w:p>
        </w:tc>
        <w:tc>
          <w:tcPr>
            <w:tcW w:w="562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1A2ACC1">
            <w:pPr>
              <w:widowControl/>
              <w:jc w:val="left"/>
              <w:rPr>
                <w:rFonts w:ascii="仿宋_GB2312" w:eastAsia="仿宋_GB2312"/>
                <w:bCs/>
                <w:sz w:val="30"/>
                <w:szCs w:val="30"/>
              </w:rPr>
            </w:pPr>
            <w:r>
              <w:rPr>
                <w:rFonts w:hint="eastAsia" w:ascii="仿宋_GB2312" w:eastAsia="仿宋_GB2312"/>
                <w:bCs/>
                <w:sz w:val="30"/>
                <w:szCs w:val="30"/>
              </w:rPr>
              <w:t>上海市浦东新区杨高南路388号上海证券交易所22楼法律事务部</w:t>
            </w:r>
          </w:p>
        </w:tc>
      </w:tr>
      <w:tr w14:paraId="228F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CellSpacing w:w="15" w:type="dxa"/>
        </w:trPr>
        <w:tc>
          <w:tcPr>
            <w:tcW w:w="0" w:type="auto"/>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46B9DB5D">
            <w:pPr>
              <w:widowControl/>
              <w:jc w:val="left"/>
              <w:rPr>
                <w:rFonts w:ascii="仿宋_GB2312" w:eastAsia="仿宋_GB2312"/>
                <w:bCs/>
                <w:sz w:val="30"/>
                <w:szCs w:val="30"/>
              </w:rPr>
            </w:pPr>
            <w:r>
              <w:rPr>
                <w:rFonts w:hint="eastAsia" w:ascii="仿宋_GB2312" w:eastAsia="仿宋_GB2312"/>
                <w:bCs/>
                <w:sz w:val="30"/>
                <w:szCs w:val="30"/>
              </w:rPr>
              <w:t>邮政编码</w:t>
            </w:r>
          </w:p>
        </w:tc>
        <w:tc>
          <w:tcPr>
            <w:tcW w:w="5621"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995959B">
            <w:pPr>
              <w:widowControl/>
              <w:jc w:val="left"/>
              <w:rPr>
                <w:rFonts w:ascii="仿宋_GB2312" w:eastAsia="仿宋_GB2312"/>
                <w:bCs/>
                <w:sz w:val="30"/>
                <w:szCs w:val="30"/>
              </w:rPr>
            </w:pPr>
            <w:r>
              <w:rPr>
                <w:rFonts w:hint="eastAsia" w:ascii="仿宋_GB2312" w:eastAsia="仿宋_GB2312"/>
                <w:bCs/>
                <w:sz w:val="30"/>
                <w:szCs w:val="30"/>
              </w:rPr>
              <w:t>200127</w:t>
            </w:r>
          </w:p>
        </w:tc>
      </w:tr>
    </w:tbl>
    <w:p w14:paraId="6FEF0B73">
      <w:pPr>
        <w:spacing w:line="560" w:lineRule="exact"/>
        <w:jc w:val="left"/>
        <w:rPr>
          <w:rFonts w:ascii="仿宋_GB2312" w:eastAsia="仿宋_GB2312"/>
          <w:b/>
          <w:sz w:val="30"/>
          <w:szCs w:val="30"/>
        </w:rPr>
      </w:pPr>
      <w:r>
        <w:rPr>
          <w:rFonts w:hint="eastAsia" w:ascii="宋体" w:hAnsi="宋体"/>
          <w:b/>
          <w:sz w:val="30"/>
          <w:szCs w:val="30"/>
        </w:rPr>
        <w:br w:type="page"/>
      </w:r>
      <w:r>
        <w:rPr>
          <w:rFonts w:hint="eastAsia" w:ascii="黑体" w:hAnsi="黑体" w:eastAsia="黑体" w:cs="黑体"/>
          <w:b w:val="0"/>
          <w:sz w:val="32"/>
          <w:szCs w:val="32"/>
        </w:rPr>
        <w:t>附件2</w:t>
      </w:r>
    </w:p>
    <w:p w14:paraId="306CFFF6">
      <w:pPr>
        <w:spacing w:line="560" w:lineRule="exact"/>
        <w:jc w:val="center"/>
        <w:rPr>
          <w:rFonts w:eastAsia="黑体"/>
          <w:b/>
          <w:bCs/>
          <w:sz w:val="30"/>
          <w:szCs w:val="30"/>
        </w:rPr>
      </w:pPr>
    </w:p>
    <w:p w14:paraId="0A41E092">
      <w:pPr>
        <w:spacing w:line="560" w:lineRule="exact"/>
        <w:jc w:val="center"/>
        <w:rPr>
          <w:rFonts w:ascii="方正大标宋简体" w:hAnsi="黑体" w:eastAsia="方正大标宋简体"/>
          <w:sz w:val="42"/>
          <w:szCs w:val="42"/>
        </w:rPr>
      </w:pPr>
      <w:r>
        <w:rPr>
          <w:rFonts w:hint="eastAsia" w:ascii="方正大标宋简体" w:hAnsi="黑体" w:eastAsia="方正大标宋简体"/>
          <w:sz w:val="44"/>
          <w:szCs w:val="44"/>
        </w:rPr>
        <w:t>交易数据查询结果签收单</w:t>
      </w:r>
    </w:p>
    <w:p w14:paraId="0BBFE016">
      <w:pPr>
        <w:jc w:val="center"/>
        <w:rPr>
          <w:rFonts w:ascii="黑体" w:hAnsi="黑体" w:eastAsia="黑体"/>
          <w:b/>
          <w:sz w:val="30"/>
          <w:szCs w:val="30"/>
        </w:rPr>
      </w:pPr>
    </w:p>
    <w:p w14:paraId="5D67AB76">
      <w:pPr>
        <w:spacing w:line="380" w:lineRule="exact"/>
        <w:ind w:left="150" w:hanging="150" w:hangingChars="50"/>
        <w:jc w:val="center"/>
        <w:rPr>
          <w:rFonts w:eastAsia="黑体"/>
          <w:b/>
          <w:bCs/>
          <w:sz w:val="30"/>
          <w:szCs w:val="30"/>
        </w:rPr>
      </w:pPr>
      <w:r>
        <w:rPr>
          <w:rFonts w:hint="eastAsia" w:ascii="仿宋_GB2312" w:eastAsia="仿宋_GB2312"/>
          <w:sz w:val="30"/>
          <w:szCs w:val="30"/>
        </w:rPr>
        <w:t xml:space="preserve">                                   上证法询字（202 ） 号</w:t>
      </w:r>
    </w:p>
    <w:p w14:paraId="701BD616">
      <w:pPr>
        <w:rPr>
          <w:rFonts w:eastAsia="黑体"/>
          <w:b/>
          <w:bCs/>
          <w:sz w:val="30"/>
          <w:szCs w:val="30"/>
        </w:rPr>
      </w:pPr>
    </w:p>
    <w:p w14:paraId="7C3DDC05">
      <w:pPr>
        <w:rPr>
          <w:rFonts w:ascii="仿宋" w:hAnsi="仿宋" w:eastAsia="仿宋"/>
          <w:sz w:val="30"/>
          <w:szCs w:val="30"/>
        </w:rPr>
      </w:pPr>
      <w:r>
        <w:rPr>
          <w:rFonts w:hint="eastAsia" w:ascii="仿宋_GB2312" w:eastAsia="仿宋_GB2312"/>
          <w:bCs/>
          <w:sz w:val="30"/>
          <w:szCs w:val="30"/>
        </w:rPr>
        <w:t xml:space="preserve">查询单位：    </w:t>
      </w:r>
    </w:p>
    <w:p w14:paraId="1529A5F8">
      <w:pPr>
        <w:rPr>
          <w:rFonts w:ascii="仿宋_GB2312" w:eastAsia="仿宋_GB2312"/>
          <w:sz w:val="30"/>
          <w:szCs w:val="30"/>
        </w:rPr>
      </w:pPr>
      <w:r>
        <w:rPr>
          <w:rFonts w:hint="eastAsia" w:ascii="仿宋_GB2312" w:eastAsia="仿宋_GB2312"/>
          <w:bCs/>
          <w:sz w:val="30"/>
          <w:szCs w:val="30"/>
        </w:rPr>
        <w:t xml:space="preserve">来函时间：    </w:t>
      </w:r>
    </w:p>
    <w:p w14:paraId="5FD570DB">
      <w:pPr>
        <w:ind w:left="2100" w:hanging="2100" w:hangingChars="700"/>
        <w:rPr>
          <w:rFonts w:ascii="仿宋_GB2312" w:eastAsia="仿宋_GB2312"/>
          <w:sz w:val="30"/>
          <w:szCs w:val="30"/>
        </w:rPr>
      </w:pPr>
      <w:r>
        <w:rPr>
          <w:rFonts w:hint="eastAsia" w:ascii="仿宋_GB2312" w:eastAsia="仿宋_GB2312"/>
          <w:bCs/>
          <w:sz w:val="30"/>
          <w:szCs w:val="30"/>
        </w:rPr>
        <w:t xml:space="preserve">反馈内容：见调取证据通知/函件需求。 </w:t>
      </w:r>
    </w:p>
    <w:p w14:paraId="3BD817DE">
      <w:pPr>
        <w:rPr>
          <w:rFonts w:ascii="仿宋_GB2312" w:eastAsia="仿宋_GB2312"/>
          <w:sz w:val="30"/>
          <w:szCs w:val="30"/>
        </w:rPr>
      </w:pPr>
      <w:r>
        <w:rPr>
          <w:rFonts w:hint="eastAsia" w:ascii="仿宋_GB2312" w:eastAsia="仿宋_GB2312"/>
          <w:bCs/>
          <w:sz w:val="30"/>
          <w:szCs w:val="30"/>
        </w:rPr>
        <w:t xml:space="preserve">提供时间：   </w:t>
      </w:r>
    </w:p>
    <w:p w14:paraId="31F29D8B">
      <w:pPr>
        <w:rPr>
          <w:rFonts w:ascii="仿宋_GB2312" w:eastAsia="仿宋_GB2312"/>
          <w:sz w:val="30"/>
          <w:szCs w:val="30"/>
        </w:rPr>
      </w:pPr>
      <w:r>
        <w:rPr>
          <w:rFonts w:hint="eastAsia" w:ascii="仿宋_GB2312" w:eastAsia="仿宋_GB2312"/>
          <w:sz w:val="30"/>
          <w:szCs w:val="30"/>
        </w:rPr>
        <w:t>备注：相关信息如果属于保密信息，请在使用过程中务必做好保密工作，使用完毕后及时销毁。</w:t>
      </w:r>
    </w:p>
    <w:p w14:paraId="67D5531A">
      <w:pPr>
        <w:rPr>
          <w:rFonts w:ascii="仿宋_GB2312" w:eastAsia="仿宋_GB2312"/>
          <w:sz w:val="30"/>
          <w:szCs w:val="30"/>
        </w:rPr>
      </w:pPr>
    </w:p>
    <w:p w14:paraId="7D278F65">
      <w:pPr>
        <w:jc w:val="center"/>
        <w:rPr>
          <w:rFonts w:ascii="仿宋_GB2312" w:eastAsia="仿宋_GB2312"/>
          <w:sz w:val="30"/>
          <w:szCs w:val="30"/>
        </w:rPr>
      </w:pPr>
      <w:r>
        <w:rPr>
          <w:rFonts w:hint="eastAsia" w:ascii="仿宋_GB2312" w:eastAsia="仿宋_GB2312"/>
          <w:sz w:val="30"/>
          <w:szCs w:val="30"/>
        </w:rPr>
        <w:t xml:space="preserve">                            签收人：</w:t>
      </w:r>
    </w:p>
    <w:p w14:paraId="1743A535">
      <w:pPr>
        <w:jc w:val="center"/>
        <w:rPr>
          <w:rFonts w:ascii="仿宋_GB2312" w:eastAsia="仿宋_GB2312"/>
          <w:sz w:val="30"/>
          <w:szCs w:val="30"/>
        </w:rPr>
      </w:pPr>
      <w:r>
        <w:rPr>
          <w:rFonts w:hint="eastAsia" w:ascii="仿宋_GB2312" w:eastAsia="仿宋_GB2312"/>
          <w:sz w:val="30"/>
          <w:szCs w:val="30"/>
        </w:rPr>
        <w:t xml:space="preserve">                            职  务：</w:t>
      </w:r>
    </w:p>
    <w:p w14:paraId="389B94A9">
      <w:pPr>
        <w:rPr>
          <w:rFonts w:ascii="仿宋_GB2312" w:eastAsia="仿宋_GB2312"/>
          <w:sz w:val="30"/>
          <w:szCs w:val="30"/>
        </w:rPr>
      </w:pPr>
      <w:r>
        <w:rPr>
          <w:rFonts w:hint="eastAsia" w:ascii="仿宋_GB2312" w:eastAsia="仿宋_GB2312"/>
          <w:sz w:val="30"/>
          <w:szCs w:val="30"/>
        </w:rPr>
        <w:t xml:space="preserve">                                      年  月  日</w:t>
      </w:r>
    </w:p>
    <w:p w14:paraId="390C6901">
      <w:pPr>
        <w:rPr>
          <w:rFonts w:ascii="仿宋_GB2312" w:eastAsia="仿宋_GB2312"/>
          <w:sz w:val="30"/>
          <w:szCs w:val="30"/>
        </w:rPr>
      </w:pPr>
    </w:p>
    <w:p w14:paraId="5623F0EF">
      <w:pPr>
        <w:rPr>
          <w:rFonts w:ascii="仿宋_GB2312" w:eastAsia="仿宋_GB2312"/>
          <w:sz w:val="30"/>
          <w:szCs w:val="30"/>
        </w:rPr>
      </w:pPr>
      <w:r>
        <w:rPr>
          <w:rFonts w:hint="eastAsia" w:ascii="仿宋_GB2312" w:eastAsia="仿宋_GB2312"/>
          <w:sz w:val="30"/>
          <w:szCs w:val="30"/>
        </w:rPr>
        <w:t>请于签字后寄回</w:t>
      </w:r>
    </w:p>
    <w:p w14:paraId="201113B8">
      <w:pPr>
        <w:rPr>
          <w:rFonts w:ascii="仿宋_GB2312" w:eastAsia="仿宋_GB2312"/>
          <w:sz w:val="30"/>
          <w:szCs w:val="30"/>
        </w:rPr>
      </w:pPr>
      <w:r>
        <w:rPr>
          <w:rFonts w:hint="eastAsia" w:ascii="仿宋_GB2312" w:eastAsia="仿宋_GB2312"/>
          <w:sz w:val="30"/>
          <w:szCs w:val="30"/>
        </w:rPr>
        <w:t>地址：上海市浦东新区杨高南路388号上海证券交易所22楼法律事务部</w:t>
      </w:r>
    </w:p>
    <w:p w14:paraId="005097B7">
      <w:pPr>
        <w:pStyle w:val="10"/>
        <w:ind w:left="600" w:firstLine="0" w:firstLineChars="0"/>
        <w:rPr>
          <w:rFonts w:ascii="仿宋_GB2312" w:hAnsi="宋体" w:eastAsia="仿宋_GB2312"/>
          <w:bCs/>
          <w:color w:val="000000"/>
          <w:sz w:val="30"/>
          <w:szCs w:val="30"/>
        </w:rPr>
      </w:pPr>
    </w:p>
    <w:p w14:paraId="0A3FBD6C">
      <w:pPr>
        <w:spacing w:line="560" w:lineRule="exact"/>
        <w:rPr>
          <w:rFonts w:ascii="仿宋_GB2312" w:eastAsia="仿宋_GB2312"/>
          <w:b/>
          <w:sz w:val="30"/>
          <w:szCs w:val="30"/>
        </w:rPr>
      </w:pPr>
    </w:p>
    <w:p w14:paraId="34270F96">
      <w:pPr>
        <w:spacing w:line="560" w:lineRule="exact"/>
        <w:rPr>
          <w:rFonts w:hint="eastAsia" w:ascii="黑体" w:hAnsi="黑体" w:eastAsia="黑体" w:cs="黑体"/>
          <w:b w:val="0"/>
          <w:sz w:val="32"/>
          <w:szCs w:val="32"/>
        </w:rPr>
      </w:pPr>
    </w:p>
    <w:p w14:paraId="0891B368">
      <w:pPr>
        <w:spacing w:line="560" w:lineRule="exact"/>
        <w:rPr>
          <w:rFonts w:hint="eastAsia" w:ascii="黑体" w:hAnsi="黑体" w:eastAsia="黑体" w:cs="黑体"/>
          <w:b w:val="0"/>
          <w:sz w:val="32"/>
          <w:szCs w:val="32"/>
        </w:rPr>
      </w:pPr>
      <w:r>
        <w:rPr>
          <w:rFonts w:hint="eastAsia" w:ascii="黑体" w:hAnsi="黑体" w:eastAsia="黑体" w:cs="黑体"/>
          <w:b w:val="0"/>
          <w:sz w:val="32"/>
          <w:szCs w:val="32"/>
        </w:rPr>
        <w:t>附件3</w:t>
      </w:r>
    </w:p>
    <w:p w14:paraId="5502E382">
      <w:pPr>
        <w:spacing w:line="560" w:lineRule="exact"/>
        <w:jc w:val="center"/>
        <w:rPr>
          <w:rFonts w:hint="eastAsia" w:ascii="方正大标宋简体" w:hAnsi="黑体" w:eastAsia="方正大标宋简体"/>
          <w:b w:val="0"/>
          <w:sz w:val="44"/>
          <w:szCs w:val="44"/>
        </w:rPr>
      </w:pPr>
      <w:r>
        <w:rPr>
          <w:rFonts w:hint="eastAsia" w:ascii="方正大标宋简体" w:hAnsi="黑体" w:eastAsia="方正大标宋简体"/>
          <w:b w:val="0"/>
          <w:sz w:val="44"/>
          <w:szCs w:val="44"/>
        </w:rPr>
        <w:t>不特定账户信息司法查询表</w:t>
      </w:r>
    </w:p>
    <w:tbl>
      <w:tblPr>
        <w:tblStyle w:val="6"/>
        <w:tblpPr w:leftFromText="180" w:rightFromText="180" w:vertAnchor="text" w:horzAnchor="page" w:tblpX="1376" w:tblpY="130"/>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7412"/>
      </w:tblGrid>
      <w:tr w14:paraId="7C64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803" w:type="dxa"/>
          </w:tcPr>
          <w:p w14:paraId="0C7141F2">
            <w:pPr>
              <w:rPr>
                <w:sz w:val="28"/>
                <w:szCs w:val="24"/>
              </w:rPr>
            </w:pPr>
            <w:r>
              <w:rPr>
                <w:rFonts w:hint="eastAsia"/>
                <w:sz w:val="28"/>
                <w:szCs w:val="24"/>
              </w:rPr>
              <w:t>查询单位</w:t>
            </w:r>
          </w:p>
        </w:tc>
        <w:tc>
          <w:tcPr>
            <w:tcW w:w="7412" w:type="dxa"/>
          </w:tcPr>
          <w:p w14:paraId="7682C821">
            <w:pPr>
              <w:rPr>
                <w:sz w:val="28"/>
                <w:szCs w:val="24"/>
              </w:rPr>
            </w:pPr>
          </w:p>
        </w:tc>
      </w:tr>
      <w:tr w14:paraId="59C9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803" w:type="dxa"/>
          </w:tcPr>
          <w:p w14:paraId="154C8D87">
            <w:pPr>
              <w:rPr>
                <w:sz w:val="28"/>
                <w:szCs w:val="24"/>
              </w:rPr>
            </w:pPr>
            <w:r>
              <w:rPr>
                <w:rFonts w:hint="eastAsia"/>
                <w:sz w:val="28"/>
                <w:szCs w:val="24"/>
              </w:rPr>
              <w:t>案由</w:t>
            </w:r>
          </w:p>
        </w:tc>
        <w:tc>
          <w:tcPr>
            <w:tcW w:w="7412" w:type="dxa"/>
          </w:tcPr>
          <w:p w14:paraId="4EDCED58">
            <w:pPr>
              <w:rPr>
                <w:rFonts w:ascii="仿宋_GB2312" w:hAnsi="宋体" w:eastAsia="仿宋_GB2312"/>
                <w:bCs/>
                <w:sz w:val="28"/>
                <w:szCs w:val="24"/>
              </w:rPr>
            </w:pPr>
            <w:r>
              <w:rPr>
                <w:rFonts w:ascii="仿宋_GB2312" w:hAnsi="宋体" w:eastAsia="仿宋_GB2312"/>
                <w:bCs/>
                <w:sz w:val="28"/>
                <w:szCs w:val="24"/>
              </w:rPr>
              <w:t xml:space="preserve">□ </w:t>
            </w:r>
            <w:r>
              <w:rPr>
                <w:rFonts w:hint="eastAsia" w:ascii="仿宋_GB2312" w:hAnsi="宋体" w:eastAsia="仿宋_GB2312"/>
                <w:bCs/>
                <w:sz w:val="28"/>
                <w:szCs w:val="24"/>
              </w:rPr>
              <w:t>市场操纵类案件</w:t>
            </w:r>
          </w:p>
          <w:p w14:paraId="5A4AE6A4">
            <w:pPr>
              <w:rPr>
                <w:rFonts w:ascii="仿宋_GB2312" w:hAnsi="宋体" w:eastAsia="仿宋_GB2312"/>
                <w:bCs/>
                <w:sz w:val="28"/>
                <w:szCs w:val="24"/>
              </w:rPr>
            </w:pPr>
            <w:r>
              <w:rPr>
                <w:rFonts w:ascii="仿宋_GB2312" w:hAnsi="宋体" w:eastAsia="仿宋_GB2312"/>
                <w:bCs/>
                <w:sz w:val="28"/>
                <w:szCs w:val="24"/>
              </w:rPr>
              <w:t>□</w:t>
            </w:r>
            <w:r>
              <w:rPr>
                <w:rFonts w:hint="eastAsia" w:ascii="仿宋_GB2312" w:hAnsi="宋体" w:eastAsia="仿宋_GB2312"/>
                <w:bCs/>
                <w:sz w:val="28"/>
                <w:szCs w:val="24"/>
              </w:rPr>
              <w:t xml:space="preserve"> 内幕交易类案件</w:t>
            </w:r>
          </w:p>
          <w:p w14:paraId="6897DBAD">
            <w:pPr>
              <w:rPr>
                <w:rFonts w:ascii="仿宋_GB2312" w:hAnsi="宋体" w:eastAsia="仿宋_GB2312"/>
                <w:bCs/>
                <w:sz w:val="28"/>
                <w:szCs w:val="24"/>
              </w:rPr>
            </w:pPr>
            <w:r>
              <w:rPr>
                <w:rFonts w:ascii="仿宋_GB2312" w:hAnsi="宋体" w:eastAsia="仿宋_GB2312"/>
                <w:bCs/>
                <w:sz w:val="28"/>
                <w:szCs w:val="24"/>
              </w:rPr>
              <w:t xml:space="preserve">□ </w:t>
            </w:r>
            <w:r>
              <w:rPr>
                <w:rFonts w:hint="eastAsia" w:ascii="仿宋_GB2312" w:hAnsi="宋体" w:eastAsia="仿宋_GB2312"/>
                <w:bCs/>
                <w:sz w:val="28"/>
                <w:szCs w:val="24"/>
              </w:rPr>
              <w:t>虚假陈述类案件</w:t>
            </w:r>
          </w:p>
          <w:p w14:paraId="2B1ECBE7">
            <w:pPr>
              <w:rPr>
                <w:rFonts w:ascii="仿宋_GB2312" w:hAnsi="宋体" w:eastAsia="仿宋_GB2312"/>
                <w:bCs/>
                <w:sz w:val="28"/>
                <w:szCs w:val="24"/>
              </w:rPr>
            </w:pPr>
            <w:r>
              <w:rPr>
                <w:rFonts w:ascii="仿宋_GB2312" w:hAnsi="宋体" w:eastAsia="仿宋_GB2312"/>
                <w:bCs/>
                <w:sz w:val="28"/>
                <w:szCs w:val="24"/>
              </w:rPr>
              <w:t>□</w:t>
            </w:r>
            <w:r>
              <w:rPr>
                <w:rFonts w:hint="eastAsia" w:ascii="仿宋_GB2312" w:hAnsi="宋体" w:eastAsia="仿宋_GB2312"/>
                <w:bCs/>
                <w:sz w:val="28"/>
                <w:szCs w:val="24"/>
              </w:rPr>
              <w:t xml:space="preserve"> 审计、监察类案件</w:t>
            </w:r>
          </w:p>
          <w:p w14:paraId="4DDFF78B">
            <w:pPr>
              <w:rPr>
                <w:rFonts w:ascii="仿宋_GB2312" w:hAnsi="宋体" w:eastAsia="仿宋_GB2312"/>
                <w:bCs/>
                <w:sz w:val="28"/>
                <w:szCs w:val="24"/>
                <w:u w:val="single"/>
              </w:rPr>
            </w:pPr>
            <w:r>
              <w:rPr>
                <w:rFonts w:ascii="仿宋_GB2312" w:hAnsi="宋体" w:eastAsia="仿宋_GB2312"/>
                <w:bCs/>
                <w:sz w:val="28"/>
                <w:szCs w:val="24"/>
              </w:rPr>
              <w:t>□</w:t>
            </w:r>
            <w:r>
              <w:rPr>
                <w:rFonts w:hint="eastAsia" w:ascii="仿宋_GB2312" w:hAnsi="宋体" w:eastAsia="仿宋_GB2312"/>
                <w:bCs/>
                <w:sz w:val="28"/>
                <w:szCs w:val="24"/>
              </w:rPr>
              <w:t xml:space="preserve"> 其他 </w:t>
            </w:r>
            <w:r>
              <w:rPr>
                <w:rFonts w:hint="eastAsia" w:ascii="仿宋_GB2312" w:hAnsi="宋体" w:eastAsia="仿宋_GB2312"/>
                <w:bCs/>
                <w:sz w:val="28"/>
                <w:szCs w:val="24"/>
                <w:u w:val="single"/>
              </w:rPr>
              <w:t xml:space="preserve">                   </w:t>
            </w:r>
          </w:p>
        </w:tc>
      </w:tr>
      <w:tr w14:paraId="0219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1803" w:type="dxa"/>
          </w:tcPr>
          <w:p w14:paraId="23B126AC">
            <w:pPr>
              <w:rPr>
                <w:sz w:val="28"/>
                <w:szCs w:val="24"/>
              </w:rPr>
            </w:pPr>
            <w:r>
              <w:rPr>
                <w:rFonts w:hint="eastAsia"/>
                <w:sz w:val="28"/>
                <w:szCs w:val="24"/>
              </w:rPr>
              <w:t>查询用途</w:t>
            </w:r>
          </w:p>
        </w:tc>
        <w:tc>
          <w:tcPr>
            <w:tcW w:w="7412" w:type="dxa"/>
          </w:tcPr>
          <w:p w14:paraId="4FD92EE2">
            <w:pPr>
              <w:rPr>
                <w:rFonts w:ascii="仿宋_GB2312" w:hAnsi="宋体" w:eastAsia="仿宋_GB2312"/>
                <w:bCs/>
                <w:sz w:val="28"/>
                <w:szCs w:val="24"/>
              </w:rPr>
            </w:pPr>
            <w:r>
              <w:rPr>
                <w:rFonts w:ascii="仿宋_GB2312" w:hAnsi="宋体" w:eastAsia="仿宋_GB2312"/>
                <w:bCs/>
                <w:sz w:val="28"/>
                <w:szCs w:val="24"/>
              </w:rPr>
              <w:t>□</w:t>
            </w:r>
            <w:r>
              <w:rPr>
                <w:rFonts w:hint="eastAsia" w:ascii="仿宋_GB2312" w:hAnsi="宋体" w:eastAsia="仿宋_GB2312"/>
                <w:bCs/>
                <w:sz w:val="28"/>
                <w:szCs w:val="24"/>
              </w:rPr>
              <w:t xml:space="preserve"> 排查线索</w:t>
            </w:r>
          </w:p>
          <w:p w14:paraId="7C52FD3C">
            <w:pPr>
              <w:rPr>
                <w:rFonts w:ascii="仿宋_GB2312" w:hAnsi="宋体" w:eastAsia="仿宋_GB2312"/>
                <w:bCs/>
                <w:sz w:val="28"/>
                <w:szCs w:val="24"/>
              </w:rPr>
            </w:pPr>
            <w:r>
              <w:rPr>
                <w:rFonts w:ascii="仿宋_GB2312" w:hAnsi="宋体" w:eastAsia="仿宋_GB2312"/>
                <w:bCs/>
                <w:sz w:val="28"/>
                <w:szCs w:val="24"/>
              </w:rPr>
              <w:t>□</w:t>
            </w:r>
            <w:r>
              <w:rPr>
                <w:rFonts w:hint="eastAsia" w:ascii="仿宋_GB2312" w:hAnsi="宋体" w:eastAsia="仿宋_GB2312"/>
                <w:bCs/>
                <w:sz w:val="28"/>
                <w:szCs w:val="24"/>
              </w:rPr>
              <w:t xml:space="preserve"> 提取证据</w:t>
            </w:r>
          </w:p>
          <w:p w14:paraId="2671F8BE">
            <w:pPr>
              <w:rPr>
                <w:rFonts w:ascii="仿宋_GB2312" w:hAnsi="宋体" w:eastAsia="仿宋_GB2312"/>
                <w:bCs/>
                <w:sz w:val="28"/>
                <w:szCs w:val="24"/>
              </w:rPr>
            </w:pPr>
            <w:r>
              <w:rPr>
                <w:rFonts w:ascii="仿宋_GB2312" w:hAnsi="宋体" w:eastAsia="仿宋_GB2312"/>
                <w:bCs/>
                <w:sz w:val="28"/>
                <w:szCs w:val="24"/>
              </w:rPr>
              <w:t>□</w:t>
            </w:r>
            <w:r>
              <w:rPr>
                <w:rFonts w:hint="eastAsia" w:ascii="仿宋_GB2312" w:hAnsi="宋体" w:eastAsia="仿宋_GB2312"/>
                <w:bCs/>
                <w:sz w:val="28"/>
                <w:szCs w:val="24"/>
              </w:rPr>
              <w:t xml:space="preserve"> 其他 </w:t>
            </w:r>
            <w:r>
              <w:rPr>
                <w:rFonts w:hint="eastAsia" w:ascii="仿宋_GB2312" w:hAnsi="宋体" w:eastAsia="仿宋_GB2312"/>
                <w:bCs/>
                <w:sz w:val="28"/>
                <w:szCs w:val="24"/>
                <w:u w:val="single"/>
              </w:rPr>
              <w:t xml:space="preserve">                   </w:t>
            </w:r>
          </w:p>
        </w:tc>
      </w:tr>
      <w:tr w14:paraId="55DA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9" w:hRule="atLeast"/>
        </w:trPr>
        <w:tc>
          <w:tcPr>
            <w:tcW w:w="1803" w:type="dxa"/>
          </w:tcPr>
          <w:p w14:paraId="7D7B94E5">
            <w:pPr>
              <w:rPr>
                <w:sz w:val="28"/>
                <w:szCs w:val="24"/>
              </w:rPr>
            </w:pPr>
            <w:r>
              <w:rPr>
                <w:rFonts w:hint="eastAsia"/>
                <w:sz w:val="28"/>
                <w:szCs w:val="24"/>
              </w:rPr>
              <w:t>查询依据</w:t>
            </w:r>
          </w:p>
        </w:tc>
        <w:tc>
          <w:tcPr>
            <w:tcW w:w="7412" w:type="dxa"/>
          </w:tcPr>
          <w:p w14:paraId="5EDA3C13">
            <w:pPr>
              <w:rPr>
                <w:rFonts w:hint="eastAsia" w:ascii="仿宋_GB2312" w:hAnsi="宋体" w:eastAsia="仿宋_GB2312"/>
                <w:bCs/>
                <w:sz w:val="28"/>
                <w:szCs w:val="24"/>
                <w:lang w:eastAsia="zh-CN"/>
              </w:rPr>
            </w:pPr>
            <w:r>
              <w:rPr>
                <w:rFonts w:hint="eastAsia" w:ascii="仿宋_GB2312" w:hAnsi="宋体" w:eastAsia="仿宋_GB2312"/>
                <w:bCs/>
                <w:sz w:val="28"/>
                <w:szCs w:val="24"/>
                <w:lang w:eastAsia="zh-CN"/>
              </w:rPr>
              <w:t>（请填写相关法律依据）</w:t>
            </w:r>
          </w:p>
        </w:tc>
      </w:tr>
      <w:tr w14:paraId="0AC0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215" w:type="dxa"/>
            <w:gridSpan w:val="2"/>
          </w:tcPr>
          <w:p w14:paraId="1807DB1A">
            <w:pPr>
              <w:ind w:firstLine="562" w:firstLineChars="200"/>
              <w:rPr>
                <w:b/>
                <w:sz w:val="28"/>
                <w:szCs w:val="24"/>
              </w:rPr>
            </w:pPr>
            <w:r>
              <w:rPr>
                <w:rFonts w:hint="eastAsia"/>
                <w:b/>
                <w:sz w:val="28"/>
                <w:szCs w:val="24"/>
              </w:rPr>
              <w:t>本单位承诺：</w:t>
            </w:r>
          </w:p>
          <w:p w14:paraId="192E098A">
            <w:pPr>
              <w:ind w:firstLine="562" w:firstLineChars="200"/>
              <w:rPr>
                <w:b/>
                <w:sz w:val="28"/>
                <w:szCs w:val="24"/>
              </w:rPr>
            </w:pPr>
            <w:r>
              <w:rPr>
                <w:rFonts w:hint="eastAsia"/>
                <w:b/>
                <w:sz w:val="28"/>
                <w:szCs w:val="24"/>
              </w:rPr>
              <w:t>1. 严格按照上述范围和用途使用查询结果，并做好信息保密工作。</w:t>
            </w:r>
          </w:p>
          <w:p w14:paraId="62E244A9">
            <w:pPr>
              <w:ind w:firstLine="562" w:firstLineChars="200"/>
              <w:rPr>
                <w:b/>
                <w:sz w:val="28"/>
                <w:szCs w:val="24"/>
              </w:rPr>
            </w:pPr>
            <w:r>
              <w:rPr>
                <w:rFonts w:hint="eastAsia"/>
                <w:b/>
                <w:sz w:val="28"/>
                <w:szCs w:val="24"/>
              </w:rPr>
              <w:t>2. 对本次查询所知悉的国家秘密、商业秘密和个人信息予以保密，不泄露相关信息。</w:t>
            </w:r>
          </w:p>
          <w:p w14:paraId="4D7C9945">
            <w:pPr>
              <w:wordWrap w:val="0"/>
              <w:ind w:firstLine="562" w:firstLineChars="200"/>
              <w:jc w:val="right"/>
              <w:rPr>
                <w:b/>
                <w:sz w:val="28"/>
                <w:szCs w:val="24"/>
              </w:rPr>
            </w:pPr>
            <w:r>
              <w:rPr>
                <w:rFonts w:hint="eastAsia"/>
                <w:b/>
                <w:sz w:val="28"/>
                <w:szCs w:val="24"/>
              </w:rPr>
              <w:t xml:space="preserve">查询单位：                </w:t>
            </w:r>
          </w:p>
          <w:p w14:paraId="106BC634">
            <w:pPr>
              <w:ind w:firstLine="562" w:firstLineChars="200"/>
              <w:jc w:val="right"/>
              <w:rPr>
                <w:b/>
                <w:sz w:val="28"/>
                <w:szCs w:val="24"/>
              </w:rPr>
            </w:pPr>
            <w:r>
              <w:rPr>
                <w:rFonts w:hint="eastAsia"/>
                <w:b/>
                <w:sz w:val="28"/>
                <w:szCs w:val="24"/>
              </w:rPr>
              <w:t xml:space="preserve">   </w:t>
            </w:r>
          </w:p>
          <w:p w14:paraId="3D358DE9">
            <w:pPr>
              <w:ind w:right="280" w:firstLine="562" w:firstLineChars="200"/>
              <w:jc w:val="right"/>
              <w:rPr>
                <w:b/>
                <w:sz w:val="28"/>
                <w:szCs w:val="24"/>
              </w:rPr>
            </w:pPr>
            <w:r>
              <w:rPr>
                <w:rFonts w:hint="eastAsia"/>
                <w:b/>
                <w:sz w:val="28"/>
                <w:szCs w:val="24"/>
              </w:rPr>
              <w:t xml:space="preserve">日期：     年    月   日 </w:t>
            </w:r>
          </w:p>
        </w:tc>
      </w:tr>
    </w:tbl>
    <w:p w14:paraId="6077C86A"/>
    <w:sectPr>
      <w:headerReference r:id="rId3" w:type="default"/>
      <w:footerReference r:id="rId4" w:type="default"/>
      <w:footerReference r:id="rId5"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楷体_GB2312">
    <w:panose1 w:val="02000000000000000000"/>
    <w:charset w:val="86"/>
    <w:family w:val="auto"/>
    <w:pitch w:val="default"/>
    <w:sig w:usb0="A00002BF" w:usb1="184F6CFA" w:usb2="00000012" w:usb3="00000000" w:csb0="00040001" w:csb1="00000000"/>
  </w:font>
  <w:font w:name="仿宋">
    <w:altName w:val="宋体"/>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F8ABB">
    <w:pPr>
      <w:pStyle w:val="4"/>
      <w:jc w:val="right"/>
      <w:rPr>
        <w:rFonts w:ascii="仿宋_GB2312" w:eastAsia="仿宋_GB2312"/>
        <w:sz w:val="30"/>
        <w:szCs w:val="30"/>
      </w:rPr>
    </w:pPr>
    <w:r>
      <w:rPr>
        <w:rFonts w:hint="eastAsia" w:ascii="仿宋_GB2312" w:eastAsia="仿宋_GB2312"/>
        <w:sz w:val="30"/>
        <w:szCs w:val="30"/>
      </w:rPr>
      <w:t>-</w:t>
    </w:r>
    <w:r>
      <w:rPr>
        <w:rFonts w:hint="eastAsia" w:ascii="仿宋_GB2312" w:eastAsia="仿宋_GB2312"/>
        <w:sz w:val="30"/>
        <w:szCs w:val="30"/>
      </w:rPr>
      <w:fldChar w:fldCharType="begin"/>
    </w:r>
    <w:r>
      <w:rPr>
        <w:rFonts w:hint="eastAsia" w:ascii="仿宋_GB2312" w:eastAsia="仿宋_GB2312"/>
        <w:sz w:val="30"/>
        <w:szCs w:val="30"/>
      </w:rPr>
      <w:instrText xml:space="preserve"> PAGE   \* MERGEFORMAT </w:instrText>
    </w:r>
    <w:r>
      <w:rPr>
        <w:rFonts w:hint="eastAsia" w:ascii="仿宋_GB2312" w:eastAsia="仿宋_GB2312"/>
        <w:sz w:val="30"/>
        <w:szCs w:val="30"/>
      </w:rPr>
      <w:fldChar w:fldCharType="separate"/>
    </w:r>
    <w:r>
      <w:rPr>
        <w:rFonts w:ascii="仿宋_GB2312" w:eastAsia="仿宋_GB2312"/>
        <w:sz w:val="30"/>
        <w:szCs w:val="30"/>
        <w:lang w:val="zh-CN"/>
      </w:rPr>
      <w:t>1</w:t>
    </w:r>
    <w:r>
      <w:rPr>
        <w:rFonts w:hint="eastAsia" w:ascii="仿宋_GB2312" w:eastAsia="仿宋_GB2312"/>
        <w:sz w:val="30"/>
        <w:szCs w:val="30"/>
      </w:rPr>
      <w:fldChar w:fldCharType="end"/>
    </w:r>
    <w:r>
      <w:rPr>
        <w:rFonts w:hint="eastAsia" w:ascii="仿宋_GB2312" w:eastAsia="仿宋_GB2312"/>
        <w:sz w:val="30"/>
        <w:szCs w:val="3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F385E">
    <w:pPr>
      <w:pStyle w:val="4"/>
      <w:rPr>
        <w:rFonts w:ascii="仿宋_GB2312" w:eastAsia="仿宋_GB2312"/>
        <w:sz w:val="30"/>
        <w:szCs w:val="30"/>
      </w:rPr>
    </w:pPr>
    <w:r>
      <w:rPr>
        <w:rFonts w:hint="eastAsia" w:ascii="仿宋_GB2312" w:eastAsia="仿宋_GB2312"/>
        <w:sz w:val="30"/>
        <w:szCs w:val="30"/>
      </w:rPr>
      <w:t>-</w:t>
    </w:r>
    <w:r>
      <w:rPr>
        <w:rFonts w:hint="eastAsia" w:ascii="仿宋_GB2312" w:eastAsia="仿宋_GB2312"/>
        <w:sz w:val="30"/>
        <w:szCs w:val="30"/>
      </w:rPr>
      <w:fldChar w:fldCharType="begin"/>
    </w:r>
    <w:r>
      <w:rPr>
        <w:rFonts w:hint="eastAsia" w:ascii="仿宋_GB2312" w:eastAsia="仿宋_GB2312"/>
        <w:sz w:val="30"/>
        <w:szCs w:val="30"/>
      </w:rPr>
      <w:instrText xml:space="preserve"> PAGE   \* MERGEFORMAT </w:instrText>
    </w:r>
    <w:r>
      <w:rPr>
        <w:rFonts w:hint="eastAsia" w:ascii="仿宋_GB2312" w:eastAsia="仿宋_GB2312"/>
        <w:sz w:val="30"/>
        <w:szCs w:val="30"/>
      </w:rPr>
      <w:fldChar w:fldCharType="separate"/>
    </w:r>
    <w:r>
      <w:rPr>
        <w:rFonts w:ascii="仿宋_GB2312" w:eastAsia="仿宋_GB2312"/>
        <w:sz w:val="30"/>
        <w:szCs w:val="30"/>
        <w:lang w:val="zh-CN"/>
      </w:rPr>
      <w:t>8</w:t>
    </w:r>
    <w:r>
      <w:rPr>
        <w:rFonts w:hint="eastAsia" w:ascii="仿宋_GB2312" w:eastAsia="仿宋_GB2312"/>
        <w:sz w:val="30"/>
        <w:szCs w:val="30"/>
      </w:rPr>
      <w:fldChar w:fldCharType="end"/>
    </w:r>
    <w:r>
      <w:rPr>
        <w:rFonts w:hint="eastAsia" w:ascii="仿宋_GB2312" w:eastAsia="仿宋_GB2312"/>
        <w:sz w:val="30"/>
        <w:szCs w:val="30"/>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9132D">
    <w:pPr>
      <w:pStyle w:val="5"/>
      <w:pBdr>
        <w:bottom w:val="none" w:color="000000"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68"/>
    <w:rsid w:val="00195FA8"/>
    <w:rsid w:val="0048404D"/>
    <w:rsid w:val="005F462B"/>
    <w:rsid w:val="00720B15"/>
    <w:rsid w:val="0078585F"/>
    <w:rsid w:val="00812068"/>
    <w:rsid w:val="00947098"/>
    <w:rsid w:val="00D644EF"/>
    <w:rsid w:val="00DF19CC"/>
    <w:rsid w:val="1EFF10F5"/>
    <w:rsid w:val="2FE73B75"/>
    <w:rsid w:val="39F7CD1C"/>
    <w:rsid w:val="3E6FD09B"/>
    <w:rsid w:val="3ECF4284"/>
    <w:rsid w:val="3FEE7214"/>
    <w:rsid w:val="4BF92F1D"/>
    <w:rsid w:val="51BA417E"/>
    <w:rsid w:val="5230105A"/>
    <w:rsid w:val="56EF1DB4"/>
    <w:rsid w:val="5D7EC457"/>
    <w:rsid w:val="5FED9803"/>
    <w:rsid w:val="6DD93974"/>
    <w:rsid w:val="70D701CC"/>
    <w:rsid w:val="7658D13A"/>
    <w:rsid w:val="77FDD044"/>
    <w:rsid w:val="7D6FBC49"/>
    <w:rsid w:val="7EAB42D4"/>
    <w:rsid w:val="7EEF10C0"/>
    <w:rsid w:val="7EFFF17A"/>
    <w:rsid w:val="7F7FEBD9"/>
    <w:rsid w:val="8EFF09B5"/>
    <w:rsid w:val="96EFE48E"/>
    <w:rsid w:val="9FFF3AF2"/>
    <w:rsid w:val="BFB60512"/>
    <w:rsid w:val="BFDF3A52"/>
    <w:rsid w:val="CFB8CB34"/>
    <w:rsid w:val="DFEC55C7"/>
    <w:rsid w:val="EDDFA15C"/>
    <w:rsid w:val="EF4F09E7"/>
    <w:rsid w:val="F3960D9D"/>
    <w:rsid w:val="F6EF3A80"/>
    <w:rsid w:val="F6FF7363"/>
    <w:rsid w:val="F7F6C4D1"/>
    <w:rsid w:val="FBF40335"/>
    <w:rsid w:val="FF79B6DD"/>
    <w:rsid w:val="FF7DA84D"/>
    <w:rsid w:val="FFEE70BD"/>
    <w:rsid w:val="FFFE24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9"/>
    <w:qFormat/>
    <w:uiPriority w:val="0"/>
    <w:pPr>
      <w:tabs>
        <w:tab w:val="left" w:pos="7020"/>
      </w:tabs>
      <w:spacing w:line="600" w:lineRule="exact"/>
      <w:ind w:firstLine="600" w:firstLineChars="200"/>
    </w:pPr>
    <w:rPr>
      <w:rFonts w:ascii="仿宋_GB2312" w:hAnsi="Times New Roman" w:eastAsia="仿宋_GB2312"/>
      <w:sz w:val="30"/>
      <w:szCs w:val="24"/>
    </w:rPr>
  </w:style>
  <w:style w:type="paragraph" w:styleId="4">
    <w:name w:val="footer"/>
    <w:basedOn w:val="1"/>
    <w:link w:val="8"/>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脚 Char"/>
    <w:basedOn w:val="7"/>
    <w:link w:val="4"/>
    <w:qFormat/>
    <w:uiPriority w:val="99"/>
    <w:rPr>
      <w:rFonts w:ascii="Calibri" w:hAnsi="Calibri" w:eastAsia="宋体" w:cs="Times New Roman"/>
      <w:sz w:val="18"/>
      <w:szCs w:val="18"/>
    </w:rPr>
  </w:style>
  <w:style w:type="character" w:customStyle="1" w:styleId="9">
    <w:name w:val="正文文本缩进 Char"/>
    <w:basedOn w:val="7"/>
    <w:link w:val="3"/>
    <w:qFormat/>
    <w:uiPriority w:val="0"/>
    <w:rPr>
      <w:rFonts w:ascii="仿宋_GB2312" w:hAnsi="Times New Roman" w:eastAsia="仿宋_GB2312" w:cs="Times New Roman"/>
      <w:sz w:val="30"/>
      <w:szCs w:val="24"/>
    </w:rPr>
  </w:style>
  <w:style w:type="paragraph" w:styleId="10">
    <w:name w:val="List Paragraph"/>
    <w:basedOn w:val="1"/>
    <w:qFormat/>
    <w:uiPriority w:val="99"/>
    <w:pPr>
      <w:ind w:firstLine="420" w:firstLineChars="200"/>
    </w:pPr>
    <w:rPr>
      <w:rFonts w:ascii="Times New Roman" w:hAnsi="Times New Roman"/>
      <w:szCs w:val="24"/>
    </w:rPr>
  </w:style>
  <w:style w:type="character" w:customStyle="1" w:styleId="11">
    <w:name w:val="页眉 Char"/>
    <w:basedOn w:val="7"/>
    <w:link w:val="5"/>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2385</Words>
  <Characters>2447</Characters>
  <Lines>20</Lines>
  <Paragraphs>5</Paragraphs>
  <TotalTime>0</TotalTime>
  <ScaleCrop>false</ScaleCrop>
  <LinksUpToDate>false</LinksUpToDate>
  <CharactersWithSpaces>2699</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2021-08-07T09:24:00Z</dcterms:created>
  <dc:creator>sse</dc:creator>
  <cp:lastModifiedBy>whxu</cp:lastModifiedBy>
  <cp:lastPrinted>2026-08-19T03:21:00Z</cp:lastPrinted>
  <dcterms:modified xsi:type="dcterms:W3CDTF">2026-09-04T16:36:18Z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44A24030D146ABDECB679A6AE4089249_43</vt:lpwstr>
  </property>
</Properties>
</file>