
<file path=[Content_Types].xml><?xml version="1.0" encoding="utf-8"?>
<Types xmlns="http://schemas.openxmlformats.org/package/2006/content-types">
  <Default Extension="xml" ContentType="application/xml"/>
  <Default Extension="wmf" ContentType="image/x-wmf"/>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F84478C">
      <w:pPr>
        <w:jc w:val="center"/>
        <w:rPr>
          <w:rFonts w:ascii="Times New Roman" w:hAnsi="Times New Roman" w:eastAsia="方正小标宋简体" w:cs="Times New Roman"/>
          <w:sz w:val="44"/>
          <w:szCs w:val="44"/>
          <w:highlight w:val="none"/>
        </w:rPr>
      </w:pPr>
    </w:p>
    <w:p w14:paraId="50B99788">
      <w:pPr>
        <w:pStyle w:val="7"/>
        <w:jc w:val="center"/>
        <w:rPr>
          <w:rFonts w:ascii="Times New Roman" w:hAnsi="Times New Roman" w:eastAsia="方正小标宋简体" w:cs="Times New Roman"/>
          <w:sz w:val="44"/>
          <w:szCs w:val="44"/>
          <w:highlight w:val="none"/>
        </w:rPr>
      </w:pPr>
    </w:p>
    <w:p w14:paraId="7AF715CB">
      <w:pPr>
        <w:pStyle w:val="7"/>
        <w:jc w:val="center"/>
        <w:rPr>
          <w:rFonts w:ascii="Times New Roman" w:hAnsi="Times New Roman" w:eastAsia="方正小标宋简体" w:cs="Times New Roman"/>
          <w:sz w:val="44"/>
          <w:szCs w:val="44"/>
          <w:highlight w:val="none"/>
        </w:rPr>
      </w:pPr>
    </w:p>
    <w:p w14:paraId="740C0155">
      <w:pPr>
        <w:spacing w:line="560" w:lineRule="exact"/>
        <w:jc w:val="center"/>
        <w:rPr>
          <w:rFonts w:hint="eastAsia" w:ascii="Times New Roman" w:hAnsi="黑体" w:eastAsia="黑体" w:cs="Times New Roman"/>
          <w:b/>
          <w:sz w:val="44"/>
          <w:szCs w:val="44"/>
          <w:highlight w:val="none"/>
        </w:rPr>
      </w:pPr>
      <w:r>
        <w:rPr>
          <w:rFonts w:ascii="Times New Roman" w:hAnsi="黑体" w:eastAsia="黑体" w:cs="Times New Roman"/>
          <w:b/>
          <w:sz w:val="44"/>
          <w:szCs w:val="44"/>
          <w:highlight w:val="none"/>
        </w:rPr>
        <w:t>上海证券交易所公开募集不动产投资信托基金（REITs）业务指南第</w:t>
      </w:r>
      <w:r>
        <w:rPr>
          <w:rFonts w:hint="eastAsia" w:ascii="Times New Roman" w:hAnsi="黑体" w:eastAsia="黑体" w:cs="Times New Roman"/>
          <w:b/>
          <w:sz w:val="44"/>
          <w:szCs w:val="44"/>
          <w:highlight w:val="none"/>
        </w:rPr>
        <w:t>3</w:t>
      </w:r>
      <w:r>
        <w:rPr>
          <w:rFonts w:ascii="Times New Roman" w:hAnsi="黑体" w:eastAsia="黑体" w:cs="Times New Roman"/>
          <w:b/>
          <w:sz w:val="44"/>
          <w:szCs w:val="44"/>
          <w:highlight w:val="none"/>
        </w:rPr>
        <w:t>号——扩募业务办理</w:t>
      </w:r>
    </w:p>
    <w:p w14:paraId="0B9C0C00">
      <w:pPr>
        <w:snapToGrid w:val="0"/>
        <w:jc w:val="center"/>
        <w:rPr>
          <w:rFonts w:ascii="Times New Roman" w:hAnsi="Times New Roman" w:eastAsia="方正小标宋简体" w:cs="Times New Roman"/>
          <w:sz w:val="44"/>
          <w:szCs w:val="44"/>
          <w:highlight w:val="none"/>
        </w:rPr>
      </w:pPr>
    </w:p>
    <w:p w14:paraId="7C8501B0">
      <w:pPr>
        <w:snapToGrid w:val="0"/>
        <w:jc w:val="center"/>
        <w:rPr>
          <w:rFonts w:ascii="Times New Roman" w:hAnsi="Times New Roman" w:eastAsia="方正小标宋简体" w:cs="Times New Roman"/>
          <w:sz w:val="44"/>
          <w:szCs w:val="44"/>
          <w:highlight w:val="none"/>
        </w:rPr>
      </w:pPr>
    </w:p>
    <w:p w14:paraId="159EA4CB">
      <w:pPr>
        <w:snapToGrid w:val="0"/>
        <w:jc w:val="center"/>
        <w:rPr>
          <w:rFonts w:ascii="Times New Roman" w:hAnsi="Times New Roman" w:eastAsia="方正小标宋简体" w:cs="Times New Roman"/>
          <w:sz w:val="44"/>
          <w:szCs w:val="44"/>
          <w:highlight w:val="none"/>
        </w:rPr>
      </w:pPr>
    </w:p>
    <w:p w14:paraId="0224A9EF">
      <w:pPr>
        <w:snapToGrid w:val="0"/>
        <w:jc w:val="center"/>
        <w:rPr>
          <w:rFonts w:ascii="Times New Roman" w:hAnsi="Times New Roman" w:eastAsia="方正小标宋简体" w:cs="Times New Roman"/>
          <w:sz w:val="44"/>
          <w:szCs w:val="44"/>
          <w:highlight w:val="none"/>
        </w:rPr>
      </w:pPr>
    </w:p>
    <w:p w14:paraId="5397F36A">
      <w:pPr>
        <w:snapToGrid w:val="0"/>
        <w:jc w:val="center"/>
        <w:rPr>
          <w:rFonts w:ascii="Times New Roman" w:hAnsi="Times New Roman" w:eastAsia="方正小标宋简体" w:cs="Times New Roman"/>
          <w:sz w:val="44"/>
          <w:szCs w:val="44"/>
          <w:highlight w:val="none"/>
        </w:rPr>
      </w:pPr>
    </w:p>
    <w:p w14:paraId="07620F31">
      <w:pPr>
        <w:snapToGrid w:val="0"/>
        <w:jc w:val="center"/>
        <w:rPr>
          <w:rFonts w:ascii="Times New Roman" w:hAnsi="Times New Roman" w:eastAsia="方正小标宋简体" w:cs="Times New Roman"/>
          <w:sz w:val="44"/>
          <w:szCs w:val="44"/>
          <w:highlight w:val="none"/>
        </w:rPr>
      </w:pPr>
    </w:p>
    <w:p w14:paraId="57ED8192">
      <w:pPr>
        <w:snapToGrid w:val="0"/>
        <w:jc w:val="center"/>
        <w:rPr>
          <w:rFonts w:ascii="Times New Roman" w:hAnsi="Times New Roman" w:eastAsia="方正小标宋简体" w:cs="Times New Roman"/>
          <w:sz w:val="44"/>
          <w:szCs w:val="44"/>
          <w:highlight w:val="none"/>
        </w:rPr>
      </w:pPr>
    </w:p>
    <w:p w14:paraId="4D90B5C6">
      <w:pPr>
        <w:snapToGrid w:val="0"/>
        <w:jc w:val="center"/>
        <w:rPr>
          <w:rFonts w:ascii="Times New Roman" w:hAnsi="Times New Roman" w:eastAsia="方正小标宋简体" w:cs="Times New Roman"/>
          <w:sz w:val="44"/>
          <w:szCs w:val="44"/>
          <w:highlight w:val="none"/>
        </w:rPr>
      </w:pPr>
    </w:p>
    <w:p w14:paraId="439A50CF">
      <w:pPr>
        <w:snapToGrid w:val="0"/>
        <w:jc w:val="center"/>
        <w:rPr>
          <w:rFonts w:ascii="Times New Roman" w:hAnsi="Times New Roman" w:eastAsia="方正小标宋简体" w:cs="Times New Roman"/>
          <w:sz w:val="44"/>
          <w:szCs w:val="44"/>
          <w:highlight w:val="none"/>
        </w:rPr>
      </w:pPr>
    </w:p>
    <w:p w14:paraId="121AF3E9">
      <w:pPr>
        <w:snapToGrid w:val="0"/>
        <w:jc w:val="center"/>
        <w:rPr>
          <w:rFonts w:ascii="Times New Roman" w:hAnsi="Times New Roman" w:eastAsia="方正小标宋简体" w:cs="Times New Roman"/>
          <w:sz w:val="44"/>
          <w:szCs w:val="44"/>
          <w:highlight w:val="none"/>
        </w:rPr>
      </w:pPr>
    </w:p>
    <w:p w14:paraId="2F0BFBE6">
      <w:pPr>
        <w:snapToGrid w:val="0"/>
        <w:rPr>
          <w:rFonts w:ascii="Times New Roman" w:hAnsi="Times New Roman" w:eastAsia="方正小标宋简体" w:cs="Times New Roman"/>
          <w:sz w:val="44"/>
          <w:szCs w:val="44"/>
          <w:highlight w:val="none"/>
        </w:rPr>
      </w:pPr>
    </w:p>
    <w:p w14:paraId="79CB809E">
      <w:pPr>
        <w:spacing w:line="560" w:lineRule="exact"/>
        <w:jc w:val="center"/>
        <w:rPr>
          <w:rFonts w:ascii="Times New Roman" w:hAnsi="Times New Roman" w:eastAsia="黑体" w:cs="Times New Roman"/>
          <w:b/>
          <w:sz w:val="30"/>
          <w:szCs w:val="30"/>
          <w:highlight w:val="none"/>
        </w:rPr>
      </w:pPr>
    </w:p>
    <w:p w14:paraId="0F1213FB">
      <w:pPr>
        <w:spacing w:line="560" w:lineRule="exact"/>
        <w:jc w:val="center"/>
        <w:rPr>
          <w:rFonts w:ascii="Times New Roman" w:hAnsi="Times New Roman" w:eastAsia="黑体" w:cs="Times New Roman"/>
          <w:b/>
          <w:sz w:val="30"/>
          <w:szCs w:val="30"/>
          <w:highlight w:val="none"/>
        </w:rPr>
      </w:pPr>
    </w:p>
    <w:p w14:paraId="43952AEC">
      <w:pPr>
        <w:spacing w:line="560" w:lineRule="exact"/>
        <w:jc w:val="center"/>
        <w:rPr>
          <w:rFonts w:ascii="Times New Roman" w:hAnsi="Times New Roman" w:eastAsia="黑体" w:cs="Times New Roman"/>
          <w:b/>
          <w:sz w:val="30"/>
          <w:szCs w:val="30"/>
          <w:highlight w:val="none"/>
        </w:rPr>
      </w:pPr>
    </w:p>
    <w:p w14:paraId="4C9C760D">
      <w:pPr>
        <w:spacing w:line="560" w:lineRule="exact"/>
        <w:jc w:val="center"/>
        <w:rPr>
          <w:rFonts w:ascii="Times New Roman" w:hAnsi="Times New Roman" w:eastAsia="黑体" w:cs="Times New Roman"/>
          <w:b/>
          <w:sz w:val="30"/>
          <w:szCs w:val="30"/>
          <w:highlight w:val="none"/>
        </w:rPr>
      </w:pPr>
    </w:p>
    <w:p w14:paraId="2969B427">
      <w:pPr>
        <w:spacing w:line="560" w:lineRule="exact"/>
        <w:jc w:val="center"/>
        <w:rPr>
          <w:rFonts w:ascii="Times New Roman" w:hAnsi="Times New Roman" w:eastAsia="黑体" w:cs="Times New Roman"/>
          <w:b/>
          <w:sz w:val="30"/>
          <w:szCs w:val="30"/>
          <w:highlight w:val="none"/>
        </w:rPr>
      </w:pPr>
      <w:r>
        <w:rPr>
          <w:rFonts w:hint="eastAsia" w:ascii="Times New Roman" w:hAnsi="Times New Roman" w:eastAsia="黑体" w:cs="Times New Roman"/>
          <w:b/>
          <w:sz w:val="30"/>
          <w:szCs w:val="30"/>
          <w:highlight w:val="none"/>
        </w:rPr>
        <w:t>上海证券交易所</w:t>
      </w:r>
    </w:p>
    <w:p w14:paraId="5731176E">
      <w:pPr>
        <w:spacing w:line="560" w:lineRule="exact"/>
        <w:jc w:val="center"/>
        <w:rPr>
          <w:rFonts w:ascii="Times New Roman" w:hAnsi="Times New Roman" w:eastAsia="黑体" w:cs="Times New Roman"/>
          <w:b/>
          <w:sz w:val="30"/>
          <w:szCs w:val="30"/>
          <w:highlight w:val="none"/>
        </w:rPr>
      </w:pPr>
      <w:r>
        <w:rPr>
          <w:rFonts w:hint="eastAsia" w:ascii="Times New Roman" w:hAnsi="Times New Roman" w:eastAsia="黑体" w:cs="Times New Roman"/>
          <w:b/>
          <w:sz w:val="30"/>
          <w:szCs w:val="30"/>
          <w:highlight w:val="none"/>
        </w:rPr>
        <w:t>2</w:t>
      </w:r>
      <w:r>
        <w:rPr>
          <w:rFonts w:ascii="Times New Roman" w:hAnsi="Times New Roman" w:eastAsia="黑体" w:cs="Times New Roman"/>
          <w:b/>
          <w:sz w:val="30"/>
          <w:szCs w:val="30"/>
          <w:highlight w:val="none"/>
        </w:rPr>
        <w:t>025</w:t>
      </w:r>
      <w:r>
        <w:rPr>
          <w:rFonts w:hint="eastAsia" w:ascii="Times New Roman" w:hAnsi="Times New Roman" w:eastAsia="黑体" w:cs="Times New Roman"/>
          <w:b/>
          <w:sz w:val="30"/>
          <w:szCs w:val="30"/>
          <w:highlight w:val="none"/>
        </w:rPr>
        <w:t>年12月</w:t>
      </w:r>
    </w:p>
    <w:p w14:paraId="115CB9F2">
      <w:pPr>
        <w:widowControl/>
        <w:jc w:val="left"/>
        <w:rPr>
          <w:rFonts w:ascii="Times New Roman" w:hAnsi="Times New Roman" w:eastAsia="黑体" w:cs="Times New Roman"/>
          <w:b/>
          <w:sz w:val="30"/>
          <w:szCs w:val="30"/>
          <w:highlight w:val="none"/>
        </w:rPr>
      </w:pPr>
      <w:r>
        <w:rPr>
          <w:rFonts w:ascii="Times New Roman" w:hAnsi="Times New Roman" w:eastAsia="黑体" w:cs="Times New Roman"/>
          <w:b/>
          <w:sz w:val="30"/>
          <w:szCs w:val="30"/>
          <w:highlight w:val="none"/>
        </w:rPr>
        <w:br w:type="page"/>
      </w:r>
    </w:p>
    <w:p w14:paraId="2D562A5E">
      <w:pPr>
        <w:pStyle w:val="7"/>
        <w:spacing w:line="560" w:lineRule="exact"/>
        <w:rPr>
          <w:rFonts w:ascii="Times New Roman" w:hAnsi="Times New Roman" w:eastAsia="仿宋" w:cs="Times New Roman"/>
          <w:sz w:val="32"/>
          <w:szCs w:val="32"/>
          <w:highlight w:val="none"/>
        </w:rPr>
        <w:sectPr>
          <w:headerReference r:id="rId4" w:type="default"/>
          <w:footerReference r:id="rId6" w:type="default"/>
          <w:headerReference r:id="rId5" w:type="even"/>
          <w:footerReference r:id="rId7" w:type="even"/>
          <w:pgSz w:w="11906" w:h="16838"/>
          <w:pgMar w:top="1440" w:right="1800" w:bottom="1440" w:left="1800" w:header="851" w:footer="992" w:gutter="0"/>
          <w:cols w:space="425" w:num="1"/>
          <w:docGrid w:type="lines" w:linePitch="312" w:charSpace="0"/>
        </w:sectPr>
      </w:pPr>
    </w:p>
    <w:p w14:paraId="5DA42D7E">
      <w:pPr>
        <w:pStyle w:val="13"/>
        <w:tabs>
          <w:tab w:val="left" w:pos="1050"/>
        </w:tabs>
        <w:spacing w:line="560" w:lineRule="exact"/>
        <w:jc w:val="center"/>
        <w:rPr>
          <w:rFonts w:eastAsia="黑体" w:cs="Times New Roman"/>
          <w:sz w:val="28"/>
          <w:szCs w:val="28"/>
          <w:highlight w:val="none"/>
        </w:rPr>
      </w:pPr>
      <w:bookmarkStart w:id="0" w:name="_Toc66721132"/>
      <w:bookmarkStart w:id="1" w:name="_Toc62725166"/>
      <w:bookmarkStart w:id="2" w:name="_Toc74738933"/>
      <w:r>
        <w:rPr>
          <w:rFonts w:eastAsia="黑体" w:cs="Times New Roman"/>
          <w:sz w:val="28"/>
          <w:szCs w:val="28"/>
          <w:highlight w:val="none"/>
        </w:rPr>
        <w:t>目录</w:t>
      </w:r>
      <w:bookmarkEnd w:id="0"/>
      <w:bookmarkEnd w:id="1"/>
      <w:bookmarkEnd w:id="2"/>
    </w:p>
    <w:p w14:paraId="7E721057">
      <w:pPr>
        <w:rPr>
          <w:rFonts w:ascii="Times New Roman" w:hAnsi="Times New Roman" w:cs="Times New Roman"/>
          <w:highlight w:val="none"/>
        </w:rPr>
      </w:pPr>
    </w:p>
    <w:p w14:paraId="78E9C413">
      <w:pPr>
        <w:pStyle w:val="13"/>
        <w:tabs>
          <w:tab w:val="right" w:leader="dot" w:pos="8306"/>
          <w:tab w:val="clear" w:pos="8296"/>
        </w:tabs>
        <w:rPr>
          <w:rFonts w:cs="Times New Roman"/>
          <w:highlight w:val="none"/>
        </w:rPr>
      </w:pPr>
      <w:r>
        <w:rPr>
          <w:rFonts w:cs="Times New Roman"/>
          <w:sz w:val="28"/>
          <w:szCs w:val="21"/>
          <w:highlight w:val="none"/>
        </w:rPr>
        <w:fldChar w:fldCharType="begin"/>
      </w:r>
      <w:r>
        <w:rPr>
          <w:rFonts w:cs="Times New Roman"/>
          <w:sz w:val="28"/>
          <w:szCs w:val="21"/>
          <w:highlight w:val="none"/>
        </w:rPr>
        <w:instrText xml:space="preserve"> TOC \o "1-3" \h \z \u </w:instrText>
      </w:r>
      <w:r>
        <w:rPr>
          <w:rFonts w:cs="Times New Roman"/>
          <w:sz w:val="28"/>
          <w:szCs w:val="21"/>
          <w:highlight w:val="none"/>
        </w:rPr>
        <w:fldChar w:fldCharType="separate"/>
      </w:r>
      <w:r>
        <w:rPr>
          <w:highlight w:val="none"/>
        </w:rPr>
        <w:fldChar w:fldCharType="begin"/>
      </w:r>
      <w:r>
        <w:rPr>
          <w:highlight w:val="none"/>
        </w:rPr>
        <w:instrText xml:space="preserve"> HYPERLINK \l "_Toc14937" </w:instrText>
      </w:r>
      <w:r>
        <w:rPr>
          <w:highlight w:val="none"/>
        </w:rPr>
        <w:fldChar w:fldCharType="separate"/>
      </w:r>
      <w:r>
        <w:rPr>
          <w:rFonts w:eastAsia="黑体" w:cs="Times New Roman"/>
          <w:szCs w:val="36"/>
          <w:highlight w:val="none"/>
        </w:rPr>
        <w:t>重要提示</w:t>
      </w:r>
      <w:r>
        <w:rPr>
          <w:rFonts w:cs="Times New Roman"/>
          <w:highlight w:val="none"/>
        </w:rPr>
        <w:tab/>
      </w:r>
      <w:r>
        <w:rPr>
          <w:rFonts w:cs="Times New Roman"/>
          <w:highlight w:val="none"/>
        </w:rPr>
        <w:fldChar w:fldCharType="begin"/>
      </w:r>
      <w:r>
        <w:rPr>
          <w:rFonts w:cs="Times New Roman"/>
          <w:highlight w:val="none"/>
        </w:rPr>
        <w:instrText xml:space="preserve"> PAGEREF _Toc14937 \h </w:instrText>
      </w:r>
      <w:r>
        <w:rPr>
          <w:rFonts w:cs="Times New Roman"/>
          <w:highlight w:val="none"/>
        </w:rPr>
        <w:fldChar w:fldCharType="separate"/>
      </w:r>
      <w:r>
        <w:rPr>
          <w:rFonts w:cs="Times New Roman"/>
          <w:highlight w:val="none"/>
        </w:rPr>
        <w:t>1</w:t>
      </w:r>
      <w:r>
        <w:rPr>
          <w:rFonts w:cs="Times New Roman"/>
          <w:highlight w:val="none"/>
        </w:rPr>
        <w:fldChar w:fldCharType="end"/>
      </w:r>
      <w:r>
        <w:rPr>
          <w:rFonts w:cs="Times New Roman"/>
          <w:highlight w:val="none"/>
        </w:rPr>
        <w:fldChar w:fldCharType="end"/>
      </w:r>
    </w:p>
    <w:p w14:paraId="3B141173">
      <w:pPr>
        <w:pStyle w:val="13"/>
        <w:tabs>
          <w:tab w:val="right" w:leader="dot" w:pos="8306"/>
          <w:tab w:val="clear" w:pos="8296"/>
        </w:tabs>
        <w:rPr>
          <w:rFonts w:cs="Times New Roman"/>
          <w:highlight w:val="none"/>
        </w:rPr>
      </w:pPr>
      <w:r>
        <w:rPr>
          <w:highlight w:val="none"/>
        </w:rPr>
        <w:fldChar w:fldCharType="begin"/>
      </w:r>
      <w:r>
        <w:rPr>
          <w:highlight w:val="none"/>
        </w:rPr>
        <w:instrText xml:space="preserve"> HYPERLINK \l "_Toc23185" </w:instrText>
      </w:r>
      <w:r>
        <w:rPr>
          <w:highlight w:val="none"/>
        </w:rPr>
        <w:fldChar w:fldCharType="separate"/>
      </w:r>
      <w:r>
        <w:rPr>
          <w:rFonts w:eastAsia="黑体" w:cs="Times New Roman"/>
          <w:szCs w:val="32"/>
          <w:highlight w:val="none"/>
        </w:rPr>
        <w:t xml:space="preserve">第一章 </w:t>
      </w:r>
      <w:r>
        <w:rPr>
          <w:rFonts w:eastAsia="黑体" w:cs="Times New Roman"/>
          <w:szCs w:val="30"/>
          <w:highlight w:val="none"/>
        </w:rPr>
        <w:t>发售前工作</w:t>
      </w:r>
      <w:r>
        <w:rPr>
          <w:rFonts w:cs="Times New Roman"/>
          <w:highlight w:val="none"/>
        </w:rPr>
        <w:tab/>
      </w:r>
      <w:r>
        <w:rPr>
          <w:rFonts w:cs="Times New Roman"/>
          <w:highlight w:val="none"/>
        </w:rPr>
        <w:fldChar w:fldCharType="begin"/>
      </w:r>
      <w:r>
        <w:rPr>
          <w:rFonts w:cs="Times New Roman"/>
          <w:highlight w:val="none"/>
        </w:rPr>
        <w:instrText xml:space="preserve"> PAGEREF _Toc23185 \h </w:instrText>
      </w:r>
      <w:r>
        <w:rPr>
          <w:rFonts w:cs="Times New Roman"/>
          <w:highlight w:val="none"/>
        </w:rPr>
        <w:fldChar w:fldCharType="separate"/>
      </w:r>
      <w:r>
        <w:rPr>
          <w:rFonts w:cs="Times New Roman"/>
          <w:highlight w:val="none"/>
        </w:rPr>
        <w:t>3</w:t>
      </w:r>
      <w:r>
        <w:rPr>
          <w:rFonts w:cs="Times New Roman"/>
          <w:highlight w:val="none"/>
        </w:rPr>
        <w:fldChar w:fldCharType="end"/>
      </w:r>
      <w:r>
        <w:rPr>
          <w:rFonts w:cs="Times New Roman"/>
          <w:highlight w:val="none"/>
        </w:rPr>
        <w:fldChar w:fldCharType="end"/>
      </w:r>
    </w:p>
    <w:p w14:paraId="0BEE4F0F">
      <w:pPr>
        <w:pStyle w:val="15"/>
        <w:tabs>
          <w:tab w:val="right" w:leader="dot" w:pos="8306"/>
        </w:tabs>
        <w:rPr>
          <w:rFonts w:ascii="Times New Roman" w:hAnsi="Times New Roman" w:cs="Times New Roman"/>
          <w:highlight w:val="none"/>
        </w:rPr>
      </w:pPr>
      <w:r>
        <w:rPr>
          <w:highlight w:val="none"/>
        </w:rPr>
        <w:fldChar w:fldCharType="begin"/>
      </w:r>
      <w:r>
        <w:rPr>
          <w:highlight w:val="none"/>
        </w:rPr>
        <w:instrText xml:space="preserve"> HYPERLINK \l "_Toc30478" </w:instrText>
      </w:r>
      <w:r>
        <w:rPr>
          <w:highlight w:val="none"/>
        </w:rPr>
        <w:fldChar w:fldCharType="separate"/>
      </w:r>
      <w:r>
        <w:rPr>
          <w:rFonts w:ascii="Times New Roman" w:hAnsi="Times New Roman" w:eastAsia="黑体" w:cs="Times New Roman"/>
          <w:bCs/>
          <w:szCs w:val="30"/>
          <w:highlight w:val="none"/>
        </w:rPr>
        <w:t>一、披露拟购入</w:t>
      </w:r>
      <w:r>
        <w:rPr>
          <w:rFonts w:hint="eastAsia" w:ascii="Times New Roman" w:hAnsi="Times New Roman" w:eastAsia="黑体" w:cs="Times New Roman"/>
          <w:bCs/>
          <w:szCs w:val="30"/>
          <w:highlight w:val="none"/>
        </w:rPr>
        <w:t>不动产</w:t>
      </w:r>
      <w:r>
        <w:rPr>
          <w:rFonts w:ascii="Times New Roman" w:hAnsi="Times New Roman" w:eastAsia="黑体" w:cs="Times New Roman"/>
          <w:bCs/>
          <w:szCs w:val="30"/>
          <w:highlight w:val="none"/>
        </w:rPr>
        <w:t>项目临时公告</w:t>
      </w:r>
      <w:r>
        <w:rPr>
          <w:rFonts w:ascii="Times New Roman" w:hAnsi="Times New Roman" w:cs="Times New Roman"/>
          <w:highlight w:val="none"/>
        </w:rPr>
        <w:tab/>
      </w:r>
      <w:r>
        <w:rPr>
          <w:rFonts w:ascii="Times New Roman" w:hAnsi="Times New Roman" w:cs="Times New Roman"/>
          <w:highlight w:val="none"/>
        </w:rPr>
        <w:fldChar w:fldCharType="begin"/>
      </w:r>
      <w:r>
        <w:rPr>
          <w:rFonts w:ascii="Times New Roman" w:hAnsi="Times New Roman" w:cs="Times New Roman"/>
          <w:highlight w:val="none"/>
        </w:rPr>
        <w:instrText xml:space="preserve"> PAGEREF _Toc30478 \h </w:instrText>
      </w:r>
      <w:r>
        <w:rPr>
          <w:rFonts w:ascii="Times New Roman" w:hAnsi="Times New Roman" w:cs="Times New Roman"/>
          <w:highlight w:val="none"/>
        </w:rPr>
        <w:fldChar w:fldCharType="separate"/>
      </w:r>
      <w:r>
        <w:rPr>
          <w:rFonts w:ascii="Times New Roman" w:hAnsi="Times New Roman" w:cs="Times New Roman"/>
          <w:highlight w:val="none"/>
        </w:rPr>
        <w:t>3</w:t>
      </w:r>
      <w:r>
        <w:rPr>
          <w:rFonts w:ascii="Times New Roman" w:hAnsi="Times New Roman" w:cs="Times New Roman"/>
          <w:highlight w:val="none"/>
        </w:rPr>
        <w:fldChar w:fldCharType="end"/>
      </w:r>
      <w:r>
        <w:rPr>
          <w:rFonts w:ascii="Times New Roman" w:hAnsi="Times New Roman" w:cs="Times New Roman"/>
          <w:highlight w:val="none"/>
        </w:rPr>
        <w:fldChar w:fldCharType="end"/>
      </w:r>
    </w:p>
    <w:p w14:paraId="505BA39A">
      <w:pPr>
        <w:pStyle w:val="15"/>
        <w:tabs>
          <w:tab w:val="right" w:leader="dot" w:pos="8306"/>
        </w:tabs>
        <w:rPr>
          <w:rFonts w:ascii="Times New Roman" w:hAnsi="Times New Roman" w:cs="Times New Roman"/>
          <w:highlight w:val="none"/>
        </w:rPr>
      </w:pPr>
      <w:r>
        <w:rPr>
          <w:highlight w:val="none"/>
        </w:rPr>
        <w:fldChar w:fldCharType="begin"/>
      </w:r>
      <w:r>
        <w:rPr>
          <w:highlight w:val="none"/>
        </w:rPr>
        <w:instrText xml:space="preserve"> HYPERLINK \l "_Toc16920" </w:instrText>
      </w:r>
      <w:r>
        <w:rPr>
          <w:highlight w:val="none"/>
        </w:rPr>
        <w:fldChar w:fldCharType="separate"/>
      </w:r>
      <w:r>
        <w:rPr>
          <w:rFonts w:ascii="Times New Roman" w:hAnsi="Times New Roman" w:eastAsia="黑体" w:cs="Times New Roman"/>
          <w:bCs/>
          <w:szCs w:val="30"/>
          <w:highlight w:val="none"/>
        </w:rPr>
        <w:t>二、履行变更注册程序期间的信息披露</w:t>
      </w:r>
      <w:r>
        <w:rPr>
          <w:rFonts w:ascii="Times New Roman" w:hAnsi="Times New Roman" w:cs="Times New Roman"/>
          <w:highlight w:val="none"/>
        </w:rPr>
        <w:tab/>
      </w:r>
      <w:r>
        <w:rPr>
          <w:rFonts w:ascii="Times New Roman" w:hAnsi="Times New Roman" w:cs="Times New Roman"/>
          <w:highlight w:val="none"/>
        </w:rPr>
        <w:fldChar w:fldCharType="begin"/>
      </w:r>
      <w:r>
        <w:rPr>
          <w:rFonts w:ascii="Times New Roman" w:hAnsi="Times New Roman" w:cs="Times New Roman"/>
          <w:highlight w:val="none"/>
        </w:rPr>
        <w:instrText xml:space="preserve"> PAGEREF _Toc16920 \h </w:instrText>
      </w:r>
      <w:r>
        <w:rPr>
          <w:rFonts w:ascii="Times New Roman" w:hAnsi="Times New Roman" w:cs="Times New Roman"/>
          <w:highlight w:val="none"/>
        </w:rPr>
        <w:fldChar w:fldCharType="separate"/>
      </w:r>
      <w:r>
        <w:rPr>
          <w:rFonts w:ascii="Times New Roman" w:hAnsi="Times New Roman" w:cs="Times New Roman"/>
          <w:highlight w:val="none"/>
        </w:rPr>
        <w:t>4</w:t>
      </w:r>
      <w:r>
        <w:rPr>
          <w:rFonts w:ascii="Times New Roman" w:hAnsi="Times New Roman" w:cs="Times New Roman"/>
          <w:highlight w:val="none"/>
        </w:rPr>
        <w:fldChar w:fldCharType="end"/>
      </w:r>
      <w:r>
        <w:rPr>
          <w:rFonts w:ascii="Times New Roman" w:hAnsi="Times New Roman" w:cs="Times New Roman"/>
          <w:highlight w:val="none"/>
        </w:rPr>
        <w:fldChar w:fldCharType="end"/>
      </w:r>
    </w:p>
    <w:p w14:paraId="66A02AC7">
      <w:pPr>
        <w:pStyle w:val="8"/>
        <w:tabs>
          <w:tab w:val="right" w:leader="dot" w:pos="8306"/>
        </w:tabs>
        <w:rPr>
          <w:rFonts w:ascii="Times New Roman" w:hAnsi="Times New Roman" w:cs="Times New Roman"/>
          <w:highlight w:val="none"/>
        </w:rPr>
      </w:pPr>
      <w:r>
        <w:rPr>
          <w:highlight w:val="none"/>
        </w:rPr>
        <w:fldChar w:fldCharType="begin"/>
      </w:r>
      <w:r>
        <w:rPr>
          <w:highlight w:val="none"/>
        </w:rPr>
        <w:instrText xml:space="preserve"> HYPERLINK \l "_Toc27226" </w:instrText>
      </w:r>
      <w:r>
        <w:rPr>
          <w:highlight w:val="none"/>
        </w:rPr>
        <w:fldChar w:fldCharType="separate"/>
      </w:r>
      <w:r>
        <w:rPr>
          <w:rFonts w:ascii="Times New Roman" w:hAnsi="Times New Roman" w:eastAsia="楷体_GB2312" w:cs="Times New Roman"/>
          <w:bCs/>
          <w:kern w:val="0"/>
          <w:szCs w:val="30"/>
          <w:highlight w:val="none"/>
        </w:rPr>
        <w:t>（一）在当日提交信息披露申请</w:t>
      </w:r>
      <w:r>
        <w:rPr>
          <w:rFonts w:ascii="Times New Roman" w:hAnsi="Times New Roman" w:cs="Times New Roman"/>
          <w:highlight w:val="none"/>
        </w:rPr>
        <w:tab/>
      </w:r>
      <w:r>
        <w:rPr>
          <w:rFonts w:ascii="Times New Roman" w:hAnsi="Times New Roman" w:cs="Times New Roman"/>
          <w:highlight w:val="none"/>
        </w:rPr>
        <w:fldChar w:fldCharType="begin"/>
      </w:r>
      <w:r>
        <w:rPr>
          <w:rFonts w:ascii="Times New Roman" w:hAnsi="Times New Roman" w:cs="Times New Roman"/>
          <w:highlight w:val="none"/>
        </w:rPr>
        <w:instrText xml:space="preserve"> PAGEREF _Toc27226 \h </w:instrText>
      </w:r>
      <w:r>
        <w:rPr>
          <w:rFonts w:ascii="Times New Roman" w:hAnsi="Times New Roman" w:cs="Times New Roman"/>
          <w:highlight w:val="none"/>
        </w:rPr>
        <w:fldChar w:fldCharType="separate"/>
      </w:r>
      <w:r>
        <w:rPr>
          <w:rFonts w:ascii="Times New Roman" w:hAnsi="Times New Roman" w:cs="Times New Roman"/>
          <w:highlight w:val="none"/>
        </w:rPr>
        <w:t>4</w:t>
      </w:r>
      <w:r>
        <w:rPr>
          <w:rFonts w:ascii="Times New Roman" w:hAnsi="Times New Roman" w:cs="Times New Roman"/>
          <w:highlight w:val="none"/>
        </w:rPr>
        <w:fldChar w:fldCharType="end"/>
      </w:r>
      <w:r>
        <w:rPr>
          <w:rFonts w:ascii="Times New Roman" w:hAnsi="Times New Roman" w:cs="Times New Roman"/>
          <w:highlight w:val="none"/>
        </w:rPr>
        <w:fldChar w:fldCharType="end"/>
      </w:r>
    </w:p>
    <w:p w14:paraId="2995FA59">
      <w:pPr>
        <w:pStyle w:val="8"/>
        <w:tabs>
          <w:tab w:val="right" w:leader="dot" w:pos="8306"/>
        </w:tabs>
        <w:rPr>
          <w:rFonts w:ascii="Times New Roman" w:hAnsi="Times New Roman" w:cs="Times New Roman"/>
          <w:highlight w:val="none"/>
        </w:rPr>
      </w:pPr>
      <w:r>
        <w:rPr>
          <w:highlight w:val="none"/>
        </w:rPr>
        <w:fldChar w:fldCharType="begin"/>
      </w:r>
      <w:r>
        <w:rPr>
          <w:highlight w:val="none"/>
        </w:rPr>
        <w:instrText xml:space="preserve"> HYPERLINK \l "_Toc4557" </w:instrText>
      </w:r>
      <w:r>
        <w:rPr>
          <w:highlight w:val="none"/>
        </w:rPr>
        <w:fldChar w:fldCharType="separate"/>
      </w:r>
      <w:r>
        <w:rPr>
          <w:rFonts w:ascii="Times New Roman" w:hAnsi="Times New Roman" w:eastAsia="楷体_GB2312" w:cs="Times New Roman"/>
          <w:bCs/>
          <w:kern w:val="0"/>
          <w:szCs w:val="30"/>
          <w:highlight w:val="none"/>
        </w:rPr>
        <w:t>（二）在发生之日起当日或次日提交信息披露申请</w:t>
      </w:r>
      <w:r>
        <w:rPr>
          <w:rFonts w:ascii="Times New Roman" w:hAnsi="Times New Roman" w:cs="Times New Roman"/>
          <w:highlight w:val="none"/>
        </w:rPr>
        <w:tab/>
      </w:r>
      <w:r>
        <w:rPr>
          <w:rFonts w:ascii="Times New Roman" w:hAnsi="Times New Roman" w:cs="Times New Roman"/>
          <w:highlight w:val="none"/>
        </w:rPr>
        <w:fldChar w:fldCharType="begin"/>
      </w:r>
      <w:r>
        <w:rPr>
          <w:rFonts w:ascii="Times New Roman" w:hAnsi="Times New Roman" w:cs="Times New Roman"/>
          <w:highlight w:val="none"/>
        </w:rPr>
        <w:instrText xml:space="preserve"> PAGEREF _Toc4557 \h </w:instrText>
      </w:r>
      <w:r>
        <w:rPr>
          <w:rFonts w:ascii="Times New Roman" w:hAnsi="Times New Roman" w:cs="Times New Roman"/>
          <w:highlight w:val="none"/>
        </w:rPr>
        <w:fldChar w:fldCharType="separate"/>
      </w:r>
      <w:r>
        <w:rPr>
          <w:rFonts w:ascii="Times New Roman" w:hAnsi="Times New Roman" w:cs="Times New Roman"/>
          <w:highlight w:val="none"/>
        </w:rPr>
        <w:t>4</w:t>
      </w:r>
      <w:r>
        <w:rPr>
          <w:rFonts w:ascii="Times New Roman" w:hAnsi="Times New Roman" w:cs="Times New Roman"/>
          <w:highlight w:val="none"/>
        </w:rPr>
        <w:fldChar w:fldCharType="end"/>
      </w:r>
      <w:r>
        <w:rPr>
          <w:rFonts w:ascii="Times New Roman" w:hAnsi="Times New Roman" w:cs="Times New Roman"/>
          <w:highlight w:val="none"/>
        </w:rPr>
        <w:fldChar w:fldCharType="end"/>
      </w:r>
    </w:p>
    <w:p w14:paraId="79B1EAF1">
      <w:pPr>
        <w:pStyle w:val="8"/>
        <w:tabs>
          <w:tab w:val="right" w:leader="dot" w:pos="8306"/>
        </w:tabs>
        <w:rPr>
          <w:rFonts w:ascii="Times New Roman" w:hAnsi="Times New Roman" w:cs="Times New Roman"/>
          <w:highlight w:val="none"/>
        </w:rPr>
      </w:pPr>
      <w:r>
        <w:rPr>
          <w:highlight w:val="none"/>
        </w:rPr>
        <w:fldChar w:fldCharType="begin"/>
      </w:r>
      <w:r>
        <w:rPr>
          <w:highlight w:val="none"/>
        </w:rPr>
        <w:instrText xml:space="preserve"> HYPERLINK \l "_Toc12238" </w:instrText>
      </w:r>
      <w:r>
        <w:rPr>
          <w:highlight w:val="none"/>
        </w:rPr>
        <w:fldChar w:fldCharType="separate"/>
      </w:r>
      <w:r>
        <w:rPr>
          <w:rFonts w:ascii="Times New Roman" w:hAnsi="Times New Roman" w:eastAsia="楷体_GB2312" w:cs="Times New Roman"/>
          <w:bCs/>
          <w:kern w:val="0"/>
          <w:szCs w:val="30"/>
          <w:highlight w:val="none"/>
        </w:rPr>
        <w:t>（三）其他情况下的信息披露申请</w:t>
      </w:r>
      <w:r>
        <w:rPr>
          <w:rFonts w:ascii="Times New Roman" w:hAnsi="Times New Roman" w:cs="Times New Roman"/>
          <w:highlight w:val="none"/>
        </w:rPr>
        <w:tab/>
      </w:r>
      <w:r>
        <w:rPr>
          <w:rFonts w:ascii="Times New Roman" w:hAnsi="Times New Roman" w:cs="Times New Roman"/>
          <w:highlight w:val="none"/>
        </w:rPr>
        <w:fldChar w:fldCharType="begin"/>
      </w:r>
      <w:r>
        <w:rPr>
          <w:rFonts w:ascii="Times New Roman" w:hAnsi="Times New Roman" w:cs="Times New Roman"/>
          <w:highlight w:val="none"/>
        </w:rPr>
        <w:instrText xml:space="preserve"> PAGEREF _Toc12238 \h </w:instrText>
      </w:r>
      <w:r>
        <w:rPr>
          <w:rFonts w:ascii="Times New Roman" w:hAnsi="Times New Roman" w:cs="Times New Roman"/>
          <w:highlight w:val="none"/>
        </w:rPr>
        <w:fldChar w:fldCharType="separate"/>
      </w:r>
      <w:r>
        <w:rPr>
          <w:rFonts w:ascii="Times New Roman" w:hAnsi="Times New Roman" w:cs="Times New Roman"/>
          <w:highlight w:val="none"/>
        </w:rPr>
        <w:t>4</w:t>
      </w:r>
      <w:r>
        <w:rPr>
          <w:rFonts w:ascii="Times New Roman" w:hAnsi="Times New Roman" w:cs="Times New Roman"/>
          <w:highlight w:val="none"/>
        </w:rPr>
        <w:fldChar w:fldCharType="end"/>
      </w:r>
      <w:r>
        <w:rPr>
          <w:rFonts w:ascii="Times New Roman" w:hAnsi="Times New Roman" w:cs="Times New Roman"/>
          <w:highlight w:val="none"/>
        </w:rPr>
        <w:fldChar w:fldCharType="end"/>
      </w:r>
    </w:p>
    <w:p w14:paraId="398F0BBF">
      <w:pPr>
        <w:pStyle w:val="15"/>
        <w:tabs>
          <w:tab w:val="right" w:leader="dot" w:pos="8306"/>
        </w:tabs>
        <w:rPr>
          <w:rFonts w:ascii="Times New Roman" w:hAnsi="Times New Roman" w:cs="Times New Roman"/>
          <w:highlight w:val="none"/>
        </w:rPr>
      </w:pPr>
      <w:r>
        <w:rPr>
          <w:highlight w:val="none"/>
        </w:rPr>
        <w:fldChar w:fldCharType="begin"/>
      </w:r>
      <w:r>
        <w:rPr>
          <w:highlight w:val="none"/>
        </w:rPr>
        <w:instrText xml:space="preserve"> HYPERLINK \l "_Toc8178" </w:instrText>
      </w:r>
      <w:r>
        <w:rPr>
          <w:highlight w:val="none"/>
        </w:rPr>
        <w:fldChar w:fldCharType="separate"/>
      </w:r>
      <w:r>
        <w:rPr>
          <w:rFonts w:ascii="Times New Roman" w:hAnsi="Times New Roman" w:eastAsia="黑体" w:cs="Times New Roman"/>
          <w:bCs/>
          <w:szCs w:val="30"/>
          <w:highlight w:val="none"/>
        </w:rPr>
        <w:t>三、召开基金份额持有人大会</w:t>
      </w:r>
      <w:r>
        <w:rPr>
          <w:rFonts w:ascii="Times New Roman" w:hAnsi="Times New Roman" w:cs="Times New Roman"/>
          <w:highlight w:val="none"/>
        </w:rPr>
        <w:tab/>
      </w:r>
      <w:r>
        <w:rPr>
          <w:rFonts w:ascii="Times New Roman" w:hAnsi="Times New Roman" w:cs="Times New Roman"/>
          <w:highlight w:val="none"/>
        </w:rPr>
        <w:fldChar w:fldCharType="begin"/>
      </w:r>
      <w:r>
        <w:rPr>
          <w:rFonts w:ascii="Times New Roman" w:hAnsi="Times New Roman" w:cs="Times New Roman"/>
          <w:highlight w:val="none"/>
        </w:rPr>
        <w:instrText xml:space="preserve"> PAGEREF _Toc8178 \h </w:instrText>
      </w:r>
      <w:r>
        <w:rPr>
          <w:rFonts w:ascii="Times New Roman" w:hAnsi="Times New Roman" w:cs="Times New Roman"/>
          <w:highlight w:val="none"/>
        </w:rPr>
        <w:fldChar w:fldCharType="separate"/>
      </w:r>
      <w:r>
        <w:rPr>
          <w:rFonts w:ascii="Times New Roman" w:hAnsi="Times New Roman" w:cs="Times New Roman"/>
          <w:highlight w:val="none"/>
        </w:rPr>
        <w:t>4</w:t>
      </w:r>
      <w:r>
        <w:rPr>
          <w:rFonts w:ascii="Times New Roman" w:hAnsi="Times New Roman" w:cs="Times New Roman"/>
          <w:highlight w:val="none"/>
        </w:rPr>
        <w:fldChar w:fldCharType="end"/>
      </w:r>
      <w:r>
        <w:rPr>
          <w:rFonts w:ascii="Times New Roman" w:hAnsi="Times New Roman" w:cs="Times New Roman"/>
          <w:highlight w:val="none"/>
        </w:rPr>
        <w:fldChar w:fldCharType="end"/>
      </w:r>
    </w:p>
    <w:p w14:paraId="3FC28351">
      <w:pPr>
        <w:pStyle w:val="8"/>
        <w:tabs>
          <w:tab w:val="right" w:leader="dot" w:pos="8306"/>
        </w:tabs>
        <w:rPr>
          <w:rFonts w:ascii="Times New Roman" w:hAnsi="Times New Roman" w:cs="Times New Roman"/>
          <w:highlight w:val="none"/>
        </w:rPr>
      </w:pPr>
      <w:r>
        <w:rPr>
          <w:highlight w:val="none"/>
        </w:rPr>
        <w:fldChar w:fldCharType="begin"/>
      </w:r>
      <w:r>
        <w:rPr>
          <w:highlight w:val="none"/>
        </w:rPr>
        <w:instrText xml:space="preserve"> HYPERLINK \l "_Toc7039" </w:instrText>
      </w:r>
      <w:r>
        <w:rPr>
          <w:highlight w:val="none"/>
        </w:rPr>
        <w:fldChar w:fldCharType="separate"/>
      </w:r>
      <w:r>
        <w:rPr>
          <w:rFonts w:ascii="Times New Roman" w:hAnsi="Times New Roman" w:eastAsia="楷体_GB2312" w:cs="Times New Roman"/>
          <w:bCs/>
          <w:kern w:val="0"/>
          <w:szCs w:val="30"/>
          <w:highlight w:val="none"/>
        </w:rPr>
        <w:t>（一）披露召开持有人大会的通知公告及提示性公告</w:t>
      </w:r>
      <w:r>
        <w:rPr>
          <w:rFonts w:ascii="Times New Roman" w:hAnsi="Times New Roman" w:cs="Times New Roman"/>
          <w:highlight w:val="none"/>
        </w:rPr>
        <w:tab/>
      </w:r>
      <w:r>
        <w:rPr>
          <w:rFonts w:ascii="Times New Roman" w:hAnsi="Times New Roman" w:cs="Times New Roman"/>
          <w:highlight w:val="none"/>
        </w:rPr>
        <w:fldChar w:fldCharType="begin"/>
      </w:r>
      <w:r>
        <w:rPr>
          <w:rFonts w:ascii="Times New Roman" w:hAnsi="Times New Roman" w:cs="Times New Roman"/>
          <w:highlight w:val="none"/>
        </w:rPr>
        <w:instrText xml:space="preserve"> PAGEREF _Toc7039 \h </w:instrText>
      </w:r>
      <w:r>
        <w:rPr>
          <w:rFonts w:ascii="Times New Roman" w:hAnsi="Times New Roman" w:cs="Times New Roman"/>
          <w:highlight w:val="none"/>
        </w:rPr>
        <w:fldChar w:fldCharType="separate"/>
      </w:r>
      <w:r>
        <w:rPr>
          <w:rFonts w:ascii="Times New Roman" w:hAnsi="Times New Roman" w:cs="Times New Roman"/>
          <w:highlight w:val="none"/>
        </w:rPr>
        <w:t>4</w:t>
      </w:r>
      <w:r>
        <w:rPr>
          <w:rFonts w:ascii="Times New Roman" w:hAnsi="Times New Roman" w:cs="Times New Roman"/>
          <w:highlight w:val="none"/>
        </w:rPr>
        <w:fldChar w:fldCharType="end"/>
      </w:r>
      <w:r>
        <w:rPr>
          <w:rFonts w:ascii="Times New Roman" w:hAnsi="Times New Roman" w:cs="Times New Roman"/>
          <w:highlight w:val="none"/>
        </w:rPr>
        <w:fldChar w:fldCharType="end"/>
      </w:r>
    </w:p>
    <w:p w14:paraId="2434879B">
      <w:pPr>
        <w:pStyle w:val="8"/>
        <w:tabs>
          <w:tab w:val="right" w:leader="dot" w:pos="8306"/>
        </w:tabs>
        <w:rPr>
          <w:rFonts w:ascii="Times New Roman" w:hAnsi="Times New Roman" w:cs="Times New Roman"/>
          <w:highlight w:val="none"/>
        </w:rPr>
      </w:pPr>
      <w:r>
        <w:rPr>
          <w:highlight w:val="none"/>
        </w:rPr>
        <w:fldChar w:fldCharType="begin"/>
      </w:r>
      <w:r>
        <w:rPr>
          <w:highlight w:val="none"/>
        </w:rPr>
        <w:instrText xml:space="preserve"> HYPERLINK \l "_Toc1439" </w:instrText>
      </w:r>
      <w:r>
        <w:rPr>
          <w:highlight w:val="none"/>
        </w:rPr>
        <w:fldChar w:fldCharType="separate"/>
      </w:r>
      <w:r>
        <w:rPr>
          <w:rFonts w:ascii="Times New Roman" w:hAnsi="Times New Roman" w:eastAsia="楷体_GB2312" w:cs="Times New Roman"/>
          <w:bCs/>
          <w:kern w:val="0"/>
          <w:szCs w:val="30"/>
          <w:highlight w:val="none"/>
        </w:rPr>
        <w:t>（二）披露召开持有人大会期间停牌的提示性公告</w:t>
      </w:r>
      <w:r>
        <w:rPr>
          <w:rFonts w:ascii="Times New Roman" w:hAnsi="Times New Roman" w:cs="Times New Roman"/>
          <w:highlight w:val="none"/>
        </w:rPr>
        <w:tab/>
      </w:r>
      <w:r>
        <w:rPr>
          <w:rFonts w:ascii="Times New Roman" w:hAnsi="Times New Roman" w:cs="Times New Roman"/>
          <w:highlight w:val="none"/>
        </w:rPr>
        <w:fldChar w:fldCharType="begin"/>
      </w:r>
      <w:r>
        <w:rPr>
          <w:rFonts w:ascii="Times New Roman" w:hAnsi="Times New Roman" w:cs="Times New Roman"/>
          <w:highlight w:val="none"/>
        </w:rPr>
        <w:instrText xml:space="preserve"> PAGEREF _Toc1439 \h </w:instrText>
      </w:r>
      <w:r>
        <w:rPr>
          <w:rFonts w:ascii="Times New Roman" w:hAnsi="Times New Roman" w:cs="Times New Roman"/>
          <w:highlight w:val="none"/>
        </w:rPr>
        <w:fldChar w:fldCharType="separate"/>
      </w:r>
      <w:r>
        <w:rPr>
          <w:rFonts w:ascii="Times New Roman" w:hAnsi="Times New Roman" w:cs="Times New Roman"/>
          <w:highlight w:val="none"/>
        </w:rPr>
        <w:t>6</w:t>
      </w:r>
      <w:r>
        <w:rPr>
          <w:rFonts w:ascii="Times New Roman" w:hAnsi="Times New Roman" w:cs="Times New Roman"/>
          <w:highlight w:val="none"/>
        </w:rPr>
        <w:fldChar w:fldCharType="end"/>
      </w:r>
      <w:r>
        <w:rPr>
          <w:rFonts w:ascii="Times New Roman" w:hAnsi="Times New Roman" w:cs="Times New Roman"/>
          <w:highlight w:val="none"/>
        </w:rPr>
        <w:fldChar w:fldCharType="end"/>
      </w:r>
    </w:p>
    <w:p w14:paraId="0E42FC3C">
      <w:pPr>
        <w:pStyle w:val="8"/>
        <w:tabs>
          <w:tab w:val="right" w:leader="dot" w:pos="8306"/>
        </w:tabs>
        <w:rPr>
          <w:rFonts w:ascii="Times New Roman" w:hAnsi="Times New Roman" w:cs="Times New Roman"/>
          <w:highlight w:val="none"/>
        </w:rPr>
      </w:pPr>
      <w:r>
        <w:rPr>
          <w:highlight w:val="none"/>
        </w:rPr>
        <w:fldChar w:fldCharType="begin"/>
      </w:r>
      <w:r>
        <w:rPr>
          <w:highlight w:val="none"/>
        </w:rPr>
        <w:instrText xml:space="preserve"> HYPERLINK \l "_Toc11993" </w:instrText>
      </w:r>
      <w:r>
        <w:rPr>
          <w:highlight w:val="none"/>
        </w:rPr>
        <w:fldChar w:fldCharType="separate"/>
      </w:r>
      <w:r>
        <w:rPr>
          <w:rFonts w:ascii="Times New Roman" w:hAnsi="Times New Roman" w:eastAsia="楷体_GB2312" w:cs="Times New Roman"/>
          <w:bCs/>
          <w:kern w:val="0"/>
          <w:szCs w:val="30"/>
          <w:highlight w:val="none"/>
        </w:rPr>
        <w:t>（三）披露持有人大会决议生效公告</w:t>
      </w:r>
      <w:r>
        <w:rPr>
          <w:rFonts w:ascii="Times New Roman" w:hAnsi="Times New Roman" w:cs="Times New Roman"/>
          <w:highlight w:val="none"/>
        </w:rPr>
        <w:tab/>
      </w:r>
      <w:r>
        <w:rPr>
          <w:rFonts w:ascii="Times New Roman" w:hAnsi="Times New Roman" w:cs="Times New Roman"/>
          <w:highlight w:val="none"/>
        </w:rPr>
        <w:fldChar w:fldCharType="begin"/>
      </w:r>
      <w:r>
        <w:rPr>
          <w:rFonts w:ascii="Times New Roman" w:hAnsi="Times New Roman" w:cs="Times New Roman"/>
          <w:highlight w:val="none"/>
        </w:rPr>
        <w:instrText xml:space="preserve"> PAGEREF _Toc11993 \h </w:instrText>
      </w:r>
      <w:r>
        <w:rPr>
          <w:rFonts w:ascii="Times New Roman" w:hAnsi="Times New Roman" w:cs="Times New Roman"/>
          <w:highlight w:val="none"/>
        </w:rPr>
        <w:fldChar w:fldCharType="separate"/>
      </w:r>
      <w:r>
        <w:rPr>
          <w:rFonts w:ascii="Times New Roman" w:hAnsi="Times New Roman" w:cs="Times New Roman"/>
          <w:highlight w:val="none"/>
        </w:rPr>
        <w:t>6</w:t>
      </w:r>
      <w:r>
        <w:rPr>
          <w:rFonts w:ascii="Times New Roman" w:hAnsi="Times New Roman" w:cs="Times New Roman"/>
          <w:highlight w:val="none"/>
        </w:rPr>
        <w:fldChar w:fldCharType="end"/>
      </w:r>
      <w:r>
        <w:rPr>
          <w:rFonts w:ascii="Times New Roman" w:hAnsi="Times New Roman" w:cs="Times New Roman"/>
          <w:highlight w:val="none"/>
        </w:rPr>
        <w:fldChar w:fldCharType="end"/>
      </w:r>
    </w:p>
    <w:p w14:paraId="3AD342BE">
      <w:pPr>
        <w:pStyle w:val="15"/>
        <w:tabs>
          <w:tab w:val="right" w:leader="dot" w:pos="8306"/>
        </w:tabs>
        <w:rPr>
          <w:rFonts w:ascii="Times New Roman" w:hAnsi="Times New Roman" w:cs="Times New Roman"/>
          <w:highlight w:val="none"/>
        </w:rPr>
      </w:pPr>
      <w:r>
        <w:rPr>
          <w:highlight w:val="none"/>
        </w:rPr>
        <w:fldChar w:fldCharType="begin"/>
      </w:r>
      <w:r>
        <w:rPr>
          <w:highlight w:val="none"/>
        </w:rPr>
        <w:instrText xml:space="preserve"> HYPERLINK \l "_Toc17033" </w:instrText>
      </w:r>
      <w:r>
        <w:rPr>
          <w:highlight w:val="none"/>
        </w:rPr>
        <w:fldChar w:fldCharType="separate"/>
      </w:r>
      <w:r>
        <w:rPr>
          <w:rFonts w:ascii="Times New Roman" w:hAnsi="Times New Roman" w:eastAsia="黑体" w:cs="Times New Roman"/>
          <w:bCs/>
          <w:szCs w:val="30"/>
          <w:highlight w:val="none"/>
        </w:rPr>
        <w:t>四、扩募期间暂停分红业务</w:t>
      </w:r>
      <w:r>
        <w:rPr>
          <w:rFonts w:ascii="Times New Roman" w:hAnsi="Times New Roman" w:cs="Times New Roman"/>
          <w:highlight w:val="none"/>
        </w:rPr>
        <w:tab/>
      </w:r>
      <w:r>
        <w:rPr>
          <w:rFonts w:ascii="Times New Roman" w:hAnsi="Times New Roman" w:cs="Times New Roman"/>
          <w:highlight w:val="none"/>
        </w:rPr>
        <w:fldChar w:fldCharType="begin"/>
      </w:r>
      <w:r>
        <w:rPr>
          <w:rFonts w:ascii="Times New Roman" w:hAnsi="Times New Roman" w:cs="Times New Roman"/>
          <w:highlight w:val="none"/>
        </w:rPr>
        <w:instrText xml:space="preserve"> PAGEREF _Toc17033 \h </w:instrText>
      </w:r>
      <w:r>
        <w:rPr>
          <w:rFonts w:ascii="Times New Roman" w:hAnsi="Times New Roman" w:cs="Times New Roman"/>
          <w:highlight w:val="none"/>
        </w:rPr>
        <w:fldChar w:fldCharType="separate"/>
      </w:r>
      <w:r>
        <w:rPr>
          <w:rFonts w:ascii="Times New Roman" w:hAnsi="Times New Roman" w:cs="Times New Roman"/>
          <w:highlight w:val="none"/>
        </w:rPr>
        <w:t>7</w:t>
      </w:r>
      <w:r>
        <w:rPr>
          <w:rFonts w:ascii="Times New Roman" w:hAnsi="Times New Roman" w:cs="Times New Roman"/>
          <w:highlight w:val="none"/>
        </w:rPr>
        <w:fldChar w:fldCharType="end"/>
      </w:r>
      <w:r>
        <w:rPr>
          <w:rFonts w:ascii="Times New Roman" w:hAnsi="Times New Roman" w:cs="Times New Roman"/>
          <w:highlight w:val="none"/>
        </w:rPr>
        <w:fldChar w:fldCharType="end"/>
      </w:r>
    </w:p>
    <w:p w14:paraId="55B44EA9">
      <w:pPr>
        <w:pStyle w:val="13"/>
        <w:tabs>
          <w:tab w:val="right" w:leader="dot" w:pos="8306"/>
          <w:tab w:val="clear" w:pos="8296"/>
        </w:tabs>
        <w:rPr>
          <w:rFonts w:cs="Times New Roman"/>
          <w:highlight w:val="none"/>
        </w:rPr>
      </w:pPr>
      <w:r>
        <w:rPr>
          <w:highlight w:val="none"/>
        </w:rPr>
        <w:fldChar w:fldCharType="begin"/>
      </w:r>
      <w:r>
        <w:rPr>
          <w:highlight w:val="none"/>
        </w:rPr>
        <w:instrText xml:space="preserve"> HYPERLINK \l "_Toc18131" </w:instrText>
      </w:r>
      <w:r>
        <w:rPr>
          <w:highlight w:val="none"/>
        </w:rPr>
        <w:fldChar w:fldCharType="separate"/>
      </w:r>
      <w:r>
        <w:rPr>
          <w:rFonts w:eastAsia="黑体" w:cs="Times New Roman"/>
          <w:bCs/>
          <w:szCs w:val="32"/>
          <w:highlight w:val="none"/>
        </w:rPr>
        <w:t xml:space="preserve">第二章 </w:t>
      </w:r>
      <w:r>
        <w:rPr>
          <w:rFonts w:eastAsia="黑体" w:cs="Times New Roman"/>
          <w:bCs/>
          <w:szCs w:val="30"/>
          <w:highlight w:val="none"/>
        </w:rPr>
        <w:t>向原持有人配售</w:t>
      </w:r>
      <w:r>
        <w:rPr>
          <w:rFonts w:cs="Times New Roman"/>
          <w:highlight w:val="none"/>
        </w:rPr>
        <w:tab/>
      </w:r>
      <w:r>
        <w:rPr>
          <w:rFonts w:cs="Times New Roman"/>
          <w:highlight w:val="none"/>
        </w:rPr>
        <w:fldChar w:fldCharType="begin"/>
      </w:r>
      <w:r>
        <w:rPr>
          <w:rFonts w:cs="Times New Roman"/>
          <w:highlight w:val="none"/>
        </w:rPr>
        <w:instrText xml:space="preserve"> PAGEREF _Toc18131 \h </w:instrText>
      </w:r>
      <w:r>
        <w:rPr>
          <w:rFonts w:cs="Times New Roman"/>
          <w:highlight w:val="none"/>
        </w:rPr>
        <w:fldChar w:fldCharType="separate"/>
      </w:r>
      <w:r>
        <w:rPr>
          <w:rFonts w:cs="Times New Roman"/>
          <w:highlight w:val="none"/>
        </w:rPr>
        <w:t>7</w:t>
      </w:r>
      <w:r>
        <w:rPr>
          <w:rFonts w:cs="Times New Roman"/>
          <w:highlight w:val="none"/>
        </w:rPr>
        <w:fldChar w:fldCharType="end"/>
      </w:r>
      <w:r>
        <w:rPr>
          <w:rFonts w:cs="Times New Roman"/>
          <w:highlight w:val="none"/>
        </w:rPr>
        <w:fldChar w:fldCharType="end"/>
      </w:r>
    </w:p>
    <w:p w14:paraId="013A88DB">
      <w:pPr>
        <w:pStyle w:val="15"/>
        <w:tabs>
          <w:tab w:val="right" w:leader="dot" w:pos="8306"/>
        </w:tabs>
        <w:rPr>
          <w:rFonts w:ascii="Times New Roman" w:hAnsi="Times New Roman" w:cs="Times New Roman"/>
          <w:highlight w:val="none"/>
        </w:rPr>
      </w:pPr>
      <w:r>
        <w:rPr>
          <w:highlight w:val="none"/>
        </w:rPr>
        <w:fldChar w:fldCharType="begin"/>
      </w:r>
      <w:r>
        <w:rPr>
          <w:highlight w:val="none"/>
        </w:rPr>
        <w:instrText xml:space="preserve"> HYPERLINK \l "_Toc29589" </w:instrText>
      </w:r>
      <w:r>
        <w:rPr>
          <w:highlight w:val="none"/>
        </w:rPr>
        <w:fldChar w:fldCharType="separate"/>
      </w:r>
      <w:r>
        <w:rPr>
          <w:rFonts w:ascii="Times New Roman" w:hAnsi="Times New Roman" w:eastAsia="黑体" w:cs="Times New Roman"/>
          <w:bCs/>
          <w:szCs w:val="30"/>
          <w:highlight w:val="none"/>
        </w:rPr>
        <w:t>一、发售前需关注的事项</w:t>
      </w:r>
      <w:r>
        <w:rPr>
          <w:rFonts w:ascii="Times New Roman" w:hAnsi="Times New Roman" w:cs="Times New Roman"/>
          <w:highlight w:val="none"/>
        </w:rPr>
        <w:tab/>
      </w:r>
      <w:r>
        <w:rPr>
          <w:rFonts w:ascii="Times New Roman" w:hAnsi="Times New Roman" w:cs="Times New Roman"/>
          <w:highlight w:val="none"/>
        </w:rPr>
        <w:fldChar w:fldCharType="begin"/>
      </w:r>
      <w:r>
        <w:rPr>
          <w:rFonts w:ascii="Times New Roman" w:hAnsi="Times New Roman" w:cs="Times New Roman"/>
          <w:highlight w:val="none"/>
        </w:rPr>
        <w:instrText xml:space="preserve"> PAGEREF _Toc29589 \h </w:instrText>
      </w:r>
      <w:r>
        <w:rPr>
          <w:rFonts w:ascii="Times New Roman" w:hAnsi="Times New Roman" w:cs="Times New Roman"/>
          <w:highlight w:val="none"/>
        </w:rPr>
        <w:fldChar w:fldCharType="separate"/>
      </w:r>
      <w:r>
        <w:rPr>
          <w:rFonts w:ascii="Times New Roman" w:hAnsi="Times New Roman" w:cs="Times New Roman"/>
          <w:highlight w:val="none"/>
        </w:rPr>
        <w:t>7</w:t>
      </w:r>
      <w:r>
        <w:rPr>
          <w:rFonts w:ascii="Times New Roman" w:hAnsi="Times New Roman" w:cs="Times New Roman"/>
          <w:highlight w:val="none"/>
        </w:rPr>
        <w:fldChar w:fldCharType="end"/>
      </w:r>
      <w:r>
        <w:rPr>
          <w:rFonts w:ascii="Times New Roman" w:hAnsi="Times New Roman" w:cs="Times New Roman"/>
          <w:highlight w:val="none"/>
        </w:rPr>
        <w:fldChar w:fldCharType="end"/>
      </w:r>
    </w:p>
    <w:p w14:paraId="3DA0FCC5">
      <w:pPr>
        <w:pStyle w:val="8"/>
        <w:tabs>
          <w:tab w:val="right" w:leader="dot" w:pos="8306"/>
        </w:tabs>
        <w:rPr>
          <w:rFonts w:ascii="Times New Roman" w:hAnsi="Times New Roman" w:cs="Times New Roman"/>
          <w:highlight w:val="none"/>
        </w:rPr>
      </w:pPr>
      <w:r>
        <w:rPr>
          <w:highlight w:val="none"/>
        </w:rPr>
        <w:fldChar w:fldCharType="begin"/>
      </w:r>
      <w:r>
        <w:rPr>
          <w:highlight w:val="none"/>
        </w:rPr>
        <w:instrText xml:space="preserve"> HYPERLINK \l "_Toc6492" </w:instrText>
      </w:r>
      <w:r>
        <w:rPr>
          <w:highlight w:val="none"/>
        </w:rPr>
        <w:fldChar w:fldCharType="separate"/>
      </w:r>
      <w:r>
        <w:rPr>
          <w:rFonts w:ascii="Times New Roman" w:hAnsi="Times New Roman" w:eastAsia="楷体_GB2312" w:cs="Times New Roman"/>
          <w:bCs/>
          <w:kern w:val="0"/>
          <w:szCs w:val="30"/>
          <w:highlight w:val="none"/>
        </w:rPr>
        <w:t>（一）确认配售范围及配售比例</w:t>
      </w:r>
      <w:r>
        <w:rPr>
          <w:rFonts w:ascii="Times New Roman" w:hAnsi="Times New Roman" w:cs="Times New Roman"/>
          <w:highlight w:val="none"/>
        </w:rPr>
        <w:tab/>
      </w:r>
      <w:r>
        <w:rPr>
          <w:rFonts w:ascii="Times New Roman" w:hAnsi="Times New Roman" w:cs="Times New Roman"/>
          <w:highlight w:val="none"/>
        </w:rPr>
        <w:fldChar w:fldCharType="begin"/>
      </w:r>
      <w:r>
        <w:rPr>
          <w:rFonts w:ascii="Times New Roman" w:hAnsi="Times New Roman" w:cs="Times New Roman"/>
          <w:highlight w:val="none"/>
        </w:rPr>
        <w:instrText xml:space="preserve"> PAGEREF _Toc6492 \h </w:instrText>
      </w:r>
      <w:r>
        <w:rPr>
          <w:rFonts w:ascii="Times New Roman" w:hAnsi="Times New Roman" w:cs="Times New Roman"/>
          <w:highlight w:val="none"/>
        </w:rPr>
        <w:fldChar w:fldCharType="separate"/>
      </w:r>
      <w:r>
        <w:rPr>
          <w:rFonts w:ascii="Times New Roman" w:hAnsi="Times New Roman" w:cs="Times New Roman"/>
          <w:highlight w:val="none"/>
        </w:rPr>
        <w:t>7</w:t>
      </w:r>
      <w:r>
        <w:rPr>
          <w:rFonts w:ascii="Times New Roman" w:hAnsi="Times New Roman" w:cs="Times New Roman"/>
          <w:highlight w:val="none"/>
        </w:rPr>
        <w:fldChar w:fldCharType="end"/>
      </w:r>
      <w:r>
        <w:rPr>
          <w:rFonts w:ascii="Times New Roman" w:hAnsi="Times New Roman" w:cs="Times New Roman"/>
          <w:highlight w:val="none"/>
        </w:rPr>
        <w:fldChar w:fldCharType="end"/>
      </w:r>
    </w:p>
    <w:p w14:paraId="640DE8C8">
      <w:pPr>
        <w:pStyle w:val="8"/>
        <w:tabs>
          <w:tab w:val="right" w:leader="dot" w:pos="8306"/>
        </w:tabs>
        <w:rPr>
          <w:rFonts w:ascii="Times New Roman" w:hAnsi="Times New Roman" w:cs="Times New Roman"/>
          <w:highlight w:val="none"/>
        </w:rPr>
      </w:pPr>
      <w:r>
        <w:rPr>
          <w:highlight w:val="none"/>
        </w:rPr>
        <w:fldChar w:fldCharType="begin"/>
      </w:r>
      <w:r>
        <w:rPr>
          <w:highlight w:val="none"/>
        </w:rPr>
        <w:instrText xml:space="preserve"> HYPERLINK \l "_Toc22805" </w:instrText>
      </w:r>
      <w:r>
        <w:rPr>
          <w:highlight w:val="none"/>
        </w:rPr>
        <w:fldChar w:fldCharType="separate"/>
      </w:r>
      <w:r>
        <w:rPr>
          <w:rFonts w:ascii="Times New Roman" w:hAnsi="Times New Roman" w:eastAsia="楷体_GB2312" w:cs="Times New Roman"/>
          <w:bCs/>
          <w:kern w:val="0"/>
          <w:szCs w:val="30"/>
          <w:highlight w:val="none"/>
        </w:rPr>
        <w:t>（二）符合条件的基金份额持有人参与配售认购的方式</w:t>
      </w:r>
      <w:r>
        <w:rPr>
          <w:rFonts w:ascii="Times New Roman" w:hAnsi="Times New Roman" w:cs="Times New Roman"/>
          <w:highlight w:val="none"/>
        </w:rPr>
        <w:tab/>
      </w:r>
      <w:r>
        <w:rPr>
          <w:rFonts w:ascii="Times New Roman" w:hAnsi="Times New Roman" w:cs="Times New Roman"/>
          <w:highlight w:val="none"/>
        </w:rPr>
        <w:fldChar w:fldCharType="begin"/>
      </w:r>
      <w:r>
        <w:rPr>
          <w:rFonts w:ascii="Times New Roman" w:hAnsi="Times New Roman" w:cs="Times New Roman"/>
          <w:highlight w:val="none"/>
        </w:rPr>
        <w:instrText xml:space="preserve"> PAGEREF _Toc22805 \h </w:instrText>
      </w:r>
      <w:r>
        <w:rPr>
          <w:rFonts w:ascii="Times New Roman" w:hAnsi="Times New Roman" w:cs="Times New Roman"/>
          <w:highlight w:val="none"/>
        </w:rPr>
        <w:fldChar w:fldCharType="separate"/>
      </w:r>
      <w:r>
        <w:rPr>
          <w:rFonts w:ascii="Times New Roman" w:hAnsi="Times New Roman" w:cs="Times New Roman"/>
          <w:highlight w:val="none"/>
        </w:rPr>
        <w:t>8</w:t>
      </w:r>
      <w:r>
        <w:rPr>
          <w:rFonts w:ascii="Times New Roman" w:hAnsi="Times New Roman" w:cs="Times New Roman"/>
          <w:highlight w:val="none"/>
        </w:rPr>
        <w:fldChar w:fldCharType="end"/>
      </w:r>
      <w:r>
        <w:rPr>
          <w:rFonts w:ascii="Times New Roman" w:hAnsi="Times New Roman" w:cs="Times New Roman"/>
          <w:highlight w:val="none"/>
        </w:rPr>
        <w:fldChar w:fldCharType="end"/>
      </w:r>
    </w:p>
    <w:p w14:paraId="04A83673">
      <w:pPr>
        <w:pStyle w:val="15"/>
        <w:tabs>
          <w:tab w:val="right" w:leader="dot" w:pos="8306"/>
        </w:tabs>
        <w:rPr>
          <w:rFonts w:ascii="Times New Roman" w:hAnsi="Times New Roman" w:cs="Times New Roman"/>
          <w:highlight w:val="none"/>
        </w:rPr>
      </w:pPr>
      <w:r>
        <w:rPr>
          <w:highlight w:val="none"/>
        </w:rPr>
        <w:fldChar w:fldCharType="begin"/>
      </w:r>
      <w:r>
        <w:rPr>
          <w:highlight w:val="none"/>
        </w:rPr>
        <w:instrText xml:space="preserve"> HYPERLINK \l "_Toc10034" </w:instrText>
      </w:r>
      <w:r>
        <w:rPr>
          <w:highlight w:val="none"/>
        </w:rPr>
        <w:fldChar w:fldCharType="separate"/>
      </w:r>
      <w:r>
        <w:rPr>
          <w:rFonts w:ascii="Times New Roman" w:hAnsi="Times New Roman" w:eastAsia="黑体" w:cs="Times New Roman"/>
          <w:bCs/>
          <w:szCs w:val="30"/>
          <w:highlight w:val="none"/>
        </w:rPr>
        <w:t>二、发售及认购</w:t>
      </w:r>
      <w:r>
        <w:rPr>
          <w:rFonts w:ascii="Times New Roman" w:hAnsi="Times New Roman" w:cs="Times New Roman"/>
          <w:highlight w:val="none"/>
        </w:rPr>
        <w:tab/>
      </w:r>
      <w:r>
        <w:rPr>
          <w:rFonts w:ascii="Times New Roman" w:hAnsi="Times New Roman" w:cs="Times New Roman"/>
          <w:highlight w:val="none"/>
        </w:rPr>
        <w:fldChar w:fldCharType="begin"/>
      </w:r>
      <w:r>
        <w:rPr>
          <w:rFonts w:ascii="Times New Roman" w:hAnsi="Times New Roman" w:cs="Times New Roman"/>
          <w:highlight w:val="none"/>
        </w:rPr>
        <w:instrText xml:space="preserve"> PAGEREF _Toc10034 \h </w:instrText>
      </w:r>
      <w:r>
        <w:rPr>
          <w:rFonts w:ascii="Times New Roman" w:hAnsi="Times New Roman" w:cs="Times New Roman"/>
          <w:highlight w:val="none"/>
        </w:rPr>
        <w:fldChar w:fldCharType="separate"/>
      </w:r>
      <w:r>
        <w:rPr>
          <w:rFonts w:ascii="Times New Roman" w:hAnsi="Times New Roman" w:cs="Times New Roman"/>
          <w:highlight w:val="none"/>
        </w:rPr>
        <w:t>8</w:t>
      </w:r>
      <w:r>
        <w:rPr>
          <w:rFonts w:ascii="Times New Roman" w:hAnsi="Times New Roman" w:cs="Times New Roman"/>
          <w:highlight w:val="none"/>
        </w:rPr>
        <w:fldChar w:fldCharType="end"/>
      </w:r>
      <w:r>
        <w:rPr>
          <w:rFonts w:ascii="Times New Roman" w:hAnsi="Times New Roman" w:cs="Times New Roman"/>
          <w:highlight w:val="none"/>
        </w:rPr>
        <w:fldChar w:fldCharType="end"/>
      </w:r>
    </w:p>
    <w:p w14:paraId="443D7B92">
      <w:pPr>
        <w:pStyle w:val="8"/>
        <w:tabs>
          <w:tab w:val="right" w:leader="dot" w:pos="8306"/>
        </w:tabs>
        <w:rPr>
          <w:rFonts w:ascii="Times New Roman" w:hAnsi="Times New Roman" w:cs="Times New Roman"/>
          <w:highlight w:val="none"/>
        </w:rPr>
      </w:pPr>
      <w:r>
        <w:rPr>
          <w:highlight w:val="none"/>
        </w:rPr>
        <w:fldChar w:fldCharType="begin"/>
      </w:r>
      <w:r>
        <w:rPr>
          <w:highlight w:val="none"/>
        </w:rPr>
        <w:instrText xml:space="preserve"> HYPERLINK \l "_Toc29619" </w:instrText>
      </w:r>
      <w:r>
        <w:rPr>
          <w:highlight w:val="none"/>
        </w:rPr>
        <w:fldChar w:fldCharType="separate"/>
      </w:r>
      <w:r>
        <w:rPr>
          <w:rFonts w:ascii="Times New Roman" w:hAnsi="Times New Roman" w:eastAsia="楷体_GB2312" w:cs="Times New Roman"/>
          <w:szCs w:val="30"/>
          <w:highlight w:val="none"/>
        </w:rPr>
        <w:t>（一）发售业务申请与受理</w:t>
      </w:r>
      <w:r>
        <w:rPr>
          <w:rFonts w:ascii="Times New Roman" w:hAnsi="Times New Roman" w:cs="Times New Roman"/>
          <w:highlight w:val="none"/>
        </w:rPr>
        <w:tab/>
      </w:r>
      <w:r>
        <w:rPr>
          <w:rFonts w:ascii="Times New Roman" w:hAnsi="Times New Roman" w:cs="Times New Roman"/>
          <w:highlight w:val="none"/>
        </w:rPr>
        <w:fldChar w:fldCharType="begin"/>
      </w:r>
      <w:r>
        <w:rPr>
          <w:rFonts w:ascii="Times New Roman" w:hAnsi="Times New Roman" w:cs="Times New Roman"/>
          <w:highlight w:val="none"/>
        </w:rPr>
        <w:instrText xml:space="preserve"> PAGEREF _Toc29619 \h </w:instrText>
      </w:r>
      <w:r>
        <w:rPr>
          <w:rFonts w:ascii="Times New Roman" w:hAnsi="Times New Roman" w:cs="Times New Roman"/>
          <w:highlight w:val="none"/>
        </w:rPr>
        <w:fldChar w:fldCharType="separate"/>
      </w:r>
      <w:r>
        <w:rPr>
          <w:rFonts w:ascii="Times New Roman" w:hAnsi="Times New Roman" w:cs="Times New Roman"/>
          <w:highlight w:val="none"/>
        </w:rPr>
        <w:t>8</w:t>
      </w:r>
      <w:r>
        <w:rPr>
          <w:rFonts w:ascii="Times New Roman" w:hAnsi="Times New Roman" w:cs="Times New Roman"/>
          <w:highlight w:val="none"/>
        </w:rPr>
        <w:fldChar w:fldCharType="end"/>
      </w:r>
      <w:r>
        <w:rPr>
          <w:rFonts w:ascii="Times New Roman" w:hAnsi="Times New Roman" w:cs="Times New Roman"/>
          <w:highlight w:val="none"/>
        </w:rPr>
        <w:fldChar w:fldCharType="end"/>
      </w:r>
    </w:p>
    <w:p w14:paraId="05BA66CF">
      <w:pPr>
        <w:pStyle w:val="8"/>
        <w:tabs>
          <w:tab w:val="right" w:leader="dot" w:pos="8306"/>
        </w:tabs>
        <w:rPr>
          <w:rFonts w:ascii="Times New Roman" w:hAnsi="Times New Roman" w:cs="Times New Roman"/>
          <w:highlight w:val="none"/>
        </w:rPr>
      </w:pPr>
      <w:r>
        <w:rPr>
          <w:highlight w:val="none"/>
        </w:rPr>
        <w:fldChar w:fldCharType="begin"/>
      </w:r>
      <w:r>
        <w:rPr>
          <w:highlight w:val="none"/>
        </w:rPr>
        <w:instrText xml:space="preserve"> HYPERLINK \l "_Toc3479" </w:instrText>
      </w:r>
      <w:r>
        <w:rPr>
          <w:highlight w:val="none"/>
        </w:rPr>
        <w:fldChar w:fldCharType="separate"/>
      </w:r>
      <w:r>
        <w:rPr>
          <w:rFonts w:ascii="Times New Roman" w:hAnsi="Times New Roman" w:eastAsia="楷体_GB2312" w:cs="Times New Roman"/>
          <w:bCs/>
          <w:kern w:val="0"/>
          <w:szCs w:val="30"/>
          <w:highlight w:val="none"/>
        </w:rPr>
        <w:t>（二）确认认购日期并录入发售参数</w:t>
      </w:r>
      <w:r>
        <w:rPr>
          <w:rFonts w:ascii="Times New Roman" w:hAnsi="Times New Roman" w:cs="Times New Roman"/>
          <w:highlight w:val="none"/>
        </w:rPr>
        <w:tab/>
      </w:r>
      <w:r>
        <w:rPr>
          <w:rFonts w:ascii="Times New Roman" w:hAnsi="Times New Roman" w:cs="Times New Roman"/>
          <w:highlight w:val="none"/>
        </w:rPr>
        <w:fldChar w:fldCharType="begin"/>
      </w:r>
      <w:r>
        <w:rPr>
          <w:rFonts w:ascii="Times New Roman" w:hAnsi="Times New Roman" w:cs="Times New Roman"/>
          <w:highlight w:val="none"/>
        </w:rPr>
        <w:instrText xml:space="preserve"> PAGEREF _Toc3479 \h </w:instrText>
      </w:r>
      <w:r>
        <w:rPr>
          <w:rFonts w:ascii="Times New Roman" w:hAnsi="Times New Roman" w:cs="Times New Roman"/>
          <w:highlight w:val="none"/>
        </w:rPr>
        <w:fldChar w:fldCharType="separate"/>
      </w:r>
      <w:r>
        <w:rPr>
          <w:rFonts w:ascii="Times New Roman" w:hAnsi="Times New Roman" w:cs="Times New Roman"/>
          <w:highlight w:val="none"/>
        </w:rPr>
        <w:t>10</w:t>
      </w:r>
      <w:r>
        <w:rPr>
          <w:rFonts w:ascii="Times New Roman" w:hAnsi="Times New Roman" w:cs="Times New Roman"/>
          <w:highlight w:val="none"/>
        </w:rPr>
        <w:fldChar w:fldCharType="end"/>
      </w:r>
      <w:r>
        <w:rPr>
          <w:rFonts w:ascii="Times New Roman" w:hAnsi="Times New Roman" w:cs="Times New Roman"/>
          <w:highlight w:val="none"/>
        </w:rPr>
        <w:fldChar w:fldCharType="end"/>
      </w:r>
    </w:p>
    <w:p w14:paraId="5B06D3B6">
      <w:pPr>
        <w:pStyle w:val="8"/>
        <w:tabs>
          <w:tab w:val="right" w:leader="dot" w:pos="8306"/>
        </w:tabs>
        <w:rPr>
          <w:rFonts w:ascii="Times New Roman" w:hAnsi="Times New Roman" w:cs="Times New Roman"/>
          <w:highlight w:val="none"/>
        </w:rPr>
      </w:pPr>
      <w:r>
        <w:rPr>
          <w:highlight w:val="none"/>
        </w:rPr>
        <w:fldChar w:fldCharType="begin"/>
      </w:r>
      <w:r>
        <w:rPr>
          <w:highlight w:val="none"/>
        </w:rPr>
        <w:instrText xml:space="preserve"> HYPERLINK \l "_Toc5606" </w:instrText>
      </w:r>
      <w:r>
        <w:rPr>
          <w:highlight w:val="none"/>
        </w:rPr>
        <w:fldChar w:fldCharType="separate"/>
      </w:r>
      <w:r>
        <w:rPr>
          <w:rFonts w:ascii="Times New Roman" w:hAnsi="Times New Roman" w:eastAsia="楷体_GB2312" w:cs="Times New Roman"/>
          <w:bCs/>
          <w:kern w:val="0"/>
          <w:szCs w:val="30"/>
          <w:highlight w:val="none"/>
        </w:rPr>
        <w:t>（三）发布发售公告</w:t>
      </w:r>
      <w:r>
        <w:rPr>
          <w:rFonts w:ascii="Times New Roman" w:hAnsi="Times New Roman" w:cs="Times New Roman"/>
          <w:highlight w:val="none"/>
        </w:rPr>
        <w:tab/>
      </w:r>
      <w:r>
        <w:rPr>
          <w:rFonts w:ascii="Times New Roman" w:hAnsi="Times New Roman" w:cs="Times New Roman"/>
          <w:highlight w:val="none"/>
        </w:rPr>
        <w:fldChar w:fldCharType="begin"/>
      </w:r>
      <w:r>
        <w:rPr>
          <w:rFonts w:ascii="Times New Roman" w:hAnsi="Times New Roman" w:cs="Times New Roman"/>
          <w:highlight w:val="none"/>
        </w:rPr>
        <w:instrText xml:space="preserve"> PAGEREF _Toc5606 \h </w:instrText>
      </w:r>
      <w:r>
        <w:rPr>
          <w:rFonts w:ascii="Times New Roman" w:hAnsi="Times New Roman" w:cs="Times New Roman"/>
          <w:highlight w:val="none"/>
        </w:rPr>
        <w:fldChar w:fldCharType="separate"/>
      </w:r>
      <w:r>
        <w:rPr>
          <w:rFonts w:ascii="Times New Roman" w:hAnsi="Times New Roman" w:cs="Times New Roman"/>
          <w:highlight w:val="none"/>
        </w:rPr>
        <w:t>11</w:t>
      </w:r>
      <w:r>
        <w:rPr>
          <w:rFonts w:ascii="Times New Roman" w:hAnsi="Times New Roman" w:cs="Times New Roman"/>
          <w:highlight w:val="none"/>
        </w:rPr>
        <w:fldChar w:fldCharType="end"/>
      </w:r>
      <w:r>
        <w:rPr>
          <w:rFonts w:ascii="Times New Roman" w:hAnsi="Times New Roman" w:cs="Times New Roman"/>
          <w:highlight w:val="none"/>
        </w:rPr>
        <w:fldChar w:fldCharType="end"/>
      </w:r>
    </w:p>
    <w:p w14:paraId="2FF4D605">
      <w:pPr>
        <w:pStyle w:val="8"/>
        <w:tabs>
          <w:tab w:val="right" w:leader="dot" w:pos="8306"/>
        </w:tabs>
        <w:rPr>
          <w:rFonts w:ascii="Times New Roman" w:hAnsi="Times New Roman" w:cs="Times New Roman"/>
          <w:highlight w:val="none"/>
        </w:rPr>
      </w:pPr>
      <w:r>
        <w:rPr>
          <w:highlight w:val="none"/>
        </w:rPr>
        <w:fldChar w:fldCharType="begin"/>
      </w:r>
      <w:r>
        <w:rPr>
          <w:highlight w:val="none"/>
        </w:rPr>
        <w:instrText xml:space="preserve"> HYPERLINK \l "_Toc30185" </w:instrText>
      </w:r>
      <w:r>
        <w:rPr>
          <w:highlight w:val="none"/>
        </w:rPr>
        <w:fldChar w:fldCharType="separate"/>
      </w:r>
      <w:r>
        <w:rPr>
          <w:rFonts w:ascii="Times New Roman" w:hAnsi="Times New Roman" w:eastAsia="楷体_GB2312" w:cs="Times New Roman"/>
          <w:bCs/>
          <w:kern w:val="0"/>
          <w:szCs w:val="30"/>
          <w:highlight w:val="none"/>
        </w:rPr>
        <w:t>（四）转托管暂停及恢复</w:t>
      </w:r>
      <w:r>
        <w:rPr>
          <w:rFonts w:ascii="Times New Roman" w:hAnsi="Times New Roman" w:cs="Times New Roman"/>
          <w:highlight w:val="none"/>
        </w:rPr>
        <w:tab/>
      </w:r>
      <w:r>
        <w:rPr>
          <w:rFonts w:ascii="Times New Roman" w:hAnsi="Times New Roman" w:cs="Times New Roman"/>
          <w:highlight w:val="none"/>
        </w:rPr>
        <w:fldChar w:fldCharType="begin"/>
      </w:r>
      <w:r>
        <w:rPr>
          <w:rFonts w:ascii="Times New Roman" w:hAnsi="Times New Roman" w:cs="Times New Roman"/>
          <w:highlight w:val="none"/>
        </w:rPr>
        <w:instrText xml:space="preserve"> PAGEREF _Toc30185 \h </w:instrText>
      </w:r>
      <w:r>
        <w:rPr>
          <w:rFonts w:ascii="Times New Roman" w:hAnsi="Times New Roman" w:cs="Times New Roman"/>
          <w:highlight w:val="none"/>
        </w:rPr>
        <w:fldChar w:fldCharType="separate"/>
      </w:r>
      <w:r>
        <w:rPr>
          <w:rFonts w:ascii="Times New Roman" w:hAnsi="Times New Roman" w:cs="Times New Roman"/>
          <w:highlight w:val="none"/>
        </w:rPr>
        <w:t>11</w:t>
      </w:r>
      <w:r>
        <w:rPr>
          <w:rFonts w:ascii="Times New Roman" w:hAnsi="Times New Roman" w:cs="Times New Roman"/>
          <w:highlight w:val="none"/>
        </w:rPr>
        <w:fldChar w:fldCharType="end"/>
      </w:r>
      <w:r>
        <w:rPr>
          <w:rFonts w:ascii="Times New Roman" w:hAnsi="Times New Roman" w:cs="Times New Roman"/>
          <w:highlight w:val="none"/>
        </w:rPr>
        <w:fldChar w:fldCharType="end"/>
      </w:r>
    </w:p>
    <w:p w14:paraId="5EC33CAE">
      <w:pPr>
        <w:pStyle w:val="8"/>
        <w:tabs>
          <w:tab w:val="right" w:leader="dot" w:pos="8306"/>
        </w:tabs>
        <w:rPr>
          <w:rFonts w:ascii="Times New Roman" w:hAnsi="Times New Roman" w:cs="Times New Roman"/>
          <w:highlight w:val="none"/>
        </w:rPr>
      </w:pPr>
      <w:r>
        <w:rPr>
          <w:highlight w:val="none"/>
        </w:rPr>
        <w:fldChar w:fldCharType="begin"/>
      </w:r>
      <w:r>
        <w:rPr>
          <w:highlight w:val="none"/>
        </w:rPr>
        <w:instrText xml:space="preserve"> HYPERLINK \l "_Toc6923" </w:instrText>
      </w:r>
      <w:r>
        <w:rPr>
          <w:highlight w:val="none"/>
        </w:rPr>
        <w:fldChar w:fldCharType="separate"/>
      </w:r>
      <w:r>
        <w:rPr>
          <w:rFonts w:ascii="Times New Roman" w:hAnsi="Times New Roman" w:eastAsia="楷体_GB2312" w:cs="Times New Roman"/>
          <w:bCs/>
          <w:kern w:val="0"/>
          <w:szCs w:val="30"/>
          <w:highlight w:val="none"/>
        </w:rPr>
        <w:t>（五）权益登记</w:t>
      </w:r>
      <w:r>
        <w:rPr>
          <w:rFonts w:ascii="Times New Roman" w:hAnsi="Times New Roman" w:cs="Times New Roman"/>
          <w:highlight w:val="none"/>
        </w:rPr>
        <w:tab/>
      </w:r>
      <w:r>
        <w:rPr>
          <w:rFonts w:ascii="Times New Roman" w:hAnsi="Times New Roman" w:cs="Times New Roman"/>
          <w:highlight w:val="none"/>
        </w:rPr>
        <w:fldChar w:fldCharType="begin"/>
      </w:r>
      <w:r>
        <w:rPr>
          <w:rFonts w:ascii="Times New Roman" w:hAnsi="Times New Roman" w:cs="Times New Roman"/>
          <w:highlight w:val="none"/>
        </w:rPr>
        <w:instrText xml:space="preserve"> PAGEREF _Toc6923 \h </w:instrText>
      </w:r>
      <w:r>
        <w:rPr>
          <w:rFonts w:ascii="Times New Roman" w:hAnsi="Times New Roman" w:cs="Times New Roman"/>
          <w:highlight w:val="none"/>
        </w:rPr>
        <w:fldChar w:fldCharType="separate"/>
      </w:r>
      <w:r>
        <w:rPr>
          <w:rFonts w:ascii="Times New Roman" w:hAnsi="Times New Roman" w:cs="Times New Roman"/>
          <w:highlight w:val="none"/>
        </w:rPr>
        <w:t>12</w:t>
      </w:r>
      <w:r>
        <w:rPr>
          <w:rFonts w:ascii="Times New Roman" w:hAnsi="Times New Roman" w:cs="Times New Roman"/>
          <w:highlight w:val="none"/>
        </w:rPr>
        <w:fldChar w:fldCharType="end"/>
      </w:r>
      <w:r>
        <w:rPr>
          <w:rFonts w:ascii="Times New Roman" w:hAnsi="Times New Roman" w:cs="Times New Roman"/>
          <w:highlight w:val="none"/>
        </w:rPr>
        <w:fldChar w:fldCharType="end"/>
      </w:r>
    </w:p>
    <w:p w14:paraId="02FBC844">
      <w:pPr>
        <w:pStyle w:val="8"/>
        <w:tabs>
          <w:tab w:val="right" w:leader="dot" w:pos="8306"/>
        </w:tabs>
        <w:rPr>
          <w:rFonts w:ascii="Times New Roman" w:hAnsi="Times New Roman" w:cs="Times New Roman"/>
          <w:highlight w:val="none"/>
        </w:rPr>
      </w:pPr>
      <w:r>
        <w:rPr>
          <w:highlight w:val="none"/>
        </w:rPr>
        <w:fldChar w:fldCharType="begin"/>
      </w:r>
      <w:r>
        <w:rPr>
          <w:highlight w:val="none"/>
        </w:rPr>
        <w:instrText xml:space="preserve"> HYPERLINK \l "_Toc27784" </w:instrText>
      </w:r>
      <w:r>
        <w:rPr>
          <w:highlight w:val="none"/>
        </w:rPr>
        <w:fldChar w:fldCharType="separate"/>
      </w:r>
      <w:r>
        <w:rPr>
          <w:rFonts w:ascii="Times New Roman" w:hAnsi="Times New Roman" w:eastAsia="楷体_GB2312" w:cs="Times New Roman"/>
          <w:bCs/>
          <w:kern w:val="0"/>
          <w:szCs w:val="30"/>
          <w:highlight w:val="none"/>
        </w:rPr>
        <w:t>（六）符合条件的基金持有人参与认购</w:t>
      </w:r>
      <w:r>
        <w:rPr>
          <w:rFonts w:ascii="Times New Roman" w:hAnsi="Times New Roman" w:cs="Times New Roman"/>
          <w:highlight w:val="none"/>
        </w:rPr>
        <w:tab/>
      </w:r>
      <w:r>
        <w:rPr>
          <w:rFonts w:ascii="Times New Roman" w:hAnsi="Times New Roman" w:cs="Times New Roman"/>
          <w:highlight w:val="none"/>
        </w:rPr>
        <w:fldChar w:fldCharType="begin"/>
      </w:r>
      <w:r>
        <w:rPr>
          <w:rFonts w:ascii="Times New Roman" w:hAnsi="Times New Roman" w:cs="Times New Roman"/>
          <w:highlight w:val="none"/>
        </w:rPr>
        <w:instrText xml:space="preserve"> PAGEREF _Toc27784 \h </w:instrText>
      </w:r>
      <w:r>
        <w:rPr>
          <w:rFonts w:ascii="Times New Roman" w:hAnsi="Times New Roman" w:cs="Times New Roman"/>
          <w:highlight w:val="none"/>
        </w:rPr>
        <w:fldChar w:fldCharType="separate"/>
      </w:r>
      <w:r>
        <w:rPr>
          <w:rFonts w:ascii="Times New Roman" w:hAnsi="Times New Roman" w:cs="Times New Roman"/>
          <w:highlight w:val="none"/>
        </w:rPr>
        <w:t>12</w:t>
      </w:r>
      <w:r>
        <w:rPr>
          <w:rFonts w:ascii="Times New Roman" w:hAnsi="Times New Roman" w:cs="Times New Roman"/>
          <w:highlight w:val="none"/>
        </w:rPr>
        <w:fldChar w:fldCharType="end"/>
      </w:r>
      <w:r>
        <w:rPr>
          <w:rFonts w:ascii="Times New Roman" w:hAnsi="Times New Roman" w:cs="Times New Roman"/>
          <w:highlight w:val="none"/>
        </w:rPr>
        <w:fldChar w:fldCharType="end"/>
      </w:r>
    </w:p>
    <w:p w14:paraId="103E7F25">
      <w:pPr>
        <w:pStyle w:val="8"/>
        <w:tabs>
          <w:tab w:val="right" w:leader="dot" w:pos="8306"/>
        </w:tabs>
        <w:rPr>
          <w:rFonts w:ascii="Times New Roman" w:hAnsi="Times New Roman" w:cs="Times New Roman"/>
          <w:highlight w:val="none"/>
        </w:rPr>
      </w:pPr>
      <w:r>
        <w:rPr>
          <w:highlight w:val="none"/>
        </w:rPr>
        <w:fldChar w:fldCharType="begin"/>
      </w:r>
      <w:r>
        <w:rPr>
          <w:highlight w:val="none"/>
        </w:rPr>
        <w:instrText xml:space="preserve"> HYPERLINK \l "_Toc3031" </w:instrText>
      </w:r>
      <w:r>
        <w:rPr>
          <w:highlight w:val="none"/>
        </w:rPr>
        <w:fldChar w:fldCharType="separate"/>
      </w:r>
      <w:r>
        <w:rPr>
          <w:rFonts w:ascii="Times New Roman" w:hAnsi="Times New Roman" w:eastAsia="楷体_GB2312" w:cs="Times New Roman"/>
          <w:bCs/>
          <w:kern w:val="0"/>
          <w:szCs w:val="30"/>
          <w:highlight w:val="none"/>
        </w:rPr>
        <w:t>（七）认购结束日期调整</w:t>
      </w:r>
      <w:r>
        <w:rPr>
          <w:rFonts w:ascii="Times New Roman" w:hAnsi="Times New Roman" w:cs="Times New Roman"/>
          <w:highlight w:val="none"/>
        </w:rPr>
        <w:tab/>
      </w:r>
      <w:r>
        <w:rPr>
          <w:rFonts w:ascii="Times New Roman" w:hAnsi="Times New Roman" w:cs="Times New Roman"/>
          <w:highlight w:val="none"/>
        </w:rPr>
        <w:fldChar w:fldCharType="begin"/>
      </w:r>
      <w:r>
        <w:rPr>
          <w:rFonts w:ascii="Times New Roman" w:hAnsi="Times New Roman" w:cs="Times New Roman"/>
          <w:highlight w:val="none"/>
        </w:rPr>
        <w:instrText xml:space="preserve"> PAGEREF _Toc3031 \h </w:instrText>
      </w:r>
      <w:r>
        <w:rPr>
          <w:rFonts w:ascii="Times New Roman" w:hAnsi="Times New Roman" w:cs="Times New Roman"/>
          <w:highlight w:val="none"/>
        </w:rPr>
        <w:fldChar w:fldCharType="separate"/>
      </w:r>
      <w:r>
        <w:rPr>
          <w:rFonts w:ascii="Times New Roman" w:hAnsi="Times New Roman" w:cs="Times New Roman"/>
          <w:highlight w:val="none"/>
        </w:rPr>
        <w:t>13</w:t>
      </w:r>
      <w:r>
        <w:rPr>
          <w:rFonts w:ascii="Times New Roman" w:hAnsi="Times New Roman" w:cs="Times New Roman"/>
          <w:highlight w:val="none"/>
        </w:rPr>
        <w:fldChar w:fldCharType="end"/>
      </w:r>
      <w:r>
        <w:rPr>
          <w:rFonts w:ascii="Times New Roman" w:hAnsi="Times New Roman" w:cs="Times New Roman"/>
          <w:highlight w:val="none"/>
        </w:rPr>
        <w:fldChar w:fldCharType="end"/>
      </w:r>
    </w:p>
    <w:p w14:paraId="48A068E3">
      <w:pPr>
        <w:pStyle w:val="8"/>
        <w:tabs>
          <w:tab w:val="right" w:leader="dot" w:pos="8306"/>
        </w:tabs>
        <w:rPr>
          <w:rFonts w:ascii="Times New Roman" w:hAnsi="Times New Roman" w:cs="Times New Roman"/>
          <w:highlight w:val="none"/>
        </w:rPr>
      </w:pPr>
      <w:r>
        <w:rPr>
          <w:highlight w:val="none"/>
        </w:rPr>
        <w:fldChar w:fldCharType="begin"/>
      </w:r>
      <w:r>
        <w:rPr>
          <w:highlight w:val="none"/>
        </w:rPr>
        <w:instrText xml:space="preserve"> HYPERLINK \l "_Toc12101" </w:instrText>
      </w:r>
      <w:r>
        <w:rPr>
          <w:highlight w:val="none"/>
        </w:rPr>
        <w:fldChar w:fldCharType="separate"/>
      </w:r>
      <w:r>
        <w:rPr>
          <w:rFonts w:ascii="Times New Roman" w:hAnsi="Times New Roman" w:eastAsia="楷体_GB2312" w:cs="Times New Roman"/>
          <w:bCs/>
          <w:kern w:val="0"/>
          <w:szCs w:val="30"/>
          <w:highlight w:val="none"/>
        </w:rPr>
        <w:t>（八）披露《基金合同更新公告》</w:t>
      </w:r>
      <w:r>
        <w:rPr>
          <w:rFonts w:ascii="Times New Roman" w:hAnsi="Times New Roman" w:cs="Times New Roman"/>
          <w:highlight w:val="none"/>
        </w:rPr>
        <w:tab/>
      </w:r>
      <w:r>
        <w:rPr>
          <w:rFonts w:ascii="Times New Roman" w:hAnsi="Times New Roman" w:cs="Times New Roman"/>
          <w:highlight w:val="none"/>
        </w:rPr>
        <w:fldChar w:fldCharType="begin"/>
      </w:r>
      <w:r>
        <w:rPr>
          <w:rFonts w:ascii="Times New Roman" w:hAnsi="Times New Roman" w:cs="Times New Roman"/>
          <w:highlight w:val="none"/>
        </w:rPr>
        <w:instrText xml:space="preserve"> PAGEREF _Toc12101 \h </w:instrText>
      </w:r>
      <w:r>
        <w:rPr>
          <w:rFonts w:ascii="Times New Roman" w:hAnsi="Times New Roman" w:cs="Times New Roman"/>
          <w:highlight w:val="none"/>
        </w:rPr>
        <w:fldChar w:fldCharType="separate"/>
      </w:r>
      <w:r>
        <w:rPr>
          <w:rFonts w:ascii="Times New Roman" w:hAnsi="Times New Roman" w:cs="Times New Roman"/>
          <w:highlight w:val="none"/>
        </w:rPr>
        <w:t>14</w:t>
      </w:r>
      <w:r>
        <w:rPr>
          <w:rFonts w:ascii="Times New Roman" w:hAnsi="Times New Roman" w:cs="Times New Roman"/>
          <w:highlight w:val="none"/>
        </w:rPr>
        <w:fldChar w:fldCharType="end"/>
      </w:r>
      <w:r>
        <w:rPr>
          <w:rFonts w:ascii="Times New Roman" w:hAnsi="Times New Roman" w:cs="Times New Roman"/>
          <w:highlight w:val="none"/>
        </w:rPr>
        <w:fldChar w:fldCharType="end"/>
      </w:r>
    </w:p>
    <w:p w14:paraId="4CE4B105">
      <w:pPr>
        <w:pStyle w:val="8"/>
        <w:tabs>
          <w:tab w:val="right" w:leader="dot" w:pos="8306"/>
        </w:tabs>
        <w:rPr>
          <w:rFonts w:ascii="Times New Roman" w:hAnsi="Times New Roman" w:cs="Times New Roman"/>
          <w:highlight w:val="none"/>
        </w:rPr>
      </w:pPr>
      <w:r>
        <w:rPr>
          <w:highlight w:val="none"/>
        </w:rPr>
        <w:fldChar w:fldCharType="begin"/>
      </w:r>
      <w:r>
        <w:rPr>
          <w:highlight w:val="none"/>
        </w:rPr>
        <w:instrText xml:space="preserve"> HYPERLINK \l "_Toc19166" </w:instrText>
      </w:r>
      <w:r>
        <w:rPr>
          <w:highlight w:val="none"/>
        </w:rPr>
        <w:fldChar w:fldCharType="separate"/>
      </w:r>
      <w:r>
        <w:rPr>
          <w:rFonts w:ascii="Times New Roman" w:hAnsi="Times New Roman" w:eastAsia="楷体_GB2312" w:cs="Times New Roman"/>
          <w:bCs/>
          <w:kern w:val="0"/>
          <w:szCs w:val="30"/>
          <w:highlight w:val="none"/>
        </w:rPr>
        <w:t>（九）披露交易实施情况报告书</w:t>
      </w:r>
      <w:r>
        <w:rPr>
          <w:rFonts w:ascii="Times New Roman" w:hAnsi="Times New Roman" w:cs="Times New Roman"/>
          <w:highlight w:val="none"/>
        </w:rPr>
        <w:tab/>
      </w:r>
      <w:r>
        <w:rPr>
          <w:rFonts w:ascii="Times New Roman" w:hAnsi="Times New Roman" w:cs="Times New Roman"/>
          <w:highlight w:val="none"/>
        </w:rPr>
        <w:fldChar w:fldCharType="begin"/>
      </w:r>
      <w:r>
        <w:rPr>
          <w:rFonts w:ascii="Times New Roman" w:hAnsi="Times New Roman" w:cs="Times New Roman"/>
          <w:highlight w:val="none"/>
        </w:rPr>
        <w:instrText xml:space="preserve"> PAGEREF _Toc19166 \h </w:instrText>
      </w:r>
      <w:r>
        <w:rPr>
          <w:rFonts w:ascii="Times New Roman" w:hAnsi="Times New Roman" w:cs="Times New Roman"/>
          <w:highlight w:val="none"/>
        </w:rPr>
        <w:fldChar w:fldCharType="separate"/>
      </w:r>
      <w:r>
        <w:rPr>
          <w:rFonts w:ascii="Times New Roman" w:hAnsi="Times New Roman" w:cs="Times New Roman"/>
          <w:highlight w:val="none"/>
        </w:rPr>
        <w:t>14</w:t>
      </w:r>
      <w:r>
        <w:rPr>
          <w:rFonts w:ascii="Times New Roman" w:hAnsi="Times New Roman" w:cs="Times New Roman"/>
          <w:highlight w:val="none"/>
        </w:rPr>
        <w:fldChar w:fldCharType="end"/>
      </w:r>
      <w:r>
        <w:rPr>
          <w:rFonts w:ascii="Times New Roman" w:hAnsi="Times New Roman" w:cs="Times New Roman"/>
          <w:highlight w:val="none"/>
        </w:rPr>
        <w:fldChar w:fldCharType="end"/>
      </w:r>
    </w:p>
    <w:p w14:paraId="7C67DD83">
      <w:pPr>
        <w:pStyle w:val="8"/>
        <w:tabs>
          <w:tab w:val="right" w:leader="dot" w:pos="8306"/>
        </w:tabs>
        <w:rPr>
          <w:rFonts w:ascii="Times New Roman" w:hAnsi="Times New Roman" w:cs="Times New Roman"/>
          <w:highlight w:val="none"/>
        </w:rPr>
      </w:pPr>
      <w:r>
        <w:rPr>
          <w:highlight w:val="none"/>
        </w:rPr>
        <w:fldChar w:fldCharType="begin"/>
      </w:r>
      <w:r>
        <w:rPr>
          <w:highlight w:val="none"/>
        </w:rPr>
        <w:instrText xml:space="preserve"> HYPERLINK \l "_Toc2200" </w:instrText>
      </w:r>
      <w:r>
        <w:rPr>
          <w:highlight w:val="none"/>
        </w:rPr>
        <w:fldChar w:fldCharType="separate"/>
      </w:r>
      <w:r>
        <w:rPr>
          <w:rFonts w:ascii="Times New Roman" w:hAnsi="Times New Roman" w:eastAsia="楷体_GB2312" w:cs="Times New Roman"/>
          <w:bCs/>
          <w:kern w:val="0"/>
          <w:szCs w:val="30"/>
          <w:highlight w:val="none"/>
        </w:rPr>
        <w:t>（十）材料报备</w:t>
      </w:r>
      <w:r>
        <w:rPr>
          <w:rFonts w:ascii="Times New Roman" w:hAnsi="Times New Roman" w:cs="Times New Roman"/>
          <w:highlight w:val="none"/>
        </w:rPr>
        <w:tab/>
      </w:r>
      <w:r>
        <w:rPr>
          <w:rFonts w:ascii="Times New Roman" w:hAnsi="Times New Roman" w:cs="Times New Roman"/>
          <w:highlight w:val="none"/>
        </w:rPr>
        <w:fldChar w:fldCharType="begin"/>
      </w:r>
      <w:r>
        <w:rPr>
          <w:rFonts w:ascii="Times New Roman" w:hAnsi="Times New Roman" w:cs="Times New Roman"/>
          <w:highlight w:val="none"/>
        </w:rPr>
        <w:instrText xml:space="preserve"> PAGEREF _Toc2200 \h </w:instrText>
      </w:r>
      <w:r>
        <w:rPr>
          <w:rFonts w:ascii="Times New Roman" w:hAnsi="Times New Roman" w:cs="Times New Roman"/>
          <w:highlight w:val="none"/>
        </w:rPr>
        <w:fldChar w:fldCharType="separate"/>
      </w:r>
      <w:r>
        <w:rPr>
          <w:rFonts w:ascii="Times New Roman" w:hAnsi="Times New Roman" w:cs="Times New Roman"/>
          <w:highlight w:val="none"/>
        </w:rPr>
        <w:t>15</w:t>
      </w:r>
      <w:r>
        <w:rPr>
          <w:rFonts w:ascii="Times New Roman" w:hAnsi="Times New Roman" w:cs="Times New Roman"/>
          <w:highlight w:val="none"/>
        </w:rPr>
        <w:fldChar w:fldCharType="end"/>
      </w:r>
      <w:r>
        <w:rPr>
          <w:rFonts w:ascii="Times New Roman" w:hAnsi="Times New Roman" w:cs="Times New Roman"/>
          <w:highlight w:val="none"/>
        </w:rPr>
        <w:fldChar w:fldCharType="end"/>
      </w:r>
    </w:p>
    <w:p w14:paraId="37A9DC7B">
      <w:pPr>
        <w:pStyle w:val="15"/>
        <w:tabs>
          <w:tab w:val="right" w:leader="dot" w:pos="8306"/>
        </w:tabs>
        <w:rPr>
          <w:rFonts w:ascii="Times New Roman" w:hAnsi="Times New Roman" w:cs="Times New Roman"/>
          <w:highlight w:val="none"/>
        </w:rPr>
      </w:pPr>
      <w:r>
        <w:rPr>
          <w:highlight w:val="none"/>
        </w:rPr>
        <w:fldChar w:fldCharType="begin"/>
      </w:r>
      <w:r>
        <w:rPr>
          <w:highlight w:val="none"/>
        </w:rPr>
        <w:instrText xml:space="preserve"> HYPERLINK \l "_Toc30532" </w:instrText>
      </w:r>
      <w:r>
        <w:rPr>
          <w:highlight w:val="none"/>
        </w:rPr>
        <w:fldChar w:fldCharType="separate"/>
      </w:r>
      <w:r>
        <w:rPr>
          <w:rFonts w:ascii="Times New Roman" w:hAnsi="Times New Roman" w:eastAsia="黑体" w:cs="Times New Roman"/>
          <w:bCs/>
          <w:szCs w:val="30"/>
          <w:highlight w:val="none"/>
        </w:rPr>
        <w:t>三、登记、限售及锁定</w:t>
      </w:r>
      <w:r>
        <w:rPr>
          <w:rFonts w:ascii="Times New Roman" w:hAnsi="Times New Roman" w:cs="Times New Roman"/>
          <w:highlight w:val="none"/>
        </w:rPr>
        <w:tab/>
      </w:r>
      <w:r>
        <w:rPr>
          <w:rFonts w:ascii="Times New Roman" w:hAnsi="Times New Roman" w:cs="Times New Roman"/>
          <w:highlight w:val="none"/>
        </w:rPr>
        <w:fldChar w:fldCharType="begin"/>
      </w:r>
      <w:r>
        <w:rPr>
          <w:rFonts w:ascii="Times New Roman" w:hAnsi="Times New Roman" w:cs="Times New Roman"/>
          <w:highlight w:val="none"/>
        </w:rPr>
        <w:instrText xml:space="preserve"> PAGEREF _Toc30532 \h </w:instrText>
      </w:r>
      <w:r>
        <w:rPr>
          <w:rFonts w:ascii="Times New Roman" w:hAnsi="Times New Roman" w:cs="Times New Roman"/>
          <w:highlight w:val="none"/>
        </w:rPr>
        <w:fldChar w:fldCharType="separate"/>
      </w:r>
      <w:r>
        <w:rPr>
          <w:rFonts w:ascii="Times New Roman" w:hAnsi="Times New Roman" w:cs="Times New Roman"/>
          <w:highlight w:val="none"/>
        </w:rPr>
        <w:t>15</w:t>
      </w:r>
      <w:r>
        <w:rPr>
          <w:rFonts w:ascii="Times New Roman" w:hAnsi="Times New Roman" w:cs="Times New Roman"/>
          <w:highlight w:val="none"/>
        </w:rPr>
        <w:fldChar w:fldCharType="end"/>
      </w:r>
      <w:r>
        <w:rPr>
          <w:rFonts w:ascii="Times New Roman" w:hAnsi="Times New Roman" w:cs="Times New Roman"/>
          <w:highlight w:val="none"/>
        </w:rPr>
        <w:fldChar w:fldCharType="end"/>
      </w:r>
    </w:p>
    <w:p w14:paraId="0A7C381F">
      <w:pPr>
        <w:pStyle w:val="8"/>
        <w:tabs>
          <w:tab w:val="right" w:leader="dot" w:pos="8306"/>
        </w:tabs>
        <w:rPr>
          <w:rFonts w:ascii="Times New Roman" w:hAnsi="Times New Roman" w:cs="Times New Roman"/>
          <w:highlight w:val="none"/>
        </w:rPr>
      </w:pPr>
      <w:r>
        <w:rPr>
          <w:highlight w:val="none"/>
        </w:rPr>
        <w:fldChar w:fldCharType="begin"/>
      </w:r>
      <w:r>
        <w:rPr>
          <w:highlight w:val="none"/>
        </w:rPr>
        <w:instrText xml:space="preserve"> HYPERLINK \l "_Toc26470" </w:instrText>
      </w:r>
      <w:r>
        <w:rPr>
          <w:highlight w:val="none"/>
        </w:rPr>
        <w:fldChar w:fldCharType="separate"/>
      </w:r>
      <w:r>
        <w:rPr>
          <w:rFonts w:ascii="Times New Roman" w:hAnsi="Times New Roman" w:eastAsia="楷体_GB2312" w:cs="Times New Roman"/>
          <w:bCs/>
          <w:kern w:val="0"/>
          <w:szCs w:val="30"/>
          <w:highlight w:val="none"/>
        </w:rPr>
        <w:t>（一）扩募认购份额登记</w:t>
      </w:r>
      <w:r>
        <w:rPr>
          <w:rFonts w:ascii="Times New Roman" w:hAnsi="Times New Roman" w:cs="Times New Roman"/>
          <w:highlight w:val="none"/>
        </w:rPr>
        <w:tab/>
      </w:r>
      <w:r>
        <w:rPr>
          <w:rFonts w:ascii="Times New Roman" w:hAnsi="Times New Roman" w:cs="Times New Roman"/>
          <w:highlight w:val="none"/>
        </w:rPr>
        <w:fldChar w:fldCharType="begin"/>
      </w:r>
      <w:r>
        <w:rPr>
          <w:rFonts w:ascii="Times New Roman" w:hAnsi="Times New Roman" w:cs="Times New Roman"/>
          <w:highlight w:val="none"/>
        </w:rPr>
        <w:instrText xml:space="preserve"> PAGEREF _Toc26470 \h </w:instrText>
      </w:r>
      <w:r>
        <w:rPr>
          <w:rFonts w:ascii="Times New Roman" w:hAnsi="Times New Roman" w:cs="Times New Roman"/>
          <w:highlight w:val="none"/>
        </w:rPr>
        <w:fldChar w:fldCharType="separate"/>
      </w:r>
      <w:r>
        <w:rPr>
          <w:rFonts w:ascii="Times New Roman" w:hAnsi="Times New Roman" w:cs="Times New Roman"/>
          <w:highlight w:val="none"/>
        </w:rPr>
        <w:t>15</w:t>
      </w:r>
      <w:r>
        <w:rPr>
          <w:rFonts w:ascii="Times New Roman" w:hAnsi="Times New Roman" w:cs="Times New Roman"/>
          <w:highlight w:val="none"/>
        </w:rPr>
        <w:fldChar w:fldCharType="end"/>
      </w:r>
      <w:r>
        <w:rPr>
          <w:rFonts w:ascii="Times New Roman" w:hAnsi="Times New Roman" w:cs="Times New Roman"/>
          <w:highlight w:val="none"/>
        </w:rPr>
        <w:fldChar w:fldCharType="end"/>
      </w:r>
    </w:p>
    <w:p w14:paraId="5A81C425">
      <w:pPr>
        <w:pStyle w:val="8"/>
        <w:tabs>
          <w:tab w:val="right" w:leader="dot" w:pos="8306"/>
        </w:tabs>
        <w:rPr>
          <w:rFonts w:ascii="Times New Roman" w:hAnsi="Times New Roman" w:cs="Times New Roman"/>
          <w:highlight w:val="none"/>
        </w:rPr>
      </w:pPr>
      <w:r>
        <w:rPr>
          <w:highlight w:val="none"/>
        </w:rPr>
        <w:fldChar w:fldCharType="begin"/>
      </w:r>
      <w:r>
        <w:rPr>
          <w:highlight w:val="none"/>
        </w:rPr>
        <w:instrText xml:space="preserve"> HYPERLINK \l "_Toc1922" </w:instrText>
      </w:r>
      <w:r>
        <w:rPr>
          <w:highlight w:val="none"/>
        </w:rPr>
        <w:fldChar w:fldCharType="separate"/>
      </w:r>
      <w:r>
        <w:rPr>
          <w:rFonts w:ascii="Times New Roman" w:hAnsi="Times New Roman" w:eastAsia="楷体_GB2312" w:cs="Times New Roman"/>
          <w:bCs/>
          <w:kern w:val="0"/>
          <w:szCs w:val="30"/>
          <w:highlight w:val="none"/>
        </w:rPr>
        <w:t>（二）限售锁定办理流程</w:t>
      </w:r>
      <w:r>
        <w:rPr>
          <w:rFonts w:ascii="Times New Roman" w:hAnsi="Times New Roman" w:cs="Times New Roman"/>
          <w:highlight w:val="none"/>
        </w:rPr>
        <w:tab/>
      </w:r>
      <w:r>
        <w:rPr>
          <w:rFonts w:ascii="Times New Roman" w:hAnsi="Times New Roman" w:cs="Times New Roman"/>
          <w:highlight w:val="none"/>
        </w:rPr>
        <w:fldChar w:fldCharType="begin"/>
      </w:r>
      <w:r>
        <w:rPr>
          <w:rFonts w:ascii="Times New Roman" w:hAnsi="Times New Roman" w:cs="Times New Roman"/>
          <w:highlight w:val="none"/>
        </w:rPr>
        <w:instrText xml:space="preserve"> PAGEREF _Toc1922 \h </w:instrText>
      </w:r>
      <w:r>
        <w:rPr>
          <w:rFonts w:ascii="Times New Roman" w:hAnsi="Times New Roman" w:cs="Times New Roman"/>
          <w:highlight w:val="none"/>
        </w:rPr>
        <w:fldChar w:fldCharType="separate"/>
      </w:r>
      <w:r>
        <w:rPr>
          <w:rFonts w:ascii="Times New Roman" w:hAnsi="Times New Roman" w:cs="Times New Roman"/>
          <w:highlight w:val="none"/>
        </w:rPr>
        <w:t>16</w:t>
      </w:r>
      <w:r>
        <w:rPr>
          <w:rFonts w:ascii="Times New Roman" w:hAnsi="Times New Roman" w:cs="Times New Roman"/>
          <w:highlight w:val="none"/>
        </w:rPr>
        <w:fldChar w:fldCharType="end"/>
      </w:r>
      <w:r>
        <w:rPr>
          <w:rFonts w:ascii="Times New Roman" w:hAnsi="Times New Roman" w:cs="Times New Roman"/>
          <w:highlight w:val="none"/>
        </w:rPr>
        <w:fldChar w:fldCharType="end"/>
      </w:r>
    </w:p>
    <w:p w14:paraId="3F4E92D6">
      <w:pPr>
        <w:pStyle w:val="8"/>
        <w:tabs>
          <w:tab w:val="right" w:leader="dot" w:pos="8306"/>
        </w:tabs>
        <w:rPr>
          <w:rFonts w:ascii="Times New Roman" w:hAnsi="Times New Roman" w:cs="Times New Roman"/>
          <w:highlight w:val="none"/>
        </w:rPr>
      </w:pPr>
      <w:r>
        <w:rPr>
          <w:highlight w:val="none"/>
        </w:rPr>
        <w:fldChar w:fldCharType="begin"/>
      </w:r>
      <w:r>
        <w:rPr>
          <w:highlight w:val="none"/>
        </w:rPr>
        <w:instrText xml:space="preserve"> HYPERLINK \l "_Toc9943" </w:instrText>
      </w:r>
      <w:r>
        <w:rPr>
          <w:highlight w:val="none"/>
        </w:rPr>
        <w:fldChar w:fldCharType="separate"/>
      </w:r>
      <w:r>
        <w:rPr>
          <w:rFonts w:ascii="Times New Roman" w:hAnsi="Times New Roman" w:eastAsia="楷体_GB2312" w:cs="Times New Roman"/>
          <w:bCs/>
          <w:kern w:val="0"/>
          <w:szCs w:val="30"/>
          <w:highlight w:val="none"/>
        </w:rPr>
        <w:t>（三）限售锁定期管理</w:t>
      </w:r>
      <w:r>
        <w:rPr>
          <w:rFonts w:ascii="Times New Roman" w:hAnsi="Times New Roman" w:cs="Times New Roman"/>
          <w:highlight w:val="none"/>
        </w:rPr>
        <w:tab/>
      </w:r>
      <w:r>
        <w:rPr>
          <w:rFonts w:ascii="Times New Roman" w:hAnsi="Times New Roman" w:cs="Times New Roman"/>
          <w:highlight w:val="none"/>
        </w:rPr>
        <w:fldChar w:fldCharType="begin"/>
      </w:r>
      <w:r>
        <w:rPr>
          <w:rFonts w:ascii="Times New Roman" w:hAnsi="Times New Roman" w:cs="Times New Roman"/>
          <w:highlight w:val="none"/>
        </w:rPr>
        <w:instrText xml:space="preserve"> PAGEREF _Toc9943 \h </w:instrText>
      </w:r>
      <w:r>
        <w:rPr>
          <w:rFonts w:ascii="Times New Roman" w:hAnsi="Times New Roman" w:cs="Times New Roman"/>
          <w:highlight w:val="none"/>
        </w:rPr>
        <w:fldChar w:fldCharType="separate"/>
      </w:r>
      <w:r>
        <w:rPr>
          <w:rFonts w:ascii="Times New Roman" w:hAnsi="Times New Roman" w:cs="Times New Roman"/>
          <w:highlight w:val="none"/>
        </w:rPr>
        <w:t>17</w:t>
      </w:r>
      <w:r>
        <w:rPr>
          <w:rFonts w:ascii="Times New Roman" w:hAnsi="Times New Roman" w:cs="Times New Roman"/>
          <w:highlight w:val="none"/>
        </w:rPr>
        <w:fldChar w:fldCharType="end"/>
      </w:r>
      <w:r>
        <w:rPr>
          <w:rFonts w:ascii="Times New Roman" w:hAnsi="Times New Roman" w:cs="Times New Roman"/>
          <w:highlight w:val="none"/>
        </w:rPr>
        <w:fldChar w:fldCharType="end"/>
      </w:r>
    </w:p>
    <w:p w14:paraId="4463FBF3">
      <w:pPr>
        <w:pStyle w:val="15"/>
        <w:tabs>
          <w:tab w:val="right" w:leader="dot" w:pos="8306"/>
        </w:tabs>
        <w:rPr>
          <w:rFonts w:ascii="Times New Roman" w:hAnsi="Times New Roman" w:cs="Times New Roman"/>
          <w:highlight w:val="none"/>
        </w:rPr>
      </w:pPr>
      <w:r>
        <w:rPr>
          <w:highlight w:val="none"/>
        </w:rPr>
        <w:fldChar w:fldCharType="begin"/>
      </w:r>
      <w:r>
        <w:rPr>
          <w:highlight w:val="none"/>
        </w:rPr>
        <w:instrText xml:space="preserve"> HYPERLINK \l "_Toc5710" </w:instrText>
      </w:r>
      <w:r>
        <w:rPr>
          <w:highlight w:val="none"/>
        </w:rPr>
        <w:fldChar w:fldCharType="separate"/>
      </w:r>
      <w:r>
        <w:rPr>
          <w:rFonts w:ascii="Times New Roman" w:hAnsi="Times New Roman" w:eastAsia="黑体" w:cs="Times New Roman"/>
          <w:bCs/>
          <w:szCs w:val="30"/>
          <w:highlight w:val="none"/>
        </w:rPr>
        <w:t>四、发售其他安排</w:t>
      </w:r>
      <w:r>
        <w:rPr>
          <w:rFonts w:ascii="Times New Roman" w:hAnsi="Times New Roman" w:cs="Times New Roman"/>
          <w:highlight w:val="none"/>
        </w:rPr>
        <w:tab/>
      </w:r>
      <w:r>
        <w:rPr>
          <w:rFonts w:ascii="Times New Roman" w:hAnsi="Times New Roman" w:cs="Times New Roman"/>
          <w:highlight w:val="none"/>
        </w:rPr>
        <w:fldChar w:fldCharType="begin"/>
      </w:r>
      <w:r>
        <w:rPr>
          <w:rFonts w:ascii="Times New Roman" w:hAnsi="Times New Roman" w:cs="Times New Roman"/>
          <w:highlight w:val="none"/>
        </w:rPr>
        <w:instrText xml:space="preserve"> PAGEREF _Toc5710 \h </w:instrText>
      </w:r>
      <w:r>
        <w:rPr>
          <w:rFonts w:ascii="Times New Roman" w:hAnsi="Times New Roman" w:cs="Times New Roman"/>
          <w:highlight w:val="none"/>
        </w:rPr>
        <w:fldChar w:fldCharType="separate"/>
      </w:r>
      <w:r>
        <w:rPr>
          <w:rFonts w:ascii="Times New Roman" w:hAnsi="Times New Roman" w:cs="Times New Roman"/>
          <w:highlight w:val="none"/>
        </w:rPr>
        <w:t>17</w:t>
      </w:r>
      <w:r>
        <w:rPr>
          <w:rFonts w:ascii="Times New Roman" w:hAnsi="Times New Roman" w:cs="Times New Roman"/>
          <w:highlight w:val="none"/>
        </w:rPr>
        <w:fldChar w:fldCharType="end"/>
      </w:r>
      <w:r>
        <w:rPr>
          <w:rFonts w:ascii="Times New Roman" w:hAnsi="Times New Roman" w:cs="Times New Roman"/>
          <w:highlight w:val="none"/>
        </w:rPr>
        <w:fldChar w:fldCharType="end"/>
      </w:r>
    </w:p>
    <w:p w14:paraId="4AC57BCF">
      <w:pPr>
        <w:pStyle w:val="8"/>
        <w:tabs>
          <w:tab w:val="right" w:leader="dot" w:pos="8306"/>
        </w:tabs>
        <w:rPr>
          <w:rFonts w:ascii="Times New Roman" w:hAnsi="Times New Roman" w:cs="Times New Roman"/>
          <w:highlight w:val="none"/>
        </w:rPr>
      </w:pPr>
      <w:r>
        <w:rPr>
          <w:highlight w:val="none"/>
        </w:rPr>
        <w:fldChar w:fldCharType="begin"/>
      </w:r>
      <w:r>
        <w:rPr>
          <w:highlight w:val="none"/>
        </w:rPr>
        <w:instrText xml:space="preserve"> HYPERLINK \l "_Toc14900" </w:instrText>
      </w:r>
      <w:r>
        <w:rPr>
          <w:highlight w:val="none"/>
        </w:rPr>
        <w:fldChar w:fldCharType="separate"/>
      </w:r>
      <w:r>
        <w:rPr>
          <w:rFonts w:ascii="Times New Roman" w:hAnsi="Times New Roman" w:eastAsia="楷体_GB2312" w:cs="Times New Roman"/>
          <w:bCs/>
          <w:kern w:val="0"/>
          <w:szCs w:val="30"/>
          <w:highlight w:val="none"/>
        </w:rPr>
        <w:t>（一）认购期间停复牌管理</w:t>
      </w:r>
      <w:r>
        <w:rPr>
          <w:rFonts w:ascii="Times New Roman" w:hAnsi="Times New Roman" w:cs="Times New Roman"/>
          <w:highlight w:val="none"/>
        </w:rPr>
        <w:tab/>
      </w:r>
      <w:r>
        <w:rPr>
          <w:rFonts w:ascii="Times New Roman" w:hAnsi="Times New Roman" w:cs="Times New Roman"/>
          <w:highlight w:val="none"/>
        </w:rPr>
        <w:fldChar w:fldCharType="begin"/>
      </w:r>
      <w:r>
        <w:rPr>
          <w:rFonts w:ascii="Times New Roman" w:hAnsi="Times New Roman" w:cs="Times New Roman"/>
          <w:highlight w:val="none"/>
        </w:rPr>
        <w:instrText xml:space="preserve"> PAGEREF _Toc14900 \h </w:instrText>
      </w:r>
      <w:r>
        <w:rPr>
          <w:rFonts w:ascii="Times New Roman" w:hAnsi="Times New Roman" w:cs="Times New Roman"/>
          <w:highlight w:val="none"/>
        </w:rPr>
        <w:fldChar w:fldCharType="separate"/>
      </w:r>
      <w:r>
        <w:rPr>
          <w:rFonts w:ascii="Times New Roman" w:hAnsi="Times New Roman" w:cs="Times New Roman"/>
          <w:highlight w:val="none"/>
        </w:rPr>
        <w:t>17</w:t>
      </w:r>
      <w:r>
        <w:rPr>
          <w:rFonts w:ascii="Times New Roman" w:hAnsi="Times New Roman" w:cs="Times New Roman"/>
          <w:highlight w:val="none"/>
        </w:rPr>
        <w:fldChar w:fldCharType="end"/>
      </w:r>
      <w:r>
        <w:rPr>
          <w:rFonts w:ascii="Times New Roman" w:hAnsi="Times New Roman" w:cs="Times New Roman"/>
          <w:highlight w:val="none"/>
        </w:rPr>
        <w:fldChar w:fldCharType="end"/>
      </w:r>
    </w:p>
    <w:p w14:paraId="152B8892">
      <w:pPr>
        <w:pStyle w:val="8"/>
        <w:tabs>
          <w:tab w:val="right" w:leader="dot" w:pos="8306"/>
        </w:tabs>
        <w:rPr>
          <w:rFonts w:ascii="Times New Roman" w:hAnsi="Times New Roman" w:cs="Times New Roman"/>
          <w:highlight w:val="none"/>
        </w:rPr>
      </w:pPr>
      <w:r>
        <w:rPr>
          <w:highlight w:val="none"/>
        </w:rPr>
        <w:fldChar w:fldCharType="begin"/>
      </w:r>
      <w:r>
        <w:rPr>
          <w:highlight w:val="none"/>
        </w:rPr>
        <w:instrText xml:space="preserve"> HYPERLINK \l "_Toc10130" </w:instrText>
      </w:r>
      <w:r>
        <w:rPr>
          <w:highlight w:val="none"/>
        </w:rPr>
        <w:fldChar w:fldCharType="separate"/>
      </w:r>
      <w:r>
        <w:rPr>
          <w:rFonts w:ascii="Times New Roman" w:hAnsi="Times New Roman" w:eastAsia="楷体_GB2312" w:cs="Times New Roman"/>
          <w:bCs/>
          <w:kern w:val="0"/>
          <w:szCs w:val="30"/>
          <w:highlight w:val="none"/>
        </w:rPr>
        <w:t>（二）除权</w:t>
      </w:r>
      <w:r>
        <w:rPr>
          <w:rFonts w:ascii="Times New Roman" w:hAnsi="Times New Roman" w:cs="Times New Roman"/>
          <w:highlight w:val="none"/>
        </w:rPr>
        <w:tab/>
      </w:r>
      <w:r>
        <w:rPr>
          <w:rFonts w:ascii="Times New Roman" w:hAnsi="Times New Roman" w:cs="Times New Roman"/>
          <w:highlight w:val="none"/>
        </w:rPr>
        <w:fldChar w:fldCharType="begin"/>
      </w:r>
      <w:r>
        <w:rPr>
          <w:rFonts w:ascii="Times New Roman" w:hAnsi="Times New Roman" w:cs="Times New Roman"/>
          <w:highlight w:val="none"/>
        </w:rPr>
        <w:instrText xml:space="preserve"> PAGEREF _Toc10130 \h </w:instrText>
      </w:r>
      <w:r>
        <w:rPr>
          <w:rFonts w:ascii="Times New Roman" w:hAnsi="Times New Roman" w:cs="Times New Roman"/>
          <w:highlight w:val="none"/>
        </w:rPr>
        <w:fldChar w:fldCharType="separate"/>
      </w:r>
      <w:r>
        <w:rPr>
          <w:rFonts w:ascii="Times New Roman" w:hAnsi="Times New Roman" w:cs="Times New Roman"/>
          <w:highlight w:val="none"/>
        </w:rPr>
        <w:t>18</w:t>
      </w:r>
      <w:r>
        <w:rPr>
          <w:rFonts w:ascii="Times New Roman" w:hAnsi="Times New Roman" w:cs="Times New Roman"/>
          <w:highlight w:val="none"/>
        </w:rPr>
        <w:fldChar w:fldCharType="end"/>
      </w:r>
      <w:r>
        <w:rPr>
          <w:rFonts w:ascii="Times New Roman" w:hAnsi="Times New Roman" w:cs="Times New Roman"/>
          <w:highlight w:val="none"/>
        </w:rPr>
        <w:fldChar w:fldCharType="end"/>
      </w:r>
    </w:p>
    <w:p w14:paraId="422310BF">
      <w:pPr>
        <w:pStyle w:val="15"/>
        <w:tabs>
          <w:tab w:val="right" w:leader="dot" w:pos="8306"/>
        </w:tabs>
        <w:rPr>
          <w:rFonts w:ascii="Times New Roman" w:hAnsi="Times New Roman" w:cs="Times New Roman"/>
          <w:highlight w:val="none"/>
        </w:rPr>
      </w:pPr>
      <w:r>
        <w:rPr>
          <w:highlight w:val="none"/>
        </w:rPr>
        <w:fldChar w:fldCharType="begin"/>
      </w:r>
      <w:r>
        <w:rPr>
          <w:highlight w:val="none"/>
        </w:rPr>
        <w:instrText xml:space="preserve"> HYPERLINK \l "_Toc1149" </w:instrText>
      </w:r>
      <w:r>
        <w:rPr>
          <w:highlight w:val="none"/>
        </w:rPr>
        <w:fldChar w:fldCharType="separate"/>
      </w:r>
      <w:r>
        <w:rPr>
          <w:rFonts w:ascii="Times New Roman" w:hAnsi="Times New Roman" w:eastAsia="黑体" w:cs="Times New Roman"/>
          <w:bCs/>
          <w:szCs w:val="30"/>
          <w:highlight w:val="none"/>
        </w:rPr>
        <w:t>五、发行结果公告</w:t>
      </w:r>
      <w:r>
        <w:rPr>
          <w:rFonts w:ascii="Times New Roman" w:hAnsi="Times New Roman" w:cs="Times New Roman"/>
          <w:highlight w:val="none"/>
        </w:rPr>
        <w:tab/>
      </w:r>
      <w:r>
        <w:rPr>
          <w:rFonts w:ascii="Times New Roman" w:hAnsi="Times New Roman" w:cs="Times New Roman"/>
          <w:highlight w:val="none"/>
        </w:rPr>
        <w:fldChar w:fldCharType="begin"/>
      </w:r>
      <w:r>
        <w:rPr>
          <w:rFonts w:ascii="Times New Roman" w:hAnsi="Times New Roman" w:cs="Times New Roman"/>
          <w:highlight w:val="none"/>
        </w:rPr>
        <w:instrText xml:space="preserve"> PAGEREF _Toc1149 \h </w:instrText>
      </w:r>
      <w:r>
        <w:rPr>
          <w:rFonts w:ascii="Times New Roman" w:hAnsi="Times New Roman" w:cs="Times New Roman"/>
          <w:highlight w:val="none"/>
        </w:rPr>
        <w:fldChar w:fldCharType="separate"/>
      </w:r>
      <w:r>
        <w:rPr>
          <w:rFonts w:ascii="Times New Roman" w:hAnsi="Times New Roman" w:cs="Times New Roman"/>
          <w:highlight w:val="none"/>
        </w:rPr>
        <w:t>18</w:t>
      </w:r>
      <w:r>
        <w:rPr>
          <w:rFonts w:ascii="Times New Roman" w:hAnsi="Times New Roman" w:cs="Times New Roman"/>
          <w:highlight w:val="none"/>
        </w:rPr>
        <w:fldChar w:fldCharType="end"/>
      </w:r>
      <w:r>
        <w:rPr>
          <w:rFonts w:ascii="Times New Roman" w:hAnsi="Times New Roman" w:cs="Times New Roman"/>
          <w:highlight w:val="none"/>
        </w:rPr>
        <w:fldChar w:fldCharType="end"/>
      </w:r>
    </w:p>
    <w:p w14:paraId="564642B5">
      <w:pPr>
        <w:pStyle w:val="8"/>
        <w:tabs>
          <w:tab w:val="right" w:leader="dot" w:pos="8306"/>
        </w:tabs>
        <w:rPr>
          <w:rFonts w:ascii="Times New Roman" w:hAnsi="Times New Roman" w:cs="Times New Roman"/>
          <w:highlight w:val="none"/>
        </w:rPr>
      </w:pPr>
      <w:r>
        <w:rPr>
          <w:highlight w:val="none"/>
        </w:rPr>
        <w:fldChar w:fldCharType="begin"/>
      </w:r>
      <w:r>
        <w:rPr>
          <w:highlight w:val="none"/>
        </w:rPr>
        <w:instrText xml:space="preserve"> HYPERLINK \l "_Toc11803" </w:instrText>
      </w:r>
      <w:r>
        <w:rPr>
          <w:highlight w:val="none"/>
        </w:rPr>
        <w:fldChar w:fldCharType="separate"/>
      </w:r>
      <w:r>
        <w:rPr>
          <w:rFonts w:ascii="Times New Roman" w:hAnsi="Times New Roman" w:eastAsia="楷体_GB2312" w:cs="Times New Roman"/>
          <w:bCs/>
          <w:kern w:val="0"/>
          <w:szCs w:val="30"/>
          <w:highlight w:val="none"/>
        </w:rPr>
        <w:t>（一）发行成功</w:t>
      </w:r>
      <w:r>
        <w:rPr>
          <w:rFonts w:ascii="Times New Roman" w:hAnsi="Times New Roman" w:cs="Times New Roman"/>
          <w:highlight w:val="none"/>
        </w:rPr>
        <w:tab/>
      </w:r>
      <w:r>
        <w:rPr>
          <w:rFonts w:ascii="Times New Roman" w:hAnsi="Times New Roman" w:cs="Times New Roman"/>
          <w:highlight w:val="none"/>
        </w:rPr>
        <w:fldChar w:fldCharType="begin"/>
      </w:r>
      <w:r>
        <w:rPr>
          <w:rFonts w:ascii="Times New Roman" w:hAnsi="Times New Roman" w:cs="Times New Roman"/>
          <w:highlight w:val="none"/>
        </w:rPr>
        <w:instrText xml:space="preserve"> PAGEREF _Toc11803 \h </w:instrText>
      </w:r>
      <w:r>
        <w:rPr>
          <w:rFonts w:ascii="Times New Roman" w:hAnsi="Times New Roman" w:cs="Times New Roman"/>
          <w:highlight w:val="none"/>
        </w:rPr>
        <w:fldChar w:fldCharType="separate"/>
      </w:r>
      <w:r>
        <w:rPr>
          <w:rFonts w:ascii="Times New Roman" w:hAnsi="Times New Roman" w:cs="Times New Roman"/>
          <w:highlight w:val="none"/>
        </w:rPr>
        <w:t>18</w:t>
      </w:r>
      <w:r>
        <w:rPr>
          <w:rFonts w:ascii="Times New Roman" w:hAnsi="Times New Roman" w:cs="Times New Roman"/>
          <w:highlight w:val="none"/>
        </w:rPr>
        <w:fldChar w:fldCharType="end"/>
      </w:r>
      <w:r>
        <w:rPr>
          <w:rFonts w:ascii="Times New Roman" w:hAnsi="Times New Roman" w:cs="Times New Roman"/>
          <w:highlight w:val="none"/>
        </w:rPr>
        <w:fldChar w:fldCharType="end"/>
      </w:r>
    </w:p>
    <w:p w14:paraId="6079F2FE">
      <w:pPr>
        <w:pStyle w:val="8"/>
        <w:tabs>
          <w:tab w:val="right" w:leader="dot" w:pos="8306"/>
        </w:tabs>
        <w:rPr>
          <w:rFonts w:ascii="Times New Roman" w:hAnsi="Times New Roman" w:cs="Times New Roman"/>
          <w:highlight w:val="none"/>
        </w:rPr>
      </w:pPr>
      <w:r>
        <w:rPr>
          <w:highlight w:val="none"/>
        </w:rPr>
        <w:fldChar w:fldCharType="begin"/>
      </w:r>
      <w:r>
        <w:rPr>
          <w:highlight w:val="none"/>
        </w:rPr>
        <w:instrText xml:space="preserve"> HYPERLINK \l "_Toc8654" </w:instrText>
      </w:r>
      <w:r>
        <w:rPr>
          <w:highlight w:val="none"/>
        </w:rPr>
        <w:fldChar w:fldCharType="separate"/>
      </w:r>
      <w:r>
        <w:rPr>
          <w:rFonts w:ascii="Times New Roman" w:hAnsi="Times New Roman" w:eastAsia="楷体_GB2312" w:cs="Times New Roman"/>
          <w:bCs/>
          <w:kern w:val="0"/>
          <w:szCs w:val="30"/>
          <w:highlight w:val="none"/>
        </w:rPr>
        <w:t>（二） 发行失败</w:t>
      </w:r>
      <w:r>
        <w:rPr>
          <w:rFonts w:ascii="Times New Roman" w:hAnsi="Times New Roman" w:cs="Times New Roman"/>
          <w:highlight w:val="none"/>
        </w:rPr>
        <w:tab/>
      </w:r>
      <w:r>
        <w:rPr>
          <w:rFonts w:ascii="Times New Roman" w:hAnsi="Times New Roman" w:cs="Times New Roman"/>
          <w:highlight w:val="none"/>
        </w:rPr>
        <w:fldChar w:fldCharType="begin"/>
      </w:r>
      <w:r>
        <w:rPr>
          <w:rFonts w:ascii="Times New Roman" w:hAnsi="Times New Roman" w:cs="Times New Roman"/>
          <w:highlight w:val="none"/>
        </w:rPr>
        <w:instrText xml:space="preserve"> PAGEREF _Toc8654 \h </w:instrText>
      </w:r>
      <w:r>
        <w:rPr>
          <w:rFonts w:ascii="Times New Roman" w:hAnsi="Times New Roman" w:cs="Times New Roman"/>
          <w:highlight w:val="none"/>
        </w:rPr>
        <w:fldChar w:fldCharType="separate"/>
      </w:r>
      <w:r>
        <w:rPr>
          <w:rFonts w:ascii="Times New Roman" w:hAnsi="Times New Roman" w:cs="Times New Roman"/>
          <w:highlight w:val="none"/>
        </w:rPr>
        <w:t>18</w:t>
      </w:r>
      <w:r>
        <w:rPr>
          <w:rFonts w:ascii="Times New Roman" w:hAnsi="Times New Roman" w:cs="Times New Roman"/>
          <w:highlight w:val="none"/>
        </w:rPr>
        <w:fldChar w:fldCharType="end"/>
      </w:r>
      <w:r>
        <w:rPr>
          <w:rFonts w:ascii="Times New Roman" w:hAnsi="Times New Roman" w:cs="Times New Roman"/>
          <w:highlight w:val="none"/>
        </w:rPr>
        <w:fldChar w:fldCharType="end"/>
      </w:r>
    </w:p>
    <w:p w14:paraId="416BE0ED">
      <w:pPr>
        <w:pStyle w:val="13"/>
        <w:tabs>
          <w:tab w:val="right" w:leader="dot" w:pos="8306"/>
          <w:tab w:val="clear" w:pos="8296"/>
        </w:tabs>
        <w:rPr>
          <w:rFonts w:cs="Times New Roman"/>
          <w:highlight w:val="none"/>
        </w:rPr>
      </w:pPr>
      <w:r>
        <w:rPr>
          <w:highlight w:val="none"/>
        </w:rPr>
        <w:fldChar w:fldCharType="begin"/>
      </w:r>
      <w:r>
        <w:rPr>
          <w:highlight w:val="none"/>
        </w:rPr>
        <w:instrText xml:space="preserve"> HYPERLINK \l "_Toc8188" </w:instrText>
      </w:r>
      <w:r>
        <w:rPr>
          <w:highlight w:val="none"/>
        </w:rPr>
        <w:fldChar w:fldCharType="separate"/>
      </w:r>
      <w:r>
        <w:rPr>
          <w:rFonts w:eastAsia="黑体" w:cs="Times New Roman"/>
          <w:szCs w:val="30"/>
          <w:highlight w:val="none"/>
        </w:rPr>
        <w:t>第三章 公开扩募</w:t>
      </w:r>
      <w:r>
        <w:rPr>
          <w:rFonts w:cs="Times New Roman"/>
          <w:highlight w:val="none"/>
        </w:rPr>
        <w:tab/>
      </w:r>
      <w:r>
        <w:rPr>
          <w:rFonts w:cs="Times New Roman"/>
          <w:highlight w:val="none"/>
        </w:rPr>
        <w:fldChar w:fldCharType="begin"/>
      </w:r>
      <w:r>
        <w:rPr>
          <w:rFonts w:cs="Times New Roman"/>
          <w:highlight w:val="none"/>
        </w:rPr>
        <w:instrText xml:space="preserve"> PAGEREF _Toc8188 \h </w:instrText>
      </w:r>
      <w:r>
        <w:rPr>
          <w:rFonts w:cs="Times New Roman"/>
          <w:highlight w:val="none"/>
        </w:rPr>
        <w:fldChar w:fldCharType="separate"/>
      </w:r>
      <w:r>
        <w:rPr>
          <w:rFonts w:cs="Times New Roman"/>
          <w:highlight w:val="none"/>
        </w:rPr>
        <w:t>19</w:t>
      </w:r>
      <w:r>
        <w:rPr>
          <w:rFonts w:cs="Times New Roman"/>
          <w:highlight w:val="none"/>
        </w:rPr>
        <w:fldChar w:fldCharType="end"/>
      </w:r>
      <w:r>
        <w:rPr>
          <w:rFonts w:cs="Times New Roman"/>
          <w:highlight w:val="none"/>
        </w:rPr>
        <w:fldChar w:fldCharType="end"/>
      </w:r>
    </w:p>
    <w:p w14:paraId="62A0B817">
      <w:pPr>
        <w:pStyle w:val="15"/>
        <w:tabs>
          <w:tab w:val="right" w:leader="dot" w:pos="8306"/>
        </w:tabs>
        <w:rPr>
          <w:rFonts w:ascii="Times New Roman" w:hAnsi="Times New Roman" w:cs="Times New Roman"/>
          <w:highlight w:val="none"/>
        </w:rPr>
      </w:pPr>
      <w:r>
        <w:rPr>
          <w:highlight w:val="none"/>
        </w:rPr>
        <w:fldChar w:fldCharType="begin"/>
      </w:r>
      <w:r>
        <w:rPr>
          <w:highlight w:val="none"/>
        </w:rPr>
        <w:instrText xml:space="preserve"> HYPERLINK \l "_Toc22736" </w:instrText>
      </w:r>
      <w:r>
        <w:rPr>
          <w:highlight w:val="none"/>
        </w:rPr>
        <w:fldChar w:fldCharType="separate"/>
      </w:r>
      <w:r>
        <w:rPr>
          <w:rFonts w:ascii="Times New Roman" w:hAnsi="Times New Roman" w:eastAsia="黑体" w:cs="Times New Roman"/>
          <w:szCs w:val="30"/>
          <w:highlight w:val="none"/>
        </w:rPr>
        <w:t>一、发售前需关注事项</w:t>
      </w:r>
      <w:r>
        <w:rPr>
          <w:rFonts w:ascii="Times New Roman" w:hAnsi="Times New Roman" w:cs="Times New Roman"/>
          <w:highlight w:val="none"/>
        </w:rPr>
        <w:tab/>
      </w:r>
      <w:r>
        <w:rPr>
          <w:rFonts w:ascii="Times New Roman" w:hAnsi="Times New Roman" w:cs="Times New Roman"/>
          <w:highlight w:val="none"/>
        </w:rPr>
        <w:fldChar w:fldCharType="begin"/>
      </w:r>
      <w:r>
        <w:rPr>
          <w:rFonts w:ascii="Times New Roman" w:hAnsi="Times New Roman" w:cs="Times New Roman"/>
          <w:highlight w:val="none"/>
        </w:rPr>
        <w:instrText xml:space="preserve"> PAGEREF _Toc22736 \h </w:instrText>
      </w:r>
      <w:r>
        <w:rPr>
          <w:rFonts w:ascii="Times New Roman" w:hAnsi="Times New Roman" w:cs="Times New Roman"/>
          <w:highlight w:val="none"/>
        </w:rPr>
        <w:fldChar w:fldCharType="separate"/>
      </w:r>
      <w:r>
        <w:rPr>
          <w:rFonts w:ascii="Times New Roman" w:hAnsi="Times New Roman" w:cs="Times New Roman"/>
          <w:highlight w:val="none"/>
        </w:rPr>
        <w:t>19</w:t>
      </w:r>
      <w:r>
        <w:rPr>
          <w:rFonts w:ascii="Times New Roman" w:hAnsi="Times New Roman" w:cs="Times New Roman"/>
          <w:highlight w:val="none"/>
        </w:rPr>
        <w:fldChar w:fldCharType="end"/>
      </w:r>
      <w:r>
        <w:rPr>
          <w:rFonts w:ascii="Times New Roman" w:hAnsi="Times New Roman" w:cs="Times New Roman"/>
          <w:highlight w:val="none"/>
        </w:rPr>
        <w:fldChar w:fldCharType="end"/>
      </w:r>
    </w:p>
    <w:p w14:paraId="4AC33BF2">
      <w:pPr>
        <w:pStyle w:val="15"/>
        <w:tabs>
          <w:tab w:val="right" w:leader="dot" w:pos="8306"/>
        </w:tabs>
        <w:rPr>
          <w:rFonts w:ascii="Times New Roman" w:hAnsi="Times New Roman" w:cs="Times New Roman"/>
          <w:highlight w:val="none"/>
        </w:rPr>
      </w:pPr>
      <w:r>
        <w:rPr>
          <w:highlight w:val="none"/>
        </w:rPr>
        <w:fldChar w:fldCharType="begin"/>
      </w:r>
      <w:r>
        <w:rPr>
          <w:highlight w:val="none"/>
        </w:rPr>
        <w:instrText xml:space="preserve"> HYPERLINK \l "_Toc5804" </w:instrText>
      </w:r>
      <w:r>
        <w:rPr>
          <w:highlight w:val="none"/>
        </w:rPr>
        <w:fldChar w:fldCharType="separate"/>
      </w:r>
      <w:r>
        <w:rPr>
          <w:rFonts w:ascii="Times New Roman" w:hAnsi="Times New Roman" w:eastAsia="黑体" w:cs="Times New Roman"/>
          <w:szCs w:val="30"/>
          <w:highlight w:val="none"/>
        </w:rPr>
        <w:t>二、发售及认购</w:t>
      </w:r>
      <w:r>
        <w:rPr>
          <w:rFonts w:ascii="Times New Roman" w:hAnsi="Times New Roman" w:cs="Times New Roman"/>
          <w:highlight w:val="none"/>
        </w:rPr>
        <w:tab/>
      </w:r>
      <w:r>
        <w:rPr>
          <w:rFonts w:ascii="Times New Roman" w:hAnsi="Times New Roman" w:cs="Times New Roman"/>
          <w:highlight w:val="none"/>
        </w:rPr>
        <w:fldChar w:fldCharType="begin"/>
      </w:r>
      <w:r>
        <w:rPr>
          <w:rFonts w:ascii="Times New Roman" w:hAnsi="Times New Roman" w:cs="Times New Roman"/>
          <w:highlight w:val="none"/>
        </w:rPr>
        <w:instrText xml:space="preserve"> PAGEREF _Toc5804 \h </w:instrText>
      </w:r>
      <w:r>
        <w:rPr>
          <w:rFonts w:ascii="Times New Roman" w:hAnsi="Times New Roman" w:cs="Times New Roman"/>
          <w:highlight w:val="none"/>
        </w:rPr>
        <w:fldChar w:fldCharType="separate"/>
      </w:r>
      <w:r>
        <w:rPr>
          <w:rFonts w:ascii="Times New Roman" w:hAnsi="Times New Roman" w:cs="Times New Roman"/>
          <w:highlight w:val="none"/>
        </w:rPr>
        <w:t>20</w:t>
      </w:r>
      <w:r>
        <w:rPr>
          <w:rFonts w:ascii="Times New Roman" w:hAnsi="Times New Roman" w:cs="Times New Roman"/>
          <w:highlight w:val="none"/>
        </w:rPr>
        <w:fldChar w:fldCharType="end"/>
      </w:r>
      <w:r>
        <w:rPr>
          <w:rFonts w:ascii="Times New Roman" w:hAnsi="Times New Roman" w:cs="Times New Roman"/>
          <w:highlight w:val="none"/>
        </w:rPr>
        <w:fldChar w:fldCharType="end"/>
      </w:r>
    </w:p>
    <w:p w14:paraId="3EDF9AD7">
      <w:pPr>
        <w:pStyle w:val="8"/>
        <w:tabs>
          <w:tab w:val="right" w:leader="dot" w:pos="8306"/>
        </w:tabs>
        <w:rPr>
          <w:rFonts w:ascii="Times New Roman" w:hAnsi="Times New Roman" w:cs="Times New Roman"/>
          <w:highlight w:val="none"/>
        </w:rPr>
      </w:pPr>
      <w:r>
        <w:rPr>
          <w:highlight w:val="none"/>
        </w:rPr>
        <w:fldChar w:fldCharType="begin"/>
      </w:r>
      <w:r>
        <w:rPr>
          <w:highlight w:val="none"/>
        </w:rPr>
        <w:instrText xml:space="preserve"> HYPERLINK \l "_Toc23748" </w:instrText>
      </w:r>
      <w:r>
        <w:rPr>
          <w:highlight w:val="none"/>
        </w:rPr>
        <w:fldChar w:fldCharType="separate"/>
      </w:r>
      <w:r>
        <w:rPr>
          <w:rFonts w:ascii="Times New Roman" w:hAnsi="Times New Roman" w:eastAsia="楷体_GB2312" w:cs="Times New Roman"/>
          <w:szCs w:val="30"/>
          <w:highlight w:val="none"/>
        </w:rPr>
        <w:t>（一）发售业务申请与受理</w:t>
      </w:r>
      <w:r>
        <w:rPr>
          <w:rFonts w:ascii="Times New Roman" w:hAnsi="Times New Roman" w:cs="Times New Roman"/>
          <w:highlight w:val="none"/>
        </w:rPr>
        <w:tab/>
      </w:r>
      <w:r>
        <w:rPr>
          <w:rFonts w:ascii="Times New Roman" w:hAnsi="Times New Roman" w:cs="Times New Roman"/>
          <w:highlight w:val="none"/>
        </w:rPr>
        <w:fldChar w:fldCharType="begin"/>
      </w:r>
      <w:r>
        <w:rPr>
          <w:rFonts w:ascii="Times New Roman" w:hAnsi="Times New Roman" w:cs="Times New Roman"/>
          <w:highlight w:val="none"/>
        </w:rPr>
        <w:instrText xml:space="preserve"> PAGEREF _Toc23748 \h </w:instrText>
      </w:r>
      <w:r>
        <w:rPr>
          <w:rFonts w:ascii="Times New Roman" w:hAnsi="Times New Roman" w:cs="Times New Roman"/>
          <w:highlight w:val="none"/>
        </w:rPr>
        <w:fldChar w:fldCharType="separate"/>
      </w:r>
      <w:r>
        <w:rPr>
          <w:rFonts w:ascii="Times New Roman" w:hAnsi="Times New Roman" w:cs="Times New Roman"/>
          <w:highlight w:val="none"/>
        </w:rPr>
        <w:t>20</w:t>
      </w:r>
      <w:r>
        <w:rPr>
          <w:rFonts w:ascii="Times New Roman" w:hAnsi="Times New Roman" w:cs="Times New Roman"/>
          <w:highlight w:val="none"/>
        </w:rPr>
        <w:fldChar w:fldCharType="end"/>
      </w:r>
      <w:r>
        <w:rPr>
          <w:rFonts w:ascii="Times New Roman" w:hAnsi="Times New Roman" w:cs="Times New Roman"/>
          <w:highlight w:val="none"/>
        </w:rPr>
        <w:fldChar w:fldCharType="end"/>
      </w:r>
    </w:p>
    <w:p w14:paraId="23440179">
      <w:pPr>
        <w:pStyle w:val="8"/>
        <w:tabs>
          <w:tab w:val="right" w:leader="dot" w:pos="8306"/>
        </w:tabs>
        <w:rPr>
          <w:rFonts w:ascii="Times New Roman" w:hAnsi="Times New Roman" w:cs="Times New Roman"/>
          <w:highlight w:val="none"/>
        </w:rPr>
      </w:pPr>
      <w:r>
        <w:rPr>
          <w:highlight w:val="none"/>
        </w:rPr>
        <w:fldChar w:fldCharType="begin"/>
      </w:r>
      <w:r>
        <w:rPr>
          <w:highlight w:val="none"/>
        </w:rPr>
        <w:instrText xml:space="preserve"> HYPERLINK \l "_Toc8549" </w:instrText>
      </w:r>
      <w:r>
        <w:rPr>
          <w:highlight w:val="none"/>
        </w:rPr>
        <w:fldChar w:fldCharType="separate"/>
      </w:r>
      <w:r>
        <w:rPr>
          <w:rFonts w:ascii="Times New Roman" w:hAnsi="Times New Roman" w:eastAsia="楷体_GB2312" w:cs="Times New Roman"/>
          <w:bCs/>
          <w:kern w:val="0"/>
          <w:szCs w:val="30"/>
          <w:highlight w:val="none"/>
        </w:rPr>
        <w:t>（二）确认认购日期并录入发售参数</w:t>
      </w:r>
      <w:r>
        <w:rPr>
          <w:rFonts w:ascii="Times New Roman" w:hAnsi="Times New Roman" w:cs="Times New Roman"/>
          <w:highlight w:val="none"/>
        </w:rPr>
        <w:tab/>
      </w:r>
      <w:r>
        <w:rPr>
          <w:rFonts w:ascii="Times New Roman" w:hAnsi="Times New Roman" w:cs="Times New Roman"/>
          <w:highlight w:val="none"/>
        </w:rPr>
        <w:fldChar w:fldCharType="begin"/>
      </w:r>
      <w:r>
        <w:rPr>
          <w:rFonts w:ascii="Times New Roman" w:hAnsi="Times New Roman" w:cs="Times New Roman"/>
          <w:highlight w:val="none"/>
        </w:rPr>
        <w:instrText xml:space="preserve"> PAGEREF _Toc8549 \h </w:instrText>
      </w:r>
      <w:r>
        <w:rPr>
          <w:rFonts w:ascii="Times New Roman" w:hAnsi="Times New Roman" w:cs="Times New Roman"/>
          <w:highlight w:val="none"/>
        </w:rPr>
        <w:fldChar w:fldCharType="separate"/>
      </w:r>
      <w:r>
        <w:rPr>
          <w:rFonts w:ascii="Times New Roman" w:hAnsi="Times New Roman" w:cs="Times New Roman"/>
          <w:highlight w:val="none"/>
        </w:rPr>
        <w:t>22</w:t>
      </w:r>
      <w:r>
        <w:rPr>
          <w:rFonts w:ascii="Times New Roman" w:hAnsi="Times New Roman" w:cs="Times New Roman"/>
          <w:highlight w:val="none"/>
        </w:rPr>
        <w:fldChar w:fldCharType="end"/>
      </w:r>
      <w:r>
        <w:rPr>
          <w:rFonts w:ascii="Times New Roman" w:hAnsi="Times New Roman" w:cs="Times New Roman"/>
          <w:highlight w:val="none"/>
        </w:rPr>
        <w:fldChar w:fldCharType="end"/>
      </w:r>
    </w:p>
    <w:p w14:paraId="02F950DC">
      <w:pPr>
        <w:pStyle w:val="8"/>
        <w:tabs>
          <w:tab w:val="right" w:leader="dot" w:pos="8306"/>
        </w:tabs>
        <w:rPr>
          <w:rFonts w:ascii="Times New Roman" w:hAnsi="Times New Roman" w:cs="Times New Roman"/>
          <w:highlight w:val="none"/>
        </w:rPr>
      </w:pPr>
      <w:r>
        <w:rPr>
          <w:highlight w:val="none"/>
        </w:rPr>
        <w:fldChar w:fldCharType="begin"/>
      </w:r>
      <w:r>
        <w:rPr>
          <w:highlight w:val="none"/>
        </w:rPr>
        <w:instrText xml:space="preserve"> HYPERLINK \l "_Toc3316" </w:instrText>
      </w:r>
      <w:r>
        <w:rPr>
          <w:highlight w:val="none"/>
        </w:rPr>
        <w:fldChar w:fldCharType="separate"/>
      </w:r>
      <w:r>
        <w:rPr>
          <w:rFonts w:ascii="Times New Roman" w:hAnsi="Times New Roman" w:eastAsia="楷体_GB2312" w:cs="Times New Roman"/>
          <w:bCs/>
          <w:kern w:val="0"/>
          <w:szCs w:val="30"/>
          <w:highlight w:val="none"/>
        </w:rPr>
        <w:t>（三）发布发售公告</w:t>
      </w:r>
      <w:r>
        <w:rPr>
          <w:rFonts w:ascii="Times New Roman" w:hAnsi="Times New Roman" w:cs="Times New Roman"/>
          <w:highlight w:val="none"/>
        </w:rPr>
        <w:tab/>
      </w:r>
      <w:r>
        <w:rPr>
          <w:rFonts w:ascii="Times New Roman" w:hAnsi="Times New Roman" w:cs="Times New Roman"/>
          <w:highlight w:val="none"/>
        </w:rPr>
        <w:fldChar w:fldCharType="begin"/>
      </w:r>
      <w:r>
        <w:rPr>
          <w:rFonts w:ascii="Times New Roman" w:hAnsi="Times New Roman" w:cs="Times New Roman"/>
          <w:highlight w:val="none"/>
        </w:rPr>
        <w:instrText xml:space="preserve"> PAGEREF _Toc3316 \h </w:instrText>
      </w:r>
      <w:r>
        <w:rPr>
          <w:rFonts w:ascii="Times New Roman" w:hAnsi="Times New Roman" w:cs="Times New Roman"/>
          <w:highlight w:val="none"/>
        </w:rPr>
        <w:fldChar w:fldCharType="separate"/>
      </w:r>
      <w:r>
        <w:rPr>
          <w:rFonts w:ascii="Times New Roman" w:hAnsi="Times New Roman" w:cs="Times New Roman"/>
          <w:highlight w:val="none"/>
        </w:rPr>
        <w:t>23</w:t>
      </w:r>
      <w:r>
        <w:rPr>
          <w:rFonts w:ascii="Times New Roman" w:hAnsi="Times New Roman" w:cs="Times New Roman"/>
          <w:highlight w:val="none"/>
        </w:rPr>
        <w:fldChar w:fldCharType="end"/>
      </w:r>
      <w:r>
        <w:rPr>
          <w:rFonts w:ascii="Times New Roman" w:hAnsi="Times New Roman" w:cs="Times New Roman"/>
          <w:highlight w:val="none"/>
        </w:rPr>
        <w:fldChar w:fldCharType="end"/>
      </w:r>
    </w:p>
    <w:p w14:paraId="319FA97E">
      <w:pPr>
        <w:pStyle w:val="8"/>
        <w:tabs>
          <w:tab w:val="right" w:leader="dot" w:pos="8306"/>
        </w:tabs>
        <w:rPr>
          <w:rFonts w:ascii="Times New Roman" w:hAnsi="Times New Roman" w:cs="Times New Roman"/>
          <w:highlight w:val="none"/>
        </w:rPr>
      </w:pPr>
      <w:r>
        <w:rPr>
          <w:highlight w:val="none"/>
        </w:rPr>
        <w:fldChar w:fldCharType="begin"/>
      </w:r>
      <w:r>
        <w:rPr>
          <w:highlight w:val="none"/>
        </w:rPr>
        <w:instrText xml:space="preserve"> HYPERLINK \l "_Toc25439" </w:instrText>
      </w:r>
      <w:r>
        <w:rPr>
          <w:highlight w:val="none"/>
        </w:rPr>
        <w:fldChar w:fldCharType="separate"/>
      </w:r>
      <w:r>
        <w:rPr>
          <w:rFonts w:ascii="Times New Roman" w:hAnsi="Times New Roman" w:eastAsia="楷体_GB2312" w:cs="Times New Roman"/>
          <w:bCs/>
          <w:kern w:val="0"/>
          <w:szCs w:val="30"/>
          <w:highlight w:val="none"/>
        </w:rPr>
        <w:t>（四）转托管暂停及恢复</w:t>
      </w:r>
      <w:r>
        <w:rPr>
          <w:rFonts w:ascii="Times New Roman" w:hAnsi="Times New Roman" w:cs="Times New Roman"/>
          <w:highlight w:val="none"/>
        </w:rPr>
        <w:tab/>
      </w:r>
      <w:r>
        <w:rPr>
          <w:rFonts w:ascii="Times New Roman" w:hAnsi="Times New Roman" w:cs="Times New Roman"/>
          <w:highlight w:val="none"/>
        </w:rPr>
        <w:fldChar w:fldCharType="begin"/>
      </w:r>
      <w:r>
        <w:rPr>
          <w:rFonts w:ascii="Times New Roman" w:hAnsi="Times New Roman" w:cs="Times New Roman"/>
          <w:highlight w:val="none"/>
        </w:rPr>
        <w:instrText xml:space="preserve"> PAGEREF _Toc25439 \h </w:instrText>
      </w:r>
      <w:r>
        <w:rPr>
          <w:rFonts w:ascii="Times New Roman" w:hAnsi="Times New Roman" w:cs="Times New Roman"/>
          <w:highlight w:val="none"/>
        </w:rPr>
        <w:fldChar w:fldCharType="separate"/>
      </w:r>
      <w:r>
        <w:rPr>
          <w:rFonts w:ascii="Times New Roman" w:hAnsi="Times New Roman" w:cs="Times New Roman"/>
          <w:highlight w:val="none"/>
        </w:rPr>
        <w:t>23</w:t>
      </w:r>
      <w:r>
        <w:rPr>
          <w:rFonts w:ascii="Times New Roman" w:hAnsi="Times New Roman" w:cs="Times New Roman"/>
          <w:highlight w:val="none"/>
        </w:rPr>
        <w:fldChar w:fldCharType="end"/>
      </w:r>
      <w:r>
        <w:rPr>
          <w:rFonts w:ascii="Times New Roman" w:hAnsi="Times New Roman" w:cs="Times New Roman"/>
          <w:highlight w:val="none"/>
        </w:rPr>
        <w:fldChar w:fldCharType="end"/>
      </w:r>
    </w:p>
    <w:p w14:paraId="553608A3">
      <w:pPr>
        <w:pStyle w:val="8"/>
        <w:tabs>
          <w:tab w:val="right" w:leader="dot" w:pos="8306"/>
        </w:tabs>
        <w:rPr>
          <w:rFonts w:ascii="Times New Roman" w:hAnsi="Times New Roman" w:cs="Times New Roman"/>
          <w:highlight w:val="none"/>
        </w:rPr>
      </w:pPr>
      <w:r>
        <w:rPr>
          <w:highlight w:val="none"/>
        </w:rPr>
        <w:fldChar w:fldCharType="begin"/>
      </w:r>
      <w:r>
        <w:rPr>
          <w:highlight w:val="none"/>
        </w:rPr>
        <w:instrText xml:space="preserve"> HYPERLINK \l "_Toc1159" </w:instrText>
      </w:r>
      <w:r>
        <w:rPr>
          <w:highlight w:val="none"/>
        </w:rPr>
        <w:fldChar w:fldCharType="separate"/>
      </w:r>
      <w:r>
        <w:rPr>
          <w:rFonts w:ascii="Times New Roman" w:hAnsi="Times New Roman" w:eastAsia="楷体_GB2312" w:cs="Times New Roman"/>
          <w:bCs/>
          <w:kern w:val="0"/>
          <w:szCs w:val="30"/>
          <w:highlight w:val="none"/>
        </w:rPr>
        <w:t>（五）权益登记</w:t>
      </w:r>
      <w:r>
        <w:rPr>
          <w:rFonts w:ascii="Times New Roman" w:hAnsi="Times New Roman" w:cs="Times New Roman"/>
          <w:highlight w:val="none"/>
        </w:rPr>
        <w:tab/>
      </w:r>
      <w:r>
        <w:rPr>
          <w:rFonts w:ascii="Times New Roman" w:hAnsi="Times New Roman" w:cs="Times New Roman"/>
          <w:highlight w:val="none"/>
        </w:rPr>
        <w:fldChar w:fldCharType="begin"/>
      </w:r>
      <w:r>
        <w:rPr>
          <w:rFonts w:ascii="Times New Roman" w:hAnsi="Times New Roman" w:cs="Times New Roman"/>
          <w:highlight w:val="none"/>
        </w:rPr>
        <w:instrText xml:space="preserve"> PAGEREF _Toc1159 \h </w:instrText>
      </w:r>
      <w:r>
        <w:rPr>
          <w:rFonts w:ascii="Times New Roman" w:hAnsi="Times New Roman" w:cs="Times New Roman"/>
          <w:highlight w:val="none"/>
        </w:rPr>
        <w:fldChar w:fldCharType="separate"/>
      </w:r>
      <w:r>
        <w:rPr>
          <w:rFonts w:ascii="Times New Roman" w:hAnsi="Times New Roman" w:cs="Times New Roman"/>
          <w:highlight w:val="none"/>
        </w:rPr>
        <w:t>23</w:t>
      </w:r>
      <w:r>
        <w:rPr>
          <w:rFonts w:ascii="Times New Roman" w:hAnsi="Times New Roman" w:cs="Times New Roman"/>
          <w:highlight w:val="none"/>
        </w:rPr>
        <w:fldChar w:fldCharType="end"/>
      </w:r>
      <w:r>
        <w:rPr>
          <w:rFonts w:ascii="Times New Roman" w:hAnsi="Times New Roman" w:cs="Times New Roman"/>
          <w:highlight w:val="none"/>
        </w:rPr>
        <w:fldChar w:fldCharType="end"/>
      </w:r>
    </w:p>
    <w:p w14:paraId="14F63919">
      <w:pPr>
        <w:pStyle w:val="8"/>
        <w:tabs>
          <w:tab w:val="right" w:leader="dot" w:pos="8306"/>
        </w:tabs>
        <w:rPr>
          <w:rFonts w:ascii="Times New Roman" w:hAnsi="Times New Roman" w:cs="Times New Roman"/>
          <w:highlight w:val="none"/>
        </w:rPr>
      </w:pPr>
      <w:r>
        <w:rPr>
          <w:highlight w:val="none"/>
        </w:rPr>
        <w:fldChar w:fldCharType="begin"/>
      </w:r>
      <w:r>
        <w:rPr>
          <w:highlight w:val="none"/>
        </w:rPr>
        <w:instrText xml:space="preserve"> HYPERLINK \l "_Toc9417" </w:instrText>
      </w:r>
      <w:r>
        <w:rPr>
          <w:highlight w:val="none"/>
        </w:rPr>
        <w:fldChar w:fldCharType="separate"/>
      </w:r>
      <w:r>
        <w:rPr>
          <w:rFonts w:ascii="Times New Roman" w:hAnsi="Times New Roman" w:eastAsia="楷体_GB2312" w:cs="Times New Roman"/>
          <w:bCs/>
          <w:kern w:val="0"/>
          <w:szCs w:val="30"/>
          <w:highlight w:val="none"/>
        </w:rPr>
        <w:t>（六）符合条件的投资者参与认购</w:t>
      </w:r>
      <w:r>
        <w:rPr>
          <w:rFonts w:ascii="Times New Roman" w:hAnsi="Times New Roman" w:cs="Times New Roman"/>
          <w:highlight w:val="none"/>
        </w:rPr>
        <w:tab/>
      </w:r>
      <w:r>
        <w:rPr>
          <w:rFonts w:ascii="Times New Roman" w:hAnsi="Times New Roman" w:cs="Times New Roman"/>
          <w:highlight w:val="none"/>
        </w:rPr>
        <w:fldChar w:fldCharType="begin"/>
      </w:r>
      <w:r>
        <w:rPr>
          <w:rFonts w:ascii="Times New Roman" w:hAnsi="Times New Roman" w:cs="Times New Roman"/>
          <w:highlight w:val="none"/>
        </w:rPr>
        <w:instrText xml:space="preserve"> PAGEREF _Toc9417 \h </w:instrText>
      </w:r>
      <w:r>
        <w:rPr>
          <w:rFonts w:ascii="Times New Roman" w:hAnsi="Times New Roman" w:cs="Times New Roman"/>
          <w:highlight w:val="none"/>
        </w:rPr>
        <w:fldChar w:fldCharType="separate"/>
      </w:r>
      <w:r>
        <w:rPr>
          <w:rFonts w:ascii="Times New Roman" w:hAnsi="Times New Roman" w:cs="Times New Roman"/>
          <w:highlight w:val="none"/>
        </w:rPr>
        <w:t>23</w:t>
      </w:r>
      <w:r>
        <w:rPr>
          <w:rFonts w:ascii="Times New Roman" w:hAnsi="Times New Roman" w:cs="Times New Roman"/>
          <w:highlight w:val="none"/>
        </w:rPr>
        <w:fldChar w:fldCharType="end"/>
      </w:r>
      <w:r>
        <w:rPr>
          <w:rFonts w:ascii="Times New Roman" w:hAnsi="Times New Roman" w:cs="Times New Roman"/>
          <w:highlight w:val="none"/>
        </w:rPr>
        <w:fldChar w:fldCharType="end"/>
      </w:r>
    </w:p>
    <w:p w14:paraId="44F92C6E">
      <w:pPr>
        <w:pStyle w:val="8"/>
        <w:tabs>
          <w:tab w:val="right" w:leader="dot" w:pos="8306"/>
        </w:tabs>
        <w:rPr>
          <w:rFonts w:ascii="Times New Roman" w:hAnsi="Times New Roman" w:cs="Times New Roman"/>
          <w:highlight w:val="none"/>
        </w:rPr>
      </w:pPr>
      <w:r>
        <w:rPr>
          <w:highlight w:val="none"/>
        </w:rPr>
        <w:fldChar w:fldCharType="begin"/>
      </w:r>
      <w:r>
        <w:rPr>
          <w:highlight w:val="none"/>
        </w:rPr>
        <w:instrText xml:space="preserve"> HYPERLINK \l "_Toc9733" </w:instrText>
      </w:r>
      <w:r>
        <w:rPr>
          <w:highlight w:val="none"/>
        </w:rPr>
        <w:fldChar w:fldCharType="separate"/>
      </w:r>
      <w:r>
        <w:rPr>
          <w:rFonts w:ascii="Times New Roman" w:hAnsi="Times New Roman" w:eastAsia="楷体_GB2312" w:cs="Times New Roman"/>
          <w:bCs/>
          <w:kern w:val="0"/>
          <w:szCs w:val="30"/>
          <w:highlight w:val="none"/>
        </w:rPr>
        <w:t>（七）认购结束日期调整</w:t>
      </w:r>
      <w:r>
        <w:rPr>
          <w:rFonts w:ascii="Times New Roman" w:hAnsi="Times New Roman" w:cs="Times New Roman"/>
          <w:highlight w:val="none"/>
        </w:rPr>
        <w:tab/>
      </w:r>
      <w:r>
        <w:rPr>
          <w:rFonts w:ascii="Times New Roman" w:hAnsi="Times New Roman" w:cs="Times New Roman"/>
          <w:highlight w:val="none"/>
        </w:rPr>
        <w:fldChar w:fldCharType="begin"/>
      </w:r>
      <w:r>
        <w:rPr>
          <w:rFonts w:ascii="Times New Roman" w:hAnsi="Times New Roman" w:cs="Times New Roman"/>
          <w:highlight w:val="none"/>
        </w:rPr>
        <w:instrText xml:space="preserve"> PAGEREF _Toc9733 \h </w:instrText>
      </w:r>
      <w:r>
        <w:rPr>
          <w:rFonts w:ascii="Times New Roman" w:hAnsi="Times New Roman" w:cs="Times New Roman"/>
          <w:highlight w:val="none"/>
        </w:rPr>
        <w:fldChar w:fldCharType="separate"/>
      </w:r>
      <w:r>
        <w:rPr>
          <w:rFonts w:ascii="Times New Roman" w:hAnsi="Times New Roman" w:cs="Times New Roman"/>
          <w:highlight w:val="none"/>
        </w:rPr>
        <w:t>25</w:t>
      </w:r>
      <w:r>
        <w:rPr>
          <w:rFonts w:ascii="Times New Roman" w:hAnsi="Times New Roman" w:cs="Times New Roman"/>
          <w:highlight w:val="none"/>
        </w:rPr>
        <w:fldChar w:fldCharType="end"/>
      </w:r>
      <w:r>
        <w:rPr>
          <w:rFonts w:ascii="Times New Roman" w:hAnsi="Times New Roman" w:cs="Times New Roman"/>
          <w:highlight w:val="none"/>
        </w:rPr>
        <w:fldChar w:fldCharType="end"/>
      </w:r>
    </w:p>
    <w:p w14:paraId="262A4237">
      <w:pPr>
        <w:pStyle w:val="8"/>
        <w:tabs>
          <w:tab w:val="right" w:leader="dot" w:pos="8306"/>
        </w:tabs>
        <w:rPr>
          <w:rFonts w:ascii="Times New Roman" w:hAnsi="Times New Roman" w:cs="Times New Roman"/>
          <w:highlight w:val="none"/>
        </w:rPr>
      </w:pPr>
      <w:r>
        <w:rPr>
          <w:highlight w:val="none"/>
        </w:rPr>
        <w:fldChar w:fldCharType="begin"/>
      </w:r>
      <w:r>
        <w:rPr>
          <w:highlight w:val="none"/>
        </w:rPr>
        <w:instrText xml:space="preserve"> HYPERLINK \l "_Toc29880" </w:instrText>
      </w:r>
      <w:r>
        <w:rPr>
          <w:highlight w:val="none"/>
        </w:rPr>
        <w:fldChar w:fldCharType="separate"/>
      </w:r>
      <w:r>
        <w:rPr>
          <w:rFonts w:ascii="Times New Roman" w:hAnsi="Times New Roman" w:eastAsia="楷体_GB2312" w:cs="Times New Roman"/>
          <w:bCs/>
          <w:kern w:val="0"/>
          <w:szCs w:val="30"/>
          <w:highlight w:val="none"/>
        </w:rPr>
        <w:t>（八）披露《基金合同更新公告》</w:t>
      </w:r>
      <w:r>
        <w:rPr>
          <w:rFonts w:ascii="Times New Roman" w:hAnsi="Times New Roman" w:cs="Times New Roman"/>
          <w:highlight w:val="none"/>
        </w:rPr>
        <w:tab/>
      </w:r>
      <w:r>
        <w:rPr>
          <w:rFonts w:ascii="Times New Roman" w:hAnsi="Times New Roman" w:cs="Times New Roman"/>
          <w:highlight w:val="none"/>
        </w:rPr>
        <w:fldChar w:fldCharType="begin"/>
      </w:r>
      <w:r>
        <w:rPr>
          <w:rFonts w:ascii="Times New Roman" w:hAnsi="Times New Roman" w:cs="Times New Roman"/>
          <w:highlight w:val="none"/>
        </w:rPr>
        <w:instrText xml:space="preserve"> PAGEREF _Toc29880 \h </w:instrText>
      </w:r>
      <w:r>
        <w:rPr>
          <w:rFonts w:ascii="Times New Roman" w:hAnsi="Times New Roman" w:cs="Times New Roman"/>
          <w:highlight w:val="none"/>
        </w:rPr>
        <w:fldChar w:fldCharType="separate"/>
      </w:r>
      <w:r>
        <w:rPr>
          <w:rFonts w:ascii="Times New Roman" w:hAnsi="Times New Roman" w:cs="Times New Roman"/>
          <w:highlight w:val="none"/>
        </w:rPr>
        <w:t>25</w:t>
      </w:r>
      <w:r>
        <w:rPr>
          <w:rFonts w:ascii="Times New Roman" w:hAnsi="Times New Roman" w:cs="Times New Roman"/>
          <w:highlight w:val="none"/>
        </w:rPr>
        <w:fldChar w:fldCharType="end"/>
      </w:r>
      <w:r>
        <w:rPr>
          <w:rFonts w:ascii="Times New Roman" w:hAnsi="Times New Roman" w:cs="Times New Roman"/>
          <w:highlight w:val="none"/>
        </w:rPr>
        <w:fldChar w:fldCharType="end"/>
      </w:r>
    </w:p>
    <w:p w14:paraId="3E3B120B">
      <w:pPr>
        <w:pStyle w:val="8"/>
        <w:tabs>
          <w:tab w:val="right" w:leader="dot" w:pos="8306"/>
        </w:tabs>
        <w:rPr>
          <w:rFonts w:ascii="Times New Roman" w:hAnsi="Times New Roman" w:cs="Times New Roman"/>
          <w:highlight w:val="none"/>
        </w:rPr>
      </w:pPr>
      <w:r>
        <w:rPr>
          <w:highlight w:val="none"/>
        </w:rPr>
        <w:fldChar w:fldCharType="begin"/>
      </w:r>
      <w:r>
        <w:rPr>
          <w:highlight w:val="none"/>
        </w:rPr>
        <w:instrText xml:space="preserve"> HYPERLINK \l "_Toc26653" </w:instrText>
      </w:r>
      <w:r>
        <w:rPr>
          <w:highlight w:val="none"/>
        </w:rPr>
        <w:fldChar w:fldCharType="separate"/>
      </w:r>
      <w:r>
        <w:rPr>
          <w:rFonts w:ascii="Times New Roman" w:hAnsi="Times New Roman" w:eastAsia="楷体_GB2312" w:cs="Times New Roman"/>
          <w:bCs/>
          <w:kern w:val="0"/>
          <w:szCs w:val="30"/>
          <w:highlight w:val="none"/>
        </w:rPr>
        <w:t>（九）披露交易实施情况报告书</w:t>
      </w:r>
      <w:r>
        <w:rPr>
          <w:rFonts w:ascii="Times New Roman" w:hAnsi="Times New Roman" w:cs="Times New Roman"/>
          <w:highlight w:val="none"/>
        </w:rPr>
        <w:tab/>
      </w:r>
      <w:r>
        <w:rPr>
          <w:rFonts w:ascii="Times New Roman" w:hAnsi="Times New Roman" w:cs="Times New Roman"/>
          <w:highlight w:val="none"/>
        </w:rPr>
        <w:fldChar w:fldCharType="begin"/>
      </w:r>
      <w:r>
        <w:rPr>
          <w:rFonts w:ascii="Times New Roman" w:hAnsi="Times New Roman" w:cs="Times New Roman"/>
          <w:highlight w:val="none"/>
        </w:rPr>
        <w:instrText xml:space="preserve"> PAGEREF _Toc26653 \h </w:instrText>
      </w:r>
      <w:r>
        <w:rPr>
          <w:rFonts w:ascii="Times New Roman" w:hAnsi="Times New Roman" w:cs="Times New Roman"/>
          <w:highlight w:val="none"/>
        </w:rPr>
        <w:fldChar w:fldCharType="separate"/>
      </w:r>
      <w:r>
        <w:rPr>
          <w:rFonts w:ascii="Times New Roman" w:hAnsi="Times New Roman" w:cs="Times New Roman"/>
          <w:highlight w:val="none"/>
        </w:rPr>
        <w:t>25</w:t>
      </w:r>
      <w:r>
        <w:rPr>
          <w:rFonts w:ascii="Times New Roman" w:hAnsi="Times New Roman" w:cs="Times New Roman"/>
          <w:highlight w:val="none"/>
        </w:rPr>
        <w:fldChar w:fldCharType="end"/>
      </w:r>
      <w:r>
        <w:rPr>
          <w:rFonts w:ascii="Times New Roman" w:hAnsi="Times New Roman" w:cs="Times New Roman"/>
          <w:highlight w:val="none"/>
        </w:rPr>
        <w:fldChar w:fldCharType="end"/>
      </w:r>
    </w:p>
    <w:p w14:paraId="7B301692">
      <w:pPr>
        <w:pStyle w:val="8"/>
        <w:tabs>
          <w:tab w:val="right" w:leader="dot" w:pos="8306"/>
        </w:tabs>
        <w:rPr>
          <w:rFonts w:ascii="Times New Roman" w:hAnsi="Times New Roman" w:cs="Times New Roman"/>
          <w:highlight w:val="none"/>
        </w:rPr>
      </w:pPr>
      <w:r>
        <w:rPr>
          <w:highlight w:val="none"/>
        </w:rPr>
        <w:fldChar w:fldCharType="begin"/>
      </w:r>
      <w:r>
        <w:rPr>
          <w:highlight w:val="none"/>
        </w:rPr>
        <w:instrText xml:space="preserve"> HYPERLINK \l "_Toc11106" </w:instrText>
      </w:r>
      <w:r>
        <w:rPr>
          <w:highlight w:val="none"/>
        </w:rPr>
        <w:fldChar w:fldCharType="separate"/>
      </w:r>
      <w:r>
        <w:rPr>
          <w:rFonts w:ascii="Times New Roman" w:hAnsi="Times New Roman" w:eastAsia="楷体_GB2312" w:cs="Times New Roman"/>
          <w:bCs/>
          <w:kern w:val="0"/>
          <w:szCs w:val="30"/>
          <w:highlight w:val="none"/>
        </w:rPr>
        <w:t>（十）材料报备</w:t>
      </w:r>
      <w:r>
        <w:rPr>
          <w:rFonts w:ascii="Times New Roman" w:hAnsi="Times New Roman" w:cs="Times New Roman"/>
          <w:highlight w:val="none"/>
        </w:rPr>
        <w:tab/>
      </w:r>
      <w:r>
        <w:rPr>
          <w:rFonts w:ascii="Times New Roman" w:hAnsi="Times New Roman" w:cs="Times New Roman"/>
          <w:highlight w:val="none"/>
        </w:rPr>
        <w:fldChar w:fldCharType="begin"/>
      </w:r>
      <w:r>
        <w:rPr>
          <w:rFonts w:ascii="Times New Roman" w:hAnsi="Times New Roman" w:cs="Times New Roman"/>
          <w:highlight w:val="none"/>
        </w:rPr>
        <w:instrText xml:space="preserve"> PAGEREF _Toc11106 \h </w:instrText>
      </w:r>
      <w:r>
        <w:rPr>
          <w:rFonts w:ascii="Times New Roman" w:hAnsi="Times New Roman" w:cs="Times New Roman"/>
          <w:highlight w:val="none"/>
        </w:rPr>
        <w:fldChar w:fldCharType="separate"/>
      </w:r>
      <w:r>
        <w:rPr>
          <w:rFonts w:ascii="Times New Roman" w:hAnsi="Times New Roman" w:cs="Times New Roman"/>
          <w:highlight w:val="none"/>
        </w:rPr>
        <w:t>25</w:t>
      </w:r>
      <w:r>
        <w:rPr>
          <w:rFonts w:ascii="Times New Roman" w:hAnsi="Times New Roman" w:cs="Times New Roman"/>
          <w:highlight w:val="none"/>
        </w:rPr>
        <w:fldChar w:fldCharType="end"/>
      </w:r>
      <w:r>
        <w:rPr>
          <w:rFonts w:ascii="Times New Roman" w:hAnsi="Times New Roman" w:cs="Times New Roman"/>
          <w:highlight w:val="none"/>
        </w:rPr>
        <w:fldChar w:fldCharType="end"/>
      </w:r>
    </w:p>
    <w:p w14:paraId="7EDED26D">
      <w:pPr>
        <w:pStyle w:val="15"/>
        <w:tabs>
          <w:tab w:val="right" w:leader="dot" w:pos="8306"/>
        </w:tabs>
        <w:rPr>
          <w:rFonts w:ascii="Times New Roman" w:hAnsi="Times New Roman" w:cs="Times New Roman"/>
          <w:highlight w:val="none"/>
        </w:rPr>
      </w:pPr>
      <w:r>
        <w:rPr>
          <w:highlight w:val="none"/>
        </w:rPr>
        <w:fldChar w:fldCharType="begin"/>
      </w:r>
      <w:r>
        <w:rPr>
          <w:highlight w:val="none"/>
        </w:rPr>
        <w:instrText xml:space="preserve"> HYPERLINK \l "_Toc5475" </w:instrText>
      </w:r>
      <w:r>
        <w:rPr>
          <w:highlight w:val="none"/>
        </w:rPr>
        <w:fldChar w:fldCharType="separate"/>
      </w:r>
      <w:r>
        <w:rPr>
          <w:rFonts w:ascii="Times New Roman" w:hAnsi="Times New Roman" w:eastAsia="黑体" w:cs="Times New Roman"/>
          <w:bCs/>
          <w:szCs w:val="30"/>
          <w:highlight w:val="none"/>
        </w:rPr>
        <w:t>三、登记、限售及锁定</w:t>
      </w:r>
      <w:r>
        <w:rPr>
          <w:rFonts w:ascii="Times New Roman" w:hAnsi="Times New Roman" w:cs="Times New Roman"/>
          <w:highlight w:val="none"/>
        </w:rPr>
        <w:tab/>
      </w:r>
      <w:r>
        <w:rPr>
          <w:rFonts w:ascii="Times New Roman" w:hAnsi="Times New Roman" w:cs="Times New Roman"/>
          <w:highlight w:val="none"/>
        </w:rPr>
        <w:fldChar w:fldCharType="begin"/>
      </w:r>
      <w:r>
        <w:rPr>
          <w:rFonts w:ascii="Times New Roman" w:hAnsi="Times New Roman" w:cs="Times New Roman"/>
          <w:highlight w:val="none"/>
        </w:rPr>
        <w:instrText xml:space="preserve"> PAGEREF _Toc5475 \h </w:instrText>
      </w:r>
      <w:r>
        <w:rPr>
          <w:rFonts w:ascii="Times New Roman" w:hAnsi="Times New Roman" w:cs="Times New Roman"/>
          <w:highlight w:val="none"/>
        </w:rPr>
        <w:fldChar w:fldCharType="separate"/>
      </w:r>
      <w:r>
        <w:rPr>
          <w:rFonts w:ascii="Times New Roman" w:hAnsi="Times New Roman" w:cs="Times New Roman"/>
          <w:highlight w:val="none"/>
        </w:rPr>
        <w:t>26</w:t>
      </w:r>
      <w:r>
        <w:rPr>
          <w:rFonts w:ascii="Times New Roman" w:hAnsi="Times New Roman" w:cs="Times New Roman"/>
          <w:highlight w:val="none"/>
        </w:rPr>
        <w:fldChar w:fldCharType="end"/>
      </w:r>
      <w:r>
        <w:rPr>
          <w:rFonts w:ascii="Times New Roman" w:hAnsi="Times New Roman" w:cs="Times New Roman"/>
          <w:highlight w:val="none"/>
        </w:rPr>
        <w:fldChar w:fldCharType="end"/>
      </w:r>
    </w:p>
    <w:p w14:paraId="453B954F">
      <w:pPr>
        <w:pStyle w:val="8"/>
        <w:tabs>
          <w:tab w:val="right" w:leader="dot" w:pos="8306"/>
        </w:tabs>
        <w:rPr>
          <w:rFonts w:ascii="Times New Roman" w:hAnsi="Times New Roman" w:cs="Times New Roman"/>
          <w:highlight w:val="none"/>
        </w:rPr>
      </w:pPr>
      <w:r>
        <w:rPr>
          <w:highlight w:val="none"/>
        </w:rPr>
        <w:fldChar w:fldCharType="begin"/>
      </w:r>
      <w:r>
        <w:rPr>
          <w:highlight w:val="none"/>
        </w:rPr>
        <w:instrText xml:space="preserve"> HYPERLINK \l "_Toc22368" </w:instrText>
      </w:r>
      <w:r>
        <w:rPr>
          <w:highlight w:val="none"/>
        </w:rPr>
        <w:fldChar w:fldCharType="separate"/>
      </w:r>
      <w:r>
        <w:rPr>
          <w:rFonts w:ascii="Times New Roman" w:hAnsi="Times New Roman" w:eastAsia="楷体_GB2312" w:cs="Times New Roman"/>
          <w:bCs/>
          <w:kern w:val="0"/>
          <w:szCs w:val="30"/>
          <w:highlight w:val="none"/>
        </w:rPr>
        <w:t>（一）扩募认购份额登记</w:t>
      </w:r>
      <w:r>
        <w:rPr>
          <w:rFonts w:ascii="Times New Roman" w:hAnsi="Times New Roman" w:cs="Times New Roman"/>
          <w:highlight w:val="none"/>
        </w:rPr>
        <w:tab/>
      </w:r>
      <w:r>
        <w:rPr>
          <w:rFonts w:ascii="Times New Roman" w:hAnsi="Times New Roman" w:cs="Times New Roman"/>
          <w:highlight w:val="none"/>
        </w:rPr>
        <w:fldChar w:fldCharType="begin"/>
      </w:r>
      <w:r>
        <w:rPr>
          <w:rFonts w:ascii="Times New Roman" w:hAnsi="Times New Roman" w:cs="Times New Roman"/>
          <w:highlight w:val="none"/>
        </w:rPr>
        <w:instrText xml:space="preserve"> PAGEREF _Toc22368 \h </w:instrText>
      </w:r>
      <w:r>
        <w:rPr>
          <w:rFonts w:ascii="Times New Roman" w:hAnsi="Times New Roman" w:cs="Times New Roman"/>
          <w:highlight w:val="none"/>
        </w:rPr>
        <w:fldChar w:fldCharType="separate"/>
      </w:r>
      <w:r>
        <w:rPr>
          <w:rFonts w:ascii="Times New Roman" w:hAnsi="Times New Roman" w:cs="Times New Roman"/>
          <w:highlight w:val="none"/>
        </w:rPr>
        <w:t>26</w:t>
      </w:r>
      <w:r>
        <w:rPr>
          <w:rFonts w:ascii="Times New Roman" w:hAnsi="Times New Roman" w:cs="Times New Roman"/>
          <w:highlight w:val="none"/>
        </w:rPr>
        <w:fldChar w:fldCharType="end"/>
      </w:r>
      <w:r>
        <w:rPr>
          <w:rFonts w:ascii="Times New Roman" w:hAnsi="Times New Roman" w:cs="Times New Roman"/>
          <w:highlight w:val="none"/>
        </w:rPr>
        <w:fldChar w:fldCharType="end"/>
      </w:r>
    </w:p>
    <w:p w14:paraId="19DBDF54">
      <w:pPr>
        <w:pStyle w:val="8"/>
        <w:tabs>
          <w:tab w:val="right" w:leader="dot" w:pos="8306"/>
        </w:tabs>
        <w:rPr>
          <w:rFonts w:ascii="Times New Roman" w:hAnsi="Times New Roman" w:cs="Times New Roman"/>
          <w:highlight w:val="none"/>
        </w:rPr>
      </w:pPr>
      <w:r>
        <w:rPr>
          <w:highlight w:val="none"/>
        </w:rPr>
        <w:fldChar w:fldCharType="begin"/>
      </w:r>
      <w:r>
        <w:rPr>
          <w:highlight w:val="none"/>
        </w:rPr>
        <w:instrText xml:space="preserve"> HYPERLINK \l "_Toc32537" </w:instrText>
      </w:r>
      <w:r>
        <w:rPr>
          <w:highlight w:val="none"/>
        </w:rPr>
        <w:fldChar w:fldCharType="separate"/>
      </w:r>
      <w:r>
        <w:rPr>
          <w:rFonts w:ascii="Times New Roman" w:hAnsi="Times New Roman" w:eastAsia="楷体_GB2312" w:cs="Times New Roman"/>
          <w:bCs/>
          <w:kern w:val="0"/>
          <w:szCs w:val="30"/>
          <w:highlight w:val="none"/>
        </w:rPr>
        <w:t>（二）限售锁定办理流程</w:t>
      </w:r>
      <w:r>
        <w:rPr>
          <w:rFonts w:ascii="Times New Roman" w:hAnsi="Times New Roman" w:cs="Times New Roman"/>
          <w:highlight w:val="none"/>
        </w:rPr>
        <w:tab/>
      </w:r>
      <w:r>
        <w:rPr>
          <w:rFonts w:ascii="Times New Roman" w:hAnsi="Times New Roman" w:cs="Times New Roman"/>
          <w:highlight w:val="none"/>
        </w:rPr>
        <w:fldChar w:fldCharType="begin"/>
      </w:r>
      <w:r>
        <w:rPr>
          <w:rFonts w:ascii="Times New Roman" w:hAnsi="Times New Roman" w:cs="Times New Roman"/>
          <w:highlight w:val="none"/>
        </w:rPr>
        <w:instrText xml:space="preserve"> PAGEREF _Toc32537 \h </w:instrText>
      </w:r>
      <w:r>
        <w:rPr>
          <w:rFonts w:ascii="Times New Roman" w:hAnsi="Times New Roman" w:cs="Times New Roman"/>
          <w:highlight w:val="none"/>
        </w:rPr>
        <w:fldChar w:fldCharType="separate"/>
      </w:r>
      <w:r>
        <w:rPr>
          <w:rFonts w:ascii="Times New Roman" w:hAnsi="Times New Roman" w:cs="Times New Roman"/>
          <w:highlight w:val="none"/>
        </w:rPr>
        <w:t>26</w:t>
      </w:r>
      <w:r>
        <w:rPr>
          <w:rFonts w:ascii="Times New Roman" w:hAnsi="Times New Roman" w:cs="Times New Roman"/>
          <w:highlight w:val="none"/>
        </w:rPr>
        <w:fldChar w:fldCharType="end"/>
      </w:r>
      <w:r>
        <w:rPr>
          <w:rFonts w:ascii="Times New Roman" w:hAnsi="Times New Roman" w:cs="Times New Roman"/>
          <w:highlight w:val="none"/>
        </w:rPr>
        <w:fldChar w:fldCharType="end"/>
      </w:r>
    </w:p>
    <w:p w14:paraId="23135503">
      <w:pPr>
        <w:pStyle w:val="8"/>
        <w:tabs>
          <w:tab w:val="right" w:leader="dot" w:pos="8306"/>
        </w:tabs>
        <w:rPr>
          <w:rFonts w:ascii="Times New Roman" w:hAnsi="Times New Roman" w:cs="Times New Roman"/>
          <w:highlight w:val="none"/>
        </w:rPr>
      </w:pPr>
      <w:r>
        <w:rPr>
          <w:highlight w:val="none"/>
        </w:rPr>
        <w:fldChar w:fldCharType="begin"/>
      </w:r>
      <w:r>
        <w:rPr>
          <w:highlight w:val="none"/>
        </w:rPr>
        <w:instrText xml:space="preserve"> HYPERLINK \l "_Toc13772" </w:instrText>
      </w:r>
      <w:r>
        <w:rPr>
          <w:highlight w:val="none"/>
        </w:rPr>
        <w:fldChar w:fldCharType="separate"/>
      </w:r>
      <w:r>
        <w:rPr>
          <w:rFonts w:ascii="Times New Roman" w:hAnsi="Times New Roman" w:eastAsia="楷体_GB2312" w:cs="Times New Roman"/>
          <w:bCs/>
          <w:kern w:val="0"/>
          <w:szCs w:val="30"/>
          <w:highlight w:val="none"/>
        </w:rPr>
        <w:t>（三）限售锁定期管理</w:t>
      </w:r>
      <w:r>
        <w:rPr>
          <w:rFonts w:ascii="Times New Roman" w:hAnsi="Times New Roman" w:cs="Times New Roman"/>
          <w:highlight w:val="none"/>
        </w:rPr>
        <w:tab/>
      </w:r>
      <w:r>
        <w:rPr>
          <w:rFonts w:ascii="Times New Roman" w:hAnsi="Times New Roman" w:cs="Times New Roman"/>
          <w:highlight w:val="none"/>
        </w:rPr>
        <w:fldChar w:fldCharType="begin"/>
      </w:r>
      <w:r>
        <w:rPr>
          <w:rFonts w:ascii="Times New Roman" w:hAnsi="Times New Roman" w:cs="Times New Roman"/>
          <w:highlight w:val="none"/>
        </w:rPr>
        <w:instrText xml:space="preserve"> PAGEREF _Toc13772 \h </w:instrText>
      </w:r>
      <w:r>
        <w:rPr>
          <w:rFonts w:ascii="Times New Roman" w:hAnsi="Times New Roman" w:cs="Times New Roman"/>
          <w:highlight w:val="none"/>
        </w:rPr>
        <w:fldChar w:fldCharType="separate"/>
      </w:r>
      <w:r>
        <w:rPr>
          <w:rFonts w:ascii="Times New Roman" w:hAnsi="Times New Roman" w:cs="Times New Roman"/>
          <w:highlight w:val="none"/>
        </w:rPr>
        <w:t>26</w:t>
      </w:r>
      <w:r>
        <w:rPr>
          <w:rFonts w:ascii="Times New Roman" w:hAnsi="Times New Roman" w:cs="Times New Roman"/>
          <w:highlight w:val="none"/>
        </w:rPr>
        <w:fldChar w:fldCharType="end"/>
      </w:r>
      <w:r>
        <w:rPr>
          <w:rFonts w:ascii="Times New Roman" w:hAnsi="Times New Roman" w:cs="Times New Roman"/>
          <w:highlight w:val="none"/>
        </w:rPr>
        <w:fldChar w:fldCharType="end"/>
      </w:r>
    </w:p>
    <w:p w14:paraId="37B1101C">
      <w:pPr>
        <w:pStyle w:val="15"/>
        <w:tabs>
          <w:tab w:val="right" w:leader="dot" w:pos="8306"/>
        </w:tabs>
        <w:rPr>
          <w:rFonts w:ascii="Times New Roman" w:hAnsi="Times New Roman" w:cs="Times New Roman"/>
          <w:highlight w:val="none"/>
        </w:rPr>
      </w:pPr>
      <w:r>
        <w:rPr>
          <w:highlight w:val="none"/>
        </w:rPr>
        <w:fldChar w:fldCharType="begin"/>
      </w:r>
      <w:r>
        <w:rPr>
          <w:highlight w:val="none"/>
        </w:rPr>
        <w:instrText xml:space="preserve"> HYPERLINK \l "_Toc25421" </w:instrText>
      </w:r>
      <w:r>
        <w:rPr>
          <w:highlight w:val="none"/>
        </w:rPr>
        <w:fldChar w:fldCharType="separate"/>
      </w:r>
      <w:r>
        <w:rPr>
          <w:rFonts w:ascii="Times New Roman" w:hAnsi="Times New Roman" w:eastAsia="黑体" w:cs="Times New Roman"/>
          <w:bCs/>
          <w:szCs w:val="30"/>
          <w:highlight w:val="none"/>
        </w:rPr>
        <w:t>四、发售其他安排</w:t>
      </w:r>
      <w:r>
        <w:rPr>
          <w:rFonts w:ascii="Times New Roman" w:hAnsi="Times New Roman" w:cs="Times New Roman"/>
          <w:highlight w:val="none"/>
        </w:rPr>
        <w:tab/>
      </w:r>
      <w:r>
        <w:rPr>
          <w:rFonts w:ascii="Times New Roman" w:hAnsi="Times New Roman" w:cs="Times New Roman"/>
          <w:highlight w:val="none"/>
        </w:rPr>
        <w:fldChar w:fldCharType="begin"/>
      </w:r>
      <w:r>
        <w:rPr>
          <w:rFonts w:ascii="Times New Roman" w:hAnsi="Times New Roman" w:cs="Times New Roman"/>
          <w:highlight w:val="none"/>
        </w:rPr>
        <w:instrText xml:space="preserve"> PAGEREF _Toc25421 \h </w:instrText>
      </w:r>
      <w:r>
        <w:rPr>
          <w:rFonts w:ascii="Times New Roman" w:hAnsi="Times New Roman" w:cs="Times New Roman"/>
          <w:highlight w:val="none"/>
        </w:rPr>
        <w:fldChar w:fldCharType="separate"/>
      </w:r>
      <w:r>
        <w:rPr>
          <w:rFonts w:ascii="Times New Roman" w:hAnsi="Times New Roman" w:cs="Times New Roman"/>
          <w:highlight w:val="none"/>
        </w:rPr>
        <w:t>26</w:t>
      </w:r>
      <w:r>
        <w:rPr>
          <w:rFonts w:ascii="Times New Roman" w:hAnsi="Times New Roman" w:cs="Times New Roman"/>
          <w:highlight w:val="none"/>
        </w:rPr>
        <w:fldChar w:fldCharType="end"/>
      </w:r>
      <w:r>
        <w:rPr>
          <w:rFonts w:ascii="Times New Roman" w:hAnsi="Times New Roman" w:cs="Times New Roman"/>
          <w:highlight w:val="none"/>
        </w:rPr>
        <w:fldChar w:fldCharType="end"/>
      </w:r>
    </w:p>
    <w:p w14:paraId="1EC3C89B">
      <w:pPr>
        <w:pStyle w:val="8"/>
        <w:tabs>
          <w:tab w:val="right" w:leader="dot" w:pos="8306"/>
        </w:tabs>
        <w:rPr>
          <w:rFonts w:ascii="Times New Roman" w:hAnsi="Times New Roman" w:cs="Times New Roman"/>
          <w:highlight w:val="none"/>
        </w:rPr>
      </w:pPr>
      <w:r>
        <w:rPr>
          <w:highlight w:val="none"/>
        </w:rPr>
        <w:fldChar w:fldCharType="begin"/>
      </w:r>
      <w:r>
        <w:rPr>
          <w:highlight w:val="none"/>
        </w:rPr>
        <w:instrText xml:space="preserve"> HYPERLINK \l "_Toc5230" </w:instrText>
      </w:r>
      <w:r>
        <w:rPr>
          <w:highlight w:val="none"/>
        </w:rPr>
        <w:fldChar w:fldCharType="separate"/>
      </w:r>
      <w:r>
        <w:rPr>
          <w:rFonts w:ascii="Times New Roman" w:hAnsi="Times New Roman" w:eastAsia="楷体_GB2312" w:cs="Times New Roman"/>
          <w:bCs/>
          <w:kern w:val="0"/>
          <w:szCs w:val="30"/>
          <w:highlight w:val="none"/>
        </w:rPr>
        <w:t>（一）组合发售</w:t>
      </w:r>
      <w:r>
        <w:rPr>
          <w:rFonts w:ascii="Times New Roman" w:hAnsi="Times New Roman" w:cs="Times New Roman"/>
          <w:highlight w:val="none"/>
        </w:rPr>
        <w:tab/>
      </w:r>
      <w:r>
        <w:rPr>
          <w:rFonts w:ascii="Times New Roman" w:hAnsi="Times New Roman" w:cs="Times New Roman"/>
          <w:highlight w:val="none"/>
        </w:rPr>
        <w:fldChar w:fldCharType="begin"/>
      </w:r>
      <w:r>
        <w:rPr>
          <w:rFonts w:ascii="Times New Roman" w:hAnsi="Times New Roman" w:cs="Times New Roman"/>
          <w:highlight w:val="none"/>
        </w:rPr>
        <w:instrText xml:space="preserve"> PAGEREF _Toc5230 \h </w:instrText>
      </w:r>
      <w:r>
        <w:rPr>
          <w:rFonts w:ascii="Times New Roman" w:hAnsi="Times New Roman" w:cs="Times New Roman"/>
          <w:highlight w:val="none"/>
        </w:rPr>
        <w:fldChar w:fldCharType="separate"/>
      </w:r>
      <w:r>
        <w:rPr>
          <w:rFonts w:ascii="Times New Roman" w:hAnsi="Times New Roman" w:cs="Times New Roman"/>
          <w:highlight w:val="none"/>
        </w:rPr>
        <w:t>26</w:t>
      </w:r>
      <w:r>
        <w:rPr>
          <w:rFonts w:ascii="Times New Roman" w:hAnsi="Times New Roman" w:cs="Times New Roman"/>
          <w:highlight w:val="none"/>
        </w:rPr>
        <w:fldChar w:fldCharType="end"/>
      </w:r>
      <w:r>
        <w:rPr>
          <w:rFonts w:ascii="Times New Roman" w:hAnsi="Times New Roman" w:cs="Times New Roman"/>
          <w:highlight w:val="none"/>
        </w:rPr>
        <w:fldChar w:fldCharType="end"/>
      </w:r>
    </w:p>
    <w:p w14:paraId="57F3B242">
      <w:pPr>
        <w:pStyle w:val="8"/>
        <w:tabs>
          <w:tab w:val="right" w:leader="dot" w:pos="8306"/>
        </w:tabs>
        <w:rPr>
          <w:rFonts w:ascii="Times New Roman" w:hAnsi="Times New Roman" w:cs="Times New Roman"/>
          <w:highlight w:val="none"/>
        </w:rPr>
      </w:pPr>
      <w:r>
        <w:rPr>
          <w:highlight w:val="none"/>
        </w:rPr>
        <w:fldChar w:fldCharType="begin"/>
      </w:r>
      <w:r>
        <w:rPr>
          <w:highlight w:val="none"/>
        </w:rPr>
        <w:instrText xml:space="preserve"> HYPERLINK \l "_Toc2251" </w:instrText>
      </w:r>
      <w:r>
        <w:rPr>
          <w:highlight w:val="none"/>
        </w:rPr>
        <w:fldChar w:fldCharType="separate"/>
      </w:r>
      <w:r>
        <w:rPr>
          <w:rFonts w:ascii="Times New Roman" w:hAnsi="Times New Roman" w:eastAsia="楷体_GB2312" w:cs="Times New Roman"/>
          <w:bCs/>
          <w:kern w:val="0"/>
          <w:szCs w:val="30"/>
          <w:highlight w:val="none"/>
        </w:rPr>
        <w:t>（二）认购期间停复牌管理</w:t>
      </w:r>
      <w:r>
        <w:rPr>
          <w:rFonts w:ascii="Times New Roman" w:hAnsi="Times New Roman" w:cs="Times New Roman"/>
          <w:highlight w:val="none"/>
        </w:rPr>
        <w:tab/>
      </w:r>
      <w:r>
        <w:rPr>
          <w:rFonts w:ascii="Times New Roman" w:hAnsi="Times New Roman" w:cs="Times New Roman"/>
          <w:highlight w:val="none"/>
        </w:rPr>
        <w:fldChar w:fldCharType="begin"/>
      </w:r>
      <w:r>
        <w:rPr>
          <w:rFonts w:ascii="Times New Roman" w:hAnsi="Times New Roman" w:cs="Times New Roman"/>
          <w:highlight w:val="none"/>
        </w:rPr>
        <w:instrText xml:space="preserve"> PAGEREF _Toc2251 \h </w:instrText>
      </w:r>
      <w:r>
        <w:rPr>
          <w:rFonts w:ascii="Times New Roman" w:hAnsi="Times New Roman" w:cs="Times New Roman"/>
          <w:highlight w:val="none"/>
        </w:rPr>
        <w:fldChar w:fldCharType="separate"/>
      </w:r>
      <w:r>
        <w:rPr>
          <w:rFonts w:ascii="Times New Roman" w:hAnsi="Times New Roman" w:cs="Times New Roman"/>
          <w:highlight w:val="none"/>
        </w:rPr>
        <w:t>26</w:t>
      </w:r>
      <w:r>
        <w:rPr>
          <w:rFonts w:ascii="Times New Roman" w:hAnsi="Times New Roman" w:cs="Times New Roman"/>
          <w:highlight w:val="none"/>
        </w:rPr>
        <w:fldChar w:fldCharType="end"/>
      </w:r>
      <w:r>
        <w:rPr>
          <w:rFonts w:ascii="Times New Roman" w:hAnsi="Times New Roman" w:cs="Times New Roman"/>
          <w:highlight w:val="none"/>
        </w:rPr>
        <w:fldChar w:fldCharType="end"/>
      </w:r>
    </w:p>
    <w:p w14:paraId="3B0A608C">
      <w:pPr>
        <w:pStyle w:val="15"/>
        <w:tabs>
          <w:tab w:val="right" w:leader="dot" w:pos="8306"/>
        </w:tabs>
        <w:rPr>
          <w:rFonts w:ascii="Times New Roman" w:hAnsi="Times New Roman" w:cs="Times New Roman"/>
          <w:highlight w:val="none"/>
        </w:rPr>
      </w:pPr>
      <w:r>
        <w:rPr>
          <w:highlight w:val="none"/>
        </w:rPr>
        <w:fldChar w:fldCharType="begin"/>
      </w:r>
      <w:r>
        <w:rPr>
          <w:highlight w:val="none"/>
        </w:rPr>
        <w:instrText xml:space="preserve"> HYPERLINK \l "_Toc13926" </w:instrText>
      </w:r>
      <w:r>
        <w:rPr>
          <w:highlight w:val="none"/>
        </w:rPr>
        <w:fldChar w:fldCharType="separate"/>
      </w:r>
      <w:r>
        <w:rPr>
          <w:rFonts w:ascii="Times New Roman" w:hAnsi="Times New Roman" w:eastAsia="黑体" w:cs="Times New Roman"/>
          <w:bCs/>
          <w:szCs w:val="30"/>
          <w:highlight w:val="none"/>
        </w:rPr>
        <w:t>五、发行结果公告</w:t>
      </w:r>
      <w:r>
        <w:rPr>
          <w:rFonts w:ascii="Times New Roman" w:hAnsi="Times New Roman" w:cs="Times New Roman"/>
          <w:highlight w:val="none"/>
        </w:rPr>
        <w:tab/>
      </w:r>
      <w:r>
        <w:rPr>
          <w:rFonts w:ascii="Times New Roman" w:hAnsi="Times New Roman" w:cs="Times New Roman"/>
          <w:highlight w:val="none"/>
        </w:rPr>
        <w:fldChar w:fldCharType="begin"/>
      </w:r>
      <w:r>
        <w:rPr>
          <w:rFonts w:ascii="Times New Roman" w:hAnsi="Times New Roman" w:cs="Times New Roman"/>
          <w:highlight w:val="none"/>
        </w:rPr>
        <w:instrText xml:space="preserve"> PAGEREF _Toc13926 \h </w:instrText>
      </w:r>
      <w:r>
        <w:rPr>
          <w:rFonts w:ascii="Times New Roman" w:hAnsi="Times New Roman" w:cs="Times New Roman"/>
          <w:highlight w:val="none"/>
        </w:rPr>
        <w:fldChar w:fldCharType="separate"/>
      </w:r>
      <w:r>
        <w:rPr>
          <w:rFonts w:ascii="Times New Roman" w:hAnsi="Times New Roman" w:cs="Times New Roman"/>
          <w:highlight w:val="none"/>
        </w:rPr>
        <w:t>27</w:t>
      </w:r>
      <w:r>
        <w:rPr>
          <w:rFonts w:ascii="Times New Roman" w:hAnsi="Times New Roman" w:cs="Times New Roman"/>
          <w:highlight w:val="none"/>
        </w:rPr>
        <w:fldChar w:fldCharType="end"/>
      </w:r>
      <w:r>
        <w:rPr>
          <w:rFonts w:ascii="Times New Roman" w:hAnsi="Times New Roman" w:cs="Times New Roman"/>
          <w:highlight w:val="none"/>
        </w:rPr>
        <w:fldChar w:fldCharType="end"/>
      </w:r>
    </w:p>
    <w:p w14:paraId="1826BB25">
      <w:pPr>
        <w:pStyle w:val="8"/>
        <w:tabs>
          <w:tab w:val="right" w:leader="dot" w:pos="8306"/>
        </w:tabs>
        <w:rPr>
          <w:rFonts w:ascii="Times New Roman" w:hAnsi="Times New Roman" w:cs="Times New Roman"/>
          <w:highlight w:val="none"/>
        </w:rPr>
      </w:pPr>
      <w:r>
        <w:rPr>
          <w:highlight w:val="none"/>
        </w:rPr>
        <w:fldChar w:fldCharType="begin"/>
      </w:r>
      <w:r>
        <w:rPr>
          <w:highlight w:val="none"/>
        </w:rPr>
        <w:instrText xml:space="preserve"> HYPERLINK \l "_Toc26546" </w:instrText>
      </w:r>
      <w:r>
        <w:rPr>
          <w:highlight w:val="none"/>
        </w:rPr>
        <w:fldChar w:fldCharType="separate"/>
      </w:r>
      <w:r>
        <w:rPr>
          <w:rFonts w:ascii="Times New Roman" w:hAnsi="Times New Roman" w:eastAsia="楷体_GB2312" w:cs="Times New Roman"/>
          <w:bCs/>
          <w:kern w:val="0"/>
          <w:szCs w:val="30"/>
          <w:highlight w:val="none"/>
        </w:rPr>
        <w:t>（一）发行成功</w:t>
      </w:r>
      <w:r>
        <w:rPr>
          <w:rFonts w:ascii="Times New Roman" w:hAnsi="Times New Roman" w:cs="Times New Roman"/>
          <w:highlight w:val="none"/>
        </w:rPr>
        <w:tab/>
      </w:r>
      <w:r>
        <w:rPr>
          <w:rFonts w:ascii="Times New Roman" w:hAnsi="Times New Roman" w:cs="Times New Roman"/>
          <w:highlight w:val="none"/>
        </w:rPr>
        <w:fldChar w:fldCharType="begin"/>
      </w:r>
      <w:r>
        <w:rPr>
          <w:rFonts w:ascii="Times New Roman" w:hAnsi="Times New Roman" w:cs="Times New Roman"/>
          <w:highlight w:val="none"/>
        </w:rPr>
        <w:instrText xml:space="preserve"> PAGEREF _Toc26546 \h </w:instrText>
      </w:r>
      <w:r>
        <w:rPr>
          <w:rFonts w:ascii="Times New Roman" w:hAnsi="Times New Roman" w:cs="Times New Roman"/>
          <w:highlight w:val="none"/>
        </w:rPr>
        <w:fldChar w:fldCharType="separate"/>
      </w:r>
      <w:r>
        <w:rPr>
          <w:rFonts w:ascii="Times New Roman" w:hAnsi="Times New Roman" w:cs="Times New Roman"/>
          <w:highlight w:val="none"/>
        </w:rPr>
        <w:t>27</w:t>
      </w:r>
      <w:r>
        <w:rPr>
          <w:rFonts w:ascii="Times New Roman" w:hAnsi="Times New Roman" w:cs="Times New Roman"/>
          <w:highlight w:val="none"/>
        </w:rPr>
        <w:fldChar w:fldCharType="end"/>
      </w:r>
      <w:r>
        <w:rPr>
          <w:rFonts w:ascii="Times New Roman" w:hAnsi="Times New Roman" w:cs="Times New Roman"/>
          <w:highlight w:val="none"/>
        </w:rPr>
        <w:fldChar w:fldCharType="end"/>
      </w:r>
    </w:p>
    <w:p w14:paraId="20E63D94">
      <w:pPr>
        <w:pStyle w:val="8"/>
        <w:tabs>
          <w:tab w:val="right" w:leader="dot" w:pos="8306"/>
        </w:tabs>
        <w:rPr>
          <w:rFonts w:ascii="Times New Roman" w:hAnsi="Times New Roman" w:cs="Times New Roman"/>
          <w:highlight w:val="none"/>
        </w:rPr>
      </w:pPr>
      <w:r>
        <w:rPr>
          <w:highlight w:val="none"/>
        </w:rPr>
        <w:fldChar w:fldCharType="begin"/>
      </w:r>
      <w:r>
        <w:rPr>
          <w:highlight w:val="none"/>
        </w:rPr>
        <w:instrText xml:space="preserve"> HYPERLINK \l "_Toc22246" </w:instrText>
      </w:r>
      <w:r>
        <w:rPr>
          <w:highlight w:val="none"/>
        </w:rPr>
        <w:fldChar w:fldCharType="separate"/>
      </w:r>
      <w:r>
        <w:rPr>
          <w:rFonts w:ascii="Times New Roman" w:hAnsi="Times New Roman" w:eastAsia="楷体_GB2312" w:cs="Times New Roman"/>
          <w:bCs/>
          <w:kern w:val="0"/>
          <w:szCs w:val="30"/>
          <w:highlight w:val="none"/>
        </w:rPr>
        <w:t>（二）发行失败</w:t>
      </w:r>
      <w:r>
        <w:rPr>
          <w:rFonts w:ascii="Times New Roman" w:hAnsi="Times New Roman" w:cs="Times New Roman"/>
          <w:highlight w:val="none"/>
        </w:rPr>
        <w:tab/>
      </w:r>
      <w:r>
        <w:rPr>
          <w:rFonts w:ascii="Times New Roman" w:hAnsi="Times New Roman" w:cs="Times New Roman"/>
          <w:highlight w:val="none"/>
        </w:rPr>
        <w:fldChar w:fldCharType="begin"/>
      </w:r>
      <w:r>
        <w:rPr>
          <w:rFonts w:ascii="Times New Roman" w:hAnsi="Times New Roman" w:cs="Times New Roman"/>
          <w:highlight w:val="none"/>
        </w:rPr>
        <w:instrText xml:space="preserve"> PAGEREF _Toc22246 \h </w:instrText>
      </w:r>
      <w:r>
        <w:rPr>
          <w:rFonts w:ascii="Times New Roman" w:hAnsi="Times New Roman" w:cs="Times New Roman"/>
          <w:highlight w:val="none"/>
        </w:rPr>
        <w:fldChar w:fldCharType="separate"/>
      </w:r>
      <w:r>
        <w:rPr>
          <w:rFonts w:ascii="Times New Roman" w:hAnsi="Times New Roman" w:cs="Times New Roman"/>
          <w:highlight w:val="none"/>
        </w:rPr>
        <w:t>27</w:t>
      </w:r>
      <w:r>
        <w:rPr>
          <w:rFonts w:ascii="Times New Roman" w:hAnsi="Times New Roman" w:cs="Times New Roman"/>
          <w:highlight w:val="none"/>
        </w:rPr>
        <w:fldChar w:fldCharType="end"/>
      </w:r>
      <w:r>
        <w:rPr>
          <w:rFonts w:ascii="Times New Roman" w:hAnsi="Times New Roman" w:cs="Times New Roman"/>
          <w:highlight w:val="none"/>
        </w:rPr>
        <w:fldChar w:fldCharType="end"/>
      </w:r>
    </w:p>
    <w:p w14:paraId="3BD52704">
      <w:pPr>
        <w:pStyle w:val="13"/>
        <w:tabs>
          <w:tab w:val="right" w:leader="dot" w:pos="8306"/>
          <w:tab w:val="clear" w:pos="8296"/>
        </w:tabs>
        <w:rPr>
          <w:rFonts w:cs="Times New Roman"/>
          <w:highlight w:val="none"/>
        </w:rPr>
      </w:pPr>
      <w:r>
        <w:rPr>
          <w:highlight w:val="none"/>
        </w:rPr>
        <w:fldChar w:fldCharType="begin"/>
      </w:r>
      <w:r>
        <w:rPr>
          <w:highlight w:val="none"/>
        </w:rPr>
        <w:instrText xml:space="preserve"> HYPERLINK \l "_Toc11188" </w:instrText>
      </w:r>
      <w:r>
        <w:rPr>
          <w:highlight w:val="none"/>
        </w:rPr>
        <w:fldChar w:fldCharType="separate"/>
      </w:r>
      <w:r>
        <w:rPr>
          <w:rFonts w:eastAsia="黑体" w:cs="Times New Roman"/>
          <w:szCs w:val="30"/>
          <w:highlight w:val="none"/>
        </w:rPr>
        <w:t>第四章 定向扩募</w:t>
      </w:r>
      <w:r>
        <w:rPr>
          <w:rFonts w:cs="Times New Roman"/>
          <w:highlight w:val="none"/>
        </w:rPr>
        <w:tab/>
      </w:r>
      <w:r>
        <w:rPr>
          <w:rFonts w:cs="Times New Roman"/>
          <w:highlight w:val="none"/>
        </w:rPr>
        <w:fldChar w:fldCharType="begin"/>
      </w:r>
      <w:r>
        <w:rPr>
          <w:rFonts w:cs="Times New Roman"/>
          <w:highlight w:val="none"/>
        </w:rPr>
        <w:instrText xml:space="preserve"> PAGEREF _Toc11188 \h </w:instrText>
      </w:r>
      <w:r>
        <w:rPr>
          <w:rFonts w:cs="Times New Roman"/>
          <w:highlight w:val="none"/>
        </w:rPr>
        <w:fldChar w:fldCharType="separate"/>
      </w:r>
      <w:r>
        <w:rPr>
          <w:rFonts w:cs="Times New Roman"/>
          <w:highlight w:val="none"/>
        </w:rPr>
        <w:t>27</w:t>
      </w:r>
      <w:r>
        <w:rPr>
          <w:rFonts w:cs="Times New Roman"/>
          <w:highlight w:val="none"/>
        </w:rPr>
        <w:fldChar w:fldCharType="end"/>
      </w:r>
      <w:r>
        <w:rPr>
          <w:rFonts w:cs="Times New Roman"/>
          <w:highlight w:val="none"/>
        </w:rPr>
        <w:fldChar w:fldCharType="end"/>
      </w:r>
    </w:p>
    <w:p w14:paraId="7B468C88">
      <w:pPr>
        <w:pStyle w:val="15"/>
        <w:tabs>
          <w:tab w:val="right" w:leader="dot" w:pos="8306"/>
        </w:tabs>
        <w:rPr>
          <w:rFonts w:ascii="Times New Roman" w:hAnsi="Times New Roman" w:cs="Times New Roman"/>
          <w:highlight w:val="none"/>
        </w:rPr>
      </w:pPr>
      <w:r>
        <w:rPr>
          <w:highlight w:val="none"/>
        </w:rPr>
        <w:fldChar w:fldCharType="begin"/>
      </w:r>
      <w:r>
        <w:rPr>
          <w:highlight w:val="none"/>
        </w:rPr>
        <w:instrText xml:space="preserve"> HYPERLINK \l "_Toc763" </w:instrText>
      </w:r>
      <w:r>
        <w:rPr>
          <w:highlight w:val="none"/>
        </w:rPr>
        <w:fldChar w:fldCharType="separate"/>
      </w:r>
      <w:r>
        <w:rPr>
          <w:rFonts w:ascii="Times New Roman" w:hAnsi="Times New Roman" w:eastAsia="黑体" w:cs="Times New Roman"/>
          <w:bCs/>
          <w:szCs w:val="30"/>
          <w:highlight w:val="none"/>
        </w:rPr>
        <w:t>一、认购</w:t>
      </w:r>
      <w:r>
        <w:rPr>
          <w:rFonts w:ascii="Times New Roman" w:hAnsi="Times New Roman" w:cs="Times New Roman"/>
          <w:highlight w:val="none"/>
        </w:rPr>
        <w:tab/>
      </w:r>
      <w:r>
        <w:rPr>
          <w:rFonts w:ascii="Times New Roman" w:hAnsi="Times New Roman" w:cs="Times New Roman"/>
          <w:highlight w:val="none"/>
        </w:rPr>
        <w:fldChar w:fldCharType="begin"/>
      </w:r>
      <w:r>
        <w:rPr>
          <w:rFonts w:ascii="Times New Roman" w:hAnsi="Times New Roman" w:cs="Times New Roman"/>
          <w:highlight w:val="none"/>
        </w:rPr>
        <w:instrText xml:space="preserve"> PAGEREF _Toc763 \h </w:instrText>
      </w:r>
      <w:r>
        <w:rPr>
          <w:rFonts w:ascii="Times New Roman" w:hAnsi="Times New Roman" w:cs="Times New Roman"/>
          <w:highlight w:val="none"/>
        </w:rPr>
        <w:fldChar w:fldCharType="separate"/>
      </w:r>
      <w:r>
        <w:rPr>
          <w:rFonts w:ascii="Times New Roman" w:hAnsi="Times New Roman" w:cs="Times New Roman"/>
          <w:highlight w:val="none"/>
        </w:rPr>
        <w:t>27</w:t>
      </w:r>
      <w:r>
        <w:rPr>
          <w:rFonts w:ascii="Times New Roman" w:hAnsi="Times New Roman" w:cs="Times New Roman"/>
          <w:highlight w:val="none"/>
        </w:rPr>
        <w:fldChar w:fldCharType="end"/>
      </w:r>
      <w:r>
        <w:rPr>
          <w:rFonts w:ascii="Times New Roman" w:hAnsi="Times New Roman" w:cs="Times New Roman"/>
          <w:highlight w:val="none"/>
        </w:rPr>
        <w:fldChar w:fldCharType="end"/>
      </w:r>
    </w:p>
    <w:p w14:paraId="5C8A3391">
      <w:pPr>
        <w:pStyle w:val="8"/>
        <w:tabs>
          <w:tab w:val="right" w:leader="dot" w:pos="8306"/>
        </w:tabs>
        <w:rPr>
          <w:rFonts w:ascii="Times New Roman" w:hAnsi="Times New Roman" w:cs="Times New Roman"/>
          <w:highlight w:val="none"/>
        </w:rPr>
      </w:pPr>
      <w:r>
        <w:rPr>
          <w:highlight w:val="none"/>
        </w:rPr>
        <w:fldChar w:fldCharType="begin"/>
      </w:r>
      <w:r>
        <w:rPr>
          <w:highlight w:val="none"/>
        </w:rPr>
        <w:instrText xml:space="preserve"> HYPERLINK \l "_Toc1347" </w:instrText>
      </w:r>
      <w:r>
        <w:rPr>
          <w:highlight w:val="none"/>
        </w:rPr>
        <w:fldChar w:fldCharType="separate"/>
      </w:r>
      <w:r>
        <w:rPr>
          <w:rFonts w:ascii="Times New Roman" w:hAnsi="Times New Roman" w:eastAsia="楷体" w:cs="Times New Roman"/>
          <w:szCs w:val="30"/>
          <w:highlight w:val="none"/>
        </w:rPr>
        <w:t>（一）扩募发售报备</w:t>
      </w:r>
      <w:r>
        <w:rPr>
          <w:rFonts w:ascii="Times New Roman" w:hAnsi="Times New Roman" w:cs="Times New Roman"/>
          <w:highlight w:val="none"/>
        </w:rPr>
        <w:tab/>
      </w:r>
      <w:r>
        <w:rPr>
          <w:rFonts w:ascii="Times New Roman" w:hAnsi="Times New Roman" w:cs="Times New Roman"/>
          <w:highlight w:val="none"/>
        </w:rPr>
        <w:fldChar w:fldCharType="begin"/>
      </w:r>
      <w:r>
        <w:rPr>
          <w:rFonts w:ascii="Times New Roman" w:hAnsi="Times New Roman" w:cs="Times New Roman"/>
          <w:highlight w:val="none"/>
        </w:rPr>
        <w:instrText xml:space="preserve"> PAGEREF _Toc1347 \h </w:instrText>
      </w:r>
      <w:r>
        <w:rPr>
          <w:rFonts w:ascii="Times New Roman" w:hAnsi="Times New Roman" w:cs="Times New Roman"/>
          <w:highlight w:val="none"/>
        </w:rPr>
        <w:fldChar w:fldCharType="separate"/>
      </w:r>
      <w:r>
        <w:rPr>
          <w:rFonts w:ascii="Times New Roman" w:hAnsi="Times New Roman" w:cs="Times New Roman"/>
          <w:highlight w:val="none"/>
        </w:rPr>
        <w:t>28</w:t>
      </w:r>
      <w:r>
        <w:rPr>
          <w:rFonts w:ascii="Times New Roman" w:hAnsi="Times New Roman" w:cs="Times New Roman"/>
          <w:highlight w:val="none"/>
        </w:rPr>
        <w:fldChar w:fldCharType="end"/>
      </w:r>
      <w:r>
        <w:rPr>
          <w:rFonts w:ascii="Times New Roman" w:hAnsi="Times New Roman" w:cs="Times New Roman"/>
          <w:highlight w:val="none"/>
        </w:rPr>
        <w:fldChar w:fldCharType="end"/>
      </w:r>
    </w:p>
    <w:p w14:paraId="3CE92CC0">
      <w:pPr>
        <w:pStyle w:val="8"/>
        <w:tabs>
          <w:tab w:val="right" w:leader="dot" w:pos="8306"/>
        </w:tabs>
        <w:rPr>
          <w:rFonts w:ascii="Times New Roman" w:hAnsi="Times New Roman" w:cs="Times New Roman"/>
          <w:highlight w:val="none"/>
        </w:rPr>
      </w:pPr>
      <w:r>
        <w:rPr>
          <w:highlight w:val="none"/>
        </w:rPr>
        <w:fldChar w:fldCharType="begin"/>
      </w:r>
      <w:r>
        <w:rPr>
          <w:highlight w:val="none"/>
        </w:rPr>
        <w:instrText xml:space="preserve"> HYPERLINK \l "_Toc2687" </w:instrText>
      </w:r>
      <w:r>
        <w:rPr>
          <w:highlight w:val="none"/>
        </w:rPr>
        <w:fldChar w:fldCharType="separate"/>
      </w:r>
      <w:r>
        <w:rPr>
          <w:rFonts w:ascii="Times New Roman" w:hAnsi="Times New Roman" w:eastAsia="楷体_GB2312" w:cs="Times New Roman"/>
          <w:bCs/>
          <w:kern w:val="0"/>
          <w:szCs w:val="30"/>
          <w:highlight w:val="none"/>
        </w:rPr>
        <w:t>（二）符合条件的投资者参与认购</w:t>
      </w:r>
      <w:r>
        <w:rPr>
          <w:rFonts w:ascii="Times New Roman" w:hAnsi="Times New Roman" w:cs="Times New Roman"/>
          <w:highlight w:val="none"/>
        </w:rPr>
        <w:tab/>
      </w:r>
      <w:r>
        <w:rPr>
          <w:rFonts w:ascii="Times New Roman" w:hAnsi="Times New Roman" w:cs="Times New Roman"/>
          <w:highlight w:val="none"/>
        </w:rPr>
        <w:fldChar w:fldCharType="begin"/>
      </w:r>
      <w:r>
        <w:rPr>
          <w:rFonts w:ascii="Times New Roman" w:hAnsi="Times New Roman" w:cs="Times New Roman"/>
          <w:highlight w:val="none"/>
        </w:rPr>
        <w:instrText xml:space="preserve"> PAGEREF _Toc2687 \h </w:instrText>
      </w:r>
      <w:r>
        <w:rPr>
          <w:rFonts w:ascii="Times New Roman" w:hAnsi="Times New Roman" w:cs="Times New Roman"/>
          <w:highlight w:val="none"/>
        </w:rPr>
        <w:fldChar w:fldCharType="separate"/>
      </w:r>
      <w:r>
        <w:rPr>
          <w:rFonts w:ascii="Times New Roman" w:hAnsi="Times New Roman" w:cs="Times New Roman"/>
          <w:highlight w:val="none"/>
        </w:rPr>
        <w:t>29</w:t>
      </w:r>
      <w:r>
        <w:rPr>
          <w:rFonts w:ascii="Times New Roman" w:hAnsi="Times New Roman" w:cs="Times New Roman"/>
          <w:highlight w:val="none"/>
        </w:rPr>
        <w:fldChar w:fldCharType="end"/>
      </w:r>
      <w:r>
        <w:rPr>
          <w:rFonts w:ascii="Times New Roman" w:hAnsi="Times New Roman" w:cs="Times New Roman"/>
          <w:highlight w:val="none"/>
        </w:rPr>
        <w:fldChar w:fldCharType="end"/>
      </w:r>
    </w:p>
    <w:p w14:paraId="58668AE1">
      <w:pPr>
        <w:pStyle w:val="8"/>
        <w:tabs>
          <w:tab w:val="right" w:leader="dot" w:pos="8306"/>
        </w:tabs>
        <w:rPr>
          <w:rFonts w:ascii="Times New Roman" w:hAnsi="Times New Roman" w:cs="Times New Roman"/>
          <w:highlight w:val="none"/>
        </w:rPr>
      </w:pPr>
      <w:r>
        <w:rPr>
          <w:highlight w:val="none"/>
        </w:rPr>
        <w:fldChar w:fldCharType="begin"/>
      </w:r>
      <w:r>
        <w:rPr>
          <w:highlight w:val="none"/>
        </w:rPr>
        <w:instrText xml:space="preserve"> HYPERLINK \l "_Toc10556" </w:instrText>
      </w:r>
      <w:r>
        <w:rPr>
          <w:highlight w:val="none"/>
        </w:rPr>
        <w:fldChar w:fldCharType="separate"/>
      </w:r>
      <w:r>
        <w:rPr>
          <w:rFonts w:ascii="Times New Roman" w:hAnsi="Times New Roman" w:eastAsia="楷体_GB2312" w:cs="Times New Roman"/>
          <w:bCs/>
          <w:kern w:val="0"/>
          <w:szCs w:val="30"/>
          <w:highlight w:val="none"/>
        </w:rPr>
        <w:t>（三）披露《基金合同更新公告》</w:t>
      </w:r>
      <w:r>
        <w:rPr>
          <w:rFonts w:ascii="Times New Roman" w:hAnsi="Times New Roman" w:cs="Times New Roman"/>
          <w:highlight w:val="none"/>
        </w:rPr>
        <w:tab/>
      </w:r>
      <w:r>
        <w:rPr>
          <w:rFonts w:ascii="Times New Roman" w:hAnsi="Times New Roman" w:cs="Times New Roman"/>
          <w:highlight w:val="none"/>
        </w:rPr>
        <w:fldChar w:fldCharType="begin"/>
      </w:r>
      <w:r>
        <w:rPr>
          <w:rFonts w:ascii="Times New Roman" w:hAnsi="Times New Roman" w:cs="Times New Roman"/>
          <w:highlight w:val="none"/>
        </w:rPr>
        <w:instrText xml:space="preserve"> PAGEREF _Toc10556 \h </w:instrText>
      </w:r>
      <w:r>
        <w:rPr>
          <w:rFonts w:ascii="Times New Roman" w:hAnsi="Times New Roman" w:cs="Times New Roman"/>
          <w:highlight w:val="none"/>
        </w:rPr>
        <w:fldChar w:fldCharType="separate"/>
      </w:r>
      <w:r>
        <w:rPr>
          <w:rFonts w:ascii="Times New Roman" w:hAnsi="Times New Roman" w:cs="Times New Roman"/>
          <w:highlight w:val="none"/>
        </w:rPr>
        <w:t>30</w:t>
      </w:r>
      <w:r>
        <w:rPr>
          <w:rFonts w:ascii="Times New Roman" w:hAnsi="Times New Roman" w:cs="Times New Roman"/>
          <w:highlight w:val="none"/>
        </w:rPr>
        <w:fldChar w:fldCharType="end"/>
      </w:r>
      <w:r>
        <w:rPr>
          <w:rFonts w:ascii="Times New Roman" w:hAnsi="Times New Roman" w:cs="Times New Roman"/>
          <w:highlight w:val="none"/>
        </w:rPr>
        <w:fldChar w:fldCharType="end"/>
      </w:r>
    </w:p>
    <w:p w14:paraId="70EABE5D">
      <w:pPr>
        <w:pStyle w:val="8"/>
        <w:tabs>
          <w:tab w:val="right" w:leader="dot" w:pos="8306"/>
        </w:tabs>
        <w:rPr>
          <w:rFonts w:ascii="Times New Roman" w:hAnsi="Times New Roman" w:cs="Times New Roman"/>
          <w:highlight w:val="none"/>
        </w:rPr>
      </w:pPr>
      <w:r>
        <w:rPr>
          <w:highlight w:val="none"/>
        </w:rPr>
        <w:fldChar w:fldCharType="begin"/>
      </w:r>
      <w:r>
        <w:rPr>
          <w:highlight w:val="none"/>
        </w:rPr>
        <w:instrText xml:space="preserve"> HYPERLINK \l "_Toc2466" </w:instrText>
      </w:r>
      <w:r>
        <w:rPr>
          <w:highlight w:val="none"/>
        </w:rPr>
        <w:fldChar w:fldCharType="separate"/>
      </w:r>
      <w:r>
        <w:rPr>
          <w:rFonts w:ascii="Times New Roman" w:hAnsi="Times New Roman" w:eastAsia="楷体_GB2312" w:cs="Times New Roman"/>
          <w:bCs/>
          <w:kern w:val="0"/>
          <w:szCs w:val="30"/>
          <w:highlight w:val="none"/>
        </w:rPr>
        <w:t>（四）披露交易实施情况报告书</w:t>
      </w:r>
      <w:r>
        <w:rPr>
          <w:rFonts w:ascii="Times New Roman" w:hAnsi="Times New Roman" w:cs="Times New Roman"/>
          <w:highlight w:val="none"/>
        </w:rPr>
        <w:tab/>
      </w:r>
      <w:r>
        <w:rPr>
          <w:rFonts w:ascii="Times New Roman" w:hAnsi="Times New Roman" w:cs="Times New Roman"/>
          <w:highlight w:val="none"/>
        </w:rPr>
        <w:fldChar w:fldCharType="begin"/>
      </w:r>
      <w:r>
        <w:rPr>
          <w:rFonts w:ascii="Times New Roman" w:hAnsi="Times New Roman" w:cs="Times New Roman"/>
          <w:highlight w:val="none"/>
        </w:rPr>
        <w:instrText xml:space="preserve"> PAGEREF _Toc2466 \h </w:instrText>
      </w:r>
      <w:r>
        <w:rPr>
          <w:rFonts w:ascii="Times New Roman" w:hAnsi="Times New Roman" w:cs="Times New Roman"/>
          <w:highlight w:val="none"/>
        </w:rPr>
        <w:fldChar w:fldCharType="separate"/>
      </w:r>
      <w:r>
        <w:rPr>
          <w:rFonts w:ascii="Times New Roman" w:hAnsi="Times New Roman" w:cs="Times New Roman"/>
          <w:highlight w:val="none"/>
        </w:rPr>
        <w:t>30</w:t>
      </w:r>
      <w:r>
        <w:rPr>
          <w:rFonts w:ascii="Times New Roman" w:hAnsi="Times New Roman" w:cs="Times New Roman"/>
          <w:highlight w:val="none"/>
        </w:rPr>
        <w:fldChar w:fldCharType="end"/>
      </w:r>
      <w:r>
        <w:rPr>
          <w:rFonts w:ascii="Times New Roman" w:hAnsi="Times New Roman" w:cs="Times New Roman"/>
          <w:highlight w:val="none"/>
        </w:rPr>
        <w:fldChar w:fldCharType="end"/>
      </w:r>
    </w:p>
    <w:p w14:paraId="7895F3D0">
      <w:pPr>
        <w:pStyle w:val="8"/>
        <w:tabs>
          <w:tab w:val="right" w:leader="dot" w:pos="8306"/>
        </w:tabs>
        <w:rPr>
          <w:rFonts w:ascii="Times New Roman" w:hAnsi="Times New Roman" w:cs="Times New Roman"/>
          <w:highlight w:val="none"/>
        </w:rPr>
      </w:pPr>
      <w:r>
        <w:rPr>
          <w:highlight w:val="none"/>
        </w:rPr>
        <w:fldChar w:fldCharType="begin"/>
      </w:r>
      <w:r>
        <w:rPr>
          <w:highlight w:val="none"/>
        </w:rPr>
        <w:instrText xml:space="preserve"> HYPERLINK \l "_Toc6861" </w:instrText>
      </w:r>
      <w:r>
        <w:rPr>
          <w:highlight w:val="none"/>
        </w:rPr>
        <w:fldChar w:fldCharType="separate"/>
      </w:r>
      <w:r>
        <w:rPr>
          <w:rFonts w:ascii="Times New Roman" w:hAnsi="Times New Roman" w:eastAsia="楷体_GB2312" w:cs="Times New Roman"/>
          <w:bCs/>
          <w:kern w:val="0"/>
          <w:szCs w:val="30"/>
          <w:highlight w:val="none"/>
        </w:rPr>
        <w:t>（五）披露发行情况报告书及战略投资者核查文件</w:t>
      </w:r>
      <w:r>
        <w:rPr>
          <w:rFonts w:ascii="Times New Roman" w:hAnsi="Times New Roman" w:cs="Times New Roman"/>
          <w:highlight w:val="none"/>
        </w:rPr>
        <w:tab/>
      </w:r>
      <w:r>
        <w:rPr>
          <w:rFonts w:ascii="Times New Roman" w:hAnsi="Times New Roman" w:cs="Times New Roman"/>
          <w:highlight w:val="none"/>
        </w:rPr>
        <w:fldChar w:fldCharType="begin"/>
      </w:r>
      <w:r>
        <w:rPr>
          <w:rFonts w:ascii="Times New Roman" w:hAnsi="Times New Roman" w:cs="Times New Roman"/>
          <w:highlight w:val="none"/>
        </w:rPr>
        <w:instrText xml:space="preserve"> PAGEREF _Toc6861 \h </w:instrText>
      </w:r>
      <w:r>
        <w:rPr>
          <w:rFonts w:ascii="Times New Roman" w:hAnsi="Times New Roman" w:cs="Times New Roman"/>
          <w:highlight w:val="none"/>
        </w:rPr>
        <w:fldChar w:fldCharType="separate"/>
      </w:r>
      <w:r>
        <w:rPr>
          <w:rFonts w:ascii="Times New Roman" w:hAnsi="Times New Roman" w:cs="Times New Roman"/>
          <w:highlight w:val="none"/>
        </w:rPr>
        <w:t>30</w:t>
      </w:r>
      <w:r>
        <w:rPr>
          <w:rFonts w:ascii="Times New Roman" w:hAnsi="Times New Roman" w:cs="Times New Roman"/>
          <w:highlight w:val="none"/>
        </w:rPr>
        <w:fldChar w:fldCharType="end"/>
      </w:r>
      <w:r>
        <w:rPr>
          <w:rFonts w:ascii="Times New Roman" w:hAnsi="Times New Roman" w:cs="Times New Roman"/>
          <w:highlight w:val="none"/>
        </w:rPr>
        <w:fldChar w:fldCharType="end"/>
      </w:r>
    </w:p>
    <w:p w14:paraId="2BB7607C">
      <w:pPr>
        <w:pStyle w:val="15"/>
        <w:tabs>
          <w:tab w:val="right" w:leader="dot" w:pos="8306"/>
        </w:tabs>
        <w:rPr>
          <w:rFonts w:ascii="Times New Roman" w:hAnsi="Times New Roman" w:cs="Times New Roman"/>
          <w:highlight w:val="none"/>
        </w:rPr>
      </w:pPr>
      <w:r>
        <w:rPr>
          <w:highlight w:val="none"/>
        </w:rPr>
        <w:fldChar w:fldCharType="begin"/>
      </w:r>
      <w:r>
        <w:rPr>
          <w:highlight w:val="none"/>
        </w:rPr>
        <w:instrText xml:space="preserve"> HYPERLINK \l "_Toc22442" </w:instrText>
      </w:r>
      <w:r>
        <w:rPr>
          <w:highlight w:val="none"/>
        </w:rPr>
        <w:fldChar w:fldCharType="separate"/>
      </w:r>
      <w:r>
        <w:rPr>
          <w:rFonts w:ascii="Times New Roman" w:hAnsi="Times New Roman" w:eastAsia="黑体" w:cs="Times New Roman"/>
          <w:bCs/>
          <w:szCs w:val="30"/>
          <w:highlight w:val="none"/>
        </w:rPr>
        <w:t>二、登记、限售及锁定</w:t>
      </w:r>
      <w:r>
        <w:rPr>
          <w:rFonts w:ascii="Times New Roman" w:hAnsi="Times New Roman" w:cs="Times New Roman"/>
          <w:highlight w:val="none"/>
        </w:rPr>
        <w:tab/>
      </w:r>
      <w:r>
        <w:rPr>
          <w:rFonts w:ascii="Times New Roman" w:hAnsi="Times New Roman" w:cs="Times New Roman"/>
          <w:highlight w:val="none"/>
        </w:rPr>
        <w:fldChar w:fldCharType="begin"/>
      </w:r>
      <w:r>
        <w:rPr>
          <w:rFonts w:ascii="Times New Roman" w:hAnsi="Times New Roman" w:cs="Times New Roman"/>
          <w:highlight w:val="none"/>
        </w:rPr>
        <w:instrText xml:space="preserve"> PAGEREF _Toc22442 \h </w:instrText>
      </w:r>
      <w:r>
        <w:rPr>
          <w:rFonts w:ascii="Times New Roman" w:hAnsi="Times New Roman" w:cs="Times New Roman"/>
          <w:highlight w:val="none"/>
        </w:rPr>
        <w:fldChar w:fldCharType="separate"/>
      </w:r>
      <w:r>
        <w:rPr>
          <w:rFonts w:ascii="Times New Roman" w:hAnsi="Times New Roman" w:cs="Times New Roman"/>
          <w:highlight w:val="none"/>
        </w:rPr>
        <w:t>31</w:t>
      </w:r>
      <w:r>
        <w:rPr>
          <w:rFonts w:ascii="Times New Roman" w:hAnsi="Times New Roman" w:cs="Times New Roman"/>
          <w:highlight w:val="none"/>
        </w:rPr>
        <w:fldChar w:fldCharType="end"/>
      </w:r>
      <w:r>
        <w:rPr>
          <w:rFonts w:ascii="Times New Roman" w:hAnsi="Times New Roman" w:cs="Times New Roman"/>
          <w:highlight w:val="none"/>
        </w:rPr>
        <w:fldChar w:fldCharType="end"/>
      </w:r>
    </w:p>
    <w:p w14:paraId="34FD3A82">
      <w:pPr>
        <w:pStyle w:val="8"/>
        <w:tabs>
          <w:tab w:val="right" w:leader="dot" w:pos="8306"/>
        </w:tabs>
        <w:rPr>
          <w:rFonts w:ascii="Times New Roman" w:hAnsi="Times New Roman" w:cs="Times New Roman"/>
          <w:highlight w:val="none"/>
        </w:rPr>
      </w:pPr>
      <w:r>
        <w:rPr>
          <w:highlight w:val="none"/>
        </w:rPr>
        <w:fldChar w:fldCharType="begin"/>
      </w:r>
      <w:r>
        <w:rPr>
          <w:highlight w:val="none"/>
        </w:rPr>
        <w:instrText xml:space="preserve"> HYPERLINK \l "_Toc31144" </w:instrText>
      </w:r>
      <w:r>
        <w:rPr>
          <w:highlight w:val="none"/>
        </w:rPr>
        <w:fldChar w:fldCharType="separate"/>
      </w:r>
      <w:r>
        <w:rPr>
          <w:rFonts w:ascii="Times New Roman" w:hAnsi="Times New Roman" w:eastAsia="楷体_GB2312" w:cs="Times New Roman"/>
          <w:bCs/>
          <w:kern w:val="0"/>
          <w:szCs w:val="30"/>
          <w:highlight w:val="none"/>
        </w:rPr>
        <w:t>（一）向中国结算申请强增</w:t>
      </w:r>
      <w:r>
        <w:rPr>
          <w:rFonts w:ascii="Times New Roman" w:hAnsi="Times New Roman" w:cs="Times New Roman"/>
          <w:highlight w:val="none"/>
        </w:rPr>
        <w:tab/>
      </w:r>
      <w:r>
        <w:rPr>
          <w:rFonts w:ascii="Times New Roman" w:hAnsi="Times New Roman" w:cs="Times New Roman"/>
          <w:highlight w:val="none"/>
        </w:rPr>
        <w:fldChar w:fldCharType="begin"/>
      </w:r>
      <w:r>
        <w:rPr>
          <w:rFonts w:ascii="Times New Roman" w:hAnsi="Times New Roman" w:cs="Times New Roman"/>
          <w:highlight w:val="none"/>
        </w:rPr>
        <w:instrText xml:space="preserve"> PAGEREF _Toc31144 \h </w:instrText>
      </w:r>
      <w:r>
        <w:rPr>
          <w:rFonts w:ascii="Times New Roman" w:hAnsi="Times New Roman" w:cs="Times New Roman"/>
          <w:highlight w:val="none"/>
        </w:rPr>
        <w:fldChar w:fldCharType="separate"/>
      </w:r>
      <w:r>
        <w:rPr>
          <w:rFonts w:ascii="Times New Roman" w:hAnsi="Times New Roman" w:cs="Times New Roman"/>
          <w:highlight w:val="none"/>
        </w:rPr>
        <w:t>31</w:t>
      </w:r>
      <w:r>
        <w:rPr>
          <w:rFonts w:ascii="Times New Roman" w:hAnsi="Times New Roman" w:cs="Times New Roman"/>
          <w:highlight w:val="none"/>
        </w:rPr>
        <w:fldChar w:fldCharType="end"/>
      </w:r>
      <w:r>
        <w:rPr>
          <w:rFonts w:ascii="Times New Roman" w:hAnsi="Times New Roman" w:cs="Times New Roman"/>
          <w:highlight w:val="none"/>
        </w:rPr>
        <w:fldChar w:fldCharType="end"/>
      </w:r>
    </w:p>
    <w:p w14:paraId="71BA4F50">
      <w:pPr>
        <w:pStyle w:val="8"/>
        <w:tabs>
          <w:tab w:val="right" w:leader="dot" w:pos="8306"/>
        </w:tabs>
        <w:rPr>
          <w:rFonts w:ascii="Times New Roman" w:hAnsi="Times New Roman" w:cs="Times New Roman"/>
          <w:highlight w:val="none"/>
        </w:rPr>
      </w:pPr>
      <w:r>
        <w:rPr>
          <w:highlight w:val="none"/>
        </w:rPr>
        <w:fldChar w:fldCharType="begin"/>
      </w:r>
      <w:r>
        <w:rPr>
          <w:highlight w:val="none"/>
        </w:rPr>
        <w:instrText xml:space="preserve"> HYPERLINK \l "_Toc19682" </w:instrText>
      </w:r>
      <w:r>
        <w:rPr>
          <w:highlight w:val="none"/>
        </w:rPr>
        <w:fldChar w:fldCharType="separate"/>
      </w:r>
      <w:r>
        <w:rPr>
          <w:rFonts w:ascii="Times New Roman" w:hAnsi="Times New Roman" w:eastAsia="楷体_GB2312" w:cs="Times New Roman"/>
          <w:bCs/>
          <w:kern w:val="0"/>
          <w:szCs w:val="30"/>
          <w:highlight w:val="none"/>
        </w:rPr>
        <w:t>（二）限售锁定期管理</w:t>
      </w:r>
      <w:r>
        <w:rPr>
          <w:rFonts w:ascii="Times New Roman" w:hAnsi="Times New Roman" w:cs="Times New Roman"/>
          <w:highlight w:val="none"/>
        </w:rPr>
        <w:tab/>
      </w:r>
      <w:r>
        <w:rPr>
          <w:rFonts w:ascii="Times New Roman" w:hAnsi="Times New Roman" w:cs="Times New Roman"/>
          <w:highlight w:val="none"/>
        </w:rPr>
        <w:fldChar w:fldCharType="begin"/>
      </w:r>
      <w:r>
        <w:rPr>
          <w:rFonts w:ascii="Times New Roman" w:hAnsi="Times New Roman" w:cs="Times New Roman"/>
          <w:highlight w:val="none"/>
        </w:rPr>
        <w:instrText xml:space="preserve"> PAGEREF _Toc19682 \h </w:instrText>
      </w:r>
      <w:r>
        <w:rPr>
          <w:rFonts w:ascii="Times New Roman" w:hAnsi="Times New Roman" w:cs="Times New Roman"/>
          <w:highlight w:val="none"/>
        </w:rPr>
        <w:fldChar w:fldCharType="separate"/>
      </w:r>
      <w:r>
        <w:rPr>
          <w:rFonts w:ascii="Times New Roman" w:hAnsi="Times New Roman" w:cs="Times New Roman"/>
          <w:highlight w:val="none"/>
        </w:rPr>
        <w:t>31</w:t>
      </w:r>
      <w:r>
        <w:rPr>
          <w:rFonts w:ascii="Times New Roman" w:hAnsi="Times New Roman" w:cs="Times New Roman"/>
          <w:highlight w:val="none"/>
        </w:rPr>
        <w:fldChar w:fldCharType="end"/>
      </w:r>
      <w:r>
        <w:rPr>
          <w:rFonts w:ascii="Times New Roman" w:hAnsi="Times New Roman" w:cs="Times New Roman"/>
          <w:highlight w:val="none"/>
        </w:rPr>
        <w:fldChar w:fldCharType="end"/>
      </w:r>
    </w:p>
    <w:p w14:paraId="138191D9">
      <w:pPr>
        <w:pStyle w:val="15"/>
        <w:tabs>
          <w:tab w:val="right" w:leader="dot" w:pos="8306"/>
        </w:tabs>
        <w:rPr>
          <w:rFonts w:ascii="Times New Roman" w:hAnsi="Times New Roman" w:cs="Times New Roman"/>
          <w:highlight w:val="none"/>
        </w:rPr>
      </w:pPr>
      <w:r>
        <w:rPr>
          <w:highlight w:val="none"/>
        </w:rPr>
        <w:fldChar w:fldCharType="begin"/>
      </w:r>
      <w:r>
        <w:rPr>
          <w:highlight w:val="none"/>
        </w:rPr>
        <w:instrText xml:space="preserve"> HYPERLINK \l "_Toc7878" </w:instrText>
      </w:r>
      <w:r>
        <w:rPr>
          <w:highlight w:val="none"/>
        </w:rPr>
        <w:fldChar w:fldCharType="separate"/>
      </w:r>
      <w:r>
        <w:rPr>
          <w:rFonts w:ascii="Times New Roman" w:hAnsi="Times New Roman" w:eastAsia="黑体" w:cs="Times New Roman"/>
          <w:bCs/>
          <w:szCs w:val="30"/>
          <w:highlight w:val="none"/>
        </w:rPr>
        <w:t>三、发行结果公告</w:t>
      </w:r>
      <w:r>
        <w:rPr>
          <w:rFonts w:ascii="Times New Roman" w:hAnsi="Times New Roman" w:cs="Times New Roman"/>
          <w:highlight w:val="none"/>
        </w:rPr>
        <w:tab/>
      </w:r>
      <w:r>
        <w:rPr>
          <w:rFonts w:ascii="Times New Roman" w:hAnsi="Times New Roman" w:cs="Times New Roman"/>
          <w:highlight w:val="none"/>
        </w:rPr>
        <w:fldChar w:fldCharType="begin"/>
      </w:r>
      <w:r>
        <w:rPr>
          <w:rFonts w:ascii="Times New Roman" w:hAnsi="Times New Roman" w:cs="Times New Roman"/>
          <w:highlight w:val="none"/>
        </w:rPr>
        <w:instrText xml:space="preserve"> PAGEREF _Toc7878 \h </w:instrText>
      </w:r>
      <w:r>
        <w:rPr>
          <w:rFonts w:ascii="Times New Roman" w:hAnsi="Times New Roman" w:cs="Times New Roman"/>
          <w:highlight w:val="none"/>
        </w:rPr>
        <w:fldChar w:fldCharType="separate"/>
      </w:r>
      <w:r>
        <w:rPr>
          <w:rFonts w:ascii="Times New Roman" w:hAnsi="Times New Roman" w:cs="Times New Roman"/>
          <w:highlight w:val="none"/>
        </w:rPr>
        <w:t>32</w:t>
      </w:r>
      <w:r>
        <w:rPr>
          <w:rFonts w:ascii="Times New Roman" w:hAnsi="Times New Roman" w:cs="Times New Roman"/>
          <w:highlight w:val="none"/>
        </w:rPr>
        <w:fldChar w:fldCharType="end"/>
      </w:r>
      <w:r>
        <w:rPr>
          <w:rFonts w:ascii="Times New Roman" w:hAnsi="Times New Roman" w:cs="Times New Roman"/>
          <w:highlight w:val="none"/>
        </w:rPr>
        <w:fldChar w:fldCharType="end"/>
      </w:r>
    </w:p>
    <w:p w14:paraId="6CC4E6F4">
      <w:pPr>
        <w:pStyle w:val="13"/>
        <w:tabs>
          <w:tab w:val="right" w:leader="dot" w:pos="8306"/>
          <w:tab w:val="clear" w:pos="8296"/>
        </w:tabs>
        <w:rPr>
          <w:rFonts w:cs="Times New Roman"/>
          <w:highlight w:val="none"/>
        </w:rPr>
      </w:pPr>
      <w:r>
        <w:rPr>
          <w:highlight w:val="none"/>
        </w:rPr>
        <w:fldChar w:fldCharType="begin"/>
      </w:r>
      <w:r>
        <w:rPr>
          <w:highlight w:val="none"/>
        </w:rPr>
        <w:instrText xml:space="preserve"> HYPERLINK \l "_Toc8399" </w:instrText>
      </w:r>
      <w:r>
        <w:rPr>
          <w:highlight w:val="none"/>
        </w:rPr>
        <w:fldChar w:fldCharType="separate"/>
      </w:r>
      <w:r>
        <w:rPr>
          <w:rFonts w:eastAsia="黑体" w:cs="Times New Roman"/>
          <w:szCs w:val="30"/>
          <w:highlight w:val="none"/>
        </w:rPr>
        <w:t>第五章 扩募份额上市</w:t>
      </w:r>
      <w:r>
        <w:rPr>
          <w:rFonts w:cs="Times New Roman"/>
          <w:highlight w:val="none"/>
        </w:rPr>
        <w:tab/>
      </w:r>
      <w:r>
        <w:rPr>
          <w:rFonts w:cs="Times New Roman"/>
          <w:highlight w:val="none"/>
        </w:rPr>
        <w:fldChar w:fldCharType="begin"/>
      </w:r>
      <w:r>
        <w:rPr>
          <w:rFonts w:cs="Times New Roman"/>
          <w:highlight w:val="none"/>
        </w:rPr>
        <w:instrText xml:space="preserve"> PAGEREF _Toc8399 \h </w:instrText>
      </w:r>
      <w:r>
        <w:rPr>
          <w:rFonts w:cs="Times New Roman"/>
          <w:highlight w:val="none"/>
        </w:rPr>
        <w:fldChar w:fldCharType="separate"/>
      </w:r>
      <w:r>
        <w:rPr>
          <w:rFonts w:cs="Times New Roman"/>
          <w:highlight w:val="none"/>
        </w:rPr>
        <w:t>32</w:t>
      </w:r>
      <w:r>
        <w:rPr>
          <w:rFonts w:cs="Times New Roman"/>
          <w:highlight w:val="none"/>
        </w:rPr>
        <w:fldChar w:fldCharType="end"/>
      </w:r>
      <w:r>
        <w:rPr>
          <w:rFonts w:cs="Times New Roman"/>
          <w:highlight w:val="none"/>
        </w:rPr>
        <w:fldChar w:fldCharType="end"/>
      </w:r>
    </w:p>
    <w:p w14:paraId="58DD1686">
      <w:pPr>
        <w:pStyle w:val="15"/>
        <w:tabs>
          <w:tab w:val="right" w:leader="dot" w:pos="8306"/>
        </w:tabs>
        <w:rPr>
          <w:rFonts w:ascii="Times New Roman" w:hAnsi="Times New Roman" w:cs="Times New Roman"/>
          <w:highlight w:val="none"/>
        </w:rPr>
      </w:pPr>
      <w:r>
        <w:rPr>
          <w:highlight w:val="none"/>
        </w:rPr>
        <w:fldChar w:fldCharType="begin"/>
      </w:r>
      <w:r>
        <w:rPr>
          <w:highlight w:val="none"/>
        </w:rPr>
        <w:instrText xml:space="preserve"> HYPERLINK \l "_Toc25670" </w:instrText>
      </w:r>
      <w:r>
        <w:rPr>
          <w:highlight w:val="none"/>
        </w:rPr>
        <w:fldChar w:fldCharType="separate"/>
      </w:r>
      <w:r>
        <w:rPr>
          <w:rFonts w:ascii="Times New Roman" w:hAnsi="Times New Roman" w:eastAsia="黑体" w:cs="Times New Roman"/>
          <w:szCs w:val="30"/>
          <w:highlight w:val="none"/>
        </w:rPr>
        <w:t>一、提交扩募份额上市申请并公告</w:t>
      </w:r>
      <w:r>
        <w:rPr>
          <w:rFonts w:ascii="Times New Roman" w:hAnsi="Times New Roman" w:cs="Times New Roman"/>
          <w:highlight w:val="none"/>
        </w:rPr>
        <w:tab/>
      </w:r>
      <w:r>
        <w:rPr>
          <w:rFonts w:ascii="Times New Roman" w:hAnsi="Times New Roman" w:cs="Times New Roman"/>
          <w:highlight w:val="none"/>
        </w:rPr>
        <w:fldChar w:fldCharType="begin"/>
      </w:r>
      <w:r>
        <w:rPr>
          <w:rFonts w:ascii="Times New Roman" w:hAnsi="Times New Roman" w:cs="Times New Roman"/>
          <w:highlight w:val="none"/>
        </w:rPr>
        <w:instrText xml:space="preserve"> PAGEREF _Toc25670 \h </w:instrText>
      </w:r>
      <w:r>
        <w:rPr>
          <w:rFonts w:ascii="Times New Roman" w:hAnsi="Times New Roman" w:cs="Times New Roman"/>
          <w:highlight w:val="none"/>
        </w:rPr>
        <w:fldChar w:fldCharType="separate"/>
      </w:r>
      <w:r>
        <w:rPr>
          <w:rFonts w:ascii="Times New Roman" w:hAnsi="Times New Roman" w:cs="Times New Roman"/>
          <w:highlight w:val="none"/>
        </w:rPr>
        <w:t>32</w:t>
      </w:r>
      <w:r>
        <w:rPr>
          <w:rFonts w:ascii="Times New Roman" w:hAnsi="Times New Roman" w:cs="Times New Roman"/>
          <w:highlight w:val="none"/>
        </w:rPr>
        <w:fldChar w:fldCharType="end"/>
      </w:r>
      <w:r>
        <w:rPr>
          <w:rFonts w:ascii="Times New Roman" w:hAnsi="Times New Roman" w:cs="Times New Roman"/>
          <w:highlight w:val="none"/>
        </w:rPr>
        <w:fldChar w:fldCharType="end"/>
      </w:r>
    </w:p>
    <w:p w14:paraId="34B6047F">
      <w:pPr>
        <w:pStyle w:val="8"/>
        <w:tabs>
          <w:tab w:val="right" w:leader="dot" w:pos="8306"/>
        </w:tabs>
        <w:rPr>
          <w:rFonts w:ascii="Times New Roman" w:hAnsi="Times New Roman" w:cs="Times New Roman"/>
          <w:highlight w:val="none"/>
        </w:rPr>
      </w:pPr>
      <w:r>
        <w:rPr>
          <w:highlight w:val="none"/>
        </w:rPr>
        <w:fldChar w:fldCharType="begin"/>
      </w:r>
      <w:r>
        <w:rPr>
          <w:highlight w:val="none"/>
        </w:rPr>
        <w:instrText xml:space="preserve"> HYPERLINK \l "_Toc27418" </w:instrText>
      </w:r>
      <w:r>
        <w:rPr>
          <w:highlight w:val="none"/>
        </w:rPr>
        <w:fldChar w:fldCharType="separate"/>
      </w:r>
      <w:r>
        <w:rPr>
          <w:rFonts w:ascii="Times New Roman" w:hAnsi="Times New Roman" w:eastAsia="楷体_GB2312" w:cs="Times New Roman"/>
          <w:bCs/>
          <w:kern w:val="0"/>
          <w:szCs w:val="30"/>
          <w:highlight w:val="none"/>
        </w:rPr>
        <w:t>（一）上市申请</w:t>
      </w:r>
      <w:r>
        <w:rPr>
          <w:rFonts w:ascii="Times New Roman" w:hAnsi="Times New Roman" w:cs="Times New Roman"/>
          <w:highlight w:val="none"/>
        </w:rPr>
        <w:tab/>
      </w:r>
      <w:r>
        <w:rPr>
          <w:rFonts w:ascii="Times New Roman" w:hAnsi="Times New Roman" w:cs="Times New Roman"/>
          <w:highlight w:val="none"/>
        </w:rPr>
        <w:fldChar w:fldCharType="begin"/>
      </w:r>
      <w:r>
        <w:rPr>
          <w:rFonts w:ascii="Times New Roman" w:hAnsi="Times New Roman" w:cs="Times New Roman"/>
          <w:highlight w:val="none"/>
        </w:rPr>
        <w:instrText xml:space="preserve"> PAGEREF _Toc27418 \h </w:instrText>
      </w:r>
      <w:r>
        <w:rPr>
          <w:rFonts w:ascii="Times New Roman" w:hAnsi="Times New Roman" w:cs="Times New Roman"/>
          <w:highlight w:val="none"/>
        </w:rPr>
        <w:fldChar w:fldCharType="separate"/>
      </w:r>
      <w:r>
        <w:rPr>
          <w:rFonts w:ascii="Times New Roman" w:hAnsi="Times New Roman" w:cs="Times New Roman"/>
          <w:highlight w:val="none"/>
        </w:rPr>
        <w:t>32</w:t>
      </w:r>
      <w:r>
        <w:rPr>
          <w:rFonts w:ascii="Times New Roman" w:hAnsi="Times New Roman" w:cs="Times New Roman"/>
          <w:highlight w:val="none"/>
        </w:rPr>
        <w:fldChar w:fldCharType="end"/>
      </w:r>
      <w:r>
        <w:rPr>
          <w:rFonts w:ascii="Times New Roman" w:hAnsi="Times New Roman" w:cs="Times New Roman"/>
          <w:highlight w:val="none"/>
        </w:rPr>
        <w:fldChar w:fldCharType="end"/>
      </w:r>
    </w:p>
    <w:p w14:paraId="45D7529B">
      <w:pPr>
        <w:pStyle w:val="8"/>
        <w:tabs>
          <w:tab w:val="right" w:leader="dot" w:pos="8306"/>
        </w:tabs>
        <w:rPr>
          <w:rFonts w:ascii="Times New Roman" w:hAnsi="Times New Roman" w:cs="Times New Roman"/>
          <w:highlight w:val="none"/>
        </w:rPr>
      </w:pPr>
      <w:r>
        <w:rPr>
          <w:highlight w:val="none"/>
        </w:rPr>
        <w:fldChar w:fldCharType="begin"/>
      </w:r>
      <w:r>
        <w:rPr>
          <w:highlight w:val="none"/>
        </w:rPr>
        <w:instrText xml:space="preserve"> HYPERLINK \l "_Toc6438" </w:instrText>
      </w:r>
      <w:r>
        <w:rPr>
          <w:highlight w:val="none"/>
        </w:rPr>
        <w:fldChar w:fldCharType="separate"/>
      </w:r>
      <w:r>
        <w:rPr>
          <w:rFonts w:ascii="Times New Roman" w:hAnsi="Times New Roman" w:eastAsia="楷体_GB2312" w:cs="Times New Roman"/>
          <w:bCs/>
          <w:kern w:val="0"/>
          <w:szCs w:val="30"/>
          <w:highlight w:val="none"/>
        </w:rPr>
        <w:t>（二）上市日期确定</w:t>
      </w:r>
      <w:r>
        <w:rPr>
          <w:rFonts w:ascii="Times New Roman" w:hAnsi="Times New Roman" w:cs="Times New Roman"/>
          <w:highlight w:val="none"/>
        </w:rPr>
        <w:tab/>
      </w:r>
      <w:r>
        <w:rPr>
          <w:rFonts w:ascii="Times New Roman" w:hAnsi="Times New Roman" w:cs="Times New Roman"/>
          <w:highlight w:val="none"/>
        </w:rPr>
        <w:fldChar w:fldCharType="begin"/>
      </w:r>
      <w:r>
        <w:rPr>
          <w:rFonts w:ascii="Times New Roman" w:hAnsi="Times New Roman" w:cs="Times New Roman"/>
          <w:highlight w:val="none"/>
        </w:rPr>
        <w:instrText xml:space="preserve"> PAGEREF _Toc6438 \h </w:instrText>
      </w:r>
      <w:r>
        <w:rPr>
          <w:rFonts w:ascii="Times New Roman" w:hAnsi="Times New Roman" w:cs="Times New Roman"/>
          <w:highlight w:val="none"/>
        </w:rPr>
        <w:fldChar w:fldCharType="separate"/>
      </w:r>
      <w:r>
        <w:rPr>
          <w:rFonts w:ascii="Times New Roman" w:hAnsi="Times New Roman" w:cs="Times New Roman"/>
          <w:highlight w:val="none"/>
        </w:rPr>
        <w:t>33</w:t>
      </w:r>
      <w:r>
        <w:rPr>
          <w:rFonts w:ascii="Times New Roman" w:hAnsi="Times New Roman" w:cs="Times New Roman"/>
          <w:highlight w:val="none"/>
        </w:rPr>
        <w:fldChar w:fldCharType="end"/>
      </w:r>
      <w:r>
        <w:rPr>
          <w:rFonts w:ascii="Times New Roman" w:hAnsi="Times New Roman" w:cs="Times New Roman"/>
          <w:highlight w:val="none"/>
        </w:rPr>
        <w:fldChar w:fldCharType="end"/>
      </w:r>
    </w:p>
    <w:p w14:paraId="7088CF4F">
      <w:pPr>
        <w:pStyle w:val="8"/>
        <w:tabs>
          <w:tab w:val="right" w:leader="dot" w:pos="8306"/>
        </w:tabs>
        <w:rPr>
          <w:rFonts w:ascii="Times New Roman" w:hAnsi="Times New Roman" w:cs="Times New Roman"/>
          <w:highlight w:val="none"/>
        </w:rPr>
      </w:pPr>
      <w:r>
        <w:rPr>
          <w:highlight w:val="none"/>
        </w:rPr>
        <w:fldChar w:fldCharType="begin"/>
      </w:r>
      <w:r>
        <w:rPr>
          <w:highlight w:val="none"/>
        </w:rPr>
        <w:instrText xml:space="preserve"> HYPERLINK \l "_Toc25818" </w:instrText>
      </w:r>
      <w:r>
        <w:rPr>
          <w:highlight w:val="none"/>
        </w:rPr>
        <w:fldChar w:fldCharType="separate"/>
      </w:r>
      <w:r>
        <w:rPr>
          <w:rFonts w:ascii="Times New Roman" w:hAnsi="Times New Roman" w:eastAsia="楷体_GB2312" w:cs="Times New Roman"/>
          <w:bCs/>
          <w:kern w:val="0"/>
          <w:szCs w:val="30"/>
          <w:highlight w:val="none"/>
        </w:rPr>
        <w:t>（三）上市公告</w:t>
      </w:r>
      <w:r>
        <w:rPr>
          <w:rFonts w:ascii="Times New Roman" w:hAnsi="Times New Roman" w:cs="Times New Roman"/>
          <w:highlight w:val="none"/>
        </w:rPr>
        <w:tab/>
      </w:r>
      <w:r>
        <w:rPr>
          <w:rFonts w:ascii="Times New Roman" w:hAnsi="Times New Roman" w:cs="Times New Roman"/>
          <w:highlight w:val="none"/>
        </w:rPr>
        <w:fldChar w:fldCharType="begin"/>
      </w:r>
      <w:r>
        <w:rPr>
          <w:rFonts w:ascii="Times New Roman" w:hAnsi="Times New Roman" w:cs="Times New Roman"/>
          <w:highlight w:val="none"/>
        </w:rPr>
        <w:instrText xml:space="preserve"> PAGEREF _Toc25818 \h </w:instrText>
      </w:r>
      <w:r>
        <w:rPr>
          <w:rFonts w:ascii="Times New Roman" w:hAnsi="Times New Roman" w:cs="Times New Roman"/>
          <w:highlight w:val="none"/>
        </w:rPr>
        <w:fldChar w:fldCharType="separate"/>
      </w:r>
      <w:r>
        <w:rPr>
          <w:rFonts w:ascii="Times New Roman" w:hAnsi="Times New Roman" w:cs="Times New Roman"/>
          <w:highlight w:val="none"/>
        </w:rPr>
        <w:t>33</w:t>
      </w:r>
      <w:r>
        <w:rPr>
          <w:rFonts w:ascii="Times New Roman" w:hAnsi="Times New Roman" w:cs="Times New Roman"/>
          <w:highlight w:val="none"/>
        </w:rPr>
        <w:fldChar w:fldCharType="end"/>
      </w:r>
      <w:r>
        <w:rPr>
          <w:rFonts w:ascii="Times New Roman" w:hAnsi="Times New Roman" w:cs="Times New Roman"/>
          <w:highlight w:val="none"/>
        </w:rPr>
        <w:fldChar w:fldCharType="end"/>
      </w:r>
    </w:p>
    <w:p w14:paraId="4B860315">
      <w:pPr>
        <w:pStyle w:val="15"/>
        <w:tabs>
          <w:tab w:val="right" w:leader="dot" w:pos="8306"/>
        </w:tabs>
        <w:rPr>
          <w:rFonts w:ascii="Times New Roman" w:hAnsi="Times New Roman" w:cs="Times New Roman"/>
          <w:highlight w:val="none"/>
        </w:rPr>
      </w:pPr>
      <w:r>
        <w:rPr>
          <w:highlight w:val="none"/>
        </w:rPr>
        <w:fldChar w:fldCharType="begin"/>
      </w:r>
      <w:r>
        <w:rPr>
          <w:highlight w:val="none"/>
        </w:rPr>
        <w:instrText xml:space="preserve"> HYPERLINK \l "_Toc26602" </w:instrText>
      </w:r>
      <w:r>
        <w:rPr>
          <w:highlight w:val="none"/>
        </w:rPr>
        <w:fldChar w:fldCharType="separate"/>
      </w:r>
      <w:r>
        <w:rPr>
          <w:rFonts w:ascii="Times New Roman" w:hAnsi="Times New Roman" w:eastAsia="黑体" w:cs="Times New Roman"/>
          <w:szCs w:val="30"/>
          <w:highlight w:val="none"/>
        </w:rPr>
        <w:t>二、向中国结算发送上市日期</w:t>
      </w:r>
      <w:r>
        <w:rPr>
          <w:rFonts w:ascii="Times New Roman" w:hAnsi="Times New Roman" w:cs="Times New Roman"/>
          <w:highlight w:val="none"/>
        </w:rPr>
        <w:tab/>
      </w:r>
      <w:r>
        <w:rPr>
          <w:rFonts w:ascii="Times New Roman" w:hAnsi="Times New Roman" w:cs="Times New Roman"/>
          <w:highlight w:val="none"/>
        </w:rPr>
        <w:fldChar w:fldCharType="begin"/>
      </w:r>
      <w:r>
        <w:rPr>
          <w:rFonts w:ascii="Times New Roman" w:hAnsi="Times New Roman" w:cs="Times New Roman"/>
          <w:highlight w:val="none"/>
        </w:rPr>
        <w:instrText xml:space="preserve"> PAGEREF _Toc26602 \h </w:instrText>
      </w:r>
      <w:r>
        <w:rPr>
          <w:rFonts w:ascii="Times New Roman" w:hAnsi="Times New Roman" w:cs="Times New Roman"/>
          <w:highlight w:val="none"/>
        </w:rPr>
        <w:fldChar w:fldCharType="separate"/>
      </w:r>
      <w:r>
        <w:rPr>
          <w:rFonts w:ascii="Times New Roman" w:hAnsi="Times New Roman" w:cs="Times New Roman"/>
          <w:highlight w:val="none"/>
        </w:rPr>
        <w:t>33</w:t>
      </w:r>
      <w:r>
        <w:rPr>
          <w:rFonts w:ascii="Times New Roman" w:hAnsi="Times New Roman" w:cs="Times New Roman"/>
          <w:highlight w:val="none"/>
        </w:rPr>
        <w:fldChar w:fldCharType="end"/>
      </w:r>
      <w:r>
        <w:rPr>
          <w:rFonts w:ascii="Times New Roman" w:hAnsi="Times New Roman" w:cs="Times New Roman"/>
          <w:highlight w:val="none"/>
        </w:rPr>
        <w:fldChar w:fldCharType="end"/>
      </w:r>
    </w:p>
    <w:p w14:paraId="6F31205B">
      <w:pPr>
        <w:pStyle w:val="15"/>
        <w:tabs>
          <w:tab w:val="right" w:leader="dot" w:pos="8306"/>
        </w:tabs>
        <w:rPr>
          <w:rFonts w:ascii="Times New Roman" w:hAnsi="Times New Roman" w:cs="Times New Roman"/>
          <w:highlight w:val="none"/>
        </w:rPr>
      </w:pPr>
      <w:r>
        <w:rPr>
          <w:highlight w:val="none"/>
        </w:rPr>
        <w:fldChar w:fldCharType="begin"/>
      </w:r>
      <w:r>
        <w:rPr>
          <w:highlight w:val="none"/>
        </w:rPr>
        <w:instrText xml:space="preserve"> HYPERLINK \l "_Toc13600" </w:instrText>
      </w:r>
      <w:r>
        <w:rPr>
          <w:highlight w:val="none"/>
        </w:rPr>
        <w:fldChar w:fldCharType="separate"/>
      </w:r>
      <w:r>
        <w:rPr>
          <w:rFonts w:ascii="Times New Roman" w:hAnsi="Times New Roman" w:eastAsia="黑体" w:cs="Times New Roman"/>
          <w:szCs w:val="30"/>
          <w:highlight w:val="none"/>
        </w:rPr>
        <w:t>三、披露上市交易提示性公告</w:t>
      </w:r>
      <w:r>
        <w:rPr>
          <w:rFonts w:ascii="Times New Roman" w:hAnsi="Times New Roman" w:cs="Times New Roman"/>
          <w:highlight w:val="none"/>
        </w:rPr>
        <w:tab/>
      </w:r>
      <w:r>
        <w:rPr>
          <w:rFonts w:ascii="Times New Roman" w:hAnsi="Times New Roman" w:cs="Times New Roman"/>
          <w:highlight w:val="none"/>
        </w:rPr>
        <w:fldChar w:fldCharType="begin"/>
      </w:r>
      <w:r>
        <w:rPr>
          <w:rFonts w:ascii="Times New Roman" w:hAnsi="Times New Roman" w:cs="Times New Roman"/>
          <w:highlight w:val="none"/>
        </w:rPr>
        <w:instrText xml:space="preserve"> PAGEREF _Toc13600 \h </w:instrText>
      </w:r>
      <w:r>
        <w:rPr>
          <w:rFonts w:ascii="Times New Roman" w:hAnsi="Times New Roman" w:cs="Times New Roman"/>
          <w:highlight w:val="none"/>
        </w:rPr>
        <w:fldChar w:fldCharType="separate"/>
      </w:r>
      <w:r>
        <w:rPr>
          <w:rFonts w:ascii="Times New Roman" w:hAnsi="Times New Roman" w:cs="Times New Roman"/>
          <w:highlight w:val="none"/>
        </w:rPr>
        <w:t>34</w:t>
      </w:r>
      <w:r>
        <w:rPr>
          <w:rFonts w:ascii="Times New Roman" w:hAnsi="Times New Roman" w:cs="Times New Roman"/>
          <w:highlight w:val="none"/>
        </w:rPr>
        <w:fldChar w:fldCharType="end"/>
      </w:r>
      <w:r>
        <w:rPr>
          <w:rFonts w:ascii="Times New Roman" w:hAnsi="Times New Roman" w:cs="Times New Roman"/>
          <w:highlight w:val="none"/>
        </w:rPr>
        <w:fldChar w:fldCharType="end"/>
      </w:r>
    </w:p>
    <w:p w14:paraId="4AB33A32">
      <w:pPr>
        <w:pStyle w:val="15"/>
        <w:tabs>
          <w:tab w:val="right" w:leader="dot" w:pos="8306"/>
        </w:tabs>
        <w:rPr>
          <w:rFonts w:ascii="Times New Roman" w:hAnsi="Times New Roman" w:cs="Times New Roman"/>
          <w:highlight w:val="none"/>
        </w:rPr>
      </w:pPr>
      <w:r>
        <w:rPr>
          <w:highlight w:val="none"/>
        </w:rPr>
        <w:fldChar w:fldCharType="begin"/>
      </w:r>
      <w:r>
        <w:rPr>
          <w:highlight w:val="none"/>
        </w:rPr>
        <w:instrText xml:space="preserve"> HYPERLINK \l "_Toc28536" </w:instrText>
      </w:r>
      <w:r>
        <w:rPr>
          <w:highlight w:val="none"/>
        </w:rPr>
        <w:fldChar w:fldCharType="separate"/>
      </w:r>
      <w:r>
        <w:rPr>
          <w:rFonts w:ascii="Times New Roman" w:hAnsi="Times New Roman" w:eastAsia="黑体" w:cs="Times New Roman"/>
          <w:szCs w:val="30"/>
          <w:highlight w:val="none"/>
        </w:rPr>
        <w:t>四、扩募份额上市</w:t>
      </w:r>
      <w:r>
        <w:rPr>
          <w:rFonts w:ascii="Times New Roman" w:hAnsi="Times New Roman" w:cs="Times New Roman"/>
          <w:highlight w:val="none"/>
        </w:rPr>
        <w:tab/>
      </w:r>
      <w:r>
        <w:rPr>
          <w:rFonts w:ascii="Times New Roman" w:hAnsi="Times New Roman" w:cs="Times New Roman"/>
          <w:highlight w:val="none"/>
        </w:rPr>
        <w:fldChar w:fldCharType="begin"/>
      </w:r>
      <w:r>
        <w:rPr>
          <w:rFonts w:ascii="Times New Roman" w:hAnsi="Times New Roman" w:cs="Times New Roman"/>
          <w:highlight w:val="none"/>
        </w:rPr>
        <w:instrText xml:space="preserve"> PAGEREF _Toc28536 \h </w:instrText>
      </w:r>
      <w:r>
        <w:rPr>
          <w:rFonts w:ascii="Times New Roman" w:hAnsi="Times New Roman" w:cs="Times New Roman"/>
          <w:highlight w:val="none"/>
        </w:rPr>
        <w:fldChar w:fldCharType="separate"/>
      </w:r>
      <w:r>
        <w:rPr>
          <w:rFonts w:ascii="Times New Roman" w:hAnsi="Times New Roman" w:cs="Times New Roman"/>
          <w:highlight w:val="none"/>
        </w:rPr>
        <w:t>34</w:t>
      </w:r>
      <w:r>
        <w:rPr>
          <w:rFonts w:ascii="Times New Roman" w:hAnsi="Times New Roman" w:cs="Times New Roman"/>
          <w:highlight w:val="none"/>
        </w:rPr>
        <w:fldChar w:fldCharType="end"/>
      </w:r>
      <w:r>
        <w:rPr>
          <w:rFonts w:ascii="Times New Roman" w:hAnsi="Times New Roman" w:cs="Times New Roman"/>
          <w:highlight w:val="none"/>
        </w:rPr>
        <w:fldChar w:fldCharType="end"/>
      </w:r>
    </w:p>
    <w:p w14:paraId="58CC62CF">
      <w:pPr>
        <w:pStyle w:val="13"/>
        <w:tabs>
          <w:tab w:val="right" w:leader="dot" w:pos="8306"/>
          <w:tab w:val="clear" w:pos="8296"/>
        </w:tabs>
        <w:rPr>
          <w:rFonts w:cs="Times New Roman"/>
          <w:highlight w:val="none"/>
        </w:rPr>
      </w:pPr>
      <w:r>
        <w:rPr>
          <w:highlight w:val="none"/>
        </w:rPr>
        <w:fldChar w:fldCharType="begin"/>
      </w:r>
      <w:r>
        <w:rPr>
          <w:highlight w:val="none"/>
        </w:rPr>
        <w:instrText xml:space="preserve"> HYPERLINK \l "_Toc10998" </w:instrText>
      </w:r>
      <w:r>
        <w:rPr>
          <w:highlight w:val="none"/>
        </w:rPr>
        <w:fldChar w:fldCharType="separate"/>
      </w:r>
      <w:r>
        <w:rPr>
          <w:rFonts w:eastAsia="黑体" w:cs="Times New Roman"/>
          <w:szCs w:val="30"/>
          <w:highlight w:val="none"/>
        </w:rPr>
        <w:t>第六章 模板及附件</w:t>
      </w:r>
      <w:r>
        <w:rPr>
          <w:rFonts w:cs="Times New Roman"/>
          <w:highlight w:val="none"/>
        </w:rPr>
        <w:tab/>
      </w:r>
      <w:r>
        <w:rPr>
          <w:rFonts w:cs="Times New Roman"/>
          <w:highlight w:val="none"/>
        </w:rPr>
        <w:fldChar w:fldCharType="begin"/>
      </w:r>
      <w:r>
        <w:rPr>
          <w:rFonts w:cs="Times New Roman"/>
          <w:highlight w:val="none"/>
        </w:rPr>
        <w:instrText xml:space="preserve"> PAGEREF _Toc10998 \h </w:instrText>
      </w:r>
      <w:r>
        <w:rPr>
          <w:rFonts w:cs="Times New Roman"/>
          <w:highlight w:val="none"/>
        </w:rPr>
        <w:fldChar w:fldCharType="separate"/>
      </w:r>
      <w:r>
        <w:rPr>
          <w:rFonts w:cs="Times New Roman"/>
          <w:highlight w:val="none"/>
        </w:rPr>
        <w:t>35</w:t>
      </w:r>
      <w:r>
        <w:rPr>
          <w:rFonts w:cs="Times New Roman"/>
          <w:highlight w:val="none"/>
        </w:rPr>
        <w:fldChar w:fldCharType="end"/>
      </w:r>
      <w:r>
        <w:rPr>
          <w:rFonts w:cs="Times New Roman"/>
          <w:highlight w:val="none"/>
        </w:rPr>
        <w:fldChar w:fldCharType="end"/>
      </w:r>
    </w:p>
    <w:p w14:paraId="33F78674">
      <w:pPr>
        <w:pStyle w:val="15"/>
        <w:tabs>
          <w:tab w:val="right" w:leader="dot" w:pos="8306"/>
        </w:tabs>
        <w:rPr>
          <w:rFonts w:ascii="Times New Roman" w:hAnsi="Times New Roman" w:cs="Times New Roman"/>
          <w:highlight w:val="none"/>
        </w:rPr>
      </w:pPr>
      <w:r>
        <w:rPr>
          <w:highlight w:val="none"/>
        </w:rPr>
        <w:fldChar w:fldCharType="begin"/>
      </w:r>
      <w:r>
        <w:rPr>
          <w:highlight w:val="none"/>
        </w:rPr>
        <w:instrText xml:space="preserve"> HYPERLINK \l "_Toc1950" </w:instrText>
      </w:r>
      <w:r>
        <w:rPr>
          <w:highlight w:val="none"/>
        </w:rPr>
        <w:fldChar w:fldCharType="separate"/>
      </w:r>
      <w:r>
        <w:rPr>
          <w:rFonts w:ascii="Times New Roman" w:hAnsi="Times New Roman" w:eastAsia="黑体" w:cs="Times New Roman"/>
          <w:szCs w:val="30"/>
          <w:highlight w:val="none"/>
        </w:rPr>
        <w:t>一、业务文件模板</w:t>
      </w:r>
      <w:r>
        <w:rPr>
          <w:rFonts w:ascii="Times New Roman" w:hAnsi="Times New Roman" w:cs="Times New Roman"/>
          <w:highlight w:val="none"/>
        </w:rPr>
        <w:tab/>
      </w:r>
      <w:r>
        <w:rPr>
          <w:rFonts w:ascii="Times New Roman" w:hAnsi="Times New Roman" w:cs="Times New Roman"/>
          <w:highlight w:val="none"/>
        </w:rPr>
        <w:fldChar w:fldCharType="begin"/>
      </w:r>
      <w:r>
        <w:rPr>
          <w:rFonts w:ascii="Times New Roman" w:hAnsi="Times New Roman" w:cs="Times New Roman"/>
          <w:highlight w:val="none"/>
        </w:rPr>
        <w:instrText xml:space="preserve"> PAGEREF _Toc1950 \h </w:instrText>
      </w:r>
      <w:r>
        <w:rPr>
          <w:rFonts w:ascii="Times New Roman" w:hAnsi="Times New Roman" w:cs="Times New Roman"/>
          <w:highlight w:val="none"/>
        </w:rPr>
        <w:fldChar w:fldCharType="separate"/>
      </w:r>
      <w:r>
        <w:rPr>
          <w:rFonts w:ascii="Times New Roman" w:hAnsi="Times New Roman" w:cs="Times New Roman"/>
          <w:highlight w:val="none"/>
        </w:rPr>
        <w:t>35</w:t>
      </w:r>
      <w:r>
        <w:rPr>
          <w:rFonts w:ascii="Times New Roman" w:hAnsi="Times New Roman" w:cs="Times New Roman"/>
          <w:highlight w:val="none"/>
        </w:rPr>
        <w:fldChar w:fldCharType="end"/>
      </w:r>
      <w:r>
        <w:rPr>
          <w:rFonts w:ascii="Times New Roman" w:hAnsi="Times New Roman" w:cs="Times New Roman"/>
          <w:highlight w:val="none"/>
        </w:rPr>
        <w:fldChar w:fldCharType="end"/>
      </w:r>
    </w:p>
    <w:p w14:paraId="39EDCF28">
      <w:pPr>
        <w:pStyle w:val="8"/>
        <w:tabs>
          <w:tab w:val="right" w:leader="dot" w:pos="8306"/>
        </w:tabs>
        <w:rPr>
          <w:rFonts w:ascii="Times New Roman" w:hAnsi="Times New Roman" w:cs="Times New Roman"/>
          <w:highlight w:val="none"/>
        </w:rPr>
      </w:pPr>
      <w:r>
        <w:rPr>
          <w:highlight w:val="none"/>
        </w:rPr>
        <w:fldChar w:fldCharType="begin"/>
      </w:r>
      <w:r>
        <w:rPr>
          <w:highlight w:val="none"/>
        </w:rPr>
        <w:instrText xml:space="preserve"> HYPERLINK \l "_Toc6185" </w:instrText>
      </w:r>
      <w:r>
        <w:rPr>
          <w:highlight w:val="none"/>
        </w:rPr>
        <w:fldChar w:fldCharType="separate"/>
      </w:r>
      <w:r>
        <w:rPr>
          <w:rFonts w:ascii="Times New Roman" w:hAnsi="Times New Roman" w:eastAsia="仿宋_GB2312" w:cs="Times New Roman"/>
          <w:highlight w:val="none"/>
        </w:rPr>
        <w:t>附件1-1：关于REITs扩募发售上市业务自查和承诺反馈表</w:t>
      </w:r>
      <w:r>
        <w:rPr>
          <w:rFonts w:ascii="Times New Roman" w:hAnsi="Times New Roman" w:cs="Times New Roman"/>
          <w:highlight w:val="none"/>
        </w:rPr>
        <w:tab/>
      </w:r>
      <w:r>
        <w:rPr>
          <w:rFonts w:ascii="Times New Roman" w:hAnsi="Times New Roman" w:cs="Times New Roman"/>
          <w:highlight w:val="none"/>
        </w:rPr>
        <w:fldChar w:fldCharType="begin"/>
      </w:r>
      <w:r>
        <w:rPr>
          <w:rFonts w:ascii="Times New Roman" w:hAnsi="Times New Roman" w:cs="Times New Roman"/>
          <w:highlight w:val="none"/>
        </w:rPr>
        <w:instrText xml:space="preserve"> PAGEREF _Toc6185 \h </w:instrText>
      </w:r>
      <w:r>
        <w:rPr>
          <w:rFonts w:ascii="Times New Roman" w:hAnsi="Times New Roman" w:cs="Times New Roman"/>
          <w:highlight w:val="none"/>
        </w:rPr>
        <w:fldChar w:fldCharType="separate"/>
      </w:r>
      <w:r>
        <w:rPr>
          <w:rFonts w:ascii="Times New Roman" w:hAnsi="Times New Roman" w:cs="Times New Roman"/>
          <w:highlight w:val="none"/>
        </w:rPr>
        <w:t>35</w:t>
      </w:r>
      <w:r>
        <w:rPr>
          <w:rFonts w:ascii="Times New Roman" w:hAnsi="Times New Roman" w:cs="Times New Roman"/>
          <w:highlight w:val="none"/>
        </w:rPr>
        <w:fldChar w:fldCharType="end"/>
      </w:r>
      <w:r>
        <w:rPr>
          <w:rFonts w:ascii="Times New Roman" w:hAnsi="Times New Roman" w:cs="Times New Roman"/>
          <w:highlight w:val="none"/>
        </w:rPr>
        <w:fldChar w:fldCharType="end"/>
      </w:r>
    </w:p>
    <w:p w14:paraId="73310227">
      <w:pPr>
        <w:pStyle w:val="8"/>
        <w:tabs>
          <w:tab w:val="right" w:leader="dot" w:pos="8306"/>
        </w:tabs>
        <w:rPr>
          <w:rFonts w:ascii="Times New Roman" w:hAnsi="Times New Roman" w:cs="Times New Roman"/>
          <w:highlight w:val="none"/>
        </w:rPr>
      </w:pPr>
      <w:r>
        <w:rPr>
          <w:highlight w:val="none"/>
        </w:rPr>
        <w:fldChar w:fldCharType="begin"/>
      </w:r>
      <w:r>
        <w:rPr>
          <w:highlight w:val="none"/>
        </w:rPr>
        <w:instrText xml:space="preserve"> HYPERLINK \l "_Toc14128" </w:instrText>
      </w:r>
      <w:r>
        <w:rPr>
          <w:highlight w:val="none"/>
        </w:rPr>
        <w:fldChar w:fldCharType="separate"/>
      </w:r>
      <w:r>
        <w:rPr>
          <w:rFonts w:ascii="Times New Roman" w:hAnsi="Times New Roman" w:eastAsia="仿宋_GB2312" w:cs="Times New Roman"/>
          <w:highlight w:val="none"/>
        </w:rPr>
        <w:t>附件1-2：报备文件与对外披露文件一致的承诺函</w:t>
      </w:r>
      <w:r>
        <w:rPr>
          <w:rFonts w:ascii="Times New Roman" w:hAnsi="Times New Roman" w:cs="Times New Roman"/>
          <w:highlight w:val="none"/>
        </w:rPr>
        <w:tab/>
      </w:r>
      <w:r>
        <w:rPr>
          <w:rFonts w:ascii="Times New Roman" w:hAnsi="Times New Roman" w:cs="Times New Roman"/>
          <w:highlight w:val="none"/>
        </w:rPr>
        <w:fldChar w:fldCharType="begin"/>
      </w:r>
      <w:r>
        <w:rPr>
          <w:rFonts w:ascii="Times New Roman" w:hAnsi="Times New Roman" w:cs="Times New Roman"/>
          <w:highlight w:val="none"/>
        </w:rPr>
        <w:instrText xml:space="preserve"> PAGEREF _Toc14128 \h </w:instrText>
      </w:r>
      <w:r>
        <w:rPr>
          <w:rFonts w:ascii="Times New Roman" w:hAnsi="Times New Roman" w:cs="Times New Roman"/>
          <w:highlight w:val="none"/>
        </w:rPr>
        <w:fldChar w:fldCharType="separate"/>
      </w:r>
      <w:r>
        <w:rPr>
          <w:rFonts w:ascii="Times New Roman" w:hAnsi="Times New Roman" w:cs="Times New Roman"/>
          <w:highlight w:val="none"/>
        </w:rPr>
        <w:t>37</w:t>
      </w:r>
      <w:r>
        <w:rPr>
          <w:rFonts w:ascii="Times New Roman" w:hAnsi="Times New Roman" w:cs="Times New Roman"/>
          <w:highlight w:val="none"/>
        </w:rPr>
        <w:fldChar w:fldCharType="end"/>
      </w:r>
      <w:r>
        <w:rPr>
          <w:rFonts w:ascii="Times New Roman" w:hAnsi="Times New Roman" w:cs="Times New Roman"/>
          <w:highlight w:val="none"/>
        </w:rPr>
        <w:fldChar w:fldCharType="end"/>
      </w:r>
    </w:p>
    <w:p w14:paraId="3A2C7D17">
      <w:pPr>
        <w:pStyle w:val="8"/>
        <w:tabs>
          <w:tab w:val="right" w:leader="dot" w:pos="8306"/>
        </w:tabs>
        <w:rPr>
          <w:rFonts w:ascii="Times New Roman" w:hAnsi="Times New Roman" w:cs="Times New Roman"/>
          <w:highlight w:val="none"/>
        </w:rPr>
      </w:pPr>
      <w:r>
        <w:rPr>
          <w:highlight w:val="none"/>
        </w:rPr>
        <w:fldChar w:fldCharType="begin"/>
      </w:r>
      <w:r>
        <w:rPr>
          <w:highlight w:val="none"/>
        </w:rPr>
        <w:instrText xml:space="preserve"> HYPERLINK \l "_Toc23448" </w:instrText>
      </w:r>
      <w:r>
        <w:rPr>
          <w:highlight w:val="none"/>
        </w:rPr>
        <w:fldChar w:fldCharType="separate"/>
      </w:r>
      <w:r>
        <w:rPr>
          <w:rFonts w:ascii="Times New Roman" w:hAnsi="Times New Roman" w:eastAsia="仿宋_GB2312" w:cs="Times New Roman"/>
          <w:highlight w:val="none"/>
        </w:rPr>
        <w:t>附件1-3：</w:t>
      </w:r>
      <w:r>
        <w:rPr>
          <w:rFonts w:hint="eastAsia" w:ascii="Times New Roman" w:hAnsi="Times New Roman" w:eastAsia="仿宋_GB2312" w:cs="Times New Roman"/>
          <w:highlight w:val="none"/>
        </w:rPr>
        <w:t>REITs新增场内份额限售申请</w:t>
      </w:r>
      <w:r>
        <w:rPr>
          <w:rFonts w:ascii="Times New Roman" w:hAnsi="Times New Roman" w:cs="Times New Roman"/>
          <w:highlight w:val="none"/>
        </w:rPr>
        <w:tab/>
      </w:r>
      <w:r>
        <w:rPr>
          <w:rFonts w:ascii="Times New Roman" w:hAnsi="Times New Roman" w:cs="Times New Roman"/>
          <w:highlight w:val="none"/>
        </w:rPr>
        <w:fldChar w:fldCharType="begin"/>
      </w:r>
      <w:r>
        <w:rPr>
          <w:rFonts w:ascii="Times New Roman" w:hAnsi="Times New Roman" w:cs="Times New Roman"/>
          <w:highlight w:val="none"/>
        </w:rPr>
        <w:instrText xml:space="preserve"> PAGEREF _Toc23448 \h </w:instrText>
      </w:r>
      <w:r>
        <w:rPr>
          <w:rFonts w:ascii="Times New Roman" w:hAnsi="Times New Roman" w:cs="Times New Roman"/>
          <w:highlight w:val="none"/>
        </w:rPr>
        <w:fldChar w:fldCharType="separate"/>
      </w:r>
      <w:r>
        <w:rPr>
          <w:rFonts w:ascii="Times New Roman" w:hAnsi="Times New Roman" w:cs="Times New Roman"/>
          <w:highlight w:val="none"/>
        </w:rPr>
        <w:t>38</w:t>
      </w:r>
      <w:r>
        <w:rPr>
          <w:rFonts w:ascii="Times New Roman" w:hAnsi="Times New Roman" w:cs="Times New Roman"/>
          <w:highlight w:val="none"/>
        </w:rPr>
        <w:fldChar w:fldCharType="end"/>
      </w:r>
      <w:r>
        <w:rPr>
          <w:rFonts w:ascii="Times New Roman" w:hAnsi="Times New Roman" w:cs="Times New Roman"/>
          <w:highlight w:val="none"/>
        </w:rPr>
        <w:fldChar w:fldCharType="end"/>
      </w:r>
    </w:p>
    <w:p w14:paraId="57C7BCFC">
      <w:pPr>
        <w:pStyle w:val="8"/>
        <w:tabs>
          <w:tab w:val="right" w:leader="dot" w:pos="8306"/>
        </w:tabs>
        <w:rPr>
          <w:rFonts w:ascii="Times New Roman" w:hAnsi="Times New Roman" w:cs="Times New Roman"/>
          <w:highlight w:val="none"/>
        </w:rPr>
      </w:pPr>
      <w:r>
        <w:rPr>
          <w:highlight w:val="none"/>
        </w:rPr>
        <w:fldChar w:fldCharType="begin"/>
      </w:r>
      <w:r>
        <w:rPr>
          <w:highlight w:val="none"/>
        </w:rPr>
        <w:instrText xml:space="preserve"> HYPERLINK \l "_Toc20374" </w:instrText>
      </w:r>
      <w:r>
        <w:rPr>
          <w:highlight w:val="none"/>
        </w:rPr>
        <w:fldChar w:fldCharType="separate"/>
      </w:r>
      <w:r>
        <w:rPr>
          <w:rFonts w:ascii="Times New Roman" w:hAnsi="Times New Roman" w:eastAsia="仿宋_GB2312" w:cs="Times New Roman"/>
          <w:highlight w:val="none"/>
        </w:rPr>
        <w:t>附件1-4：</w:t>
      </w:r>
      <w:r>
        <w:rPr>
          <w:rFonts w:hint="eastAsia" w:ascii="Times New Roman" w:hAnsi="Times New Roman" w:eastAsia="仿宋_GB2312" w:cs="Times New Roman"/>
          <w:highlight w:val="none"/>
        </w:rPr>
        <w:t>REITs场外份额锁定申请表</w:t>
      </w:r>
      <w:r>
        <w:rPr>
          <w:rFonts w:ascii="Times New Roman" w:hAnsi="Times New Roman" w:cs="Times New Roman"/>
          <w:highlight w:val="none"/>
        </w:rPr>
        <w:tab/>
      </w:r>
      <w:r>
        <w:rPr>
          <w:rFonts w:ascii="Times New Roman" w:hAnsi="Times New Roman" w:cs="Times New Roman"/>
          <w:highlight w:val="none"/>
        </w:rPr>
        <w:fldChar w:fldCharType="begin"/>
      </w:r>
      <w:r>
        <w:rPr>
          <w:rFonts w:ascii="Times New Roman" w:hAnsi="Times New Roman" w:cs="Times New Roman"/>
          <w:highlight w:val="none"/>
        </w:rPr>
        <w:instrText xml:space="preserve"> PAGEREF _Toc20374 \h </w:instrText>
      </w:r>
      <w:r>
        <w:rPr>
          <w:rFonts w:ascii="Times New Roman" w:hAnsi="Times New Roman" w:cs="Times New Roman"/>
          <w:highlight w:val="none"/>
        </w:rPr>
        <w:fldChar w:fldCharType="separate"/>
      </w:r>
      <w:r>
        <w:rPr>
          <w:rFonts w:ascii="Times New Roman" w:hAnsi="Times New Roman" w:cs="Times New Roman"/>
          <w:highlight w:val="none"/>
        </w:rPr>
        <w:t>39</w:t>
      </w:r>
      <w:r>
        <w:rPr>
          <w:rFonts w:ascii="Times New Roman" w:hAnsi="Times New Roman" w:cs="Times New Roman"/>
          <w:highlight w:val="none"/>
        </w:rPr>
        <w:fldChar w:fldCharType="end"/>
      </w:r>
      <w:r>
        <w:rPr>
          <w:rFonts w:ascii="Times New Roman" w:hAnsi="Times New Roman" w:cs="Times New Roman"/>
          <w:highlight w:val="none"/>
        </w:rPr>
        <w:fldChar w:fldCharType="end"/>
      </w:r>
    </w:p>
    <w:p w14:paraId="24AA0363">
      <w:pPr>
        <w:pStyle w:val="8"/>
        <w:tabs>
          <w:tab w:val="right" w:leader="dot" w:pos="8306"/>
        </w:tabs>
        <w:rPr>
          <w:rFonts w:ascii="Times New Roman" w:hAnsi="Times New Roman" w:cs="Times New Roman"/>
          <w:highlight w:val="none"/>
        </w:rPr>
      </w:pPr>
      <w:r>
        <w:rPr>
          <w:highlight w:val="none"/>
        </w:rPr>
        <w:fldChar w:fldCharType="begin"/>
      </w:r>
      <w:r>
        <w:rPr>
          <w:highlight w:val="none"/>
        </w:rPr>
        <w:instrText xml:space="preserve"> HYPERLINK \l "_Toc24297" </w:instrText>
      </w:r>
      <w:r>
        <w:rPr>
          <w:highlight w:val="none"/>
        </w:rPr>
        <w:fldChar w:fldCharType="separate"/>
      </w:r>
      <w:r>
        <w:rPr>
          <w:rFonts w:ascii="Times New Roman" w:hAnsi="Times New Roman" w:eastAsia="仿宋_GB2312" w:cs="Times New Roman"/>
          <w:highlight w:val="none"/>
        </w:rPr>
        <w:t>附件1-5：扩募份额上市申请书</w:t>
      </w:r>
      <w:r>
        <w:rPr>
          <w:rFonts w:ascii="Times New Roman" w:hAnsi="Times New Roman" w:cs="Times New Roman"/>
          <w:highlight w:val="none"/>
        </w:rPr>
        <w:tab/>
      </w:r>
      <w:r>
        <w:rPr>
          <w:rFonts w:ascii="Times New Roman" w:hAnsi="Times New Roman" w:cs="Times New Roman"/>
          <w:highlight w:val="none"/>
        </w:rPr>
        <w:fldChar w:fldCharType="begin"/>
      </w:r>
      <w:r>
        <w:rPr>
          <w:rFonts w:ascii="Times New Roman" w:hAnsi="Times New Roman" w:cs="Times New Roman"/>
          <w:highlight w:val="none"/>
        </w:rPr>
        <w:instrText xml:space="preserve"> PAGEREF _Toc24297 \h </w:instrText>
      </w:r>
      <w:r>
        <w:rPr>
          <w:rFonts w:ascii="Times New Roman" w:hAnsi="Times New Roman" w:cs="Times New Roman"/>
          <w:highlight w:val="none"/>
        </w:rPr>
        <w:fldChar w:fldCharType="separate"/>
      </w:r>
      <w:r>
        <w:rPr>
          <w:rFonts w:ascii="Times New Roman" w:hAnsi="Times New Roman" w:cs="Times New Roman"/>
          <w:highlight w:val="none"/>
        </w:rPr>
        <w:t>41</w:t>
      </w:r>
      <w:r>
        <w:rPr>
          <w:rFonts w:ascii="Times New Roman" w:hAnsi="Times New Roman" w:cs="Times New Roman"/>
          <w:highlight w:val="none"/>
        </w:rPr>
        <w:fldChar w:fldCharType="end"/>
      </w:r>
      <w:r>
        <w:rPr>
          <w:rFonts w:ascii="Times New Roman" w:hAnsi="Times New Roman" w:cs="Times New Roman"/>
          <w:highlight w:val="none"/>
        </w:rPr>
        <w:fldChar w:fldCharType="end"/>
      </w:r>
    </w:p>
    <w:p w14:paraId="2950BFC3">
      <w:pPr>
        <w:pStyle w:val="15"/>
        <w:tabs>
          <w:tab w:val="right" w:leader="dot" w:pos="8306"/>
        </w:tabs>
        <w:rPr>
          <w:rFonts w:ascii="Times New Roman" w:hAnsi="Times New Roman" w:cs="Times New Roman"/>
          <w:highlight w:val="none"/>
        </w:rPr>
      </w:pPr>
      <w:r>
        <w:rPr>
          <w:highlight w:val="none"/>
        </w:rPr>
        <w:fldChar w:fldCharType="begin"/>
      </w:r>
      <w:r>
        <w:rPr>
          <w:highlight w:val="none"/>
        </w:rPr>
        <w:instrText xml:space="preserve"> HYPERLINK \l "_Toc575" </w:instrText>
      </w:r>
      <w:r>
        <w:rPr>
          <w:highlight w:val="none"/>
        </w:rPr>
        <w:fldChar w:fldCharType="separate"/>
      </w:r>
      <w:r>
        <w:rPr>
          <w:rFonts w:ascii="Times New Roman" w:hAnsi="Times New Roman" w:eastAsia="黑体" w:cs="Times New Roman"/>
          <w:szCs w:val="30"/>
          <w:highlight w:val="none"/>
        </w:rPr>
        <w:t>二、公告文件类别及要素</w:t>
      </w:r>
      <w:r>
        <w:rPr>
          <w:rFonts w:ascii="Times New Roman" w:hAnsi="Times New Roman" w:cs="Times New Roman"/>
          <w:highlight w:val="none"/>
        </w:rPr>
        <w:tab/>
      </w:r>
      <w:r>
        <w:rPr>
          <w:rFonts w:ascii="Times New Roman" w:hAnsi="Times New Roman" w:cs="Times New Roman"/>
          <w:highlight w:val="none"/>
        </w:rPr>
        <w:fldChar w:fldCharType="begin"/>
      </w:r>
      <w:r>
        <w:rPr>
          <w:rFonts w:ascii="Times New Roman" w:hAnsi="Times New Roman" w:cs="Times New Roman"/>
          <w:highlight w:val="none"/>
        </w:rPr>
        <w:instrText xml:space="preserve"> PAGEREF _Toc575 \h </w:instrText>
      </w:r>
      <w:r>
        <w:rPr>
          <w:rFonts w:ascii="Times New Roman" w:hAnsi="Times New Roman" w:cs="Times New Roman"/>
          <w:highlight w:val="none"/>
        </w:rPr>
        <w:fldChar w:fldCharType="separate"/>
      </w:r>
      <w:r>
        <w:rPr>
          <w:rFonts w:ascii="Times New Roman" w:hAnsi="Times New Roman" w:cs="Times New Roman"/>
          <w:highlight w:val="none"/>
        </w:rPr>
        <w:t>43</w:t>
      </w:r>
      <w:r>
        <w:rPr>
          <w:rFonts w:ascii="Times New Roman" w:hAnsi="Times New Roman" w:cs="Times New Roman"/>
          <w:highlight w:val="none"/>
        </w:rPr>
        <w:fldChar w:fldCharType="end"/>
      </w:r>
      <w:r>
        <w:rPr>
          <w:rFonts w:ascii="Times New Roman" w:hAnsi="Times New Roman" w:cs="Times New Roman"/>
          <w:highlight w:val="none"/>
        </w:rPr>
        <w:fldChar w:fldCharType="end"/>
      </w:r>
    </w:p>
    <w:p w14:paraId="19D96AAB">
      <w:pPr>
        <w:pStyle w:val="8"/>
        <w:tabs>
          <w:tab w:val="right" w:leader="dot" w:pos="8306"/>
        </w:tabs>
        <w:rPr>
          <w:rFonts w:ascii="Times New Roman" w:hAnsi="Times New Roman" w:cs="Times New Roman"/>
          <w:highlight w:val="none"/>
        </w:rPr>
      </w:pPr>
      <w:r>
        <w:rPr>
          <w:highlight w:val="none"/>
        </w:rPr>
        <w:fldChar w:fldCharType="begin"/>
      </w:r>
      <w:r>
        <w:rPr>
          <w:highlight w:val="none"/>
        </w:rPr>
        <w:instrText xml:space="preserve"> HYPERLINK \l "_Toc10944" </w:instrText>
      </w:r>
      <w:r>
        <w:rPr>
          <w:highlight w:val="none"/>
        </w:rPr>
        <w:fldChar w:fldCharType="separate"/>
      </w:r>
      <w:r>
        <w:rPr>
          <w:rFonts w:ascii="Times New Roman" w:hAnsi="Times New Roman" w:eastAsia="仿宋_GB2312" w:cs="Times New Roman"/>
          <w:highlight w:val="none"/>
        </w:rPr>
        <w:t>附件2-1：向不特定对象扩募信息披露公告类别</w:t>
      </w:r>
      <w:r>
        <w:rPr>
          <w:rFonts w:ascii="Times New Roman" w:hAnsi="Times New Roman" w:cs="Times New Roman"/>
          <w:highlight w:val="none"/>
        </w:rPr>
        <w:tab/>
      </w:r>
      <w:r>
        <w:rPr>
          <w:rFonts w:ascii="Times New Roman" w:hAnsi="Times New Roman" w:cs="Times New Roman"/>
          <w:highlight w:val="none"/>
        </w:rPr>
        <w:fldChar w:fldCharType="begin"/>
      </w:r>
      <w:r>
        <w:rPr>
          <w:rFonts w:ascii="Times New Roman" w:hAnsi="Times New Roman" w:cs="Times New Roman"/>
          <w:highlight w:val="none"/>
        </w:rPr>
        <w:instrText xml:space="preserve"> PAGEREF _Toc10944 \h </w:instrText>
      </w:r>
      <w:r>
        <w:rPr>
          <w:rFonts w:ascii="Times New Roman" w:hAnsi="Times New Roman" w:cs="Times New Roman"/>
          <w:highlight w:val="none"/>
        </w:rPr>
        <w:fldChar w:fldCharType="separate"/>
      </w:r>
      <w:r>
        <w:rPr>
          <w:rFonts w:ascii="Times New Roman" w:hAnsi="Times New Roman" w:cs="Times New Roman"/>
          <w:highlight w:val="none"/>
        </w:rPr>
        <w:t>43</w:t>
      </w:r>
      <w:r>
        <w:rPr>
          <w:rFonts w:ascii="Times New Roman" w:hAnsi="Times New Roman" w:cs="Times New Roman"/>
          <w:highlight w:val="none"/>
        </w:rPr>
        <w:fldChar w:fldCharType="end"/>
      </w:r>
      <w:r>
        <w:rPr>
          <w:rFonts w:ascii="Times New Roman" w:hAnsi="Times New Roman" w:cs="Times New Roman"/>
          <w:highlight w:val="none"/>
        </w:rPr>
        <w:fldChar w:fldCharType="end"/>
      </w:r>
    </w:p>
    <w:p w14:paraId="44DDD8E5">
      <w:pPr>
        <w:pStyle w:val="8"/>
        <w:tabs>
          <w:tab w:val="right" w:leader="dot" w:pos="8306"/>
        </w:tabs>
        <w:rPr>
          <w:rFonts w:ascii="Times New Roman" w:hAnsi="Times New Roman" w:cs="Times New Roman"/>
          <w:highlight w:val="none"/>
        </w:rPr>
      </w:pPr>
      <w:r>
        <w:rPr>
          <w:highlight w:val="none"/>
        </w:rPr>
        <w:fldChar w:fldCharType="begin"/>
      </w:r>
      <w:r>
        <w:rPr>
          <w:highlight w:val="none"/>
        </w:rPr>
        <w:instrText xml:space="preserve"> HYPERLINK \l "_Toc9826" </w:instrText>
      </w:r>
      <w:r>
        <w:rPr>
          <w:highlight w:val="none"/>
        </w:rPr>
        <w:fldChar w:fldCharType="separate"/>
      </w:r>
      <w:r>
        <w:rPr>
          <w:rFonts w:ascii="Times New Roman" w:hAnsi="Times New Roman" w:eastAsia="仿宋_GB2312" w:cs="Times New Roman"/>
          <w:highlight w:val="none"/>
        </w:rPr>
        <w:t>附件2-2：《拟购入</w:t>
      </w:r>
      <w:r>
        <w:rPr>
          <w:rFonts w:hint="eastAsia" w:ascii="Times New Roman" w:hAnsi="Times New Roman" w:eastAsia="仿宋_GB2312" w:cs="Times New Roman"/>
          <w:highlight w:val="none"/>
        </w:rPr>
        <w:t>不动产</w:t>
      </w:r>
      <w:r>
        <w:rPr>
          <w:rFonts w:ascii="Times New Roman" w:hAnsi="Times New Roman" w:eastAsia="仿宋_GB2312" w:cs="Times New Roman"/>
          <w:highlight w:val="none"/>
        </w:rPr>
        <w:t>项目的决定公告》必备要素</w:t>
      </w:r>
      <w:r>
        <w:rPr>
          <w:rFonts w:ascii="Times New Roman" w:hAnsi="Times New Roman" w:cs="Times New Roman"/>
          <w:highlight w:val="none"/>
        </w:rPr>
        <w:tab/>
      </w:r>
      <w:r>
        <w:rPr>
          <w:rFonts w:ascii="Times New Roman" w:hAnsi="Times New Roman" w:cs="Times New Roman"/>
          <w:highlight w:val="none"/>
        </w:rPr>
        <w:fldChar w:fldCharType="begin"/>
      </w:r>
      <w:r>
        <w:rPr>
          <w:rFonts w:ascii="Times New Roman" w:hAnsi="Times New Roman" w:cs="Times New Roman"/>
          <w:highlight w:val="none"/>
        </w:rPr>
        <w:instrText xml:space="preserve"> PAGEREF _Toc9826 \h </w:instrText>
      </w:r>
      <w:r>
        <w:rPr>
          <w:rFonts w:ascii="Times New Roman" w:hAnsi="Times New Roman" w:cs="Times New Roman"/>
          <w:highlight w:val="none"/>
        </w:rPr>
        <w:fldChar w:fldCharType="separate"/>
      </w:r>
      <w:r>
        <w:rPr>
          <w:rFonts w:ascii="Times New Roman" w:hAnsi="Times New Roman" w:cs="Times New Roman"/>
          <w:highlight w:val="none"/>
        </w:rPr>
        <w:t>45</w:t>
      </w:r>
      <w:r>
        <w:rPr>
          <w:rFonts w:ascii="Times New Roman" w:hAnsi="Times New Roman" w:cs="Times New Roman"/>
          <w:highlight w:val="none"/>
        </w:rPr>
        <w:fldChar w:fldCharType="end"/>
      </w:r>
      <w:r>
        <w:rPr>
          <w:rFonts w:ascii="Times New Roman" w:hAnsi="Times New Roman" w:cs="Times New Roman"/>
          <w:highlight w:val="none"/>
        </w:rPr>
        <w:fldChar w:fldCharType="end"/>
      </w:r>
    </w:p>
    <w:p w14:paraId="0DD69A91">
      <w:pPr>
        <w:pStyle w:val="8"/>
        <w:tabs>
          <w:tab w:val="right" w:leader="dot" w:pos="8306"/>
        </w:tabs>
        <w:rPr>
          <w:rFonts w:ascii="Times New Roman" w:hAnsi="Times New Roman" w:cs="Times New Roman"/>
          <w:highlight w:val="none"/>
        </w:rPr>
      </w:pPr>
      <w:r>
        <w:rPr>
          <w:highlight w:val="none"/>
        </w:rPr>
        <w:fldChar w:fldCharType="begin"/>
      </w:r>
      <w:r>
        <w:rPr>
          <w:highlight w:val="none"/>
        </w:rPr>
        <w:instrText xml:space="preserve"> HYPERLINK \l "_Toc3579" </w:instrText>
      </w:r>
      <w:r>
        <w:rPr>
          <w:highlight w:val="none"/>
        </w:rPr>
        <w:fldChar w:fldCharType="separate"/>
      </w:r>
      <w:r>
        <w:rPr>
          <w:rFonts w:ascii="Times New Roman" w:hAnsi="Times New Roman" w:eastAsia="仿宋_GB2312" w:cs="Times New Roman"/>
          <w:highlight w:val="none"/>
        </w:rPr>
        <w:t>附件2-3：《产品变更草案》必备要素</w:t>
      </w:r>
      <w:r>
        <w:rPr>
          <w:rFonts w:ascii="Times New Roman" w:hAnsi="Times New Roman" w:cs="Times New Roman"/>
          <w:highlight w:val="none"/>
        </w:rPr>
        <w:tab/>
      </w:r>
      <w:r>
        <w:rPr>
          <w:rFonts w:ascii="Times New Roman" w:hAnsi="Times New Roman" w:cs="Times New Roman"/>
          <w:highlight w:val="none"/>
        </w:rPr>
        <w:fldChar w:fldCharType="begin"/>
      </w:r>
      <w:r>
        <w:rPr>
          <w:rFonts w:ascii="Times New Roman" w:hAnsi="Times New Roman" w:cs="Times New Roman"/>
          <w:highlight w:val="none"/>
        </w:rPr>
        <w:instrText xml:space="preserve"> PAGEREF _Toc3579 \h </w:instrText>
      </w:r>
      <w:r>
        <w:rPr>
          <w:rFonts w:ascii="Times New Roman" w:hAnsi="Times New Roman" w:cs="Times New Roman"/>
          <w:highlight w:val="none"/>
        </w:rPr>
        <w:fldChar w:fldCharType="separate"/>
      </w:r>
      <w:r>
        <w:rPr>
          <w:rFonts w:ascii="Times New Roman" w:hAnsi="Times New Roman" w:cs="Times New Roman"/>
          <w:highlight w:val="none"/>
        </w:rPr>
        <w:t>46</w:t>
      </w:r>
      <w:r>
        <w:rPr>
          <w:rFonts w:ascii="Times New Roman" w:hAnsi="Times New Roman" w:cs="Times New Roman"/>
          <w:highlight w:val="none"/>
        </w:rPr>
        <w:fldChar w:fldCharType="end"/>
      </w:r>
      <w:r>
        <w:rPr>
          <w:rFonts w:ascii="Times New Roman" w:hAnsi="Times New Roman" w:cs="Times New Roman"/>
          <w:highlight w:val="none"/>
        </w:rPr>
        <w:fldChar w:fldCharType="end"/>
      </w:r>
    </w:p>
    <w:p w14:paraId="7CF46A30">
      <w:pPr>
        <w:pStyle w:val="8"/>
        <w:tabs>
          <w:tab w:val="right" w:leader="dot" w:pos="8306"/>
        </w:tabs>
        <w:rPr>
          <w:rFonts w:ascii="Times New Roman" w:hAnsi="Times New Roman" w:cs="Times New Roman"/>
          <w:highlight w:val="none"/>
        </w:rPr>
      </w:pPr>
      <w:r>
        <w:rPr>
          <w:highlight w:val="none"/>
        </w:rPr>
        <w:fldChar w:fldCharType="begin"/>
      </w:r>
      <w:r>
        <w:rPr>
          <w:highlight w:val="none"/>
        </w:rPr>
        <w:instrText xml:space="preserve"> HYPERLINK \l "_Toc23013" </w:instrText>
      </w:r>
      <w:r>
        <w:rPr>
          <w:highlight w:val="none"/>
        </w:rPr>
        <w:fldChar w:fldCharType="separate"/>
      </w:r>
      <w:r>
        <w:rPr>
          <w:rFonts w:ascii="Times New Roman" w:hAnsi="Times New Roman" w:eastAsia="仿宋_GB2312" w:cs="Times New Roman"/>
          <w:highlight w:val="none"/>
        </w:rPr>
        <w:t>附件2-4：《扩募方案草案》必备要素</w:t>
      </w:r>
      <w:r>
        <w:rPr>
          <w:rFonts w:ascii="Times New Roman" w:hAnsi="Times New Roman" w:cs="Times New Roman"/>
          <w:highlight w:val="none"/>
        </w:rPr>
        <w:tab/>
      </w:r>
      <w:r>
        <w:rPr>
          <w:rFonts w:ascii="Times New Roman" w:hAnsi="Times New Roman" w:cs="Times New Roman"/>
          <w:highlight w:val="none"/>
        </w:rPr>
        <w:fldChar w:fldCharType="begin"/>
      </w:r>
      <w:r>
        <w:rPr>
          <w:rFonts w:ascii="Times New Roman" w:hAnsi="Times New Roman" w:cs="Times New Roman"/>
          <w:highlight w:val="none"/>
        </w:rPr>
        <w:instrText xml:space="preserve"> PAGEREF _Toc23013 \h </w:instrText>
      </w:r>
      <w:r>
        <w:rPr>
          <w:rFonts w:ascii="Times New Roman" w:hAnsi="Times New Roman" w:cs="Times New Roman"/>
          <w:highlight w:val="none"/>
        </w:rPr>
        <w:fldChar w:fldCharType="separate"/>
      </w:r>
      <w:r>
        <w:rPr>
          <w:rFonts w:ascii="Times New Roman" w:hAnsi="Times New Roman" w:cs="Times New Roman"/>
          <w:highlight w:val="none"/>
        </w:rPr>
        <w:t>47</w:t>
      </w:r>
      <w:r>
        <w:rPr>
          <w:rFonts w:ascii="Times New Roman" w:hAnsi="Times New Roman" w:cs="Times New Roman"/>
          <w:highlight w:val="none"/>
        </w:rPr>
        <w:fldChar w:fldCharType="end"/>
      </w:r>
      <w:r>
        <w:rPr>
          <w:rFonts w:ascii="Times New Roman" w:hAnsi="Times New Roman" w:cs="Times New Roman"/>
          <w:highlight w:val="none"/>
        </w:rPr>
        <w:fldChar w:fldCharType="end"/>
      </w:r>
    </w:p>
    <w:p w14:paraId="479AB883">
      <w:pPr>
        <w:pStyle w:val="8"/>
        <w:tabs>
          <w:tab w:val="right" w:leader="dot" w:pos="8306"/>
        </w:tabs>
        <w:rPr>
          <w:rFonts w:ascii="Times New Roman" w:hAnsi="Times New Roman" w:cs="Times New Roman"/>
          <w:highlight w:val="none"/>
        </w:rPr>
      </w:pPr>
      <w:r>
        <w:rPr>
          <w:highlight w:val="none"/>
        </w:rPr>
        <w:fldChar w:fldCharType="begin"/>
      </w:r>
      <w:r>
        <w:rPr>
          <w:highlight w:val="none"/>
        </w:rPr>
        <w:instrText xml:space="preserve"> HYPERLINK \l "_Toc30588" </w:instrText>
      </w:r>
      <w:r>
        <w:rPr>
          <w:highlight w:val="none"/>
        </w:rPr>
        <w:fldChar w:fldCharType="separate"/>
      </w:r>
      <w:r>
        <w:rPr>
          <w:rFonts w:ascii="Times New Roman" w:hAnsi="Times New Roman" w:eastAsia="仿宋_GB2312" w:cs="Times New Roman"/>
          <w:highlight w:val="none"/>
        </w:rPr>
        <w:t>附件2-5：《拟购入不动产项目的进展情况公告》必备要素</w:t>
      </w:r>
      <w:r>
        <w:rPr>
          <w:rFonts w:ascii="Times New Roman" w:hAnsi="Times New Roman" w:cs="Times New Roman"/>
          <w:highlight w:val="none"/>
        </w:rPr>
        <w:tab/>
      </w:r>
      <w:r>
        <w:rPr>
          <w:rFonts w:ascii="Times New Roman" w:hAnsi="Times New Roman" w:cs="Times New Roman"/>
          <w:highlight w:val="none"/>
        </w:rPr>
        <w:fldChar w:fldCharType="begin"/>
      </w:r>
      <w:r>
        <w:rPr>
          <w:rFonts w:ascii="Times New Roman" w:hAnsi="Times New Roman" w:cs="Times New Roman"/>
          <w:highlight w:val="none"/>
        </w:rPr>
        <w:instrText xml:space="preserve"> PAGEREF _Toc30588 \h </w:instrText>
      </w:r>
      <w:r>
        <w:rPr>
          <w:rFonts w:ascii="Times New Roman" w:hAnsi="Times New Roman" w:cs="Times New Roman"/>
          <w:highlight w:val="none"/>
        </w:rPr>
        <w:fldChar w:fldCharType="separate"/>
      </w:r>
      <w:r>
        <w:rPr>
          <w:rFonts w:ascii="Times New Roman" w:hAnsi="Times New Roman" w:cs="Times New Roman"/>
          <w:highlight w:val="none"/>
        </w:rPr>
        <w:t>49</w:t>
      </w:r>
      <w:r>
        <w:rPr>
          <w:rFonts w:ascii="Times New Roman" w:hAnsi="Times New Roman" w:cs="Times New Roman"/>
          <w:highlight w:val="none"/>
        </w:rPr>
        <w:fldChar w:fldCharType="end"/>
      </w:r>
      <w:r>
        <w:rPr>
          <w:rFonts w:ascii="Times New Roman" w:hAnsi="Times New Roman" w:cs="Times New Roman"/>
          <w:highlight w:val="none"/>
        </w:rPr>
        <w:fldChar w:fldCharType="end"/>
      </w:r>
    </w:p>
    <w:p w14:paraId="15A543D9">
      <w:pPr>
        <w:pStyle w:val="8"/>
        <w:tabs>
          <w:tab w:val="right" w:leader="dot" w:pos="8306"/>
        </w:tabs>
        <w:rPr>
          <w:rFonts w:ascii="Times New Roman" w:hAnsi="Times New Roman" w:cs="Times New Roman"/>
          <w:highlight w:val="none"/>
        </w:rPr>
      </w:pPr>
      <w:r>
        <w:rPr>
          <w:highlight w:val="none"/>
        </w:rPr>
        <w:fldChar w:fldCharType="begin"/>
      </w:r>
      <w:r>
        <w:rPr>
          <w:highlight w:val="none"/>
        </w:rPr>
        <w:instrText xml:space="preserve"> HYPERLINK \l "_Toc15975" </w:instrText>
      </w:r>
      <w:r>
        <w:rPr>
          <w:highlight w:val="none"/>
        </w:rPr>
        <w:fldChar w:fldCharType="separate"/>
      </w:r>
      <w:r>
        <w:rPr>
          <w:rFonts w:ascii="Times New Roman" w:hAnsi="Times New Roman" w:eastAsia="仿宋_GB2312" w:cs="Times New Roman"/>
          <w:highlight w:val="none"/>
        </w:rPr>
        <w:t>附件2-6：《基金产品变更申请公告》必备要素</w:t>
      </w:r>
      <w:r>
        <w:rPr>
          <w:rFonts w:ascii="Times New Roman" w:hAnsi="Times New Roman" w:cs="Times New Roman"/>
          <w:highlight w:val="none"/>
        </w:rPr>
        <w:tab/>
      </w:r>
      <w:r>
        <w:rPr>
          <w:rFonts w:ascii="Times New Roman" w:hAnsi="Times New Roman" w:cs="Times New Roman"/>
          <w:highlight w:val="none"/>
        </w:rPr>
        <w:fldChar w:fldCharType="begin"/>
      </w:r>
      <w:r>
        <w:rPr>
          <w:rFonts w:ascii="Times New Roman" w:hAnsi="Times New Roman" w:cs="Times New Roman"/>
          <w:highlight w:val="none"/>
        </w:rPr>
        <w:instrText xml:space="preserve"> PAGEREF _Toc15975 \h </w:instrText>
      </w:r>
      <w:r>
        <w:rPr>
          <w:rFonts w:ascii="Times New Roman" w:hAnsi="Times New Roman" w:cs="Times New Roman"/>
          <w:highlight w:val="none"/>
        </w:rPr>
        <w:fldChar w:fldCharType="separate"/>
      </w:r>
      <w:r>
        <w:rPr>
          <w:rFonts w:ascii="Times New Roman" w:hAnsi="Times New Roman" w:cs="Times New Roman"/>
          <w:highlight w:val="none"/>
        </w:rPr>
        <w:t>50</w:t>
      </w:r>
      <w:r>
        <w:rPr>
          <w:rFonts w:ascii="Times New Roman" w:hAnsi="Times New Roman" w:cs="Times New Roman"/>
          <w:highlight w:val="none"/>
        </w:rPr>
        <w:fldChar w:fldCharType="end"/>
      </w:r>
      <w:r>
        <w:rPr>
          <w:rFonts w:ascii="Times New Roman" w:hAnsi="Times New Roman" w:cs="Times New Roman"/>
          <w:highlight w:val="none"/>
        </w:rPr>
        <w:fldChar w:fldCharType="end"/>
      </w:r>
    </w:p>
    <w:p w14:paraId="00288F89">
      <w:pPr>
        <w:pStyle w:val="8"/>
        <w:tabs>
          <w:tab w:val="right" w:leader="dot" w:pos="8306"/>
        </w:tabs>
        <w:rPr>
          <w:rFonts w:ascii="Times New Roman" w:hAnsi="Times New Roman" w:cs="Times New Roman"/>
          <w:highlight w:val="none"/>
        </w:rPr>
      </w:pPr>
      <w:r>
        <w:rPr>
          <w:highlight w:val="none"/>
        </w:rPr>
        <w:fldChar w:fldCharType="begin"/>
      </w:r>
      <w:r>
        <w:rPr>
          <w:highlight w:val="none"/>
        </w:rPr>
        <w:instrText xml:space="preserve"> HYPERLINK \l "_Toc24450" </w:instrText>
      </w:r>
      <w:r>
        <w:rPr>
          <w:highlight w:val="none"/>
        </w:rPr>
        <w:fldChar w:fldCharType="separate"/>
      </w:r>
      <w:r>
        <w:rPr>
          <w:rFonts w:ascii="Times New Roman" w:hAnsi="Times New Roman" w:eastAsia="仿宋_GB2312" w:cs="Times New Roman"/>
          <w:highlight w:val="none"/>
        </w:rPr>
        <w:t>附件2-7：《收到中国证监会/交易所的受理通知书公告》必备要素</w:t>
      </w:r>
      <w:r>
        <w:rPr>
          <w:rFonts w:ascii="Times New Roman" w:hAnsi="Times New Roman" w:cs="Times New Roman"/>
          <w:highlight w:val="none"/>
        </w:rPr>
        <w:tab/>
      </w:r>
      <w:r>
        <w:rPr>
          <w:rFonts w:ascii="Times New Roman" w:hAnsi="Times New Roman" w:cs="Times New Roman"/>
          <w:highlight w:val="none"/>
        </w:rPr>
        <w:fldChar w:fldCharType="begin"/>
      </w:r>
      <w:r>
        <w:rPr>
          <w:rFonts w:ascii="Times New Roman" w:hAnsi="Times New Roman" w:cs="Times New Roman"/>
          <w:highlight w:val="none"/>
        </w:rPr>
        <w:instrText xml:space="preserve"> PAGEREF _Toc24450 \h </w:instrText>
      </w:r>
      <w:r>
        <w:rPr>
          <w:rFonts w:ascii="Times New Roman" w:hAnsi="Times New Roman" w:cs="Times New Roman"/>
          <w:highlight w:val="none"/>
        </w:rPr>
        <w:fldChar w:fldCharType="separate"/>
      </w:r>
      <w:r>
        <w:rPr>
          <w:rFonts w:ascii="Times New Roman" w:hAnsi="Times New Roman" w:cs="Times New Roman"/>
          <w:highlight w:val="none"/>
        </w:rPr>
        <w:t>51</w:t>
      </w:r>
      <w:r>
        <w:rPr>
          <w:rFonts w:ascii="Times New Roman" w:hAnsi="Times New Roman" w:cs="Times New Roman"/>
          <w:highlight w:val="none"/>
        </w:rPr>
        <w:fldChar w:fldCharType="end"/>
      </w:r>
      <w:r>
        <w:rPr>
          <w:rFonts w:ascii="Times New Roman" w:hAnsi="Times New Roman" w:cs="Times New Roman"/>
          <w:highlight w:val="none"/>
        </w:rPr>
        <w:fldChar w:fldCharType="end"/>
      </w:r>
    </w:p>
    <w:p w14:paraId="2F173AFC">
      <w:pPr>
        <w:pStyle w:val="8"/>
        <w:tabs>
          <w:tab w:val="right" w:leader="dot" w:pos="8306"/>
        </w:tabs>
        <w:rPr>
          <w:rFonts w:ascii="Times New Roman" w:hAnsi="Times New Roman" w:cs="Times New Roman"/>
          <w:highlight w:val="none"/>
        </w:rPr>
      </w:pPr>
      <w:r>
        <w:rPr>
          <w:highlight w:val="none"/>
        </w:rPr>
        <w:fldChar w:fldCharType="begin"/>
      </w:r>
      <w:r>
        <w:rPr>
          <w:highlight w:val="none"/>
        </w:rPr>
        <w:instrText xml:space="preserve"> HYPERLINK \l "_Toc23494" </w:instrText>
      </w:r>
      <w:r>
        <w:rPr>
          <w:highlight w:val="none"/>
        </w:rPr>
        <w:fldChar w:fldCharType="separate"/>
      </w:r>
      <w:r>
        <w:rPr>
          <w:rFonts w:ascii="Times New Roman" w:hAnsi="Times New Roman" w:eastAsia="仿宋_GB2312" w:cs="Times New Roman"/>
          <w:highlight w:val="none"/>
        </w:rPr>
        <w:t>附件2-8：《收到交易所问询公告》必备要素</w:t>
      </w:r>
      <w:r>
        <w:rPr>
          <w:rFonts w:ascii="Times New Roman" w:hAnsi="Times New Roman" w:cs="Times New Roman"/>
          <w:highlight w:val="none"/>
        </w:rPr>
        <w:tab/>
      </w:r>
      <w:r>
        <w:rPr>
          <w:rFonts w:ascii="Times New Roman" w:hAnsi="Times New Roman" w:cs="Times New Roman"/>
          <w:highlight w:val="none"/>
        </w:rPr>
        <w:fldChar w:fldCharType="begin"/>
      </w:r>
      <w:r>
        <w:rPr>
          <w:rFonts w:ascii="Times New Roman" w:hAnsi="Times New Roman" w:cs="Times New Roman"/>
          <w:highlight w:val="none"/>
        </w:rPr>
        <w:instrText xml:space="preserve"> PAGEREF _Toc23494 \h </w:instrText>
      </w:r>
      <w:r>
        <w:rPr>
          <w:rFonts w:ascii="Times New Roman" w:hAnsi="Times New Roman" w:cs="Times New Roman"/>
          <w:highlight w:val="none"/>
        </w:rPr>
        <w:fldChar w:fldCharType="separate"/>
      </w:r>
      <w:r>
        <w:rPr>
          <w:rFonts w:ascii="Times New Roman" w:hAnsi="Times New Roman" w:cs="Times New Roman"/>
          <w:highlight w:val="none"/>
        </w:rPr>
        <w:t>52</w:t>
      </w:r>
      <w:r>
        <w:rPr>
          <w:rFonts w:ascii="Times New Roman" w:hAnsi="Times New Roman" w:cs="Times New Roman"/>
          <w:highlight w:val="none"/>
        </w:rPr>
        <w:fldChar w:fldCharType="end"/>
      </w:r>
      <w:r>
        <w:rPr>
          <w:rFonts w:ascii="Times New Roman" w:hAnsi="Times New Roman" w:cs="Times New Roman"/>
          <w:highlight w:val="none"/>
        </w:rPr>
        <w:fldChar w:fldCharType="end"/>
      </w:r>
    </w:p>
    <w:p w14:paraId="293EA294">
      <w:pPr>
        <w:pStyle w:val="8"/>
        <w:tabs>
          <w:tab w:val="right" w:leader="dot" w:pos="8306"/>
        </w:tabs>
        <w:rPr>
          <w:rFonts w:ascii="Times New Roman" w:hAnsi="Times New Roman" w:cs="Times New Roman"/>
          <w:highlight w:val="none"/>
        </w:rPr>
      </w:pPr>
      <w:r>
        <w:rPr>
          <w:highlight w:val="none"/>
        </w:rPr>
        <w:fldChar w:fldCharType="begin"/>
      </w:r>
      <w:r>
        <w:rPr>
          <w:highlight w:val="none"/>
        </w:rPr>
        <w:instrText xml:space="preserve"> HYPERLINK \l "_Toc17581" </w:instrText>
      </w:r>
      <w:r>
        <w:rPr>
          <w:highlight w:val="none"/>
        </w:rPr>
        <w:fldChar w:fldCharType="separate"/>
      </w:r>
      <w:r>
        <w:rPr>
          <w:rFonts w:ascii="Times New Roman" w:hAnsi="Times New Roman" w:eastAsia="仿宋_GB2312" w:cs="Times New Roman"/>
          <w:highlight w:val="none"/>
        </w:rPr>
        <w:t>附件2-9：《提交问询答复及相关文件公告》必备要素</w:t>
      </w:r>
      <w:r>
        <w:rPr>
          <w:rFonts w:ascii="Times New Roman" w:hAnsi="Times New Roman" w:cs="Times New Roman"/>
          <w:highlight w:val="none"/>
        </w:rPr>
        <w:tab/>
      </w:r>
      <w:r>
        <w:rPr>
          <w:rFonts w:ascii="Times New Roman" w:hAnsi="Times New Roman" w:cs="Times New Roman"/>
          <w:highlight w:val="none"/>
        </w:rPr>
        <w:fldChar w:fldCharType="begin"/>
      </w:r>
      <w:r>
        <w:rPr>
          <w:rFonts w:ascii="Times New Roman" w:hAnsi="Times New Roman" w:cs="Times New Roman"/>
          <w:highlight w:val="none"/>
        </w:rPr>
        <w:instrText xml:space="preserve"> PAGEREF _Toc17581 \h </w:instrText>
      </w:r>
      <w:r>
        <w:rPr>
          <w:rFonts w:ascii="Times New Roman" w:hAnsi="Times New Roman" w:cs="Times New Roman"/>
          <w:highlight w:val="none"/>
        </w:rPr>
        <w:fldChar w:fldCharType="separate"/>
      </w:r>
      <w:r>
        <w:rPr>
          <w:rFonts w:ascii="Times New Roman" w:hAnsi="Times New Roman" w:cs="Times New Roman"/>
          <w:highlight w:val="none"/>
        </w:rPr>
        <w:t>53</w:t>
      </w:r>
      <w:r>
        <w:rPr>
          <w:rFonts w:ascii="Times New Roman" w:hAnsi="Times New Roman" w:cs="Times New Roman"/>
          <w:highlight w:val="none"/>
        </w:rPr>
        <w:fldChar w:fldCharType="end"/>
      </w:r>
      <w:r>
        <w:rPr>
          <w:rFonts w:ascii="Times New Roman" w:hAnsi="Times New Roman" w:cs="Times New Roman"/>
          <w:highlight w:val="none"/>
        </w:rPr>
        <w:fldChar w:fldCharType="end"/>
      </w:r>
    </w:p>
    <w:p w14:paraId="62EFBF23">
      <w:pPr>
        <w:pStyle w:val="8"/>
        <w:tabs>
          <w:tab w:val="right" w:leader="dot" w:pos="8306"/>
        </w:tabs>
        <w:rPr>
          <w:rFonts w:ascii="Times New Roman" w:hAnsi="Times New Roman" w:cs="Times New Roman"/>
          <w:highlight w:val="none"/>
        </w:rPr>
      </w:pPr>
      <w:r>
        <w:rPr>
          <w:highlight w:val="none"/>
        </w:rPr>
        <w:fldChar w:fldCharType="begin"/>
      </w:r>
      <w:r>
        <w:rPr>
          <w:highlight w:val="none"/>
        </w:rPr>
        <w:instrText xml:space="preserve"> HYPERLINK \l "_Toc15248" </w:instrText>
      </w:r>
      <w:r>
        <w:rPr>
          <w:highlight w:val="none"/>
        </w:rPr>
        <w:fldChar w:fldCharType="separate"/>
      </w:r>
      <w:r>
        <w:rPr>
          <w:rFonts w:ascii="Times New Roman" w:hAnsi="Times New Roman" w:eastAsia="仿宋_GB2312" w:cs="Times New Roman"/>
          <w:highlight w:val="none"/>
        </w:rPr>
        <w:t>附件2-10：《收到交易所关于变更申请的无异议函/终止审核通知公告》必备要素</w:t>
      </w:r>
      <w:r>
        <w:rPr>
          <w:rFonts w:ascii="Times New Roman" w:hAnsi="Times New Roman" w:cs="Times New Roman"/>
          <w:highlight w:val="none"/>
        </w:rPr>
        <w:tab/>
      </w:r>
      <w:r>
        <w:rPr>
          <w:rFonts w:ascii="Times New Roman" w:hAnsi="Times New Roman" w:cs="Times New Roman"/>
          <w:highlight w:val="none"/>
        </w:rPr>
        <w:fldChar w:fldCharType="begin"/>
      </w:r>
      <w:r>
        <w:rPr>
          <w:rFonts w:ascii="Times New Roman" w:hAnsi="Times New Roman" w:cs="Times New Roman"/>
          <w:highlight w:val="none"/>
        </w:rPr>
        <w:instrText xml:space="preserve"> PAGEREF _Toc15248 \h </w:instrText>
      </w:r>
      <w:r>
        <w:rPr>
          <w:rFonts w:ascii="Times New Roman" w:hAnsi="Times New Roman" w:cs="Times New Roman"/>
          <w:highlight w:val="none"/>
        </w:rPr>
        <w:fldChar w:fldCharType="separate"/>
      </w:r>
      <w:r>
        <w:rPr>
          <w:rFonts w:ascii="Times New Roman" w:hAnsi="Times New Roman" w:cs="Times New Roman"/>
          <w:highlight w:val="none"/>
        </w:rPr>
        <w:t>54</w:t>
      </w:r>
      <w:r>
        <w:rPr>
          <w:rFonts w:ascii="Times New Roman" w:hAnsi="Times New Roman" w:cs="Times New Roman"/>
          <w:highlight w:val="none"/>
        </w:rPr>
        <w:fldChar w:fldCharType="end"/>
      </w:r>
      <w:r>
        <w:rPr>
          <w:rFonts w:ascii="Times New Roman" w:hAnsi="Times New Roman" w:cs="Times New Roman"/>
          <w:highlight w:val="none"/>
        </w:rPr>
        <w:fldChar w:fldCharType="end"/>
      </w:r>
    </w:p>
    <w:p w14:paraId="22848479">
      <w:pPr>
        <w:pStyle w:val="8"/>
        <w:tabs>
          <w:tab w:val="right" w:leader="dot" w:pos="8306"/>
        </w:tabs>
        <w:rPr>
          <w:rFonts w:ascii="Times New Roman" w:hAnsi="Times New Roman" w:cs="Times New Roman"/>
          <w:highlight w:val="none"/>
        </w:rPr>
      </w:pPr>
      <w:r>
        <w:rPr>
          <w:highlight w:val="none"/>
        </w:rPr>
        <w:fldChar w:fldCharType="begin"/>
      </w:r>
      <w:r>
        <w:rPr>
          <w:highlight w:val="none"/>
        </w:rPr>
        <w:instrText xml:space="preserve"> HYPERLINK \l "_Toc8721" </w:instrText>
      </w:r>
      <w:r>
        <w:rPr>
          <w:highlight w:val="none"/>
        </w:rPr>
        <w:fldChar w:fldCharType="separate"/>
      </w:r>
      <w:r>
        <w:rPr>
          <w:rFonts w:ascii="Times New Roman" w:hAnsi="Times New Roman" w:eastAsia="仿宋_GB2312" w:cs="Times New Roman"/>
          <w:highlight w:val="none"/>
        </w:rPr>
        <w:t>附件2-11：《收到中国证监会关于基金变更注册/不予注册的批复公告》必备要素</w:t>
      </w:r>
      <w:r>
        <w:rPr>
          <w:rFonts w:ascii="Times New Roman" w:hAnsi="Times New Roman" w:cs="Times New Roman"/>
          <w:highlight w:val="none"/>
        </w:rPr>
        <w:tab/>
      </w:r>
      <w:r>
        <w:rPr>
          <w:rFonts w:ascii="Times New Roman" w:hAnsi="Times New Roman" w:cs="Times New Roman"/>
          <w:highlight w:val="none"/>
        </w:rPr>
        <w:fldChar w:fldCharType="begin"/>
      </w:r>
      <w:r>
        <w:rPr>
          <w:rFonts w:ascii="Times New Roman" w:hAnsi="Times New Roman" w:cs="Times New Roman"/>
          <w:highlight w:val="none"/>
        </w:rPr>
        <w:instrText xml:space="preserve"> PAGEREF _Toc8721 \h </w:instrText>
      </w:r>
      <w:r>
        <w:rPr>
          <w:rFonts w:ascii="Times New Roman" w:hAnsi="Times New Roman" w:cs="Times New Roman"/>
          <w:highlight w:val="none"/>
        </w:rPr>
        <w:fldChar w:fldCharType="separate"/>
      </w:r>
      <w:r>
        <w:rPr>
          <w:rFonts w:ascii="Times New Roman" w:hAnsi="Times New Roman" w:cs="Times New Roman"/>
          <w:highlight w:val="none"/>
        </w:rPr>
        <w:t>55</w:t>
      </w:r>
      <w:r>
        <w:rPr>
          <w:rFonts w:ascii="Times New Roman" w:hAnsi="Times New Roman" w:cs="Times New Roman"/>
          <w:highlight w:val="none"/>
        </w:rPr>
        <w:fldChar w:fldCharType="end"/>
      </w:r>
      <w:r>
        <w:rPr>
          <w:rFonts w:ascii="Times New Roman" w:hAnsi="Times New Roman" w:cs="Times New Roman"/>
          <w:highlight w:val="none"/>
        </w:rPr>
        <w:fldChar w:fldCharType="end"/>
      </w:r>
    </w:p>
    <w:p w14:paraId="50DAD8DE">
      <w:pPr>
        <w:pStyle w:val="8"/>
        <w:tabs>
          <w:tab w:val="right" w:leader="dot" w:pos="8306"/>
        </w:tabs>
        <w:rPr>
          <w:rFonts w:ascii="Times New Roman" w:hAnsi="Times New Roman" w:cs="Times New Roman"/>
          <w:highlight w:val="none"/>
        </w:rPr>
      </w:pPr>
      <w:r>
        <w:rPr>
          <w:highlight w:val="none"/>
        </w:rPr>
        <w:fldChar w:fldCharType="begin"/>
      </w:r>
      <w:r>
        <w:rPr>
          <w:highlight w:val="none"/>
        </w:rPr>
        <w:instrText xml:space="preserve"> HYPERLINK \l "_Toc11585" </w:instrText>
      </w:r>
      <w:r>
        <w:rPr>
          <w:highlight w:val="none"/>
        </w:rPr>
        <w:fldChar w:fldCharType="separate"/>
      </w:r>
      <w:r>
        <w:rPr>
          <w:rFonts w:ascii="Times New Roman" w:hAnsi="Times New Roman" w:eastAsia="仿宋_GB2312" w:cs="Times New Roman"/>
          <w:highlight w:val="none"/>
        </w:rPr>
        <w:t>附件2-12：《撤回申请公告》必备要素</w:t>
      </w:r>
      <w:r>
        <w:rPr>
          <w:rFonts w:ascii="Times New Roman" w:hAnsi="Times New Roman" w:cs="Times New Roman"/>
          <w:highlight w:val="none"/>
        </w:rPr>
        <w:tab/>
      </w:r>
      <w:r>
        <w:rPr>
          <w:rFonts w:ascii="Times New Roman" w:hAnsi="Times New Roman" w:cs="Times New Roman"/>
          <w:highlight w:val="none"/>
        </w:rPr>
        <w:fldChar w:fldCharType="begin"/>
      </w:r>
      <w:r>
        <w:rPr>
          <w:rFonts w:ascii="Times New Roman" w:hAnsi="Times New Roman" w:cs="Times New Roman"/>
          <w:highlight w:val="none"/>
        </w:rPr>
        <w:instrText xml:space="preserve"> PAGEREF _Toc11585 \h </w:instrText>
      </w:r>
      <w:r>
        <w:rPr>
          <w:rFonts w:ascii="Times New Roman" w:hAnsi="Times New Roman" w:cs="Times New Roman"/>
          <w:highlight w:val="none"/>
        </w:rPr>
        <w:fldChar w:fldCharType="separate"/>
      </w:r>
      <w:r>
        <w:rPr>
          <w:rFonts w:ascii="Times New Roman" w:hAnsi="Times New Roman" w:cs="Times New Roman"/>
          <w:highlight w:val="none"/>
        </w:rPr>
        <w:t>56</w:t>
      </w:r>
      <w:r>
        <w:rPr>
          <w:rFonts w:ascii="Times New Roman" w:hAnsi="Times New Roman" w:cs="Times New Roman"/>
          <w:highlight w:val="none"/>
        </w:rPr>
        <w:fldChar w:fldCharType="end"/>
      </w:r>
      <w:r>
        <w:rPr>
          <w:rFonts w:ascii="Times New Roman" w:hAnsi="Times New Roman" w:cs="Times New Roman"/>
          <w:highlight w:val="none"/>
        </w:rPr>
        <w:fldChar w:fldCharType="end"/>
      </w:r>
    </w:p>
    <w:p w14:paraId="76BE9E5A">
      <w:pPr>
        <w:pStyle w:val="8"/>
        <w:tabs>
          <w:tab w:val="right" w:leader="dot" w:pos="8306"/>
        </w:tabs>
        <w:rPr>
          <w:rFonts w:ascii="Times New Roman" w:hAnsi="Times New Roman" w:cs="Times New Roman"/>
          <w:highlight w:val="none"/>
        </w:rPr>
      </w:pPr>
      <w:r>
        <w:rPr>
          <w:highlight w:val="none"/>
        </w:rPr>
        <w:fldChar w:fldCharType="begin"/>
      </w:r>
      <w:r>
        <w:rPr>
          <w:highlight w:val="none"/>
        </w:rPr>
        <w:instrText xml:space="preserve"> HYPERLINK \l "_Toc12045" </w:instrText>
      </w:r>
      <w:r>
        <w:rPr>
          <w:highlight w:val="none"/>
        </w:rPr>
        <w:fldChar w:fldCharType="separate"/>
      </w:r>
      <w:r>
        <w:rPr>
          <w:rFonts w:ascii="Times New Roman" w:hAnsi="Times New Roman" w:eastAsia="仿宋_GB2312" w:cs="Times New Roman"/>
          <w:highlight w:val="none"/>
        </w:rPr>
        <w:t>附件2-13：《配售提示性公告》必备要素</w:t>
      </w:r>
      <w:r>
        <w:rPr>
          <w:rFonts w:ascii="Times New Roman" w:hAnsi="Times New Roman" w:cs="Times New Roman"/>
          <w:highlight w:val="none"/>
        </w:rPr>
        <w:tab/>
      </w:r>
      <w:r>
        <w:rPr>
          <w:rFonts w:ascii="Times New Roman" w:hAnsi="Times New Roman" w:cs="Times New Roman"/>
          <w:highlight w:val="none"/>
        </w:rPr>
        <w:fldChar w:fldCharType="begin"/>
      </w:r>
      <w:r>
        <w:rPr>
          <w:rFonts w:ascii="Times New Roman" w:hAnsi="Times New Roman" w:cs="Times New Roman"/>
          <w:highlight w:val="none"/>
        </w:rPr>
        <w:instrText xml:space="preserve"> PAGEREF _Toc12045 \h </w:instrText>
      </w:r>
      <w:r>
        <w:rPr>
          <w:rFonts w:ascii="Times New Roman" w:hAnsi="Times New Roman" w:cs="Times New Roman"/>
          <w:highlight w:val="none"/>
        </w:rPr>
        <w:fldChar w:fldCharType="separate"/>
      </w:r>
      <w:r>
        <w:rPr>
          <w:rFonts w:ascii="Times New Roman" w:hAnsi="Times New Roman" w:cs="Times New Roman"/>
          <w:highlight w:val="none"/>
        </w:rPr>
        <w:t>57</w:t>
      </w:r>
      <w:r>
        <w:rPr>
          <w:rFonts w:ascii="Times New Roman" w:hAnsi="Times New Roman" w:cs="Times New Roman"/>
          <w:highlight w:val="none"/>
        </w:rPr>
        <w:fldChar w:fldCharType="end"/>
      </w:r>
      <w:r>
        <w:rPr>
          <w:rFonts w:ascii="Times New Roman" w:hAnsi="Times New Roman" w:cs="Times New Roman"/>
          <w:highlight w:val="none"/>
        </w:rPr>
        <w:fldChar w:fldCharType="end"/>
      </w:r>
    </w:p>
    <w:p w14:paraId="09CDDD82">
      <w:pPr>
        <w:pStyle w:val="8"/>
        <w:tabs>
          <w:tab w:val="right" w:leader="dot" w:pos="8306"/>
        </w:tabs>
        <w:rPr>
          <w:rFonts w:ascii="Times New Roman" w:hAnsi="Times New Roman" w:cs="Times New Roman"/>
          <w:highlight w:val="none"/>
        </w:rPr>
      </w:pPr>
      <w:r>
        <w:rPr>
          <w:highlight w:val="none"/>
        </w:rPr>
        <w:fldChar w:fldCharType="begin"/>
      </w:r>
      <w:r>
        <w:rPr>
          <w:highlight w:val="none"/>
        </w:rPr>
        <w:instrText xml:space="preserve"> HYPERLINK \l "_Toc24897" </w:instrText>
      </w:r>
      <w:r>
        <w:rPr>
          <w:highlight w:val="none"/>
        </w:rPr>
        <w:fldChar w:fldCharType="separate"/>
      </w:r>
      <w:r>
        <w:rPr>
          <w:rFonts w:ascii="Times New Roman" w:hAnsi="Times New Roman" w:eastAsia="仿宋_GB2312" w:cs="Times New Roman"/>
          <w:highlight w:val="none"/>
        </w:rPr>
        <w:t>附件2-14：《基金合同更新公告》必备要素</w:t>
      </w:r>
      <w:r>
        <w:rPr>
          <w:rFonts w:ascii="Times New Roman" w:hAnsi="Times New Roman" w:cs="Times New Roman"/>
          <w:highlight w:val="none"/>
        </w:rPr>
        <w:tab/>
      </w:r>
      <w:r>
        <w:rPr>
          <w:rFonts w:ascii="Times New Roman" w:hAnsi="Times New Roman" w:cs="Times New Roman"/>
          <w:highlight w:val="none"/>
        </w:rPr>
        <w:fldChar w:fldCharType="begin"/>
      </w:r>
      <w:r>
        <w:rPr>
          <w:rFonts w:ascii="Times New Roman" w:hAnsi="Times New Roman" w:cs="Times New Roman"/>
          <w:highlight w:val="none"/>
        </w:rPr>
        <w:instrText xml:space="preserve"> PAGEREF _Toc24897 \h </w:instrText>
      </w:r>
      <w:r>
        <w:rPr>
          <w:rFonts w:ascii="Times New Roman" w:hAnsi="Times New Roman" w:cs="Times New Roman"/>
          <w:highlight w:val="none"/>
        </w:rPr>
        <w:fldChar w:fldCharType="separate"/>
      </w:r>
      <w:r>
        <w:rPr>
          <w:rFonts w:ascii="Times New Roman" w:hAnsi="Times New Roman" w:cs="Times New Roman"/>
          <w:highlight w:val="none"/>
        </w:rPr>
        <w:t>58</w:t>
      </w:r>
      <w:r>
        <w:rPr>
          <w:rFonts w:ascii="Times New Roman" w:hAnsi="Times New Roman" w:cs="Times New Roman"/>
          <w:highlight w:val="none"/>
        </w:rPr>
        <w:fldChar w:fldCharType="end"/>
      </w:r>
      <w:r>
        <w:rPr>
          <w:rFonts w:ascii="Times New Roman" w:hAnsi="Times New Roman" w:cs="Times New Roman"/>
          <w:highlight w:val="none"/>
        </w:rPr>
        <w:fldChar w:fldCharType="end"/>
      </w:r>
    </w:p>
    <w:p w14:paraId="39B76C9D">
      <w:pPr>
        <w:pStyle w:val="8"/>
        <w:tabs>
          <w:tab w:val="right" w:leader="dot" w:pos="8306"/>
        </w:tabs>
        <w:rPr>
          <w:rFonts w:ascii="Times New Roman" w:hAnsi="Times New Roman" w:cs="Times New Roman"/>
          <w:highlight w:val="none"/>
        </w:rPr>
      </w:pPr>
      <w:r>
        <w:rPr>
          <w:highlight w:val="none"/>
        </w:rPr>
        <w:fldChar w:fldCharType="begin"/>
      </w:r>
      <w:r>
        <w:rPr>
          <w:highlight w:val="none"/>
        </w:rPr>
        <w:instrText xml:space="preserve"> HYPERLINK \l "_Toc32456" </w:instrText>
      </w:r>
      <w:r>
        <w:rPr>
          <w:highlight w:val="none"/>
        </w:rPr>
        <w:fldChar w:fldCharType="separate"/>
      </w:r>
      <w:r>
        <w:rPr>
          <w:rFonts w:ascii="Times New Roman" w:hAnsi="Times New Roman" w:eastAsia="仿宋_GB2312" w:cs="Times New Roman"/>
          <w:highlight w:val="none"/>
        </w:rPr>
        <w:t>附件2-15：《上市交易公告书》必备要素</w:t>
      </w:r>
      <w:r>
        <w:rPr>
          <w:rFonts w:ascii="Times New Roman" w:hAnsi="Times New Roman" w:cs="Times New Roman"/>
          <w:highlight w:val="none"/>
        </w:rPr>
        <w:tab/>
      </w:r>
      <w:r>
        <w:rPr>
          <w:rFonts w:ascii="Times New Roman" w:hAnsi="Times New Roman" w:cs="Times New Roman"/>
          <w:highlight w:val="none"/>
        </w:rPr>
        <w:fldChar w:fldCharType="begin"/>
      </w:r>
      <w:r>
        <w:rPr>
          <w:rFonts w:ascii="Times New Roman" w:hAnsi="Times New Roman" w:cs="Times New Roman"/>
          <w:highlight w:val="none"/>
        </w:rPr>
        <w:instrText xml:space="preserve"> PAGEREF _Toc32456 \h </w:instrText>
      </w:r>
      <w:r>
        <w:rPr>
          <w:rFonts w:ascii="Times New Roman" w:hAnsi="Times New Roman" w:cs="Times New Roman"/>
          <w:highlight w:val="none"/>
        </w:rPr>
        <w:fldChar w:fldCharType="separate"/>
      </w:r>
      <w:r>
        <w:rPr>
          <w:rFonts w:ascii="Times New Roman" w:hAnsi="Times New Roman" w:cs="Times New Roman"/>
          <w:highlight w:val="none"/>
        </w:rPr>
        <w:t>59</w:t>
      </w:r>
      <w:r>
        <w:rPr>
          <w:rFonts w:ascii="Times New Roman" w:hAnsi="Times New Roman" w:cs="Times New Roman"/>
          <w:highlight w:val="none"/>
        </w:rPr>
        <w:fldChar w:fldCharType="end"/>
      </w:r>
      <w:r>
        <w:rPr>
          <w:rFonts w:ascii="Times New Roman" w:hAnsi="Times New Roman" w:cs="Times New Roman"/>
          <w:highlight w:val="none"/>
        </w:rPr>
        <w:fldChar w:fldCharType="end"/>
      </w:r>
    </w:p>
    <w:p w14:paraId="4CCE9934">
      <w:pPr>
        <w:pStyle w:val="7"/>
        <w:spacing w:line="560" w:lineRule="exact"/>
        <w:rPr>
          <w:rFonts w:ascii="Times New Roman" w:hAnsi="Times New Roman" w:eastAsia="仿宋" w:cs="Times New Roman"/>
          <w:sz w:val="32"/>
          <w:szCs w:val="32"/>
          <w:highlight w:val="none"/>
        </w:rPr>
        <w:sectPr>
          <w:headerReference r:id="rId10" w:type="first"/>
          <w:headerReference r:id="rId8" w:type="default"/>
          <w:footerReference r:id="rId11" w:type="default"/>
          <w:headerReference r:id="rId9" w:type="even"/>
          <w:pgSz w:w="11906" w:h="16838"/>
          <w:pgMar w:top="1440" w:right="1800" w:bottom="1440" w:left="1800" w:header="851" w:footer="992" w:gutter="0"/>
          <w:cols w:space="425" w:num="1"/>
          <w:docGrid w:type="lines" w:linePitch="312" w:charSpace="0"/>
        </w:sectPr>
      </w:pPr>
      <w:r>
        <w:rPr>
          <w:rFonts w:ascii="Times New Roman" w:hAnsi="Times New Roman" w:eastAsia="方正仿宋简体" w:cs="Times New Roman"/>
          <w:szCs w:val="21"/>
          <w:highlight w:val="none"/>
        </w:rPr>
        <w:fldChar w:fldCharType="end"/>
      </w:r>
    </w:p>
    <w:p w14:paraId="2CD83563">
      <w:pPr>
        <w:pStyle w:val="2"/>
        <w:spacing w:before="0" w:after="0" w:line="560" w:lineRule="exact"/>
        <w:jc w:val="center"/>
        <w:rPr>
          <w:rFonts w:hint="eastAsia" w:ascii="黑体" w:hAnsi="黑体" w:eastAsia="黑体"/>
          <w:sz w:val="36"/>
          <w:szCs w:val="36"/>
          <w:highlight w:val="none"/>
        </w:rPr>
      </w:pPr>
      <w:bookmarkStart w:id="3" w:name="_Toc10086"/>
      <w:bookmarkStart w:id="4" w:name="_Toc898"/>
      <w:bookmarkStart w:id="5" w:name="_Toc28706"/>
      <w:bookmarkStart w:id="6" w:name="_Toc32253"/>
      <w:bookmarkStart w:id="7" w:name="_Toc15837"/>
      <w:bookmarkStart w:id="8" w:name="_Toc21938"/>
      <w:bookmarkStart w:id="9" w:name="_Toc29853"/>
      <w:bookmarkStart w:id="10" w:name="_Toc32708"/>
      <w:bookmarkStart w:id="11" w:name="_Toc18524"/>
      <w:bookmarkStart w:id="12" w:name="_Toc14937"/>
      <w:bookmarkStart w:id="13" w:name="_Toc6733"/>
      <w:bookmarkStart w:id="14" w:name="_Toc10003"/>
      <w:bookmarkStart w:id="15" w:name="_Toc10297"/>
      <w:r>
        <w:rPr>
          <w:rFonts w:ascii="黑体" w:hAnsi="黑体" w:eastAsia="黑体"/>
          <w:sz w:val="36"/>
          <w:szCs w:val="36"/>
          <w:highlight w:val="none"/>
        </w:rPr>
        <w:t>重要提示</w:t>
      </w:r>
      <w:bookmarkEnd w:id="3"/>
      <w:bookmarkEnd w:id="4"/>
      <w:bookmarkEnd w:id="5"/>
      <w:bookmarkEnd w:id="6"/>
      <w:bookmarkEnd w:id="7"/>
      <w:bookmarkEnd w:id="8"/>
      <w:bookmarkEnd w:id="9"/>
      <w:bookmarkEnd w:id="10"/>
      <w:bookmarkEnd w:id="11"/>
      <w:bookmarkEnd w:id="12"/>
    </w:p>
    <w:p w14:paraId="7D84D41A">
      <w:pPr>
        <w:spacing w:line="560" w:lineRule="exact"/>
        <w:ind w:firstLine="600" w:firstLineChars="200"/>
        <w:rPr>
          <w:rFonts w:ascii="Times New Roman" w:hAnsi="Times New Roman" w:eastAsia="仿宋_GB2312" w:cs="Times New Roman"/>
          <w:sz w:val="30"/>
          <w:szCs w:val="30"/>
          <w:highlight w:val="none"/>
        </w:rPr>
      </w:pPr>
    </w:p>
    <w:p w14:paraId="6BC9F20A">
      <w:pPr>
        <w:pStyle w:val="7"/>
        <w:spacing w:line="560" w:lineRule="exact"/>
        <w:ind w:firstLine="600" w:firstLineChars="200"/>
        <w:jc w:val="both"/>
        <w:rPr>
          <w:rFonts w:ascii="Times New Roman" w:hAnsi="Times New Roman" w:eastAsia="仿宋_GB2312" w:cs="Times New Roman"/>
          <w:sz w:val="30"/>
          <w:szCs w:val="30"/>
          <w:highlight w:val="none"/>
        </w:rPr>
      </w:pPr>
      <w:r>
        <w:rPr>
          <w:rFonts w:ascii="Times New Roman" w:hAnsi="Times New Roman" w:eastAsia="仿宋_GB2312" w:cs="Times New Roman"/>
          <w:sz w:val="30"/>
          <w:szCs w:val="30"/>
          <w:highlight w:val="none"/>
        </w:rPr>
        <w:t>一、本指南仅为办理不动产投资信托基金（以下简称</w:t>
      </w:r>
      <w:r>
        <w:rPr>
          <w:rFonts w:hint="eastAsia" w:ascii="Times New Roman" w:hAnsi="Times New Roman" w:eastAsia="仿宋_GB2312" w:cs="Times New Roman"/>
          <w:sz w:val="30"/>
          <w:szCs w:val="30"/>
          <w:highlight w:val="none"/>
        </w:rPr>
        <w:t>不动产</w:t>
      </w:r>
      <w:r>
        <w:rPr>
          <w:rFonts w:ascii="Times New Roman" w:hAnsi="Times New Roman" w:eastAsia="仿宋_GB2312" w:cs="Times New Roman"/>
          <w:sz w:val="30"/>
          <w:szCs w:val="30"/>
          <w:highlight w:val="none"/>
        </w:rPr>
        <w:t>基金）扩募发售和上市相关业务之用，并非上海证券交易所（以下简称本所）业务规则或对规则的解释。如本指南与国家法律、法规及有关业务规则发生冲突，应当以法律、法规及有关业务规则为准。本指南未尽事宜，参照本所上市基金相关业务指南的规定办理。</w:t>
      </w:r>
    </w:p>
    <w:p w14:paraId="3D574891">
      <w:pPr>
        <w:pStyle w:val="7"/>
        <w:spacing w:line="560" w:lineRule="exact"/>
        <w:ind w:firstLine="600" w:firstLineChars="200"/>
        <w:jc w:val="both"/>
        <w:rPr>
          <w:rFonts w:ascii="Times New Roman" w:hAnsi="Times New Roman" w:eastAsia="仿宋_GB2312" w:cs="Times New Roman"/>
          <w:sz w:val="30"/>
          <w:szCs w:val="30"/>
          <w:highlight w:val="none"/>
        </w:rPr>
      </w:pPr>
      <w:r>
        <w:rPr>
          <w:rFonts w:ascii="Times New Roman" w:hAnsi="Times New Roman" w:eastAsia="仿宋_GB2312" w:cs="Times New Roman"/>
          <w:sz w:val="30"/>
          <w:szCs w:val="30"/>
          <w:highlight w:val="none"/>
        </w:rPr>
        <w:t>二、根据《上海证券交易所公开募集不动产投资信托基金（REITs）规则适用指引第3号——扩募及新购入不动产（试行）》（以下简称《扩募及新购入不动产指引》）规定，</w:t>
      </w:r>
      <w:r>
        <w:rPr>
          <w:rFonts w:hint="eastAsia" w:ascii="Times New Roman" w:hAnsi="Times New Roman" w:eastAsia="仿宋_GB2312" w:cs="Times New Roman"/>
          <w:sz w:val="30"/>
          <w:szCs w:val="30"/>
          <w:highlight w:val="none"/>
        </w:rPr>
        <w:t>不动产</w:t>
      </w:r>
      <w:r>
        <w:rPr>
          <w:rFonts w:ascii="Times New Roman" w:hAnsi="Times New Roman" w:eastAsia="仿宋_GB2312" w:cs="Times New Roman"/>
          <w:sz w:val="30"/>
          <w:szCs w:val="30"/>
          <w:highlight w:val="none"/>
        </w:rPr>
        <w:t>基金扩募包括向特定对象发售（以下简称定向扩募）、向原</w:t>
      </w:r>
      <w:r>
        <w:rPr>
          <w:rFonts w:hint="eastAsia" w:ascii="Times New Roman" w:hAnsi="Times New Roman" w:eastAsia="仿宋_GB2312" w:cs="Times New Roman"/>
          <w:sz w:val="30"/>
          <w:szCs w:val="30"/>
          <w:highlight w:val="none"/>
        </w:rPr>
        <w:t>不动产</w:t>
      </w:r>
      <w:r>
        <w:rPr>
          <w:rFonts w:ascii="Times New Roman" w:hAnsi="Times New Roman" w:eastAsia="仿宋_GB2312" w:cs="Times New Roman"/>
          <w:sz w:val="30"/>
          <w:szCs w:val="30"/>
          <w:highlight w:val="none"/>
        </w:rPr>
        <w:t>基金持有人配售份额（以下简称向原持有人配售）和向不特定对象募集（以下简称公开扩募）三种方式。其中，向原持有人配售、公开扩募可通过分别单独或组合两种业务类型实现，分为三种组合方式：组合一，只包含向原持有人配售；组合二，同时包含向原持有人配售和公开扩募；组合三，只包含公开扩募。在组合二中，向原持有人配售超比例申报部分，基金管理人在最终认购结果确认时不得确认为公开扩募份额。</w:t>
      </w:r>
    </w:p>
    <w:p w14:paraId="5887C1E9">
      <w:pPr>
        <w:pStyle w:val="7"/>
        <w:spacing w:line="560" w:lineRule="exact"/>
        <w:ind w:firstLine="600" w:firstLineChars="200"/>
        <w:jc w:val="both"/>
        <w:rPr>
          <w:rFonts w:ascii="Times New Roman" w:hAnsi="Times New Roman" w:eastAsia="仿宋_GB2312" w:cs="Times New Roman"/>
          <w:sz w:val="30"/>
          <w:szCs w:val="30"/>
          <w:highlight w:val="none"/>
        </w:rPr>
      </w:pPr>
      <w:r>
        <w:rPr>
          <w:rFonts w:ascii="Times New Roman" w:hAnsi="Times New Roman" w:eastAsia="仿宋_GB2312" w:cs="Times New Roman"/>
          <w:sz w:val="30"/>
          <w:szCs w:val="30"/>
          <w:highlight w:val="none"/>
        </w:rPr>
        <w:t>三、基金管理人应确保向本所提交的业务申请和</w:t>
      </w:r>
      <w:r>
        <w:rPr>
          <w:rFonts w:hint="eastAsia" w:ascii="Times New Roman" w:hAnsi="Times New Roman" w:eastAsia="仿宋_GB2312" w:cs="Times New Roman"/>
          <w:sz w:val="30"/>
          <w:szCs w:val="30"/>
          <w:highlight w:val="none"/>
        </w:rPr>
        <w:t>不动产</w:t>
      </w:r>
      <w:r>
        <w:rPr>
          <w:rFonts w:ascii="Times New Roman" w:hAnsi="Times New Roman" w:eastAsia="仿宋_GB2312" w:cs="Times New Roman"/>
          <w:sz w:val="30"/>
          <w:szCs w:val="30"/>
          <w:highlight w:val="none"/>
        </w:rPr>
        <w:t>基金公告内容一致，提供给指定媒介的</w:t>
      </w:r>
      <w:r>
        <w:rPr>
          <w:rFonts w:hint="eastAsia" w:ascii="Times New Roman" w:hAnsi="Times New Roman" w:eastAsia="仿宋_GB2312" w:cs="Times New Roman"/>
          <w:sz w:val="30"/>
          <w:szCs w:val="30"/>
          <w:highlight w:val="none"/>
        </w:rPr>
        <w:t>不动产</w:t>
      </w:r>
      <w:r>
        <w:rPr>
          <w:rFonts w:ascii="Times New Roman" w:hAnsi="Times New Roman" w:eastAsia="仿宋_GB2312" w:cs="Times New Roman"/>
          <w:sz w:val="30"/>
          <w:szCs w:val="30"/>
          <w:highlight w:val="none"/>
        </w:rPr>
        <w:t>基金公告内容和提供给本所的一致。基金管理人应当指定专人负责存续期业务办理，指定专人变更的，应当及时与本所联系。</w:t>
      </w:r>
    </w:p>
    <w:p w14:paraId="6B26DC50">
      <w:pPr>
        <w:pStyle w:val="7"/>
        <w:spacing w:line="560" w:lineRule="exact"/>
        <w:ind w:firstLine="600" w:firstLineChars="200"/>
        <w:jc w:val="both"/>
        <w:rPr>
          <w:rFonts w:ascii="Times New Roman" w:hAnsi="Times New Roman" w:eastAsia="仿宋_GB2312" w:cs="Times New Roman"/>
          <w:sz w:val="30"/>
          <w:szCs w:val="30"/>
          <w:highlight w:val="none"/>
        </w:rPr>
      </w:pPr>
      <w:r>
        <w:rPr>
          <w:rFonts w:ascii="Times New Roman" w:hAnsi="Times New Roman" w:eastAsia="仿宋_GB2312" w:cs="Times New Roman"/>
          <w:sz w:val="30"/>
          <w:szCs w:val="30"/>
          <w:highlight w:val="none"/>
        </w:rPr>
        <w:t>四、本指南要求基金管理人提供的相关材料在本所系统相应业务表单中有明确列示，部分材料在报送说明中附有模板，基金管理人应当按照本所系统中最新模板（注：红色“*”标注的为必须提交材料）提交材料。</w:t>
      </w:r>
    </w:p>
    <w:p w14:paraId="4CDECCA4">
      <w:pPr>
        <w:pStyle w:val="7"/>
        <w:spacing w:line="560" w:lineRule="exact"/>
        <w:ind w:firstLine="600" w:firstLineChars="200"/>
        <w:jc w:val="both"/>
        <w:rPr>
          <w:rFonts w:ascii="Times New Roman" w:hAnsi="Times New Roman" w:cs="Times New Roman"/>
          <w:sz w:val="30"/>
          <w:szCs w:val="30"/>
          <w:highlight w:val="none"/>
        </w:rPr>
      </w:pPr>
      <w:r>
        <w:rPr>
          <w:rFonts w:ascii="Times New Roman" w:hAnsi="Times New Roman" w:eastAsia="仿宋_GB2312" w:cs="Times New Roman"/>
          <w:sz w:val="30"/>
          <w:szCs w:val="30"/>
          <w:highlight w:val="none"/>
        </w:rPr>
        <w:t>五、基金管理人选择的扩募方式涉及向原持有人配售业务的，场内通过本所交易系统认购的部分由本所会员单位（券商）进行前端控制，包括非原持有人剔除、账户配售份额确认等。基金管理人负责收集场内、场外原持有人的有效认购申报，履行复核义务，确认最终认购结果。本所会员单位（券商）及基金管理人应依据本指南及时实现业务、技术等工作就绪。本所不对场内配售对象、配售份额进行限制。</w:t>
      </w:r>
    </w:p>
    <w:p w14:paraId="1A5D98DB">
      <w:pPr>
        <w:pStyle w:val="7"/>
        <w:spacing w:line="560" w:lineRule="exact"/>
        <w:ind w:firstLine="600" w:firstLineChars="200"/>
        <w:jc w:val="both"/>
        <w:rPr>
          <w:rFonts w:ascii="Times New Roman" w:hAnsi="Times New Roman" w:eastAsia="仿宋_GB2312" w:cs="Times New Roman"/>
          <w:sz w:val="30"/>
          <w:szCs w:val="30"/>
          <w:highlight w:val="none"/>
        </w:rPr>
      </w:pPr>
      <w:r>
        <w:rPr>
          <w:rFonts w:ascii="Times New Roman" w:hAnsi="Times New Roman" w:eastAsia="仿宋_GB2312" w:cs="Times New Roman"/>
          <w:sz w:val="30"/>
          <w:szCs w:val="30"/>
          <w:highlight w:val="none"/>
        </w:rPr>
        <w:t>六、本指南中除特别标注外，其余</w:t>
      </w:r>
      <w:r>
        <w:rPr>
          <w:rFonts w:hint="eastAsia" w:ascii="Times New Roman" w:hAnsi="Times New Roman" w:eastAsia="仿宋_GB2312" w:cs="Times New Roman"/>
          <w:sz w:val="30"/>
          <w:szCs w:val="30"/>
          <w:highlight w:val="none"/>
        </w:rPr>
        <w:t>日期</w:t>
      </w:r>
      <w:r>
        <w:rPr>
          <w:rFonts w:ascii="Times New Roman" w:hAnsi="Times New Roman" w:eastAsia="仿宋_GB2312" w:cs="Times New Roman"/>
          <w:sz w:val="30"/>
          <w:szCs w:val="30"/>
          <w:highlight w:val="none"/>
        </w:rPr>
        <w:t>均为交易日。</w:t>
      </w:r>
    </w:p>
    <w:p w14:paraId="13BDC4E8">
      <w:pPr>
        <w:pStyle w:val="7"/>
        <w:spacing w:line="560" w:lineRule="exact"/>
        <w:ind w:firstLine="600" w:firstLineChars="200"/>
        <w:jc w:val="both"/>
        <w:rPr>
          <w:rFonts w:ascii="Times New Roman" w:hAnsi="Times New Roman" w:eastAsia="仿宋_GB2312" w:cs="Times New Roman"/>
          <w:sz w:val="30"/>
          <w:szCs w:val="30"/>
          <w:highlight w:val="none"/>
        </w:rPr>
      </w:pPr>
      <w:r>
        <w:rPr>
          <w:rFonts w:ascii="Times New Roman" w:hAnsi="Times New Roman" w:eastAsia="仿宋_GB2312" w:cs="Times New Roman"/>
          <w:sz w:val="30"/>
          <w:szCs w:val="30"/>
          <w:highlight w:val="none"/>
        </w:rPr>
        <w:t>七、</w:t>
      </w:r>
      <w:r>
        <w:rPr>
          <w:rFonts w:hint="eastAsia" w:ascii="Times New Roman" w:hAnsi="Times New Roman" w:eastAsia="仿宋_GB2312" w:cs="Times New Roman"/>
          <w:sz w:val="30"/>
          <w:szCs w:val="30"/>
          <w:highlight w:val="none"/>
        </w:rPr>
        <w:t>不动产</w:t>
      </w:r>
      <w:r>
        <w:rPr>
          <w:rFonts w:ascii="Times New Roman" w:hAnsi="Times New Roman" w:eastAsia="仿宋_GB2312" w:cs="Times New Roman"/>
          <w:sz w:val="30"/>
          <w:szCs w:val="30"/>
          <w:highlight w:val="none"/>
        </w:rPr>
        <w:t>基金登记结算相关业务以中国结算相关业务规则为准。</w:t>
      </w:r>
    </w:p>
    <w:p w14:paraId="7237A65C">
      <w:pPr>
        <w:pStyle w:val="7"/>
        <w:spacing w:line="560" w:lineRule="exact"/>
        <w:ind w:firstLine="600" w:firstLineChars="200"/>
        <w:jc w:val="both"/>
        <w:rPr>
          <w:rFonts w:ascii="Times New Roman" w:hAnsi="Times New Roman" w:eastAsia="仿宋_GB2312" w:cs="Times New Roman"/>
          <w:sz w:val="30"/>
          <w:szCs w:val="30"/>
          <w:highlight w:val="none"/>
        </w:rPr>
      </w:pPr>
      <w:r>
        <w:rPr>
          <w:rFonts w:ascii="Times New Roman" w:hAnsi="Times New Roman" w:eastAsia="仿宋_GB2312" w:cs="Times New Roman"/>
          <w:sz w:val="30"/>
          <w:szCs w:val="30"/>
          <w:highlight w:val="none"/>
        </w:rPr>
        <w:t>八、本所将根据业务需要不定期对本指南作出修订，并保留对本指南的最终解释权。</w:t>
      </w:r>
    </w:p>
    <w:p w14:paraId="5BF60C75">
      <w:pPr>
        <w:pStyle w:val="7"/>
        <w:spacing w:line="560" w:lineRule="exact"/>
        <w:ind w:firstLine="640" w:firstLineChars="200"/>
        <w:jc w:val="both"/>
        <w:rPr>
          <w:rFonts w:ascii="Times New Roman" w:hAnsi="Times New Roman" w:eastAsia="仿宋_GB2312" w:cs="Times New Roman"/>
          <w:sz w:val="32"/>
          <w:szCs w:val="32"/>
          <w:highlight w:val="none"/>
        </w:rPr>
      </w:pPr>
    </w:p>
    <w:p w14:paraId="0948DA38">
      <w:pPr>
        <w:pStyle w:val="7"/>
        <w:spacing w:line="560" w:lineRule="exact"/>
        <w:ind w:firstLine="640" w:firstLineChars="200"/>
        <w:jc w:val="both"/>
        <w:rPr>
          <w:rFonts w:ascii="Times New Roman" w:hAnsi="Times New Roman" w:eastAsia="仿宋_GB2312" w:cs="Times New Roman"/>
          <w:sz w:val="32"/>
          <w:szCs w:val="32"/>
          <w:highlight w:val="none"/>
        </w:rPr>
      </w:pPr>
    </w:p>
    <w:p w14:paraId="4AE85788">
      <w:pPr>
        <w:pStyle w:val="7"/>
        <w:spacing w:line="560" w:lineRule="exact"/>
        <w:ind w:firstLine="640" w:firstLineChars="200"/>
        <w:jc w:val="both"/>
        <w:rPr>
          <w:rFonts w:ascii="Times New Roman" w:hAnsi="Times New Roman" w:eastAsia="仿宋_GB2312" w:cs="Times New Roman"/>
          <w:sz w:val="32"/>
          <w:szCs w:val="32"/>
          <w:highlight w:val="none"/>
        </w:rPr>
      </w:pPr>
    </w:p>
    <w:p w14:paraId="4E72D74B">
      <w:pPr>
        <w:pStyle w:val="7"/>
        <w:spacing w:line="560" w:lineRule="exact"/>
        <w:ind w:firstLine="640" w:firstLineChars="200"/>
        <w:jc w:val="both"/>
        <w:rPr>
          <w:rFonts w:ascii="Times New Roman" w:hAnsi="Times New Roman" w:eastAsia="仿宋_GB2312" w:cs="Times New Roman"/>
          <w:sz w:val="32"/>
          <w:szCs w:val="32"/>
          <w:highlight w:val="none"/>
        </w:rPr>
      </w:pPr>
    </w:p>
    <w:p w14:paraId="26BA3EC0">
      <w:pPr>
        <w:pStyle w:val="7"/>
        <w:spacing w:line="560" w:lineRule="exact"/>
        <w:ind w:firstLine="640" w:firstLineChars="200"/>
        <w:jc w:val="both"/>
        <w:rPr>
          <w:rFonts w:ascii="Times New Roman" w:hAnsi="Times New Roman" w:eastAsia="仿宋_GB2312" w:cs="Times New Roman"/>
          <w:sz w:val="32"/>
          <w:szCs w:val="32"/>
          <w:highlight w:val="none"/>
        </w:rPr>
      </w:pPr>
    </w:p>
    <w:p w14:paraId="520611CF">
      <w:pPr>
        <w:rPr>
          <w:rFonts w:ascii="Times New Roman" w:hAnsi="Times New Roman" w:eastAsia="仿宋_GB2312" w:cs="Times New Roman"/>
          <w:sz w:val="32"/>
          <w:szCs w:val="32"/>
          <w:highlight w:val="none"/>
        </w:rPr>
      </w:pPr>
      <w:r>
        <w:rPr>
          <w:rFonts w:ascii="Times New Roman" w:hAnsi="Times New Roman" w:eastAsia="仿宋_GB2312" w:cs="Times New Roman"/>
          <w:sz w:val="32"/>
          <w:szCs w:val="32"/>
          <w:highlight w:val="none"/>
        </w:rPr>
        <w:br w:type="page"/>
      </w:r>
    </w:p>
    <w:p w14:paraId="4DE605AB">
      <w:pPr>
        <w:pStyle w:val="2"/>
        <w:keepLines w:val="0"/>
        <w:numPr>
          <w:ilvl w:val="0"/>
          <w:numId w:val="0"/>
        </w:numPr>
        <w:adjustRightInd w:val="0"/>
        <w:snapToGrid w:val="0"/>
        <w:spacing w:before="0" w:after="0" w:line="560" w:lineRule="exact"/>
        <w:jc w:val="center"/>
        <w:rPr>
          <w:rFonts w:ascii="Times New Roman" w:hAnsi="Times New Roman" w:eastAsia="黑体" w:cs="Times New Roman"/>
          <w:b/>
          <w:bCs/>
          <w:sz w:val="30"/>
          <w:szCs w:val="30"/>
          <w:highlight w:val="none"/>
        </w:rPr>
      </w:pPr>
      <w:bookmarkStart w:id="16" w:name="_Toc26517"/>
      <w:bookmarkStart w:id="17" w:name="_Toc15254"/>
      <w:bookmarkStart w:id="18" w:name="_Toc32018"/>
      <w:bookmarkStart w:id="19" w:name="_Toc6294"/>
      <w:bookmarkStart w:id="20" w:name="_Toc15881"/>
      <w:bookmarkStart w:id="21" w:name="_Toc5237"/>
      <w:bookmarkStart w:id="22" w:name="_Toc9225"/>
      <w:bookmarkStart w:id="23" w:name="_Toc31495"/>
      <w:bookmarkStart w:id="24" w:name="_Toc23185"/>
      <w:bookmarkStart w:id="25" w:name="_Toc26798"/>
      <w:r>
        <w:rPr>
          <w:rFonts w:hint="eastAsia" w:ascii="黑体" w:hAnsi="黑体" w:eastAsia="黑体" w:cs="黑体"/>
          <w:b/>
          <w:bCs/>
          <w:kern w:val="44"/>
          <w:sz w:val="32"/>
          <w:szCs w:val="32"/>
          <w:lang w:val="en-US" w:eastAsia="zh-CN" w:bidi="ar-SA"/>
        </w:rPr>
        <w:t xml:space="preserve">第一章 </w:t>
      </w:r>
      <w:r>
        <w:rPr>
          <w:rFonts w:ascii="Times New Roman" w:hAnsi="Times New Roman" w:eastAsia="黑体" w:cs="Times New Roman"/>
          <w:b/>
          <w:bCs/>
          <w:sz w:val="30"/>
          <w:szCs w:val="30"/>
          <w:highlight w:val="none"/>
        </w:rPr>
        <w:t>发售前工作</w:t>
      </w:r>
      <w:bookmarkEnd w:id="16"/>
      <w:bookmarkEnd w:id="17"/>
      <w:bookmarkEnd w:id="18"/>
      <w:bookmarkEnd w:id="19"/>
      <w:bookmarkEnd w:id="20"/>
      <w:bookmarkEnd w:id="21"/>
      <w:bookmarkEnd w:id="22"/>
      <w:bookmarkEnd w:id="23"/>
      <w:bookmarkEnd w:id="24"/>
      <w:bookmarkEnd w:id="25"/>
    </w:p>
    <w:bookmarkEnd w:id="13"/>
    <w:bookmarkEnd w:id="14"/>
    <w:bookmarkEnd w:id="15"/>
    <w:p w14:paraId="0C74584D">
      <w:pPr>
        <w:rPr>
          <w:rFonts w:ascii="Times New Roman" w:hAnsi="Times New Roman" w:eastAsia="黑体" w:cs="Times New Roman"/>
          <w:sz w:val="30"/>
          <w:szCs w:val="30"/>
          <w:highlight w:val="none"/>
        </w:rPr>
      </w:pPr>
    </w:p>
    <w:p w14:paraId="666C3A04">
      <w:pPr>
        <w:widowControl/>
        <w:spacing w:line="560" w:lineRule="exact"/>
        <w:ind w:firstLine="600" w:firstLineChars="200"/>
        <w:rPr>
          <w:rFonts w:ascii="Times New Roman" w:hAnsi="Times New Roman" w:eastAsia="仿宋_GB2312" w:cs="Times New Roman"/>
          <w:bCs/>
          <w:sz w:val="30"/>
          <w:szCs w:val="30"/>
          <w:highlight w:val="none"/>
        </w:rPr>
      </w:pPr>
      <w:bookmarkStart w:id="26" w:name="_Toc10131"/>
      <w:bookmarkStart w:id="27" w:name="_Toc28934"/>
      <w:bookmarkStart w:id="28" w:name="_Toc4756"/>
      <w:bookmarkStart w:id="29" w:name="_Toc10116"/>
      <w:r>
        <w:rPr>
          <w:rFonts w:ascii="Times New Roman" w:hAnsi="Times New Roman" w:eastAsia="仿宋_GB2312" w:cs="Times New Roman"/>
          <w:bCs/>
          <w:sz w:val="30"/>
          <w:szCs w:val="30"/>
          <w:highlight w:val="none"/>
        </w:rPr>
        <w:t>基金管理人拟启动扩募发售和上市的，基金管理人、财务顾问（如有</w:t>
      </w:r>
      <w:r>
        <w:rPr>
          <w:rFonts w:hint="eastAsia" w:ascii="Times New Roman" w:hAnsi="Times New Roman" w:eastAsia="仿宋_GB2312" w:cs="Times New Roman"/>
          <w:bCs/>
          <w:sz w:val="30"/>
          <w:szCs w:val="30"/>
          <w:highlight w:val="none"/>
        </w:rPr>
        <w:t>，</w:t>
      </w:r>
      <w:r>
        <w:rPr>
          <w:rFonts w:ascii="Times New Roman" w:hAnsi="Times New Roman" w:eastAsia="仿宋_GB2312" w:cs="Times New Roman"/>
          <w:bCs/>
          <w:sz w:val="30"/>
          <w:szCs w:val="30"/>
          <w:highlight w:val="none"/>
        </w:rPr>
        <w:t>此处财务顾问指受托办理发售业务的财务顾问，全文同）应及时与本所联系，了解扩募发售有关要求，做好发售前的各项工作。</w:t>
      </w:r>
      <w:bookmarkEnd w:id="26"/>
      <w:bookmarkEnd w:id="27"/>
      <w:bookmarkEnd w:id="28"/>
      <w:bookmarkEnd w:id="29"/>
    </w:p>
    <w:p w14:paraId="60FAA68F">
      <w:pPr>
        <w:widowControl/>
        <w:spacing w:line="560" w:lineRule="exact"/>
        <w:ind w:firstLine="602" w:firstLineChars="200"/>
        <w:outlineLvl w:val="1"/>
        <w:rPr>
          <w:rFonts w:ascii="Times New Roman" w:hAnsi="Times New Roman" w:eastAsia="黑体" w:cs="Times New Roman"/>
          <w:b/>
          <w:bCs w:val="0"/>
          <w:sz w:val="30"/>
          <w:szCs w:val="30"/>
          <w:highlight w:val="none"/>
        </w:rPr>
      </w:pPr>
      <w:bookmarkStart w:id="30" w:name="_Toc2888"/>
      <w:bookmarkStart w:id="31" w:name="_Toc22146"/>
      <w:bookmarkStart w:id="32" w:name="_Toc28965"/>
      <w:bookmarkStart w:id="33" w:name="_Toc11178"/>
      <w:bookmarkStart w:id="34" w:name="_Toc19523"/>
      <w:bookmarkStart w:id="35" w:name="_Toc8115"/>
      <w:bookmarkStart w:id="36" w:name="_Toc30478"/>
      <w:bookmarkStart w:id="37" w:name="_Toc9810"/>
      <w:bookmarkStart w:id="38" w:name="_Toc13872"/>
      <w:bookmarkStart w:id="39" w:name="_Toc24627"/>
      <w:r>
        <w:rPr>
          <w:rFonts w:ascii="Times New Roman" w:hAnsi="Times New Roman" w:eastAsia="黑体" w:cs="Times New Roman"/>
          <w:b/>
          <w:bCs w:val="0"/>
          <w:sz w:val="30"/>
          <w:szCs w:val="30"/>
          <w:highlight w:val="none"/>
        </w:rPr>
        <w:t>一、披露拟购入</w:t>
      </w:r>
      <w:r>
        <w:rPr>
          <w:rFonts w:hint="eastAsia" w:ascii="Times New Roman" w:hAnsi="Times New Roman" w:eastAsia="黑体" w:cs="Times New Roman"/>
          <w:b/>
          <w:bCs w:val="0"/>
          <w:sz w:val="30"/>
          <w:szCs w:val="30"/>
          <w:highlight w:val="none"/>
        </w:rPr>
        <w:t>不动产</w:t>
      </w:r>
      <w:r>
        <w:rPr>
          <w:rFonts w:ascii="Times New Roman" w:hAnsi="Times New Roman" w:eastAsia="黑体" w:cs="Times New Roman"/>
          <w:b/>
          <w:bCs w:val="0"/>
          <w:sz w:val="30"/>
          <w:szCs w:val="30"/>
          <w:highlight w:val="none"/>
        </w:rPr>
        <w:t>项目临时公告</w:t>
      </w:r>
      <w:bookmarkEnd w:id="30"/>
      <w:bookmarkEnd w:id="31"/>
      <w:bookmarkEnd w:id="32"/>
      <w:bookmarkEnd w:id="33"/>
      <w:bookmarkEnd w:id="34"/>
      <w:bookmarkEnd w:id="35"/>
      <w:bookmarkEnd w:id="36"/>
      <w:bookmarkEnd w:id="37"/>
      <w:bookmarkEnd w:id="38"/>
      <w:bookmarkEnd w:id="39"/>
    </w:p>
    <w:p w14:paraId="0AD4A680">
      <w:pPr>
        <w:widowControl/>
        <w:spacing w:line="560" w:lineRule="exact"/>
        <w:ind w:firstLine="600" w:firstLineChars="200"/>
        <w:rPr>
          <w:rFonts w:ascii="Times New Roman" w:hAnsi="Times New Roman" w:eastAsia="仿宋_GB2312" w:cs="Times New Roman"/>
          <w:bCs/>
          <w:sz w:val="30"/>
          <w:szCs w:val="30"/>
          <w:highlight w:val="none"/>
        </w:rPr>
      </w:pPr>
      <w:r>
        <w:rPr>
          <w:rFonts w:ascii="Times New Roman" w:hAnsi="Times New Roman" w:eastAsia="仿宋_GB2312" w:cs="Times New Roman"/>
          <w:bCs/>
          <w:sz w:val="30"/>
          <w:szCs w:val="30"/>
          <w:highlight w:val="none"/>
        </w:rPr>
        <w:t>基金管理人完成拟购入</w:t>
      </w:r>
      <w:r>
        <w:rPr>
          <w:rFonts w:hint="eastAsia" w:ascii="Times New Roman" w:hAnsi="Times New Roman" w:eastAsia="仿宋_GB2312" w:cs="Times New Roman"/>
          <w:bCs/>
          <w:sz w:val="30"/>
          <w:szCs w:val="30"/>
          <w:highlight w:val="none"/>
        </w:rPr>
        <w:t>不动产</w:t>
      </w:r>
      <w:r>
        <w:rPr>
          <w:rFonts w:ascii="Times New Roman" w:hAnsi="Times New Roman" w:eastAsia="仿宋_GB2312" w:cs="Times New Roman"/>
          <w:bCs/>
          <w:sz w:val="30"/>
          <w:szCs w:val="30"/>
          <w:highlight w:val="none"/>
        </w:rPr>
        <w:t>项目的尽调工作，与交易对方就不动产项目购入进行磋商谈判。在作出拟购入不动产项目决定前，基金管理人履行必要内部决策程序，并于作出拟购入不动产项目决定后当日或次日通过本所</w:t>
      </w:r>
      <w:r>
        <w:rPr>
          <w:rFonts w:ascii="Times New Roman" w:hAnsi="Times New Roman" w:eastAsia="仿宋_GB2312" w:cs="Times New Roman"/>
          <w:sz w:val="30"/>
          <w:szCs w:val="30"/>
          <w:highlight w:val="none"/>
        </w:rPr>
        <w:t>业务管理系统平台</w:t>
      </w:r>
      <w:r>
        <w:rPr>
          <w:rFonts w:ascii="Times New Roman" w:hAnsi="Times New Roman" w:eastAsia="仿宋_GB2312" w:cs="Times New Roman"/>
          <w:bCs/>
          <w:sz w:val="30"/>
          <w:szCs w:val="30"/>
          <w:highlight w:val="none"/>
        </w:rPr>
        <w:t>提交临时信息披露申请，披露材料包括拟购入</w:t>
      </w:r>
      <w:r>
        <w:rPr>
          <w:rFonts w:hint="eastAsia" w:ascii="Times New Roman" w:hAnsi="Times New Roman" w:eastAsia="仿宋_GB2312" w:cs="Times New Roman"/>
          <w:bCs/>
          <w:sz w:val="30"/>
          <w:szCs w:val="30"/>
          <w:highlight w:val="none"/>
        </w:rPr>
        <w:t>不动产</w:t>
      </w:r>
      <w:r>
        <w:rPr>
          <w:rFonts w:ascii="Times New Roman" w:hAnsi="Times New Roman" w:eastAsia="仿宋_GB2312" w:cs="Times New Roman"/>
          <w:bCs/>
          <w:sz w:val="30"/>
          <w:szCs w:val="30"/>
          <w:highlight w:val="none"/>
        </w:rPr>
        <w:t>项目的决定公告，并将产品变更草案、扩募方案（如有）作为公告的附件同时披露，必备要素详见附件2-2。</w:t>
      </w:r>
    </w:p>
    <w:p w14:paraId="1B043B38">
      <w:pPr>
        <w:widowControl/>
        <w:spacing w:line="560" w:lineRule="exact"/>
        <w:ind w:firstLine="600" w:firstLineChars="200"/>
        <w:rPr>
          <w:rFonts w:ascii="Times New Roman" w:hAnsi="Times New Roman" w:eastAsia="仿宋_GB2312" w:cs="Times New Roman"/>
          <w:bCs/>
          <w:sz w:val="30"/>
          <w:szCs w:val="30"/>
          <w:highlight w:val="none"/>
        </w:rPr>
      </w:pPr>
      <w:r>
        <w:rPr>
          <w:rFonts w:ascii="Times New Roman" w:hAnsi="Times New Roman" w:eastAsia="仿宋_GB2312" w:cs="Times New Roman"/>
          <w:bCs/>
          <w:sz w:val="30"/>
          <w:szCs w:val="30"/>
          <w:highlight w:val="none"/>
        </w:rPr>
        <w:t>其中，产品变更草案的内容包括交易概况、拟购入</w:t>
      </w:r>
      <w:r>
        <w:rPr>
          <w:rFonts w:hint="eastAsia" w:ascii="Times New Roman" w:hAnsi="Times New Roman" w:eastAsia="仿宋_GB2312" w:cs="Times New Roman"/>
          <w:bCs/>
          <w:sz w:val="30"/>
          <w:szCs w:val="30"/>
          <w:highlight w:val="none"/>
        </w:rPr>
        <w:t>不动产</w:t>
      </w:r>
      <w:r>
        <w:rPr>
          <w:rFonts w:ascii="Times New Roman" w:hAnsi="Times New Roman" w:eastAsia="仿宋_GB2312" w:cs="Times New Roman"/>
          <w:bCs/>
          <w:sz w:val="30"/>
          <w:szCs w:val="30"/>
          <w:highlight w:val="none"/>
        </w:rPr>
        <w:t>项目</w:t>
      </w:r>
      <w:r>
        <w:rPr>
          <w:rFonts w:hint="eastAsia" w:ascii="Times New Roman" w:hAnsi="Times New Roman" w:eastAsia="仿宋_GB2312" w:cs="Times New Roman"/>
          <w:bCs/>
          <w:sz w:val="30"/>
          <w:szCs w:val="30"/>
          <w:highlight w:val="none"/>
        </w:rPr>
        <w:t>和</w:t>
      </w:r>
      <w:r>
        <w:rPr>
          <w:rFonts w:ascii="Times New Roman" w:hAnsi="Times New Roman" w:eastAsia="仿宋_GB2312" w:cs="Times New Roman"/>
          <w:bCs/>
          <w:sz w:val="30"/>
          <w:szCs w:val="30"/>
          <w:highlight w:val="none"/>
        </w:rPr>
        <w:t>交易对方的基本情况、拟购入</w:t>
      </w:r>
      <w:r>
        <w:rPr>
          <w:rFonts w:hint="eastAsia" w:ascii="Times New Roman" w:hAnsi="Times New Roman" w:eastAsia="仿宋_GB2312" w:cs="Times New Roman"/>
          <w:bCs/>
          <w:sz w:val="30"/>
          <w:szCs w:val="30"/>
          <w:highlight w:val="none"/>
        </w:rPr>
        <w:t>不动产</w:t>
      </w:r>
      <w:r>
        <w:rPr>
          <w:rFonts w:ascii="Times New Roman" w:hAnsi="Times New Roman" w:eastAsia="仿宋_GB2312" w:cs="Times New Roman"/>
          <w:bCs/>
          <w:sz w:val="30"/>
          <w:szCs w:val="30"/>
          <w:highlight w:val="none"/>
        </w:rPr>
        <w:t>项目定价方式和定价依据、资金来源、交易主要风险、交易各方声明与承诺，以及本次交易存在的其他重大因素等，必备要素详见附件2-3。扩募方案（如有）的内容包括</w:t>
      </w:r>
      <w:r>
        <w:rPr>
          <w:rFonts w:hint="eastAsia" w:ascii="Times New Roman" w:hAnsi="Times New Roman" w:eastAsia="仿宋_GB2312" w:cs="Times New Roman"/>
          <w:bCs/>
          <w:sz w:val="30"/>
          <w:szCs w:val="30"/>
          <w:highlight w:val="none"/>
        </w:rPr>
        <w:t>发售</w:t>
      </w:r>
      <w:r>
        <w:rPr>
          <w:rFonts w:ascii="Times New Roman" w:hAnsi="Times New Roman" w:eastAsia="仿宋_GB2312" w:cs="Times New Roman"/>
          <w:bCs/>
          <w:sz w:val="30"/>
          <w:szCs w:val="30"/>
          <w:highlight w:val="none"/>
        </w:rPr>
        <w:t>方式、发售对象、定价方式、募集资金用途、对原基金份额持有人的影响</w:t>
      </w:r>
      <w:r>
        <w:rPr>
          <w:rFonts w:hint="eastAsia" w:ascii="Times New Roman" w:hAnsi="Times New Roman" w:eastAsia="仿宋_GB2312" w:cs="Times New Roman"/>
          <w:bCs/>
          <w:sz w:val="30"/>
          <w:szCs w:val="30"/>
          <w:highlight w:val="none"/>
        </w:rPr>
        <w:t>，以及发售</w:t>
      </w:r>
      <w:r>
        <w:rPr>
          <w:rFonts w:ascii="Times New Roman" w:hAnsi="Times New Roman" w:eastAsia="仿宋_GB2312" w:cs="Times New Roman"/>
          <w:bCs/>
          <w:sz w:val="30"/>
          <w:szCs w:val="30"/>
          <w:highlight w:val="none"/>
        </w:rPr>
        <w:t>前累计收益的分配方案（如有）等，必备要素详见附件2-4。</w:t>
      </w:r>
    </w:p>
    <w:p w14:paraId="0C608819">
      <w:pPr>
        <w:widowControl/>
        <w:spacing w:line="560" w:lineRule="exact"/>
        <w:ind w:firstLine="600" w:firstLineChars="200"/>
        <w:rPr>
          <w:rFonts w:ascii="Times New Roman" w:hAnsi="Times New Roman" w:eastAsia="仿宋_GB2312" w:cs="Times New Roman"/>
          <w:bCs/>
          <w:sz w:val="30"/>
          <w:szCs w:val="30"/>
          <w:highlight w:val="none"/>
        </w:rPr>
      </w:pPr>
      <w:r>
        <w:rPr>
          <w:rFonts w:ascii="Times New Roman" w:hAnsi="Times New Roman" w:eastAsia="仿宋_GB2312" w:cs="Times New Roman"/>
          <w:bCs/>
          <w:sz w:val="30"/>
          <w:szCs w:val="30"/>
          <w:highlight w:val="none"/>
        </w:rPr>
        <w:t>基金管理人首次发布</w:t>
      </w:r>
      <w:r>
        <w:rPr>
          <w:rFonts w:hint="eastAsia" w:ascii="Times New Roman" w:hAnsi="Times New Roman" w:eastAsia="仿宋_GB2312" w:cs="Times New Roman"/>
          <w:bCs/>
          <w:sz w:val="30"/>
          <w:szCs w:val="30"/>
          <w:highlight w:val="none"/>
        </w:rPr>
        <w:t>拟</w:t>
      </w:r>
      <w:r>
        <w:rPr>
          <w:rFonts w:ascii="Times New Roman" w:hAnsi="Times New Roman" w:eastAsia="仿宋_GB2312" w:cs="Times New Roman"/>
          <w:bCs/>
          <w:sz w:val="30"/>
          <w:szCs w:val="30"/>
          <w:highlight w:val="none"/>
        </w:rPr>
        <w:t>购入</w:t>
      </w:r>
      <w:r>
        <w:rPr>
          <w:rFonts w:hint="eastAsia" w:ascii="Times New Roman" w:hAnsi="Times New Roman" w:eastAsia="仿宋_GB2312" w:cs="Times New Roman"/>
          <w:bCs/>
          <w:sz w:val="30"/>
          <w:szCs w:val="30"/>
          <w:highlight w:val="none"/>
        </w:rPr>
        <w:t>不动产</w:t>
      </w:r>
      <w:r>
        <w:rPr>
          <w:rFonts w:ascii="Times New Roman" w:hAnsi="Times New Roman" w:eastAsia="仿宋_GB2312" w:cs="Times New Roman"/>
          <w:bCs/>
          <w:sz w:val="30"/>
          <w:szCs w:val="30"/>
          <w:highlight w:val="none"/>
        </w:rPr>
        <w:t>项目临时公告至提交基金变更注册申请之前，应当通过本所</w:t>
      </w:r>
      <w:r>
        <w:rPr>
          <w:rFonts w:ascii="Times New Roman" w:hAnsi="Times New Roman" w:eastAsia="仿宋_GB2312" w:cs="Times New Roman"/>
          <w:sz w:val="30"/>
          <w:szCs w:val="30"/>
          <w:highlight w:val="none"/>
        </w:rPr>
        <w:t>业务管理系统</w:t>
      </w:r>
      <w:bookmarkStart w:id="40" w:name="_Toc9124"/>
      <w:bookmarkStart w:id="41" w:name="_Toc24661"/>
      <w:r>
        <w:rPr>
          <w:rFonts w:ascii="Times New Roman" w:hAnsi="Times New Roman" w:eastAsia="仿宋_GB2312" w:cs="Times New Roman"/>
          <w:sz w:val="30"/>
          <w:szCs w:val="30"/>
          <w:highlight w:val="none"/>
        </w:rPr>
        <w:t>平台</w:t>
      </w:r>
      <w:r>
        <w:rPr>
          <w:rFonts w:ascii="Times New Roman" w:hAnsi="Times New Roman" w:eastAsia="仿宋_GB2312" w:cs="Times New Roman"/>
          <w:bCs/>
          <w:sz w:val="30"/>
          <w:szCs w:val="30"/>
          <w:highlight w:val="none"/>
        </w:rPr>
        <w:t>提交临时信息</w:t>
      </w:r>
      <w:bookmarkEnd w:id="40"/>
      <w:bookmarkEnd w:id="41"/>
      <w:bookmarkStart w:id="42" w:name="_Toc25110"/>
      <w:bookmarkStart w:id="43" w:name="_Toc19812"/>
      <w:r>
        <w:rPr>
          <w:rFonts w:ascii="Times New Roman" w:hAnsi="Times New Roman" w:eastAsia="仿宋_GB2312" w:cs="Times New Roman"/>
          <w:bCs/>
          <w:sz w:val="30"/>
          <w:szCs w:val="30"/>
          <w:highlight w:val="none"/>
        </w:rPr>
        <w:t>披露申请，</w:t>
      </w:r>
      <w:r>
        <w:rPr>
          <w:rFonts w:hint="eastAsia" w:ascii="Times New Roman" w:hAnsi="Times New Roman" w:eastAsia="仿宋_GB2312" w:cs="Times New Roman"/>
          <w:bCs/>
          <w:sz w:val="30"/>
          <w:szCs w:val="30"/>
          <w:highlight w:val="none"/>
        </w:rPr>
        <w:t>及时披露重大进展或者重大变化</w:t>
      </w:r>
      <w:bookmarkEnd w:id="42"/>
      <w:bookmarkEnd w:id="43"/>
      <w:r>
        <w:rPr>
          <w:rFonts w:ascii="Times New Roman" w:hAnsi="Times New Roman" w:eastAsia="仿宋_GB2312" w:cs="Times New Roman"/>
          <w:bCs/>
          <w:sz w:val="30"/>
          <w:szCs w:val="30"/>
          <w:highlight w:val="none"/>
        </w:rPr>
        <w:t>。</w:t>
      </w:r>
    </w:p>
    <w:p w14:paraId="6E51D5C3">
      <w:pPr>
        <w:widowControl/>
        <w:spacing w:line="560" w:lineRule="exact"/>
        <w:ind w:firstLine="602" w:firstLineChars="200"/>
        <w:outlineLvl w:val="1"/>
        <w:rPr>
          <w:rFonts w:ascii="Times New Roman" w:hAnsi="Times New Roman" w:eastAsia="黑体" w:cs="Times New Roman"/>
          <w:b/>
          <w:bCs w:val="0"/>
          <w:sz w:val="30"/>
          <w:szCs w:val="30"/>
          <w:highlight w:val="none"/>
        </w:rPr>
      </w:pPr>
      <w:bookmarkStart w:id="44" w:name="_Toc23416"/>
      <w:bookmarkStart w:id="45" w:name="_Toc6495"/>
      <w:bookmarkStart w:id="46" w:name="_Toc14807"/>
      <w:bookmarkStart w:id="47" w:name="_Toc2265"/>
      <w:bookmarkStart w:id="48" w:name="_Toc1668"/>
      <w:bookmarkStart w:id="49" w:name="_Toc6525"/>
      <w:bookmarkStart w:id="50" w:name="_Toc16142"/>
      <w:bookmarkStart w:id="51" w:name="_Toc3241"/>
      <w:bookmarkStart w:id="52" w:name="_Toc3050"/>
      <w:bookmarkStart w:id="53" w:name="_Toc16920"/>
      <w:r>
        <w:rPr>
          <w:rFonts w:ascii="Times New Roman" w:hAnsi="Times New Roman" w:eastAsia="黑体" w:cs="Times New Roman"/>
          <w:b/>
          <w:bCs w:val="0"/>
          <w:sz w:val="30"/>
          <w:szCs w:val="30"/>
          <w:highlight w:val="none"/>
        </w:rPr>
        <w:t>二、履行变更注册程序期间的信息披露</w:t>
      </w:r>
      <w:bookmarkEnd w:id="44"/>
      <w:bookmarkEnd w:id="45"/>
      <w:bookmarkEnd w:id="46"/>
      <w:bookmarkEnd w:id="47"/>
      <w:bookmarkEnd w:id="48"/>
      <w:bookmarkEnd w:id="49"/>
      <w:bookmarkEnd w:id="50"/>
      <w:bookmarkEnd w:id="51"/>
      <w:bookmarkEnd w:id="52"/>
      <w:bookmarkEnd w:id="53"/>
    </w:p>
    <w:p w14:paraId="548279E6">
      <w:pPr>
        <w:widowControl/>
        <w:spacing w:line="560" w:lineRule="exact"/>
        <w:ind w:firstLine="600" w:firstLineChars="200"/>
        <w:rPr>
          <w:rFonts w:ascii="Times New Roman" w:hAnsi="Times New Roman" w:eastAsia="仿宋_GB2312" w:cs="Times New Roman"/>
          <w:bCs/>
          <w:sz w:val="30"/>
          <w:szCs w:val="30"/>
          <w:highlight w:val="none"/>
        </w:rPr>
      </w:pPr>
      <w:r>
        <w:rPr>
          <w:rFonts w:ascii="Times New Roman" w:hAnsi="Times New Roman" w:eastAsia="仿宋_GB2312" w:cs="Times New Roman"/>
          <w:bCs/>
          <w:sz w:val="30"/>
          <w:szCs w:val="30"/>
          <w:highlight w:val="none"/>
        </w:rPr>
        <w:t>基金管理人在履行中国证券监督管理委员会（以下简称中国证监会）变更注册、本所</w:t>
      </w:r>
      <w:r>
        <w:rPr>
          <w:rFonts w:hint="eastAsia" w:ascii="Times New Roman" w:hAnsi="Times New Roman" w:eastAsia="仿宋_GB2312" w:cs="Times New Roman"/>
          <w:bCs/>
          <w:sz w:val="30"/>
          <w:szCs w:val="30"/>
          <w:highlight w:val="none"/>
        </w:rPr>
        <w:t>不动产</w:t>
      </w:r>
      <w:r>
        <w:rPr>
          <w:rFonts w:ascii="Times New Roman" w:hAnsi="Times New Roman" w:eastAsia="仿宋_GB2312" w:cs="Times New Roman"/>
          <w:bCs/>
          <w:sz w:val="30"/>
          <w:szCs w:val="30"/>
          <w:highlight w:val="none"/>
        </w:rPr>
        <w:t>基金产品变更和</w:t>
      </w:r>
      <w:r>
        <w:rPr>
          <w:rFonts w:hint="eastAsia" w:ascii="Times New Roman" w:hAnsi="Times New Roman" w:eastAsia="仿宋_GB2312" w:cs="Times New Roman"/>
          <w:bCs/>
          <w:sz w:val="30"/>
          <w:szCs w:val="30"/>
          <w:highlight w:val="none"/>
        </w:rPr>
        <w:t>不动产</w:t>
      </w:r>
      <w:r>
        <w:rPr>
          <w:rFonts w:ascii="Times New Roman" w:hAnsi="Times New Roman" w:eastAsia="仿宋_GB2312" w:cs="Times New Roman"/>
          <w:bCs/>
          <w:sz w:val="30"/>
          <w:szCs w:val="30"/>
          <w:highlight w:val="none"/>
        </w:rPr>
        <w:t>资产支持证券相关申请确认程序期间，应通过本所</w:t>
      </w:r>
      <w:r>
        <w:rPr>
          <w:rFonts w:ascii="Times New Roman" w:hAnsi="Times New Roman" w:eastAsia="仿宋_GB2312" w:cs="Times New Roman"/>
          <w:sz w:val="30"/>
          <w:szCs w:val="30"/>
          <w:highlight w:val="none"/>
        </w:rPr>
        <w:t>业务管理系统平台</w:t>
      </w:r>
      <w:r>
        <w:rPr>
          <w:rFonts w:ascii="Times New Roman" w:hAnsi="Times New Roman" w:eastAsia="仿宋_GB2312" w:cs="Times New Roman"/>
          <w:bCs/>
          <w:sz w:val="30"/>
          <w:szCs w:val="30"/>
          <w:highlight w:val="none"/>
        </w:rPr>
        <w:t>提交信息披露申请，公告类别详见附件2-1。信息披露时间及具体情形如下：</w:t>
      </w:r>
    </w:p>
    <w:p w14:paraId="2C8B414D">
      <w:pPr>
        <w:widowControl/>
        <w:spacing w:line="560" w:lineRule="exact"/>
        <w:ind w:firstLine="602" w:firstLineChars="200"/>
        <w:jc w:val="left"/>
        <w:outlineLvl w:val="2"/>
        <w:rPr>
          <w:rFonts w:ascii="Times New Roman" w:hAnsi="Times New Roman" w:eastAsia="楷体_GB2312" w:cs="Times New Roman"/>
          <w:b/>
          <w:bCs/>
          <w:kern w:val="0"/>
          <w:sz w:val="30"/>
          <w:szCs w:val="30"/>
          <w:highlight w:val="none"/>
        </w:rPr>
      </w:pPr>
      <w:bookmarkStart w:id="54" w:name="_Toc8497"/>
      <w:bookmarkStart w:id="55" w:name="_Toc27226"/>
      <w:bookmarkStart w:id="56" w:name="_Toc948"/>
      <w:bookmarkStart w:id="57" w:name="_Toc19425"/>
      <w:bookmarkStart w:id="58" w:name="_Toc32603"/>
      <w:bookmarkStart w:id="59" w:name="_Toc2892"/>
      <w:bookmarkStart w:id="60" w:name="_Toc8156"/>
      <w:bookmarkStart w:id="61" w:name="_Toc26453"/>
      <w:bookmarkStart w:id="62" w:name="_Toc25122"/>
      <w:bookmarkStart w:id="63" w:name="_Toc16650"/>
      <w:r>
        <w:rPr>
          <w:rFonts w:ascii="Times New Roman" w:hAnsi="Times New Roman" w:eastAsia="楷体_GB2312" w:cs="Times New Roman"/>
          <w:b/>
          <w:bCs/>
          <w:kern w:val="0"/>
          <w:sz w:val="30"/>
          <w:szCs w:val="30"/>
          <w:highlight w:val="none"/>
        </w:rPr>
        <w:t>（一）在当日提交信息披露申请</w:t>
      </w:r>
      <w:bookmarkEnd w:id="54"/>
      <w:bookmarkEnd w:id="55"/>
      <w:bookmarkEnd w:id="56"/>
      <w:bookmarkEnd w:id="57"/>
      <w:bookmarkEnd w:id="58"/>
      <w:bookmarkEnd w:id="59"/>
      <w:bookmarkEnd w:id="60"/>
      <w:bookmarkEnd w:id="61"/>
      <w:bookmarkEnd w:id="62"/>
      <w:bookmarkEnd w:id="63"/>
    </w:p>
    <w:p w14:paraId="7554EB28">
      <w:pPr>
        <w:widowControl/>
        <w:spacing w:line="560" w:lineRule="exact"/>
        <w:ind w:firstLine="600" w:firstLineChars="200"/>
        <w:rPr>
          <w:rFonts w:ascii="Times New Roman" w:hAnsi="Times New Roman" w:eastAsia="仿宋_GB2312" w:cs="Times New Roman"/>
          <w:bCs/>
          <w:sz w:val="30"/>
          <w:szCs w:val="30"/>
          <w:highlight w:val="none"/>
        </w:rPr>
      </w:pPr>
      <w:r>
        <w:rPr>
          <w:rFonts w:ascii="Times New Roman" w:hAnsi="Times New Roman" w:eastAsia="仿宋_GB2312" w:cs="Times New Roman"/>
          <w:bCs/>
          <w:sz w:val="30"/>
          <w:szCs w:val="30"/>
          <w:highlight w:val="none"/>
        </w:rPr>
        <w:t>向本所提交</w:t>
      </w:r>
      <w:r>
        <w:rPr>
          <w:rFonts w:hint="eastAsia" w:ascii="Times New Roman" w:hAnsi="Times New Roman" w:eastAsia="仿宋_GB2312" w:cs="Times New Roman"/>
          <w:bCs/>
          <w:sz w:val="30"/>
          <w:szCs w:val="30"/>
          <w:highlight w:val="none"/>
        </w:rPr>
        <w:t>不动产</w:t>
      </w:r>
      <w:r>
        <w:rPr>
          <w:rFonts w:ascii="Times New Roman" w:hAnsi="Times New Roman" w:eastAsia="仿宋_GB2312" w:cs="Times New Roman"/>
          <w:bCs/>
          <w:sz w:val="30"/>
          <w:szCs w:val="30"/>
          <w:highlight w:val="none"/>
        </w:rPr>
        <w:t>基金产品变更申请和</w:t>
      </w:r>
      <w:r>
        <w:rPr>
          <w:rFonts w:hint="eastAsia" w:ascii="Times New Roman" w:hAnsi="Times New Roman" w:eastAsia="仿宋_GB2312" w:cs="Times New Roman"/>
          <w:bCs/>
          <w:sz w:val="30"/>
          <w:szCs w:val="30"/>
          <w:highlight w:val="none"/>
        </w:rPr>
        <w:t>不动产</w:t>
      </w:r>
      <w:r>
        <w:rPr>
          <w:rFonts w:ascii="Times New Roman" w:hAnsi="Times New Roman" w:eastAsia="仿宋_GB2312" w:cs="Times New Roman"/>
          <w:bCs/>
          <w:sz w:val="30"/>
          <w:szCs w:val="30"/>
          <w:highlight w:val="none"/>
        </w:rPr>
        <w:t>资产支持证券相关申请时，应同时提交信息披露申请。</w:t>
      </w:r>
    </w:p>
    <w:p w14:paraId="55CE429C">
      <w:pPr>
        <w:widowControl/>
        <w:numPr>
          <w:ilvl w:val="255"/>
          <w:numId w:val="0"/>
        </w:numPr>
        <w:spacing w:line="560" w:lineRule="exact"/>
        <w:ind w:firstLine="602" w:firstLineChars="200"/>
        <w:jc w:val="left"/>
        <w:outlineLvl w:val="2"/>
        <w:rPr>
          <w:rFonts w:ascii="Times New Roman" w:hAnsi="Times New Roman" w:eastAsia="楷体_GB2312" w:cs="Times New Roman"/>
          <w:b/>
          <w:bCs/>
          <w:kern w:val="0"/>
          <w:sz w:val="30"/>
          <w:szCs w:val="30"/>
          <w:highlight w:val="none"/>
        </w:rPr>
      </w:pPr>
      <w:bookmarkStart w:id="64" w:name="_Toc9049"/>
      <w:bookmarkStart w:id="65" w:name="_Toc4557"/>
      <w:bookmarkStart w:id="66" w:name="_Toc31263"/>
      <w:bookmarkStart w:id="67" w:name="_Toc206"/>
      <w:bookmarkStart w:id="68" w:name="_Toc32115"/>
      <w:bookmarkStart w:id="69" w:name="_Toc27115"/>
      <w:bookmarkStart w:id="70" w:name="_Toc17884"/>
      <w:bookmarkStart w:id="71" w:name="_Toc32492"/>
      <w:bookmarkStart w:id="72" w:name="_Toc24847"/>
      <w:bookmarkStart w:id="73" w:name="_Toc7308"/>
      <w:r>
        <w:rPr>
          <w:rFonts w:ascii="Times New Roman" w:hAnsi="Times New Roman" w:eastAsia="楷体_GB2312" w:cs="Times New Roman"/>
          <w:b/>
          <w:bCs/>
          <w:kern w:val="0"/>
          <w:sz w:val="30"/>
          <w:szCs w:val="30"/>
          <w:highlight w:val="none"/>
        </w:rPr>
        <w:t>（二）在发生之日起当日或次日提交信息披露申请</w:t>
      </w:r>
      <w:bookmarkEnd w:id="64"/>
      <w:bookmarkEnd w:id="65"/>
      <w:bookmarkEnd w:id="66"/>
      <w:bookmarkEnd w:id="67"/>
      <w:bookmarkEnd w:id="68"/>
      <w:bookmarkEnd w:id="69"/>
      <w:bookmarkEnd w:id="70"/>
      <w:bookmarkEnd w:id="71"/>
      <w:bookmarkEnd w:id="72"/>
      <w:bookmarkEnd w:id="73"/>
    </w:p>
    <w:p w14:paraId="64DE35DC">
      <w:pPr>
        <w:widowControl/>
        <w:spacing w:line="560" w:lineRule="exact"/>
        <w:ind w:firstLine="600" w:firstLineChars="200"/>
        <w:rPr>
          <w:rFonts w:ascii="Times New Roman" w:hAnsi="Times New Roman" w:eastAsia="仿宋_GB2312" w:cs="Times New Roman"/>
          <w:bCs/>
          <w:sz w:val="30"/>
          <w:szCs w:val="30"/>
          <w:highlight w:val="none"/>
        </w:rPr>
      </w:pPr>
      <w:r>
        <w:rPr>
          <w:rFonts w:ascii="Times New Roman" w:hAnsi="Times New Roman" w:eastAsia="仿宋_GB2312" w:cs="Times New Roman"/>
          <w:bCs/>
          <w:sz w:val="30"/>
          <w:szCs w:val="30"/>
          <w:highlight w:val="none"/>
        </w:rPr>
        <w:t>发生下列情形之一的，应在当日或次日提交信息披露申请：</w:t>
      </w:r>
    </w:p>
    <w:p w14:paraId="3BC514EF">
      <w:pPr>
        <w:widowControl/>
        <w:spacing w:line="560" w:lineRule="exact"/>
        <w:ind w:firstLine="600" w:firstLineChars="200"/>
        <w:rPr>
          <w:rFonts w:ascii="Times New Roman" w:hAnsi="Times New Roman" w:eastAsia="仿宋_GB2312" w:cs="Times New Roman"/>
          <w:bCs/>
          <w:sz w:val="30"/>
          <w:szCs w:val="30"/>
          <w:highlight w:val="none"/>
        </w:rPr>
      </w:pPr>
      <w:r>
        <w:rPr>
          <w:rFonts w:ascii="Times New Roman" w:hAnsi="Times New Roman" w:eastAsia="仿宋_GB2312" w:cs="Times New Roman"/>
          <w:bCs/>
          <w:sz w:val="30"/>
          <w:szCs w:val="30"/>
          <w:highlight w:val="none"/>
        </w:rPr>
        <w:t>1.收到中国证监会或者本所的受理通知书；</w:t>
      </w:r>
    </w:p>
    <w:p w14:paraId="12C0F0C4">
      <w:pPr>
        <w:widowControl/>
        <w:spacing w:line="560" w:lineRule="exact"/>
        <w:ind w:firstLine="600" w:firstLineChars="200"/>
        <w:rPr>
          <w:rFonts w:ascii="Times New Roman" w:hAnsi="Times New Roman" w:eastAsia="仿宋_GB2312" w:cs="Times New Roman"/>
          <w:bCs/>
          <w:sz w:val="30"/>
          <w:szCs w:val="30"/>
          <w:highlight w:val="none"/>
        </w:rPr>
      </w:pPr>
      <w:r>
        <w:rPr>
          <w:rFonts w:ascii="Times New Roman" w:hAnsi="Times New Roman" w:eastAsia="仿宋_GB2312" w:cs="Times New Roman"/>
          <w:bCs/>
          <w:sz w:val="30"/>
          <w:szCs w:val="30"/>
          <w:highlight w:val="none"/>
        </w:rPr>
        <w:t>2.收到本所问询；</w:t>
      </w:r>
    </w:p>
    <w:p w14:paraId="0EE13DD0">
      <w:pPr>
        <w:widowControl/>
        <w:spacing w:line="560" w:lineRule="exact"/>
        <w:ind w:firstLine="600" w:firstLineChars="200"/>
        <w:rPr>
          <w:rFonts w:ascii="Times New Roman" w:hAnsi="Times New Roman" w:eastAsia="仿宋_GB2312" w:cs="Times New Roman"/>
          <w:bCs/>
          <w:sz w:val="30"/>
          <w:szCs w:val="30"/>
          <w:highlight w:val="none"/>
        </w:rPr>
      </w:pPr>
      <w:r>
        <w:rPr>
          <w:rFonts w:ascii="Times New Roman" w:hAnsi="Times New Roman" w:eastAsia="仿宋_GB2312" w:cs="Times New Roman"/>
          <w:bCs/>
          <w:sz w:val="30"/>
          <w:szCs w:val="30"/>
          <w:highlight w:val="none"/>
        </w:rPr>
        <w:t>3.提交问询答复以及有关相关文件；</w:t>
      </w:r>
    </w:p>
    <w:p w14:paraId="720D0749">
      <w:pPr>
        <w:widowControl/>
        <w:spacing w:line="560" w:lineRule="exact"/>
        <w:ind w:firstLine="600" w:firstLineChars="200"/>
        <w:rPr>
          <w:rFonts w:ascii="Times New Roman" w:hAnsi="Times New Roman" w:eastAsia="仿宋_GB2312" w:cs="Times New Roman"/>
          <w:bCs/>
          <w:sz w:val="30"/>
          <w:szCs w:val="30"/>
          <w:highlight w:val="none"/>
        </w:rPr>
      </w:pPr>
      <w:r>
        <w:rPr>
          <w:rFonts w:ascii="Times New Roman" w:hAnsi="Times New Roman" w:eastAsia="仿宋_GB2312" w:cs="Times New Roman"/>
          <w:bCs/>
          <w:sz w:val="30"/>
          <w:szCs w:val="30"/>
          <w:highlight w:val="none"/>
        </w:rPr>
        <w:t>4.收到本所关于变更申请的无异议函或者终止审核通知；</w:t>
      </w:r>
    </w:p>
    <w:p w14:paraId="78DD7A98">
      <w:pPr>
        <w:widowControl/>
        <w:spacing w:line="560" w:lineRule="exact"/>
        <w:ind w:firstLine="600" w:firstLineChars="200"/>
        <w:rPr>
          <w:rFonts w:ascii="Times New Roman" w:hAnsi="Times New Roman" w:eastAsia="仿宋_GB2312" w:cs="Times New Roman"/>
          <w:bCs/>
          <w:sz w:val="30"/>
          <w:szCs w:val="30"/>
          <w:highlight w:val="none"/>
        </w:rPr>
      </w:pPr>
      <w:r>
        <w:rPr>
          <w:rFonts w:ascii="Times New Roman" w:hAnsi="Times New Roman" w:eastAsia="仿宋_GB2312" w:cs="Times New Roman"/>
          <w:bCs/>
          <w:sz w:val="30"/>
          <w:szCs w:val="30"/>
          <w:highlight w:val="none"/>
        </w:rPr>
        <w:t>5.收到中国证监会关于基金变更注册或者不予</w:t>
      </w:r>
      <w:r>
        <w:rPr>
          <w:rFonts w:hint="eastAsia" w:ascii="Times New Roman" w:hAnsi="Times New Roman" w:eastAsia="仿宋_GB2312" w:cs="Times New Roman"/>
          <w:bCs/>
          <w:sz w:val="30"/>
          <w:szCs w:val="30"/>
          <w:highlight w:val="none"/>
        </w:rPr>
        <w:t>变更</w:t>
      </w:r>
      <w:r>
        <w:rPr>
          <w:rFonts w:ascii="Times New Roman" w:hAnsi="Times New Roman" w:eastAsia="仿宋_GB2312" w:cs="Times New Roman"/>
          <w:bCs/>
          <w:sz w:val="30"/>
          <w:szCs w:val="30"/>
          <w:highlight w:val="none"/>
        </w:rPr>
        <w:t>注册的批复。</w:t>
      </w:r>
    </w:p>
    <w:p w14:paraId="63B51BD1">
      <w:pPr>
        <w:widowControl/>
        <w:spacing w:line="560" w:lineRule="exact"/>
        <w:ind w:firstLine="602" w:firstLineChars="200"/>
        <w:jc w:val="left"/>
        <w:outlineLvl w:val="2"/>
        <w:rPr>
          <w:rFonts w:ascii="Times New Roman" w:hAnsi="Times New Roman" w:eastAsia="楷体_GB2312" w:cs="Times New Roman"/>
          <w:b/>
          <w:bCs/>
          <w:kern w:val="0"/>
          <w:sz w:val="30"/>
          <w:szCs w:val="30"/>
          <w:highlight w:val="none"/>
        </w:rPr>
      </w:pPr>
      <w:bookmarkStart w:id="74" w:name="_Toc23286"/>
      <w:bookmarkStart w:id="75" w:name="_Toc27207"/>
      <w:bookmarkStart w:id="76" w:name="_Toc26762"/>
      <w:bookmarkStart w:id="77" w:name="_Toc958"/>
      <w:bookmarkStart w:id="78" w:name="_Toc23791"/>
      <w:bookmarkStart w:id="79" w:name="_Toc18266"/>
      <w:bookmarkStart w:id="80" w:name="_Toc29957"/>
      <w:bookmarkStart w:id="81" w:name="_Toc12238"/>
      <w:bookmarkStart w:id="82" w:name="_Toc18671"/>
      <w:bookmarkStart w:id="83" w:name="_Toc12955"/>
      <w:r>
        <w:rPr>
          <w:rFonts w:ascii="Times New Roman" w:hAnsi="Times New Roman" w:eastAsia="楷体_GB2312" w:cs="Times New Roman"/>
          <w:b/>
          <w:bCs/>
          <w:kern w:val="0"/>
          <w:sz w:val="30"/>
          <w:szCs w:val="30"/>
          <w:highlight w:val="none"/>
        </w:rPr>
        <w:t>（三）其他情况下的信息披露申请</w:t>
      </w:r>
      <w:bookmarkEnd w:id="74"/>
      <w:bookmarkEnd w:id="75"/>
      <w:bookmarkEnd w:id="76"/>
      <w:bookmarkEnd w:id="77"/>
      <w:bookmarkEnd w:id="78"/>
      <w:bookmarkEnd w:id="79"/>
      <w:bookmarkEnd w:id="80"/>
      <w:bookmarkEnd w:id="81"/>
      <w:bookmarkEnd w:id="82"/>
      <w:bookmarkEnd w:id="83"/>
    </w:p>
    <w:p w14:paraId="35F911D8">
      <w:pPr>
        <w:widowControl/>
        <w:spacing w:line="560" w:lineRule="exact"/>
        <w:ind w:firstLine="600" w:firstLineChars="200"/>
        <w:rPr>
          <w:rFonts w:ascii="Times New Roman" w:hAnsi="Times New Roman" w:eastAsia="仿宋_GB2312" w:cs="Times New Roman"/>
          <w:bCs/>
          <w:sz w:val="30"/>
          <w:szCs w:val="30"/>
          <w:highlight w:val="none"/>
        </w:rPr>
      </w:pPr>
      <w:r>
        <w:rPr>
          <w:rFonts w:ascii="Times New Roman" w:hAnsi="Times New Roman" w:eastAsia="仿宋_GB2312" w:cs="Times New Roman"/>
          <w:bCs/>
          <w:sz w:val="30"/>
          <w:szCs w:val="30"/>
          <w:highlight w:val="none"/>
        </w:rPr>
        <w:t>履行变更注册程序期间，基金管理人决定撤回申请的，应当说明原因，并提交信息披露申请。</w:t>
      </w:r>
    </w:p>
    <w:p w14:paraId="2F2E5B0B">
      <w:pPr>
        <w:widowControl/>
        <w:spacing w:line="560" w:lineRule="exact"/>
        <w:ind w:firstLine="602" w:firstLineChars="200"/>
        <w:outlineLvl w:val="1"/>
        <w:rPr>
          <w:rFonts w:ascii="Times New Roman" w:hAnsi="Times New Roman" w:eastAsia="黑体" w:cs="Times New Roman"/>
          <w:b/>
          <w:bCs w:val="0"/>
          <w:sz w:val="30"/>
          <w:szCs w:val="30"/>
          <w:highlight w:val="none"/>
        </w:rPr>
      </w:pPr>
      <w:bookmarkStart w:id="84" w:name="_Toc6402"/>
      <w:bookmarkStart w:id="85" w:name="_Toc8178"/>
      <w:bookmarkStart w:id="86" w:name="_Toc8653"/>
      <w:bookmarkStart w:id="87" w:name="_Toc18122"/>
      <w:bookmarkStart w:id="88" w:name="_Toc21827"/>
      <w:bookmarkStart w:id="89" w:name="_Toc17967"/>
      <w:bookmarkStart w:id="90" w:name="_Toc21687"/>
      <w:bookmarkStart w:id="91" w:name="_Toc20035"/>
      <w:bookmarkStart w:id="92" w:name="_Toc7908"/>
      <w:bookmarkStart w:id="93" w:name="_Toc29369"/>
      <w:r>
        <w:rPr>
          <w:rFonts w:ascii="Times New Roman" w:hAnsi="Times New Roman" w:eastAsia="黑体" w:cs="Times New Roman"/>
          <w:b/>
          <w:bCs w:val="0"/>
          <w:sz w:val="30"/>
          <w:szCs w:val="30"/>
          <w:highlight w:val="none"/>
        </w:rPr>
        <w:t>三、召开基金份额持有人大会</w:t>
      </w:r>
      <w:bookmarkEnd w:id="84"/>
      <w:bookmarkEnd w:id="85"/>
      <w:bookmarkEnd w:id="86"/>
      <w:bookmarkEnd w:id="87"/>
      <w:bookmarkEnd w:id="88"/>
      <w:bookmarkEnd w:id="89"/>
      <w:bookmarkEnd w:id="90"/>
      <w:bookmarkEnd w:id="91"/>
      <w:bookmarkEnd w:id="92"/>
      <w:bookmarkEnd w:id="93"/>
    </w:p>
    <w:p w14:paraId="20678B17">
      <w:pPr>
        <w:widowControl/>
        <w:spacing w:line="560" w:lineRule="exact"/>
        <w:ind w:firstLine="600" w:firstLineChars="200"/>
        <w:rPr>
          <w:rFonts w:ascii="Times New Roman" w:hAnsi="Times New Roman" w:eastAsia="仿宋_GB2312" w:cs="Times New Roman"/>
          <w:bCs/>
          <w:sz w:val="30"/>
          <w:szCs w:val="30"/>
          <w:highlight w:val="none"/>
        </w:rPr>
      </w:pPr>
      <w:r>
        <w:rPr>
          <w:rFonts w:ascii="Times New Roman" w:hAnsi="Times New Roman" w:eastAsia="仿宋_GB2312" w:cs="Times New Roman"/>
          <w:bCs/>
          <w:sz w:val="30"/>
          <w:szCs w:val="30"/>
          <w:highlight w:val="none"/>
        </w:rPr>
        <w:t>履行完毕基金变更注册程序后，基金管理人应当召开基</w:t>
      </w:r>
    </w:p>
    <w:p w14:paraId="3F4FBFE1">
      <w:pPr>
        <w:widowControl/>
        <w:spacing w:line="560" w:lineRule="exact"/>
        <w:rPr>
          <w:rFonts w:ascii="Times New Roman" w:hAnsi="Times New Roman" w:eastAsia="仿宋_GB2312" w:cs="Times New Roman"/>
          <w:bCs/>
          <w:sz w:val="30"/>
          <w:szCs w:val="30"/>
          <w:highlight w:val="none"/>
        </w:rPr>
      </w:pPr>
      <w:r>
        <w:rPr>
          <w:rFonts w:ascii="Times New Roman" w:hAnsi="Times New Roman" w:eastAsia="仿宋_GB2312" w:cs="Times New Roman"/>
          <w:bCs/>
          <w:sz w:val="30"/>
          <w:szCs w:val="30"/>
          <w:highlight w:val="none"/>
        </w:rPr>
        <w:t>金份额持有人大会，并进行相关信息披露。</w:t>
      </w:r>
    </w:p>
    <w:p w14:paraId="7181025D">
      <w:pPr>
        <w:widowControl/>
        <w:spacing w:line="560" w:lineRule="exact"/>
        <w:ind w:firstLine="602" w:firstLineChars="200"/>
        <w:jc w:val="left"/>
        <w:outlineLvl w:val="2"/>
        <w:rPr>
          <w:rFonts w:ascii="Times New Roman" w:hAnsi="Times New Roman" w:eastAsia="楷体_GB2312" w:cs="Times New Roman"/>
          <w:b/>
          <w:bCs/>
          <w:kern w:val="0"/>
          <w:sz w:val="30"/>
          <w:szCs w:val="30"/>
          <w:highlight w:val="none"/>
        </w:rPr>
      </w:pPr>
      <w:bookmarkStart w:id="94" w:name="_Toc9051"/>
      <w:bookmarkStart w:id="95" w:name="_Toc13751"/>
      <w:bookmarkStart w:id="96" w:name="_Toc5339"/>
      <w:bookmarkStart w:id="97" w:name="_Toc21793"/>
      <w:bookmarkStart w:id="98" w:name="_Toc11303"/>
      <w:bookmarkStart w:id="99" w:name="_Toc25293"/>
      <w:bookmarkStart w:id="100" w:name="_Toc10372"/>
      <w:bookmarkStart w:id="101" w:name="_Toc19532"/>
      <w:bookmarkStart w:id="102" w:name="_Toc7039"/>
      <w:bookmarkStart w:id="103" w:name="_Toc21599"/>
      <w:r>
        <w:rPr>
          <w:rFonts w:ascii="Times New Roman" w:hAnsi="Times New Roman" w:eastAsia="楷体_GB2312" w:cs="Times New Roman"/>
          <w:b/>
          <w:bCs/>
          <w:kern w:val="0"/>
          <w:sz w:val="30"/>
          <w:szCs w:val="30"/>
          <w:highlight w:val="none"/>
        </w:rPr>
        <w:t>（一）披露召开持有人大会的通知公告及提示性公告</w:t>
      </w:r>
      <w:bookmarkEnd w:id="94"/>
      <w:bookmarkEnd w:id="95"/>
      <w:bookmarkEnd w:id="96"/>
      <w:bookmarkEnd w:id="97"/>
      <w:bookmarkEnd w:id="98"/>
      <w:bookmarkEnd w:id="99"/>
      <w:bookmarkEnd w:id="100"/>
      <w:bookmarkEnd w:id="101"/>
      <w:bookmarkEnd w:id="102"/>
      <w:bookmarkEnd w:id="103"/>
    </w:p>
    <w:p w14:paraId="7D448BA3">
      <w:pPr>
        <w:widowControl/>
        <w:spacing w:line="560" w:lineRule="exact"/>
        <w:ind w:firstLine="600" w:firstLineChars="200"/>
        <w:rPr>
          <w:rFonts w:ascii="Times New Roman" w:hAnsi="Times New Roman" w:eastAsia="仿宋_GB2312" w:cs="Times New Roman"/>
          <w:bCs/>
          <w:sz w:val="30"/>
          <w:szCs w:val="30"/>
          <w:highlight w:val="none"/>
        </w:rPr>
      </w:pPr>
      <w:bookmarkStart w:id="104" w:name="_Toc1980"/>
      <w:bookmarkStart w:id="105" w:name="_Toc30159"/>
      <w:bookmarkStart w:id="106" w:name="_Toc16304"/>
      <w:bookmarkStart w:id="107" w:name="_Toc25983"/>
      <w:bookmarkStart w:id="108" w:name="_Toc12402"/>
      <w:bookmarkStart w:id="109" w:name="_Toc14249"/>
      <w:bookmarkStart w:id="110" w:name="_Toc12565"/>
      <w:bookmarkStart w:id="111" w:name="_Toc31651"/>
      <w:r>
        <w:rPr>
          <w:rFonts w:ascii="Times New Roman" w:hAnsi="Times New Roman" w:eastAsia="仿宋_GB2312" w:cs="Times New Roman"/>
          <w:bCs/>
          <w:sz w:val="30"/>
          <w:szCs w:val="30"/>
          <w:highlight w:val="none"/>
        </w:rPr>
        <w:t>1.披露召开持有人大会的通知公告</w:t>
      </w:r>
      <w:bookmarkEnd w:id="104"/>
      <w:bookmarkEnd w:id="105"/>
      <w:bookmarkEnd w:id="106"/>
      <w:bookmarkEnd w:id="107"/>
      <w:bookmarkEnd w:id="108"/>
      <w:bookmarkEnd w:id="109"/>
      <w:bookmarkEnd w:id="110"/>
      <w:bookmarkEnd w:id="111"/>
    </w:p>
    <w:p w14:paraId="49ADF51C">
      <w:pPr>
        <w:widowControl/>
        <w:spacing w:line="560" w:lineRule="exact"/>
        <w:ind w:firstLine="600" w:firstLineChars="200"/>
        <w:rPr>
          <w:rFonts w:ascii="Times New Roman" w:hAnsi="Times New Roman" w:eastAsia="仿宋_GB2312" w:cs="Times New Roman"/>
          <w:bCs/>
          <w:sz w:val="30"/>
          <w:szCs w:val="30"/>
          <w:highlight w:val="none"/>
        </w:rPr>
      </w:pPr>
      <w:r>
        <w:rPr>
          <w:rFonts w:ascii="Times New Roman" w:hAnsi="Times New Roman" w:eastAsia="仿宋_GB2312" w:cs="Times New Roman"/>
          <w:bCs/>
          <w:sz w:val="30"/>
          <w:szCs w:val="30"/>
          <w:highlight w:val="none"/>
        </w:rPr>
        <w:t>基金管理人至少在召开持有人大会前30日（自然日）刊登召开基金份额持有人大会的通知公告并附</w:t>
      </w:r>
      <w:r>
        <w:rPr>
          <w:rFonts w:hint="eastAsia" w:ascii="Times New Roman" w:hAnsi="Times New Roman" w:eastAsia="仿宋_GB2312" w:cs="Times New Roman"/>
          <w:bCs/>
          <w:sz w:val="30"/>
          <w:szCs w:val="30"/>
          <w:highlight w:val="none"/>
        </w:rPr>
        <w:t>有</w:t>
      </w:r>
      <w:r>
        <w:rPr>
          <w:rFonts w:ascii="Times New Roman" w:hAnsi="Times New Roman" w:eastAsia="仿宋_GB2312" w:cs="Times New Roman"/>
          <w:bCs/>
          <w:sz w:val="30"/>
          <w:szCs w:val="30"/>
          <w:highlight w:val="none"/>
        </w:rPr>
        <w:t>相关表决议案，同时披露招募说明书（草案）、基金合同（草案）、托管协议（草案）和法律意见书等文件</w:t>
      </w:r>
      <w:r>
        <w:rPr>
          <w:rFonts w:hint="eastAsia" w:ascii="Times New Roman" w:hAnsi="Times New Roman" w:eastAsia="仿宋_GB2312" w:cs="Times New Roman"/>
          <w:bCs/>
          <w:sz w:val="30"/>
          <w:szCs w:val="30"/>
          <w:highlight w:val="none"/>
        </w:rPr>
        <w:t>及</w:t>
      </w:r>
      <w:r>
        <w:rPr>
          <w:rFonts w:ascii="Times New Roman" w:hAnsi="Times New Roman" w:eastAsia="仿宋_GB2312" w:cs="Times New Roman"/>
          <w:bCs/>
          <w:sz w:val="30"/>
          <w:szCs w:val="30"/>
          <w:highlight w:val="none"/>
        </w:rPr>
        <w:t>其相关修订情况（如有）。基金管理人应通过本所业务管理</w:t>
      </w:r>
      <w:r>
        <w:rPr>
          <w:rFonts w:ascii="Times New Roman" w:hAnsi="Times New Roman" w:eastAsia="仿宋_GB2312" w:cs="Times New Roman"/>
          <w:sz w:val="30"/>
          <w:szCs w:val="30"/>
          <w:highlight w:val="none"/>
        </w:rPr>
        <w:t>系统平台</w:t>
      </w:r>
      <w:r>
        <w:rPr>
          <w:rFonts w:ascii="Times New Roman" w:hAnsi="Times New Roman" w:eastAsia="仿宋_GB2312" w:cs="Times New Roman"/>
          <w:bCs/>
          <w:sz w:val="30"/>
          <w:szCs w:val="30"/>
          <w:highlight w:val="none"/>
        </w:rPr>
        <w:t>提交上述临时信息披露申请，并提交停牌申请。停牌为基金持有人大会召开之日（以通讯方式召开的为基金持有人大会计票之日）开市起，暂不填写复牌日期。基金份额持有人大会拟购入</w:t>
      </w:r>
      <w:r>
        <w:rPr>
          <w:rFonts w:hint="eastAsia" w:ascii="Times New Roman" w:hAnsi="Times New Roman" w:eastAsia="仿宋_GB2312" w:cs="Times New Roman"/>
          <w:bCs/>
          <w:sz w:val="30"/>
          <w:szCs w:val="30"/>
          <w:highlight w:val="none"/>
        </w:rPr>
        <w:t>不动产</w:t>
      </w:r>
      <w:r>
        <w:rPr>
          <w:rFonts w:ascii="Times New Roman" w:hAnsi="Times New Roman" w:eastAsia="仿宋_GB2312" w:cs="Times New Roman"/>
          <w:bCs/>
          <w:sz w:val="30"/>
          <w:szCs w:val="30"/>
          <w:highlight w:val="none"/>
        </w:rPr>
        <w:t>项目的议案及拟作出的决议，应至少包括下列内容：</w:t>
      </w:r>
    </w:p>
    <w:p w14:paraId="31A1079E">
      <w:pPr>
        <w:widowControl/>
        <w:numPr>
          <w:ilvl w:val="0"/>
          <w:numId w:val="0"/>
        </w:numPr>
        <w:spacing w:line="560" w:lineRule="exact"/>
        <w:ind w:firstLine="600" w:firstLineChars="200"/>
        <w:rPr>
          <w:rFonts w:ascii="Times New Roman" w:hAnsi="Times New Roman" w:eastAsia="仿宋_GB2312" w:cs="Times New Roman"/>
          <w:bCs/>
          <w:sz w:val="30"/>
          <w:szCs w:val="30"/>
          <w:highlight w:val="none"/>
        </w:rPr>
      </w:pPr>
      <w:r>
        <w:rPr>
          <w:rFonts w:ascii="Times New Roman" w:hAnsi="Times New Roman" w:eastAsia="仿宋_GB2312" w:cs="Times New Roman"/>
          <w:bCs/>
          <w:kern w:val="2"/>
          <w:sz w:val="30"/>
          <w:szCs w:val="30"/>
          <w:lang w:val="en-US" w:eastAsia="zh-CN" w:bidi="ar-SA"/>
        </w:rPr>
        <w:t>（1）</w:t>
      </w:r>
      <w:r>
        <w:rPr>
          <w:rFonts w:ascii="Times New Roman" w:hAnsi="Times New Roman" w:eastAsia="仿宋_GB2312" w:cs="Times New Roman"/>
          <w:bCs/>
          <w:sz w:val="30"/>
          <w:szCs w:val="30"/>
          <w:highlight w:val="none"/>
        </w:rPr>
        <w:t>拟购入</w:t>
      </w:r>
      <w:r>
        <w:rPr>
          <w:rFonts w:hint="eastAsia" w:ascii="Times New Roman" w:hAnsi="Times New Roman" w:eastAsia="仿宋_GB2312" w:cs="Times New Roman"/>
          <w:bCs/>
          <w:sz w:val="30"/>
          <w:szCs w:val="30"/>
          <w:highlight w:val="none"/>
        </w:rPr>
        <w:t>不动产</w:t>
      </w:r>
      <w:r>
        <w:rPr>
          <w:rFonts w:ascii="Times New Roman" w:hAnsi="Times New Roman" w:eastAsia="仿宋_GB2312" w:cs="Times New Roman"/>
          <w:bCs/>
          <w:sz w:val="30"/>
          <w:szCs w:val="30"/>
          <w:highlight w:val="none"/>
        </w:rPr>
        <w:t>项目和交易对方；</w:t>
      </w:r>
    </w:p>
    <w:p w14:paraId="09AE0714">
      <w:pPr>
        <w:widowControl/>
        <w:numPr>
          <w:ilvl w:val="0"/>
          <w:numId w:val="0"/>
        </w:numPr>
        <w:spacing w:line="560" w:lineRule="exact"/>
        <w:ind w:firstLine="600" w:firstLineChars="200"/>
        <w:rPr>
          <w:rFonts w:ascii="Times New Roman" w:hAnsi="Times New Roman" w:eastAsia="仿宋_GB2312" w:cs="Times New Roman"/>
          <w:bCs/>
          <w:sz w:val="30"/>
          <w:szCs w:val="30"/>
          <w:highlight w:val="none"/>
        </w:rPr>
      </w:pPr>
      <w:r>
        <w:rPr>
          <w:rFonts w:ascii="Times New Roman" w:hAnsi="Times New Roman" w:eastAsia="仿宋_GB2312" w:cs="Times New Roman"/>
          <w:bCs/>
          <w:kern w:val="2"/>
          <w:sz w:val="30"/>
          <w:szCs w:val="30"/>
          <w:lang w:val="en-US" w:eastAsia="zh-CN" w:bidi="ar-SA"/>
        </w:rPr>
        <w:t>（2）</w:t>
      </w:r>
      <w:r>
        <w:rPr>
          <w:rFonts w:ascii="Times New Roman" w:hAnsi="Times New Roman" w:eastAsia="仿宋_GB2312" w:cs="Times New Roman"/>
          <w:bCs/>
          <w:sz w:val="30"/>
          <w:szCs w:val="30"/>
          <w:highlight w:val="none"/>
        </w:rPr>
        <w:t>交易价格或者价格区间；</w:t>
      </w:r>
    </w:p>
    <w:p w14:paraId="74523319">
      <w:pPr>
        <w:widowControl/>
        <w:numPr>
          <w:ilvl w:val="0"/>
          <w:numId w:val="0"/>
        </w:numPr>
        <w:spacing w:line="560" w:lineRule="exact"/>
        <w:ind w:firstLine="600" w:firstLineChars="200"/>
        <w:rPr>
          <w:rFonts w:ascii="Times New Roman" w:hAnsi="Times New Roman" w:eastAsia="仿宋_GB2312" w:cs="Times New Roman"/>
          <w:bCs/>
          <w:sz w:val="30"/>
          <w:szCs w:val="30"/>
          <w:highlight w:val="none"/>
        </w:rPr>
      </w:pPr>
      <w:r>
        <w:rPr>
          <w:rFonts w:ascii="Times New Roman" w:hAnsi="Times New Roman" w:eastAsia="仿宋_GB2312" w:cs="Times New Roman"/>
          <w:bCs/>
          <w:kern w:val="2"/>
          <w:sz w:val="30"/>
          <w:szCs w:val="30"/>
          <w:lang w:val="en-US" w:eastAsia="zh-CN" w:bidi="ar-SA"/>
        </w:rPr>
        <w:t>（3）</w:t>
      </w:r>
      <w:r>
        <w:rPr>
          <w:rFonts w:ascii="Times New Roman" w:hAnsi="Times New Roman" w:eastAsia="仿宋_GB2312" w:cs="Times New Roman"/>
          <w:bCs/>
          <w:sz w:val="30"/>
          <w:szCs w:val="30"/>
          <w:highlight w:val="none"/>
        </w:rPr>
        <w:t>定价方式或者定价依据；</w:t>
      </w:r>
    </w:p>
    <w:p w14:paraId="107F4610">
      <w:pPr>
        <w:widowControl/>
        <w:numPr>
          <w:ilvl w:val="0"/>
          <w:numId w:val="0"/>
        </w:numPr>
        <w:spacing w:line="560" w:lineRule="exact"/>
        <w:ind w:firstLine="600" w:firstLineChars="200"/>
        <w:rPr>
          <w:rFonts w:ascii="Times New Roman" w:hAnsi="Times New Roman" w:eastAsia="仿宋_GB2312" w:cs="Times New Roman"/>
          <w:bCs/>
          <w:sz w:val="30"/>
          <w:szCs w:val="30"/>
          <w:highlight w:val="none"/>
        </w:rPr>
      </w:pPr>
      <w:r>
        <w:rPr>
          <w:rFonts w:ascii="Times New Roman" w:hAnsi="Times New Roman" w:eastAsia="仿宋_GB2312" w:cs="Times New Roman"/>
          <w:bCs/>
          <w:kern w:val="2"/>
          <w:sz w:val="30"/>
          <w:szCs w:val="30"/>
          <w:lang w:val="en-US" w:eastAsia="zh-CN" w:bidi="ar-SA"/>
        </w:rPr>
        <w:t>（4）</w:t>
      </w:r>
      <w:r>
        <w:rPr>
          <w:rFonts w:hint="eastAsia" w:ascii="Times New Roman" w:hAnsi="Times New Roman" w:eastAsia="仿宋_GB2312" w:cs="Times New Roman"/>
          <w:bCs/>
          <w:sz w:val="30"/>
          <w:szCs w:val="30"/>
          <w:highlight w:val="none"/>
        </w:rPr>
        <w:t>不动产</w:t>
      </w:r>
      <w:r>
        <w:rPr>
          <w:rFonts w:ascii="Times New Roman" w:hAnsi="Times New Roman" w:eastAsia="仿宋_GB2312" w:cs="Times New Roman"/>
          <w:bCs/>
          <w:sz w:val="30"/>
          <w:szCs w:val="30"/>
          <w:highlight w:val="none"/>
        </w:rPr>
        <w:t>项目自定价基准日至交割日期间损益的归属；</w:t>
      </w:r>
    </w:p>
    <w:p w14:paraId="7DAF9093">
      <w:pPr>
        <w:widowControl/>
        <w:numPr>
          <w:ilvl w:val="0"/>
          <w:numId w:val="0"/>
        </w:numPr>
        <w:spacing w:line="560" w:lineRule="exact"/>
        <w:ind w:firstLine="600" w:firstLineChars="200"/>
        <w:rPr>
          <w:rFonts w:ascii="Times New Roman" w:hAnsi="Times New Roman" w:eastAsia="仿宋_GB2312" w:cs="Times New Roman"/>
          <w:bCs/>
          <w:sz w:val="30"/>
          <w:szCs w:val="30"/>
          <w:highlight w:val="none"/>
        </w:rPr>
      </w:pPr>
      <w:r>
        <w:rPr>
          <w:rFonts w:ascii="Times New Roman" w:hAnsi="Times New Roman" w:eastAsia="仿宋_GB2312" w:cs="Times New Roman"/>
          <w:bCs/>
          <w:kern w:val="2"/>
          <w:sz w:val="30"/>
          <w:szCs w:val="30"/>
          <w:lang w:val="en-US" w:eastAsia="zh-CN" w:bidi="ar-SA"/>
        </w:rPr>
        <w:t>（5）</w:t>
      </w:r>
      <w:r>
        <w:rPr>
          <w:rFonts w:hint="eastAsia" w:ascii="Times New Roman" w:hAnsi="Times New Roman" w:eastAsia="仿宋_GB2312" w:cs="Times New Roman"/>
          <w:bCs/>
          <w:sz w:val="30"/>
          <w:szCs w:val="30"/>
          <w:highlight w:val="none"/>
        </w:rPr>
        <w:t>不动产</w:t>
      </w:r>
      <w:r>
        <w:rPr>
          <w:rFonts w:ascii="Times New Roman" w:hAnsi="Times New Roman" w:eastAsia="仿宋_GB2312" w:cs="Times New Roman"/>
          <w:bCs/>
          <w:sz w:val="30"/>
          <w:szCs w:val="30"/>
          <w:highlight w:val="none"/>
        </w:rPr>
        <w:t>项目办理权属转移的合同义务和违约责任；</w:t>
      </w:r>
    </w:p>
    <w:p w14:paraId="534A6384">
      <w:pPr>
        <w:widowControl/>
        <w:numPr>
          <w:ilvl w:val="0"/>
          <w:numId w:val="0"/>
        </w:numPr>
        <w:spacing w:line="560" w:lineRule="exact"/>
        <w:ind w:firstLine="600" w:firstLineChars="200"/>
        <w:rPr>
          <w:rFonts w:ascii="Times New Roman" w:hAnsi="Times New Roman" w:eastAsia="仿宋_GB2312" w:cs="Times New Roman"/>
          <w:bCs/>
          <w:sz w:val="30"/>
          <w:szCs w:val="30"/>
          <w:highlight w:val="none"/>
        </w:rPr>
      </w:pPr>
      <w:r>
        <w:rPr>
          <w:rFonts w:ascii="Times New Roman" w:hAnsi="Times New Roman" w:eastAsia="仿宋_GB2312" w:cs="Times New Roman"/>
          <w:bCs/>
          <w:kern w:val="2"/>
          <w:sz w:val="30"/>
          <w:szCs w:val="30"/>
          <w:lang w:val="en-US" w:eastAsia="zh-CN" w:bidi="ar-SA"/>
        </w:rPr>
        <w:t>（6）</w:t>
      </w:r>
      <w:r>
        <w:rPr>
          <w:rFonts w:ascii="Times New Roman" w:hAnsi="Times New Roman" w:eastAsia="仿宋_GB2312" w:cs="Times New Roman"/>
          <w:bCs/>
          <w:sz w:val="30"/>
          <w:szCs w:val="30"/>
          <w:highlight w:val="none"/>
        </w:rPr>
        <w:t>扩募方案（如有）；</w:t>
      </w:r>
    </w:p>
    <w:p w14:paraId="67D8B291">
      <w:pPr>
        <w:widowControl/>
        <w:numPr>
          <w:ilvl w:val="0"/>
          <w:numId w:val="0"/>
        </w:numPr>
        <w:spacing w:line="560" w:lineRule="exact"/>
        <w:ind w:firstLine="600" w:firstLineChars="200"/>
        <w:rPr>
          <w:rFonts w:ascii="Times New Roman" w:hAnsi="Times New Roman" w:eastAsia="仿宋_GB2312" w:cs="Times New Roman"/>
          <w:bCs/>
          <w:sz w:val="30"/>
          <w:szCs w:val="30"/>
          <w:highlight w:val="none"/>
        </w:rPr>
      </w:pPr>
      <w:r>
        <w:rPr>
          <w:rFonts w:ascii="Times New Roman" w:hAnsi="Times New Roman" w:eastAsia="仿宋_GB2312" w:cs="Times New Roman"/>
          <w:bCs/>
          <w:kern w:val="2"/>
          <w:sz w:val="30"/>
          <w:szCs w:val="30"/>
          <w:lang w:val="en-US" w:eastAsia="zh-CN" w:bidi="ar-SA"/>
        </w:rPr>
        <w:t>（7）</w:t>
      </w:r>
      <w:r>
        <w:rPr>
          <w:rFonts w:ascii="Times New Roman" w:hAnsi="Times New Roman" w:eastAsia="仿宋_GB2312" w:cs="Times New Roman"/>
          <w:bCs/>
          <w:sz w:val="30"/>
          <w:szCs w:val="30"/>
          <w:highlight w:val="none"/>
        </w:rPr>
        <w:t>决议有效期；</w:t>
      </w:r>
    </w:p>
    <w:p w14:paraId="7F4748ED">
      <w:pPr>
        <w:widowControl/>
        <w:numPr>
          <w:ilvl w:val="0"/>
          <w:numId w:val="0"/>
        </w:numPr>
        <w:spacing w:line="560" w:lineRule="exact"/>
        <w:ind w:firstLine="600" w:firstLineChars="200"/>
        <w:rPr>
          <w:rFonts w:ascii="Times New Roman" w:hAnsi="Times New Roman" w:eastAsia="仿宋_GB2312" w:cs="Times New Roman"/>
          <w:bCs/>
          <w:sz w:val="30"/>
          <w:szCs w:val="30"/>
          <w:highlight w:val="none"/>
        </w:rPr>
      </w:pPr>
      <w:r>
        <w:rPr>
          <w:rFonts w:ascii="Times New Roman" w:hAnsi="Times New Roman" w:eastAsia="仿宋_GB2312" w:cs="Times New Roman"/>
          <w:bCs/>
          <w:kern w:val="2"/>
          <w:sz w:val="30"/>
          <w:szCs w:val="30"/>
          <w:lang w:val="en-US" w:eastAsia="zh-CN" w:bidi="ar-SA"/>
        </w:rPr>
        <w:t>（8）</w:t>
      </w:r>
      <w:r>
        <w:rPr>
          <w:rFonts w:ascii="Times New Roman" w:hAnsi="Times New Roman" w:eastAsia="仿宋_GB2312" w:cs="Times New Roman"/>
          <w:bCs/>
          <w:sz w:val="30"/>
          <w:szCs w:val="30"/>
          <w:highlight w:val="none"/>
        </w:rPr>
        <w:t>对基金管理人办理本次</w:t>
      </w:r>
      <w:r>
        <w:rPr>
          <w:rFonts w:hint="eastAsia" w:ascii="Times New Roman" w:hAnsi="Times New Roman" w:eastAsia="仿宋_GB2312" w:cs="Times New Roman"/>
          <w:bCs/>
          <w:sz w:val="30"/>
          <w:szCs w:val="30"/>
          <w:highlight w:val="none"/>
        </w:rPr>
        <w:t>不动产</w:t>
      </w:r>
      <w:r>
        <w:rPr>
          <w:rFonts w:ascii="Times New Roman" w:hAnsi="Times New Roman" w:eastAsia="仿宋_GB2312" w:cs="Times New Roman"/>
          <w:bCs/>
          <w:sz w:val="30"/>
          <w:szCs w:val="30"/>
          <w:highlight w:val="none"/>
        </w:rPr>
        <w:t>项目交易</w:t>
      </w:r>
      <w:r>
        <w:rPr>
          <w:rFonts w:hint="eastAsia" w:ascii="Times New Roman" w:hAnsi="Times New Roman" w:eastAsia="仿宋_GB2312" w:cs="Times New Roman"/>
          <w:bCs/>
          <w:sz w:val="30"/>
          <w:szCs w:val="30"/>
          <w:highlight w:val="none"/>
        </w:rPr>
        <w:t>和</w:t>
      </w:r>
      <w:r>
        <w:rPr>
          <w:rFonts w:ascii="Times New Roman" w:hAnsi="Times New Roman" w:eastAsia="仿宋_GB2312" w:cs="Times New Roman"/>
          <w:bCs/>
          <w:sz w:val="30"/>
          <w:szCs w:val="30"/>
          <w:highlight w:val="none"/>
        </w:rPr>
        <w:t>扩募（如有）的具体授权；</w:t>
      </w:r>
    </w:p>
    <w:p w14:paraId="6CC5ADA5">
      <w:pPr>
        <w:widowControl/>
        <w:numPr>
          <w:ilvl w:val="0"/>
          <w:numId w:val="0"/>
        </w:numPr>
        <w:spacing w:line="560" w:lineRule="exact"/>
        <w:ind w:firstLine="600" w:firstLineChars="200"/>
        <w:rPr>
          <w:rFonts w:ascii="Times New Roman" w:hAnsi="Times New Roman" w:eastAsia="仿宋_GB2312" w:cs="Times New Roman"/>
          <w:bCs/>
          <w:sz w:val="30"/>
          <w:szCs w:val="30"/>
          <w:highlight w:val="none"/>
        </w:rPr>
      </w:pPr>
      <w:r>
        <w:rPr>
          <w:rFonts w:ascii="Times New Roman" w:hAnsi="Times New Roman" w:eastAsia="仿宋_GB2312" w:cs="Times New Roman"/>
          <w:bCs/>
          <w:kern w:val="2"/>
          <w:sz w:val="30"/>
          <w:szCs w:val="30"/>
          <w:lang w:val="en-US" w:eastAsia="zh-CN" w:bidi="ar-SA"/>
        </w:rPr>
        <w:t>（9）</w:t>
      </w:r>
      <w:r>
        <w:rPr>
          <w:rFonts w:ascii="Times New Roman" w:hAnsi="Times New Roman" w:eastAsia="仿宋_GB2312" w:cs="Times New Roman"/>
          <w:bCs/>
          <w:sz w:val="30"/>
          <w:szCs w:val="30"/>
          <w:highlight w:val="none"/>
        </w:rPr>
        <w:t>招募说明书、基金合同、托管协议等文件针对本次</w:t>
      </w:r>
      <w:r>
        <w:rPr>
          <w:rFonts w:hint="eastAsia" w:ascii="Times New Roman" w:hAnsi="Times New Roman" w:eastAsia="仿宋_GB2312" w:cs="Times New Roman"/>
          <w:bCs/>
          <w:sz w:val="30"/>
          <w:szCs w:val="30"/>
          <w:highlight w:val="none"/>
        </w:rPr>
        <w:t>不动产</w:t>
      </w:r>
      <w:r>
        <w:rPr>
          <w:rFonts w:ascii="Times New Roman" w:hAnsi="Times New Roman" w:eastAsia="仿宋_GB2312" w:cs="Times New Roman"/>
          <w:bCs/>
          <w:sz w:val="30"/>
          <w:szCs w:val="30"/>
          <w:highlight w:val="none"/>
        </w:rPr>
        <w:t>项目购入事项的相关修订；</w:t>
      </w:r>
    </w:p>
    <w:p w14:paraId="76A39563">
      <w:pPr>
        <w:widowControl/>
        <w:numPr>
          <w:ilvl w:val="0"/>
          <w:numId w:val="0"/>
        </w:numPr>
        <w:spacing w:line="560" w:lineRule="exact"/>
        <w:ind w:firstLine="600" w:firstLineChars="200"/>
        <w:rPr>
          <w:rFonts w:ascii="Times New Roman" w:hAnsi="Times New Roman" w:eastAsia="仿宋_GB2312" w:cs="Times New Roman"/>
          <w:bCs/>
          <w:sz w:val="30"/>
          <w:szCs w:val="30"/>
          <w:highlight w:val="none"/>
        </w:rPr>
      </w:pPr>
      <w:r>
        <w:rPr>
          <w:rFonts w:ascii="Times New Roman" w:hAnsi="Times New Roman" w:eastAsia="仿宋_GB2312" w:cs="Times New Roman"/>
          <w:bCs/>
          <w:kern w:val="2"/>
          <w:sz w:val="30"/>
          <w:szCs w:val="30"/>
          <w:lang w:val="en-US" w:eastAsia="zh-CN" w:bidi="ar-SA"/>
        </w:rPr>
        <w:t>（10）</w:t>
      </w:r>
      <w:r>
        <w:rPr>
          <w:rFonts w:ascii="Times New Roman" w:hAnsi="Times New Roman" w:eastAsia="仿宋_GB2312" w:cs="Times New Roman"/>
          <w:bCs/>
          <w:sz w:val="30"/>
          <w:szCs w:val="30"/>
          <w:highlight w:val="none"/>
        </w:rPr>
        <w:t>其他需要明确的事项。</w:t>
      </w:r>
    </w:p>
    <w:p w14:paraId="7CA7004E">
      <w:pPr>
        <w:widowControl/>
        <w:spacing w:line="560" w:lineRule="exact"/>
        <w:ind w:firstLine="600" w:firstLineChars="200"/>
        <w:rPr>
          <w:rFonts w:ascii="Times New Roman" w:hAnsi="Times New Roman" w:eastAsia="仿宋_GB2312" w:cs="Times New Roman"/>
          <w:bCs/>
          <w:sz w:val="30"/>
          <w:szCs w:val="30"/>
          <w:highlight w:val="none"/>
        </w:rPr>
      </w:pPr>
      <w:bookmarkStart w:id="112" w:name="_Toc30533"/>
      <w:bookmarkStart w:id="113" w:name="_Toc31521"/>
      <w:bookmarkStart w:id="114" w:name="_Toc9538"/>
      <w:bookmarkStart w:id="115" w:name="_Toc23503"/>
      <w:bookmarkStart w:id="116" w:name="_Toc21398"/>
      <w:bookmarkStart w:id="117" w:name="_Toc13320"/>
      <w:bookmarkStart w:id="118" w:name="_Toc25730"/>
      <w:bookmarkStart w:id="119" w:name="_Toc10282"/>
      <w:r>
        <w:rPr>
          <w:rFonts w:ascii="Times New Roman" w:hAnsi="Times New Roman" w:eastAsia="仿宋_GB2312" w:cs="Times New Roman"/>
          <w:bCs/>
          <w:sz w:val="30"/>
          <w:szCs w:val="30"/>
          <w:highlight w:val="none"/>
        </w:rPr>
        <w:t>2.披露召开持有人大会的两次提示性公告</w:t>
      </w:r>
      <w:bookmarkEnd w:id="112"/>
      <w:bookmarkEnd w:id="113"/>
      <w:bookmarkEnd w:id="114"/>
      <w:bookmarkEnd w:id="115"/>
      <w:bookmarkEnd w:id="116"/>
      <w:bookmarkEnd w:id="117"/>
      <w:bookmarkEnd w:id="118"/>
      <w:bookmarkEnd w:id="119"/>
    </w:p>
    <w:p w14:paraId="2DC3AE97">
      <w:pPr>
        <w:widowControl/>
        <w:spacing w:line="560" w:lineRule="exact"/>
        <w:ind w:firstLine="600" w:firstLineChars="200"/>
        <w:rPr>
          <w:rFonts w:ascii="Times New Roman" w:hAnsi="Times New Roman" w:eastAsia="仿宋_GB2312" w:cs="Times New Roman"/>
          <w:bCs/>
          <w:sz w:val="30"/>
          <w:szCs w:val="30"/>
          <w:highlight w:val="none"/>
        </w:rPr>
      </w:pPr>
      <w:r>
        <w:rPr>
          <w:rFonts w:ascii="Times New Roman" w:hAnsi="Times New Roman" w:eastAsia="仿宋_GB2312" w:cs="Times New Roman"/>
          <w:bCs/>
          <w:sz w:val="30"/>
          <w:szCs w:val="30"/>
          <w:highlight w:val="none"/>
        </w:rPr>
        <w:t>基金管理人刊登召开基金份额持有人大会通知公告后，需在2个交易日内连续刊登提示性公告。提示性公告前一交易日，基金管理人需通过本所业务管理</w:t>
      </w:r>
      <w:r>
        <w:rPr>
          <w:rFonts w:ascii="Times New Roman" w:hAnsi="Times New Roman" w:eastAsia="仿宋_GB2312" w:cs="Times New Roman"/>
          <w:sz w:val="30"/>
          <w:szCs w:val="30"/>
          <w:highlight w:val="none"/>
        </w:rPr>
        <w:t>系统平台</w:t>
      </w:r>
      <w:r>
        <w:rPr>
          <w:rFonts w:ascii="Times New Roman" w:hAnsi="Times New Roman" w:eastAsia="仿宋_GB2312" w:cs="Times New Roman"/>
          <w:bCs/>
          <w:sz w:val="30"/>
          <w:szCs w:val="30"/>
          <w:highlight w:val="none"/>
        </w:rPr>
        <w:t>提交召开基金份额持有人大会通知的提示性公告信息披露申请，并于次一交易日对外披露，提示性公告披露日无需停牌。</w:t>
      </w:r>
    </w:p>
    <w:p w14:paraId="470DB33E">
      <w:pPr>
        <w:widowControl/>
        <w:spacing w:line="560" w:lineRule="exact"/>
        <w:ind w:firstLine="602" w:firstLineChars="200"/>
        <w:jc w:val="left"/>
        <w:outlineLvl w:val="2"/>
        <w:rPr>
          <w:rFonts w:ascii="Times New Roman" w:hAnsi="Times New Roman" w:eastAsia="楷体_GB2312" w:cs="Times New Roman"/>
          <w:b/>
          <w:bCs/>
          <w:kern w:val="0"/>
          <w:sz w:val="30"/>
          <w:szCs w:val="30"/>
          <w:highlight w:val="none"/>
        </w:rPr>
      </w:pPr>
      <w:bookmarkStart w:id="120" w:name="_Toc5911"/>
      <w:bookmarkStart w:id="121" w:name="_Toc1439"/>
      <w:bookmarkStart w:id="122" w:name="_Toc5351"/>
      <w:bookmarkStart w:id="123" w:name="_Toc7378"/>
      <w:bookmarkStart w:id="124" w:name="_Toc25726"/>
      <w:bookmarkStart w:id="125" w:name="_Toc23946"/>
      <w:bookmarkStart w:id="126" w:name="_Toc27281"/>
      <w:bookmarkStart w:id="127" w:name="_Toc23734"/>
      <w:bookmarkStart w:id="128" w:name="_Toc30026"/>
      <w:bookmarkStart w:id="129" w:name="_Toc694"/>
      <w:r>
        <w:rPr>
          <w:rFonts w:ascii="Times New Roman" w:hAnsi="Times New Roman" w:eastAsia="楷体_GB2312" w:cs="Times New Roman"/>
          <w:b/>
          <w:bCs/>
          <w:kern w:val="0"/>
          <w:sz w:val="30"/>
          <w:szCs w:val="30"/>
          <w:highlight w:val="none"/>
        </w:rPr>
        <w:t>（二）披露召开持有人大会期间停牌的提示性公告</w:t>
      </w:r>
      <w:bookmarkEnd w:id="120"/>
      <w:bookmarkEnd w:id="121"/>
      <w:bookmarkEnd w:id="122"/>
      <w:bookmarkEnd w:id="123"/>
      <w:bookmarkEnd w:id="124"/>
      <w:bookmarkEnd w:id="125"/>
      <w:bookmarkEnd w:id="126"/>
      <w:bookmarkEnd w:id="127"/>
      <w:bookmarkEnd w:id="128"/>
      <w:bookmarkEnd w:id="129"/>
    </w:p>
    <w:p w14:paraId="73A229F0">
      <w:pPr>
        <w:widowControl/>
        <w:spacing w:line="560" w:lineRule="exact"/>
        <w:ind w:firstLine="600" w:firstLineChars="200"/>
        <w:rPr>
          <w:rFonts w:ascii="Times New Roman" w:hAnsi="Times New Roman" w:eastAsia="仿宋_GB2312" w:cs="Times New Roman"/>
          <w:bCs/>
          <w:sz w:val="30"/>
          <w:szCs w:val="30"/>
          <w:highlight w:val="none"/>
        </w:rPr>
      </w:pPr>
      <w:r>
        <w:rPr>
          <w:rFonts w:ascii="Times New Roman" w:hAnsi="Times New Roman" w:eastAsia="仿宋_GB2312" w:cs="Times New Roman"/>
          <w:bCs/>
          <w:sz w:val="30"/>
          <w:szCs w:val="30"/>
          <w:highlight w:val="none"/>
        </w:rPr>
        <w:t>基金管理人应于基金份额持有人大会召开之日（以通讯方式召开的为基金份额持有人大会计票之日）前一交易日，通过本所</w:t>
      </w:r>
      <w:r>
        <w:rPr>
          <w:rFonts w:ascii="Times New Roman" w:hAnsi="Times New Roman" w:eastAsia="仿宋_GB2312" w:cs="Times New Roman"/>
          <w:sz w:val="30"/>
          <w:szCs w:val="30"/>
          <w:highlight w:val="none"/>
        </w:rPr>
        <w:t>业务管理系统平台</w:t>
      </w:r>
      <w:r>
        <w:rPr>
          <w:rFonts w:ascii="Times New Roman" w:hAnsi="Times New Roman" w:eastAsia="仿宋_GB2312" w:cs="Times New Roman"/>
          <w:bCs/>
          <w:sz w:val="30"/>
          <w:szCs w:val="30"/>
          <w:highlight w:val="none"/>
        </w:rPr>
        <w:t>提交召开基金份额持有人大会期间停牌的提示性公告信息披露申请。</w:t>
      </w:r>
    </w:p>
    <w:p w14:paraId="2F2FC2EA">
      <w:pPr>
        <w:widowControl/>
        <w:spacing w:line="560" w:lineRule="exact"/>
        <w:ind w:firstLine="602" w:firstLineChars="200"/>
        <w:jc w:val="left"/>
        <w:outlineLvl w:val="2"/>
        <w:rPr>
          <w:rFonts w:ascii="Times New Roman" w:hAnsi="Times New Roman" w:eastAsia="楷体_GB2312" w:cs="Times New Roman"/>
          <w:b/>
          <w:bCs/>
          <w:kern w:val="0"/>
          <w:sz w:val="30"/>
          <w:szCs w:val="30"/>
          <w:highlight w:val="none"/>
        </w:rPr>
      </w:pPr>
      <w:bookmarkStart w:id="130" w:name="_Toc8275"/>
      <w:bookmarkStart w:id="131" w:name="_Toc15061"/>
      <w:bookmarkStart w:id="132" w:name="_Toc29777"/>
      <w:bookmarkStart w:id="133" w:name="_Toc516"/>
      <w:bookmarkStart w:id="134" w:name="_Toc11993"/>
      <w:bookmarkStart w:id="135" w:name="_Toc25236"/>
      <w:bookmarkStart w:id="136" w:name="_Toc31094"/>
      <w:bookmarkStart w:id="137" w:name="_Toc29202"/>
      <w:bookmarkStart w:id="138" w:name="_Toc23076"/>
      <w:bookmarkStart w:id="139" w:name="_Toc21859"/>
      <w:r>
        <w:rPr>
          <w:rFonts w:ascii="Times New Roman" w:hAnsi="Times New Roman" w:eastAsia="楷体_GB2312" w:cs="Times New Roman"/>
          <w:b/>
          <w:bCs/>
          <w:kern w:val="0"/>
          <w:sz w:val="30"/>
          <w:szCs w:val="30"/>
          <w:highlight w:val="none"/>
        </w:rPr>
        <w:t>（三）披露持有人大会决议生效公告</w:t>
      </w:r>
      <w:bookmarkEnd w:id="130"/>
      <w:bookmarkEnd w:id="131"/>
      <w:bookmarkEnd w:id="132"/>
      <w:bookmarkEnd w:id="133"/>
      <w:bookmarkEnd w:id="134"/>
      <w:bookmarkEnd w:id="135"/>
      <w:bookmarkEnd w:id="136"/>
      <w:bookmarkEnd w:id="137"/>
      <w:bookmarkEnd w:id="138"/>
      <w:bookmarkEnd w:id="139"/>
    </w:p>
    <w:p w14:paraId="5655660B">
      <w:pPr>
        <w:widowControl/>
        <w:spacing w:line="560" w:lineRule="exact"/>
        <w:ind w:firstLine="600" w:firstLineChars="200"/>
        <w:rPr>
          <w:rFonts w:ascii="Times New Roman" w:hAnsi="Times New Roman" w:eastAsia="仿宋_GB2312" w:cs="Times New Roman"/>
          <w:bCs/>
          <w:sz w:val="30"/>
          <w:szCs w:val="30"/>
          <w:highlight w:val="none"/>
        </w:rPr>
      </w:pPr>
      <w:r>
        <w:rPr>
          <w:rFonts w:ascii="Times New Roman" w:hAnsi="Times New Roman" w:eastAsia="仿宋_GB2312" w:cs="Times New Roman"/>
          <w:bCs/>
          <w:sz w:val="30"/>
          <w:szCs w:val="30"/>
          <w:highlight w:val="none"/>
        </w:rPr>
        <w:t>基金管理人原则上应于基金份额持有人大会决议生效公告日的前一交易日12:00前，通过本所</w:t>
      </w:r>
      <w:r>
        <w:rPr>
          <w:rFonts w:ascii="Times New Roman" w:hAnsi="Times New Roman" w:eastAsia="仿宋_GB2312" w:cs="Times New Roman"/>
          <w:sz w:val="30"/>
          <w:szCs w:val="30"/>
          <w:highlight w:val="none"/>
        </w:rPr>
        <w:t>业务管理系统平台</w:t>
      </w:r>
      <w:r>
        <w:rPr>
          <w:rFonts w:ascii="Times New Roman" w:hAnsi="Times New Roman" w:eastAsia="仿宋_GB2312" w:cs="Times New Roman"/>
          <w:bCs/>
          <w:sz w:val="30"/>
          <w:szCs w:val="30"/>
          <w:highlight w:val="none"/>
        </w:rPr>
        <w:t>提交基金份额持有人大会决议生效公告、本次会议法律意见书，以及招募说明书、基金合同、托管协议、基金产品资料概要信息披露申请，并提交复牌申请，于基金份额持有人大会决议生效公告日复牌（如基金份额持有人大会决议生效公告日为非交易日，则公告后首个交易日开市时复牌）。</w:t>
      </w:r>
    </w:p>
    <w:p w14:paraId="2538A870">
      <w:pPr>
        <w:keepNext/>
        <w:widowControl/>
        <w:spacing w:line="560" w:lineRule="exact"/>
        <w:ind w:firstLine="602" w:firstLineChars="200"/>
        <w:outlineLvl w:val="1"/>
        <w:rPr>
          <w:rFonts w:ascii="Times New Roman" w:hAnsi="Times New Roman" w:eastAsia="仿宋_GB2312" w:cs="Times New Roman"/>
          <w:b/>
          <w:bCs w:val="0"/>
          <w:sz w:val="30"/>
          <w:szCs w:val="30"/>
          <w:highlight w:val="none"/>
        </w:rPr>
      </w:pPr>
      <w:bookmarkStart w:id="140" w:name="_Toc13962"/>
      <w:bookmarkStart w:id="141" w:name="_Toc1515"/>
      <w:bookmarkStart w:id="142" w:name="_Toc13996"/>
      <w:bookmarkStart w:id="143" w:name="_Toc9964"/>
      <w:bookmarkStart w:id="144" w:name="_Toc27759"/>
      <w:bookmarkStart w:id="145" w:name="_Toc2922"/>
      <w:bookmarkStart w:id="146" w:name="_Toc22204"/>
      <w:bookmarkStart w:id="147" w:name="_Toc17033"/>
      <w:bookmarkStart w:id="148" w:name="_Toc30587"/>
      <w:bookmarkStart w:id="149" w:name="_Toc23837"/>
      <w:r>
        <w:rPr>
          <w:rFonts w:ascii="Times New Roman" w:hAnsi="Times New Roman" w:eastAsia="黑体" w:cs="Times New Roman"/>
          <w:b/>
          <w:bCs w:val="0"/>
          <w:sz w:val="30"/>
          <w:szCs w:val="30"/>
          <w:highlight w:val="none"/>
        </w:rPr>
        <w:t>四、扩募期间暂停分红业务</w:t>
      </w:r>
      <w:bookmarkEnd w:id="140"/>
      <w:bookmarkEnd w:id="141"/>
      <w:bookmarkEnd w:id="142"/>
      <w:bookmarkEnd w:id="143"/>
      <w:bookmarkEnd w:id="144"/>
      <w:bookmarkEnd w:id="145"/>
      <w:bookmarkEnd w:id="146"/>
      <w:bookmarkEnd w:id="147"/>
      <w:bookmarkEnd w:id="148"/>
      <w:bookmarkEnd w:id="149"/>
    </w:p>
    <w:p w14:paraId="09A28E82">
      <w:pPr>
        <w:keepNext/>
        <w:widowControl/>
        <w:spacing w:line="560" w:lineRule="exact"/>
        <w:ind w:firstLine="600" w:firstLineChars="200"/>
        <w:rPr>
          <w:rFonts w:ascii="Times New Roman" w:hAnsi="Times New Roman" w:eastAsia="仿宋_GB2312" w:cs="Times New Roman"/>
          <w:bCs/>
          <w:sz w:val="30"/>
          <w:szCs w:val="30"/>
          <w:highlight w:val="none"/>
        </w:rPr>
      </w:pPr>
      <w:r>
        <w:rPr>
          <w:rFonts w:ascii="Times New Roman" w:hAnsi="Times New Roman" w:eastAsia="仿宋_GB2312" w:cs="Times New Roman"/>
          <w:bCs/>
          <w:sz w:val="30"/>
          <w:szCs w:val="30"/>
          <w:highlight w:val="none"/>
        </w:rPr>
        <w:t>基金管理人应当在启动扩募发售前统筹安排</w:t>
      </w:r>
      <w:r>
        <w:rPr>
          <w:rFonts w:hint="eastAsia" w:ascii="Times New Roman" w:hAnsi="Times New Roman" w:eastAsia="仿宋_GB2312" w:cs="Times New Roman"/>
          <w:bCs/>
          <w:sz w:val="30"/>
          <w:szCs w:val="30"/>
          <w:highlight w:val="none"/>
        </w:rPr>
        <w:t>不动产</w:t>
      </w:r>
      <w:r>
        <w:rPr>
          <w:rFonts w:ascii="Times New Roman" w:hAnsi="Times New Roman" w:eastAsia="仿宋_GB2312" w:cs="Times New Roman"/>
          <w:bCs/>
          <w:sz w:val="30"/>
          <w:szCs w:val="30"/>
          <w:highlight w:val="none"/>
        </w:rPr>
        <w:t>基金分红事宜，自扩募发售期首日至上市日间不办理分红业务，防止扩募期间分红可能造成的基金份额价值波动，避免扩募份额变动可能导致的分红权益登记和红利派发错误。</w:t>
      </w:r>
    </w:p>
    <w:p w14:paraId="3C41BF15">
      <w:pPr>
        <w:keepNext/>
        <w:widowControl/>
        <w:numPr>
          <w:ilvl w:val="255"/>
          <w:numId w:val="0"/>
        </w:numPr>
        <w:spacing w:line="560" w:lineRule="exact"/>
        <w:ind w:firstLine="600" w:firstLineChars="200"/>
        <w:rPr>
          <w:rFonts w:ascii="Times New Roman" w:hAnsi="Times New Roman" w:eastAsia="仿宋_GB2312" w:cs="Times New Roman"/>
          <w:bCs/>
          <w:sz w:val="30"/>
          <w:szCs w:val="30"/>
          <w:highlight w:val="none"/>
        </w:rPr>
      </w:pPr>
    </w:p>
    <w:p w14:paraId="414C68C3">
      <w:pPr>
        <w:widowControl/>
        <w:numPr>
          <w:ilvl w:val="0"/>
          <w:numId w:val="0"/>
        </w:numPr>
        <w:spacing w:line="560" w:lineRule="exact"/>
        <w:jc w:val="center"/>
        <w:outlineLvl w:val="0"/>
        <w:rPr>
          <w:rFonts w:ascii="Times New Roman" w:hAnsi="Times New Roman" w:eastAsia="黑体" w:cs="Times New Roman"/>
          <w:b/>
          <w:bCs w:val="0"/>
          <w:sz w:val="30"/>
          <w:szCs w:val="30"/>
          <w:highlight w:val="none"/>
        </w:rPr>
      </w:pPr>
      <w:bookmarkStart w:id="150" w:name="_Toc20504"/>
      <w:bookmarkStart w:id="151" w:name="_Toc18131"/>
      <w:bookmarkStart w:id="152" w:name="_Toc6034"/>
      <w:bookmarkStart w:id="153" w:name="_Toc718"/>
      <w:bookmarkStart w:id="154" w:name="_Toc12391"/>
      <w:bookmarkStart w:id="155" w:name="_Toc3653"/>
      <w:bookmarkStart w:id="156" w:name="_Toc22844"/>
      <w:bookmarkStart w:id="157" w:name="_Toc31404"/>
      <w:bookmarkStart w:id="158" w:name="_Toc24716"/>
      <w:bookmarkStart w:id="159" w:name="_Toc10041"/>
      <w:bookmarkStart w:id="160" w:name="_Toc7264"/>
      <w:bookmarkStart w:id="161" w:name="_Toc18210"/>
      <w:r>
        <w:rPr>
          <w:rFonts w:hint="eastAsia" w:ascii="黑体" w:hAnsi="黑体" w:eastAsia="黑体" w:cs="黑体"/>
          <w:b/>
          <w:bCs w:val="0"/>
          <w:kern w:val="2"/>
          <w:sz w:val="32"/>
          <w:szCs w:val="32"/>
          <w:lang w:val="en-US" w:eastAsia="zh-CN" w:bidi="ar-SA"/>
        </w:rPr>
        <w:t xml:space="preserve">第二章 </w:t>
      </w:r>
      <w:r>
        <w:rPr>
          <w:rFonts w:ascii="Times New Roman" w:hAnsi="Times New Roman" w:eastAsia="黑体" w:cs="Times New Roman"/>
          <w:b/>
          <w:bCs w:val="0"/>
          <w:sz w:val="30"/>
          <w:szCs w:val="30"/>
          <w:highlight w:val="none"/>
        </w:rPr>
        <w:t>向原持有人配售</w:t>
      </w:r>
      <w:bookmarkEnd w:id="150"/>
      <w:bookmarkEnd w:id="151"/>
      <w:bookmarkEnd w:id="152"/>
      <w:bookmarkEnd w:id="153"/>
      <w:bookmarkEnd w:id="154"/>
      <w:bookmarkEnd w:id="155"/>
      <w:bookmarkEnd w:id="156"/>
      <w:bookmarkEnd w:id="157"/>
      <w:bookmarkEnd w:id="158"/>
      <w:bookmarkEnd w:id="159"/>
    </w:p>
    <w:p w14:paraId="2B5BDC67">
      <w:pPr>
        <w:keepNext/>
        <w:widowControl/>
        <w:numPr>
          <w:ilvl w:val="255"/>
          <w:numId w:val="0"/>
        </w:numPr>
        <w:spacing w:line="560" w:lineRule="exact"/>
        <w:ind w:firstLine="600" w:firstLineChars="200"/>
        <w:rPr>
          <w:rFonts w:ascii="Times New Roman" w:hAnsi="Times New Roman" w:eastAsia="仿宋_GB2312" w:cs="Times New Roman"/>
          <w:bCs/>
          <w:sz w:val="30"/>
          <w:szCs w:val="30"/>
          <w:highlight w:val="none"/>
        </w:rPr>
      </w:pPr>
    </w:p>
    <w:p w14:paraId="7E2333E8">
      <w:pPr>
        <w:widowControl/>
        <w:spacing w:line="560" w:lineRule="exact"/>
        <w:ind w:firstLine="602" w:firstLineChars="200"/>
        <w:outlineLvl w:val="1"/>
        <w:rPr>
          <w:rFonts w:ascii="Times New Roman" w:hAnsi="Times New Roman" w:eastAsia="黑体" w:cs="Times New Roman"/>
          <w:b/>
          <w:bCs w:val="0"/>
          <w:sz w:val="30"/>
          <w:szCs w:val="30"/>
          <w:highlight w:val="none"/>
        </w:rPr>
      </w:pPr>
      <w:bookmarkStart w:id="162" w:name="_Toc18939"/>
      <w:bookmarkStart w:id="163" w:name="_Toc23115"/>
      <w:bookmarkStart w:id="164" w:name="_Toc7473"/>
      <w:bookmarkStart w:id="165" w:name="_Toc19380"/>
      <w:bookmarkStart w:id="166" w:name="_Toc19426"/>
      <w:bookmarkStart w:id="167" w:name="_Toc26300"/>
      <w:bookmarkStart w:id="168" w:name="_Toc7628"/>
      <w:bookmarkStart w:id="169" w:name="_Toc29589"/>
      <w:bookmarkStart w:id="170" w:name="_Toc23474"/>
      <w:bookmarkStart w:id="171" w:name="_Toc15183"/>
      <w:r>
        <w:rPr>
          <w:rFonts w:ascii="Times New Roman" w:hAnsi="Times New Roman" w:eastAsia="黑体" w:cs="Times New Roman"/>
          <w:b/>
          <w:bCs w:val="0"/>
          <w:sz w:val="30"/>
          <w:szCs w:val="30"/>
          <w:highlight w:val="none"/>
        </w:rPr>
        <w:t>一、发售前需关注的事项</w:t>
      </w:r>
      <w:bookmarkEnd w:id="162"/>
      <w:bookmarkEnd w:id="163"/>
      <w:bookmarkEnd w:id="164"/>
      <w:bookmarkEnd w:id="165"/>
      <w:bookmarkEnd w:id="166"/>
      <w:bookmarkEnd w:id="167"/>
      <w:bookmarkEnd w:id="168"/>
      <w:bookmarkEnd w:id="169"/>
      <w:bookmarkEnd w:id="170"/>
      <w:bookmarkEnd w:id="171"/>
    </w:p>
    <w:p w14:paraId="278B38FA">
      <w:pPr>
        <w:widowControl/>
        <w:spacing w:line="560" w:lineRule="exact"/>
        <w:ind w:firstLine="602" w:firstLineChars="200"/>
        <w:jc w:val="left"/>
        <w:outlineLvl w:val="2"/>
        <w:rPr>
          <w:rFonts w:ascii="Times New Roman" w:hAnsi="Times New Roman" w:eastAsia="楷体_GB2312" w:cs="Times New Roman"/>
          <w:b/>
          <w:bCs/>
          <w:kern w:val="0"/>
          <w:sz w:val="30"/>
          <w:szCs w:val="30"/>
          <w:highlight w:val="none"/>
        </w:rPr>
      </w:pPr>
      <w:bookmarkStart w:id="172" w:name="_Toc6660"/>
      <w:bookmarkStart w:id="173" w:name="_Toc26622"/>
      <w:bookmarkStart w:id="174" w:name="_Toc3246"/>
      <w:bookmarkStart w:id="175" w:name="_Toc30904"/>
      <w:bookmarkStart w:id="176" w:name="_Toc28459"/>
      <w:bookmarkStart w:id="177" w:name="_Toc28303"/>
      <w:bookmarkStart w:id="178" w:name="_Toc19518"/>
      <w:bookmarkStart w:id="179" w:name="_Toc6492"/>
      <w:bookmarkStart w:id="180" w:name="_Toc13342"/>
      <w:bookmarkStart w:id="181" w:name="_Toc25240"/>
      <w:r>
        <w:rPr>
          <w:rFonts w:ascii="Times New Roman" w:hAnsi="Times New Roman" w:eastAsia="楷体_GB2312" w:cs="Times New Roman"/>
          <w:b/>
          <w:bCs/>
          <w:kern w:val="0"/>
          <w:sz w:val="30"/>
          <w:szCs w:val="30"/>
          <w:highlight w:val="none"/>
        </w:rPr>
        <w:t>（一）确认配售范围及配售比例</w:t>
      </w:r>
      <w:bookmarkEnd w:id="172"/>
      <w:bookmarkEnd w:id="173"/>
      <w:bookmarkEnd w:id="174"/>
      <w:bookmarkEnd w:id="175"/>
      <w:bookmarkEnd w:id="176"/>
      <w:bookmarkEnd w:id="177"/>
      <w:bookmarkEnd w:id="178"/>
      <w:bookmarkEnd w:id="179"/>
      <w:bookmarkEnd w:id="180"/>
      <w:bookmarkEnd w:id="181"/>
    </w:p>
    <w:p w14:paraId="2315A5AA">
      <w:pPr>
        <w:widowControl/>
        <w:spacing w:line="560" w:lineRule="exact"/>
        <w:ind w:firstLine="600" w:firstLineChars="200"/>
        <w:rPr>
          <w:rFonts w:ascii="Times New Roman" w:hAnsi="Times New Roman" w:cs="Times New Roman"/>
          <w:sz w:val="30"/>
          <w:szCs w:val="30"/>
          <w:highlight w:val="none"/>
        </w:rPr>
      </w:pPr>
      <w:r>
        <w:rPr>
          <w:rFonts w:ascii="Times New Roman" w:hAnsi="Times New Roman" w:eastAsia="仿宋_GB2312" w:cs="Times New Roman"/>
          <w:bCs/>
          <w:sz w:val="30"/>
          <w:szCs w:val="30"/>
          <w:highlight w:val="none"/>
        </w:rPr>
        <w:t>向原持有人配售是指向权益登记日登记在册的基金份额持有人配售，且配售比例应相同。符合条件的基金份额持有人根据截至权益登记日的持仓份额及基金管理人提供的配售比例确认拟认购份额，拟认购份额应在配售比例范围内。场内部分，本所交易系统不对场内符合条件的基金份额持有人（以下简称场内原持有人）的认购申请额度进行限制，本所会员单位（券商）在接到场内原持有人认购指令后进行前端控制，确认每个场内原持有人的配售份额，基金管理人负责确认场内原持有人的最终配售结果。场外部分，中国证券登记结算有限责任公司开放式基金登记结算系统（以下简称中国结算TA系统）不对场外符合条件的基金份额持有人（以下简称场外原持有人）的认购申请额度进行限制，允许场外原持有人在未持仓的场外销售机构报单，基金管理人应根据投资者基金账户在各销售机构总持仓份额和配售比例逐笔确认配售结果。</w:t>
      </w:r>
    </w:p>
    <w:p w14:paraId="1081323E">
      <w:pPr>
        <w:widowControl/>
        <w:spacing w:line="560" w:lineRule="exact"/>
        <w:ind w:firstLine="602" w:firstLineChars="200"/>
        <w:jc w:val="left"/>
        <w:outlineLvl w:val="2"/>
        <w:rPr>
          <w:rFonts w:ascii="Times New Roman" w:hAnsi="Times New Roman" w:eastAsia="楷体_GB2312" w:cs="Times New Roman"/>
          <w:b/>
          <w:bCs/>
          <w:kern w:val="0"/>
          <w:sz w:val="30"/>
          <w:szCs w:val="30"/>
          <w:highlight w:val="none"/>
        </w:rPr>
      </w:pPr>
      <w:bookmarkStart w:id="182" w:name="_Toc15193"/>
      <w:bookmarkStart w:id="183" w:name="_Toc31809"/>
      <w:bookmarkStart w:id="184" w:name="_Toc19407"/>
      <w:bookmarkStart w:id="185" w:name="_Toc4418"/>
      <w:bookmarkStart w:id="186" w:name="_Toc24136"/>
      <w:bookmarkStart w:id="187" w:name="_Toc19820"/>
      <w:bookmarkStart w:id="188" w:name="_Toc23832"/>
      <w:bookmarkStart w:id="189" w:name="_Toc20841"/>
      <w:bookmarkStart w:id="190" w:name="_Toc21244"/>
      <w:bookmarkStart w:id="191" w:name="_Toc22805"/>
      <w:r>
        <w:rPr>
          <w:rFonts w:ascii="Times New Roman" w:hAnsi="Times New Roman" w:eastAsia="楷体_GB2312" w:cs="Times New Roman"/>
          <w:b/>
          <w:bCs/>
          <w:kern w:val="0"/>
          <w:sz w:val="30"/>
          <w:szCs w:val="30"/>
          <w:highlight w:val="none"/>
        </w:rPr>
        <w:t>（二）符合条件的基金份额持有人参与配售认购的方式</w:t>
      </w:r>
      <w:bookmarkEnd w:id="182"/>
      <w:bookmarkEnd w:id="183"/>
      <w:bookmarkEnd w:id="184"/>
      <w:bookmarkEnd w:id="185"/>
      <w:bookmarkEnd w:id="186"/>
      <w:bookmarkEnd w:id="187"/>
      <w:bookmarkEnd w:id="188"/>
      <w:bookmarkEnd w:id="189"/>
      <w:bookmarkEnd w:id="190"/>
      <w:bookmarkEnd w:id="191"/>
    </w:p>
    <w:p w14:paraId="477132F0">
      <w:pPr>
        <w:widowControl/>
        <w:numPr>
          <w:ilvl w:val="255"/>
          <w:numId w:val="0"/>
        </w:numPr>
        <w:spacing w:line="560" w:lineRule="exact"/>
        <w:ind w:firstLine="600" w:firstLineChars="200"/>
        <w:rPr>
          <w:rFonts w:ascii="Times New Roman" w:hAnsi="Times New Roman" w:eastAsia="仿宋_GB2312" w:cs="Times New Roman"/>
          <w:bCs/>
          <w:sz w:val="30"/>
          <w:szCs w:val="30"/>
          <w:highlight w:val="none"/>
        </w:rPr>
      </w:pPr>
      <w:r>
        <w:rPr>
          <w:rFonts w:ascii="Times New Roman" w:hAnsi="Times New Roman" w:eastAsia="仿宋_GB2312" w:cs="Times New Roman"/>
          <w:bCs/>
          <w:sz w:val="30"/>
          <w:szCs w:val="30"/>
          <w:highlight w:val="none"/>
        </w:rPr>
        <w:t>场内原持有人应在场内参与配售认购，可通过本所交易系统参与配售认购，也可联系基金管理人参与配售认购。场外原持有人应在场外参与配售认购，通过场外销售机构或联系基金管理人参与配售认购。</w:t>
      </w:r>
    </w:p>
    <w:p w14:paraId="5CBC06CA">
      <w:pPr>
        <w:widowControl/>
        <w:numPr>
          <w:ilvl w:val="255"/>
          <w:numId w:val="0"/>
        </w:numPr>
        <w:spacing w:line="560" w:lineRule="exact"/>
        <w:ind w:firstLine="600" w:firstLineChars="200"/>
        <w:rPr>
          <w:rFonts w:ascii="Times New Roman" w:hAnsi="Times New Roman" w:cs="Times New Roman"/>
          <w:sz w:val="30"/>
          <w:szCs w:val="30"/>
          <w:highlight w:val="none"/>
        </w:rPr>
      </w:pPr>
      <w:r>
        <w:rPr>
          <w:rFonts w:ascii="Times New Roman" w:hAnsi="Times New Roman" w:eastAsia="仿宋_GB2312" w:cs="Times New Roman"/>
          <w:bCs/>
          <w:sz w:val="30"/>
          <w:szCs w:val="30"/>
          <w:highlight w:val="none"/>
        </w:rPr>
        <w:t>对于参与基金份额战略配售的投资者（以下简称战略投资者）、租用席位的投资者、场内会员单位（券商）未开通LOF认购权限的投资者等，可直接联系基金管理人向其提交配售认购申请，由基金管理人通过份额强制调整业务报送至中国结算TA系统。</w:t>
      </w:r>
    </w:p>
    <w:p w14:paraId="345D58E9">
      <w:pPr>
        <w:widowControl/>
        <w:spacing w:line="560" w:lineRule="exact"/>
        <w:ind w:firstLine="640"/>
        <w:outlineLvl w:val="1"/>
        <w:rPr>
          <w:rFonts w:ascii="Times New Roman" w:hAnsi="Times New Roman" w:eastAsia="黑体" w:cs="Times New Roman"/>
          <w:b/>
          <w:bCs w:val="0"/>
          <w:sz w:val="30"/>
          <w:szCs w:val="30"/>
          <w:highlight w:val="none"/>
        </w:rPr>
      </w:pPr>
      <w:bookmarkStart w:id="192" w:name="_Toc24999"/>
      <w:bookmarkStart w:id="193" w:name="_Toc3941"/>
      <w:bookmarkStart w:id="194" w:name="_Toc25554"/>
      <w:bookmarkStart w:id="195" w:name="_Toc21696"/>
      <w:bookmarkStart w:id="196" w:name="_Toc2386"/>
      <w:bookmarkStart w:id="197" w:name="_Toc8469"/>
      <w:bookmarkStart w:id="198" w:name="_Toc18775"/>
      <w:bookmarkStart w:id="199" w:name="_Toc8363"/>
      <w:bookmarkStart w:id="200" w:name="_Toc22342"/>
      <w:bookmarkStart w:id="201" w:name="_Toc10034"/>
      <w:r>
        <w:rPr>
          <w:rFonts w:ascii="Times New Roman" w:hAnsi="Times New Roman" w:eastAsia="黑体" w:cs="Times New Roman"/>
          <w:b/>
          <w:bCs w:val="0"/>
          <w:sz w:val="30"/>
          <w:szCs w:val="30"/>
          <w:highlight w:val="none"/>
        </w:rPr>
        <w:t>二、发售及认购</w:t>
      </w:r>
      <w:bookmarkEnd w:id="160"/>
      <w:bookmarkEnd w:id="161"/>
      <w:bookmarkEnd w:id="192"/>
      <w:bookmarkEnd w:id="193"/>
      <w:bookmarkEnd w:id="194"/>
      <w:bookmarkEnd w:id="195"/>
      <w:bookmarkEnd w:id="196"/>
      <w:bookmarkEnd w:id="197"/>
      <w:bookmarkEnd w:id="198"/>
      <w:bookmarkEnd w:id="199"/>
      <w:bookmarkEnd w:id="200"/>
      <w:bookmarkEnd w:id="201"/>
    </w:p>
    <w:p w14:paraId="7C28C133">
      <w:pPr>
        <w:widowControl/>
        <w:numPr>
          <w:ilvl w:val="255"/>
          <w:numId w:val="0"/>
        </w:numPr>
        <w:spacing w:line="560" w:lineRule="exact"/>
        <w:ind w:firstLine="602" w:firstLineChars="200"/>
        <w:rPr>
          <w:rFonts w:ascii="Times New Roman" w:hAnsi="Times New Roman" w:eastAsia="仿宋_GB2312" w:cs="Times New Roman"/>
          <w:b/>
          <w:sz w:val="30"/>
          <w:szCs w:val="30"/>
          <w:highlight w:val="none"/>
        </w:rPr>
      </w:pPr>
      <w:r>
        <w:rPr>
          <w:rFonts w:ascii="Times New Roman" w:hAnsi="Times New Roman" w:eastAsia="仿宋_GB2312" w:cs="Times New Roman"/>
          <w:b/>
          <w:sz w:val="30"/>
          <w:szCs w:val="30"/>
          <w:highlight w:val="none"/>
        </w:rPr>
        <w:t>名称释义：</w:t>
      </w:r>
    </w:p>
    <w:p w14:paraId="4288CA92">
      <w:pPr>
        <w:widowControl/>
        <w:numPr>
          <w:ilvl w:val="255"/>
          <w:numId w:val="0"/>
        </w:numPr>
        <w:spacing w:line="560" w:lineRule="exact"/>
        <w:ind w:firstLine="602" w:firstLineChars="200"/>
        <w:rPr>
          <w:rFonts w:ascii="Times New Roman" w:hAnsi="Times New Roman" w:eastAsia="仿宋_GB2312" w:cs="Times New Roman"/>
          <w:b/>
          <w:sz w:val="30"/>
          <w:szCs w:val="30"/>
          <w:highlight w:val="none"/>
        </w:rPr>
      </w:pPr>
      <w:r>
        <w:rPr>
          <w:rFonts w:ascii="Times New Roman" w:hAnsi="Times New Roman" w:eastAsia="仿宋_GB2312" w:cs="Times New Roman"/>
          <w:b/>
          <w:sz w:val="30"/>
          <w:szCs w:val="30"/>
          <w:highlight w:val="none"/>
        </w:rPr>
        <w:t>R日——权益登记日</w:t>
      </w:r>
    </w:p>
    <w:p w14:paraId="14D0256C">
      <w:pPr>
        <w:widowControl/>
        <w:numPr>
          <w:ilvl w:val="255"/>
          <w:numId w:val="0"/>
        </w:numPr>
        <w:spacing w:line="560" w:lineRule="exact"/>
        <w:ind w:firstLine="602" w:firstLineChars="200"/>
        <w:rPr>
          <w:rFonts w:ascii="Times New Roman" w:hAnsi="Times New Roman" w:eastAsia="仿宋_GB2312" w:cs="Times New Roman"/>
          <w:b/>
          <w:sz w:val="30"/>
          <w:szCs w:val="30"/>
          <w:highlight w:val="none"/>
        </w:rPr>
      </w:pPr>
      <w:r>
        <w:rPr>
          <w:rFonts w:ascii="Times New Roman" w:hAnsi="Times New Roman" w:eastAsia="仿宋_GB2312" w:cs="Times New Roman"/>
          <w:b/>
          <w:sz w:val="30"/>
          <w:szCs w:val="30"/>
          <w:highlight w:val="none"/>
        </w:rPr>
        <w:t>T日—认购起始日/停牌起始日</w:t>
      </w:r>
    </w:p>
    <w:p w14:paraId="103866AC">
      <w:pPr>
        <w:keepNext/>
        <w:widowControl/>
        <w:numPr>
          <w:ilvl w:val="255"/>
          <w:numId w:val="0"/>
        </w:numPr>
        <w:spacing w:line="560" w:lineRule="exact"/>
        <w:ind w:firstLine="602" w:firstLineChars="200"/>
        <w:rPr>
          <w:rFonts w:ascii="Times New Roman" w:hAnsi="Times New Roman" w:eastAsia="仿宋_GB2312" w:cs="Times New Roman"/>
          <w:b/>
          <w:sz w:val="30"/>
          <w:szCs w:val="30"/>
          <w:highlight w:val="none"/>
        </w:rPr>
      </w:pPr>
      <w:r>
        <w:rPr>
          <w:rFonts w:ascii="Times New Roman" w:hAnsi="Times New Roman" w:eastAsia="仿宋_GB2312" w:cs="Times New Roman"/>
          <w:b/>
          <w:sz w:val="30"/>
          <w:szCs w:val="30"/>
          <w:highlight w:val="none"/>
        </w:rPr>
        <w:t>M日—认购结束日</w:t>
      </w:r>
    </w:p>
    <w:p w14:paraId="5EC77E11">
      <w:pPr>
        <w:keepNext/>
        <w:widowControl/>
        <w:numPr>
          <w:ilvl w:val="255"/>
          <w:numId w:val="0"/>
        </w:numPr>
        <w:spacing w:line="560" w:lineRule="exact"/>
        <w:ind w:firstLine="602" w:firstLineChars="200"/>
        <w:rPr>
          <w:rFonts w:ascii="Times New Roman" w:hAnsi="Times New Roman" w:eastAsia="仿宋_GB2312" w:cs="Times New Roman"/>
          <w:b/>
          <w:sz w:val="30"/>
          <w:szCs w:val="30"/>
          <w:highlight w:val="none"/>
        </w:rPr>
      </w:pPr>
      <w:r>
        <w:rPr>
          <w:rFonts w:ascii="Times New Roman" w:hAnsi="Times New Roman" w:eastAsia="仿宋_GB2312" w:cs="Times New Roman"/>
          <w:b/>
          <w:sz w:val="30"/>
          <w:szCs w:val="30"/>
          <w:highlight w:val="none"/>
        </w:rPr>
        <w:t>M</w:t>
      </w:r>
      <w:r>
        <w:rPr>
          <w:rFonts w:ascii="Times New Roman" w:hAnsi="Times New Roman" w:eastAsia="仿宋_GB2312" w:cs="Times New Roman"/>
          <w:b/>
          <w:sz w:val="30"/>
          <w:szCs w:val="30"/>
          <w:highlight w:val="none"/>
          <w:vertAlign w:val="subscript"/>
        </w:rPr>
        <w:t>1</w:t>
      </w:r>
      <w:r>
        <w:rPr>
          <w:rFonts w:ascii="Times New Roman" w:hAnsi="Times New Roman" w:eastAsia="仿宋_GB2312" w:cs="Times New Roman"/>
          <w:b/>
          <w:sz w:val="30"/>
          <w:szCs w:val="30"/>
          <w:highlight w:val="none"/>
        </w:rPr>
        <w:t>日—变更后的认购终止日</w:t>
      </w:r>
    </w:p>
    <w:p w14:paraId="263C4B1D">
      <w:pPr>
        <w:widowControl/>
        <w:spacing w:line="560" w:lineRule="exact"/>
        <w:ind w:firstLine="602" w:firstLineChars="200"/>
        <w:jc w:val="left"/>
        <w:rPr>
          <w:rFonts w:ascii="Times New Roman" w:hAnsi="Times New Roman" w:eastAsia="仿宋_GB2312" w:cs="Times New Roman"/>
          <w:b/>
          <w:sz w:val="30"/>
          <w:szCs w:val="30"/>
          <w:highlight w:val="none"/>
        </w:rPr>
      </w:pPr>
      <w:r>
        <w:rPr>
          <w:rFonts w:ascii="Times New Roman" w:hAnsi="Times New Roman" w:eastAsia="仿宋_GB2312" w:cs="Times New Roman"/>
          <w:b/>
          <w:sz w:val="30"/>
          <w:szCs w:val="30"/>
          <w:highlight w:val="none"/>
        </w:rPr>
        <w:t>S日—基金合同更新生效日</w:t>
      </w:r>
    </w:p>
    <w:p w14:paraId="721A5174">
      <w:pPr>
        <w:widowControl/>
        <w:numPr>
          <w:ilvl w:val="255"/>
          <w:numId w:val="0"/>
        </w:numPr>
        <w:spacing w:line="560" w:lineRule="exact"/>
        <w:ind w:firstLine="640"/>
        <w:outlineLvl w:val="2"/>
        <w:rPr>
          <w:rFonts w:ascii="Times New Roman" w:hAnsi="Times New Roman" w:eastAsia="楷体_GB2312" w:cs="Times New Roman"/>
          <w:b/>
          <w:sz w:val="30"/>
          <w:szCs w:val="30"/>
          <w:highlight w:val="none"/>
        </w:rPr>
      </w:pPr>
      <w:bookmarkStart w:id="202" w:name="_Toc2341"/>
      <w:bookmarkStart w:id="203" w:name="_Toc11242"/>
      <w:bookmarkStart w:id="204" w:name="_Toc1219"/>
      <w:bookmarkStart w:id="205" w:name="_Toc8978"/>
      <w:bookmarkStart w:id="206" w:name="_Toc664"/>
      <w:bookmarkStart w:id="207" w:name="_Toc17154"/>
      <w:bookmarkStart w:id="208" w:name="_Toc32038"/>
      <w:bookmarkStart w:id="209" w:name="_Toc28985"/>
      <w:bookmarkStart w:id="210" w:name="_Toc15814"/>
      <w:bookmarkStart w:id="211" w:name="_Toc12669"/>
      <w:bookmarkStart w:id="212" w:name="_Toc11665"/>
      <w:bookmarkStart w:id="213" w:name="_Toc29619"/>
      <w:r>
        <w:rPr>
          <w:rFonts w:ascii="Times New Roman" w:hAnsi="Times New Roman" w:eastAsia="楷体_GB2312" w:cs="Times New Roman"/>
          <w:b/>
          <w:sz w:val="30"/>
          <w:szCs w:val="30"/>
          <w:highlight w:val="none"/>
        </w:rPr>
        <w:t>（一）发售业务申请与受理</w:t>
      </w:r>
      <w:bookmarkEnd w:id="202"/>
      <w:bookmarkEnd w:id="203"/>
      <w:bookmarkEnd w:id="204"/>
      <w:bookmarkEnd w:id="205"/>
      <w:bookmarkEnd w:id="206"/>
      <w:bookmarkEnd w:id="207"/>
      <w:bookmarkEnd w:id="208"/>
      <w:bookmarkEnd w:id="209"/>
      <w:bookmarkEnd w:id="210"/>
      <w:bookmarkEnd w:id="211"/>
      <w:bookmarkEnd w:id="212"/>
      <w:bookmarkEnd w:id="213"/>
    </w:p>
    <w:p w14:paraId="76B3B8A3">
      <w:pPr>
        <w:widowControl/>
        <w:numPr>
          <w:ilvl w:val="0"/>
          <w:numId w:val="1"/>
        </w:numPr>
        <w:spacing w:line="560" w:lineRule="exact"/>
        <w:ind w:left="197" w:firstLine="643"/>
        <w:rPr>
          <w:rFonts w:ascii="Times New Roman" w:hAnsi="Times New Roman" w:eastAsia="仿宋_GB2312" w:cs="Times New Roman"/>
          <w:b/>
          <w:sz w:val="30"/>
          <w:szCs w:val="30"/>
          <w:highlight w:val="none"/>
        </w:rPr>
      </w:pPr>
      <w:r>
        <w:rPr>
          <w:rFonts w:ascii="Times New Roman" w:hAnsi="Times New Roman" w:eastAsia="仿宋_GB2312" w:cs="Times New Roman"/>
          <w:b/>
          <w:sz w:val="30"/>
          <w:szCs w:val="30"/>
          <w:highlight w:val="none"/>
        </w:rPr>
        <w:t>T-8日（含）前</w:t>
      </w:r>
    </w:p>
    <w:p w14:paraId="67BF3BD3">
      <w:pPr>
        <w:widowControl/>
        <w:spacing w:line="560" w:lineRule="exact"/>
        <w:ind w:firstLine="640"/>
        <w:rPr>
          <w:rFonts w:ascii="Times New Roman" w:hAnsi="Times New Roman" w:eastAsia="仿宋_GB2312" w:cs="Times New Roman"/>
          <w:bCs/>
          <w:sz w:val="30"/>
          <w:szCs w:val="30"/>
          <w:highlight w:val="none"/>
        </w:rPr>
      </w:pPr>
      <w:r>
        <w:rPr>
          <w:rFonts w:ascii="Times New Roman" w:hAnsi="Times New Roman" w:eastAsia="仿宋_GB2312" w:cs="Times New Roman"/>
          <w:bCs/>
          <w:sz w:val="30"/>
          <w:szCs w:val="30"/>
          <w:highlight w:val="none"/>
        </w:rPr>
        <w:t>基金管理人收到本所关于变更申请的无异议函和中国证监会关于基金变更注册的批复，且基金份额持有人大会作出拟购入</w:t>
      </w:r>
      <w:r>
        <w:rPr>
          <w:rFonts w:hint="eastAsia" w:ascii="Times New Roman" w:hAnsi="Times New Roman" w:eastAsia="仿宋_GB2312" w:cs="Times New Roman"/>
          <w:bCs/>
          <w:sz w:val="30"/>
          <w:szCs w:val="30"/>
          <w:highlight w:val="none"/>
        </w:rPr>
        <w:t>不动产</w:t>
      </w:r>
      <w:r>
        <w:rPr>
          <w:rFonts w:ascii="Times New Roman" w:hAnsi="Times New Roman" w:eastAsia="仿宋_GB2312" w:cs="Times New Roman"/>
          <w:bCs/>
          <w:sz w:val="30"/>
          <w:szCs w:val="30"/>
          <w:highlight w:val="none"/>
        </w:rPr>
        <w:t>项目决议后，基金管理人通过本所业务管理系统平台提交发售业务申请，并提交下列文件：</w:t>
      </w:r>
    </w:p>
    <w:p w14:paraId="2E66FC2C">
      <w:pPr>
        <w:widowControl/>
        <w:spacing w:line="560" w:lineRule="exact"/>
        <w:ind w:firstLine="600" w:firstLineChars="200"/>
        <w:rPr>
          <w:rFonts w:ascii="Times New Roman" w:hAnsi="Times New Roman" w:eastAsia="仿宋_GB2312" w:cs="Times New Roman"/>
          <w:bCs/>
          <w:sz w:val="30"/>
          <w:szCs w:val="30"/>
          <w:highlight w:val="none"/>
        </w:rPr>
      </w:pPr>
      <w:r>
        <w:rPr>
          <w:rFonts w:ascii="Times New Roman" w:hAnsi="Times New Roman" w:eastAsia="仿宋_GB2312" w:cs="Times New Roman"/>
          <w:bCs/>
          <w:sz w:val="30"/>
          <w:szCs w:val="30"/>
          <w:highlight w:val="none"/>
        </w:rPr>
        <w:t>1.业务申请文件</w:t>
      </w:r>
    </w:p>
    <w:p w14:paraId="3FE4FAC0">
      <w:pPr>
        <w:widowControl/>
        <w:numPr>
          <w:ilvl w:val="255"/>
          <w:numId w:val="0"/>
        </w:numPr>
        <w:spacing w:line="560" w:lineRule="exact"/>
        <w:ind w:firstLine="600" w:firstLineChars="200"/>
        <w:rPr>
          <w:rFonts w:ascii="Times New Roman" w:hAnsi="Times New Roman" w:eastAsia="仿宋_GB2312" w:cs="Times New Roman"/>
          <w:bCs/>
          <w:sz w:val="30"/>
          <w:szCs w:val="30"/>
          <w:highlight w:val="none"/>
        </w:rPr>
      </w:pPr>
      <w:r>
        <w:rPr>
          <w:rFonts w:ascii="Times New Roman" w:hAnsi="Times New Roman" w:eastAsia="仿宋_GB2312" w:cs="Times New Roman"/>
          <w:bCs/>
          <w:sz w:val="30"/>
          <w:szCs w:val="30"/>
          <w:highlight w:val="none"/>
        </w:rPr>
        <w:t>（1）发售申请表（函）；</w:t>
      </w:r>
    </w:p>
    <w:p w14:paraId="4E747EA0">
      <w:pPr>
        <w:widowControl/>
        <w:numPr>
          <w:ilvl w:val="255"/>
          <w:numId w:val="0"/>
        </w:numPr>
        <w:spacing w:line="560" w:lineRule="exact"/>
        <w:ind w:firstLine="600" w:firstLineChars="200"/>
        <w:rPr>
          <w:rFonts w:ascii="Times New Roman" w:hAnsi="Times New Roman" w:eastAsia="仿宋_GB2312" w:cs="Times New Roman"/>
          <w:bCs/>
          <w:sz w:val="30"/>
          <w:szCs w:val="30"/>
          <w:highlight w:val="none"/>
        </w:rPr>
      </w:pPr>
      <w:r>
        <w:rPr>
          <w:rFonts w:ascii="Times New Roman" w:hAnsi="Times New Roman" w:eastAsia="仿宋_GB2312" w:cs="Times New Roman"/>
          <w:bCs/>
          <w:sz w:val="30"/>
          <w:szCs w:val="30"/>
          <w:highlight w:val="none"/>
        </w:rPr>
        <w:t>（2）中国证监会准予基金变更注册的批文（扫描件）；</w:t>
      </w:r>
    </w:p>
    <w:p w14:paraId="662AA906">
      <w:pPr>
        <w:widowControl/>
        <w:numPr>
          <w:ilvl w:val="255"/>
          <w:numId w:val="0"/>
        </w:numPr>
        <w:spacing w:line="560" w:lineRule="exact"/>
        <w:ind w:firstLine="600" w:firstLineChars="200"/>
        <w:rPr>
          <w:rFonts w:ascii="Times New Roman" w:hAnsi="Times New Roman" w:eastAsia="仿宋_GB2312" w:cs="Times New Roman"/>
          <w:bCs/>
          <w:sz w:val="30"/>
          <w:szCs w:val="30"/>
          <w:highlight w:val="none"/>
        </w:rPr>
      </w:pPr>
      <w:r>
        <w:rPr>
          <w:rFonts w:ascii="Times New Roman" w:hAnsi="Times New Roman" w:eastAsia="仿宋_GB2312" w:cs="Times New Roman"/>
          <w:bCs/>
          <w:sz w:val="30"/>
          <w:szCs w:val="30"/>
          <w:highlight w:val="none"/>
        </w:rPr>
        <w:t>（3）基金管理人、财务顾问（如有）及原始权益人（如有）对</w:t>
      </w:r>
      <w:r>
        <w:rPr>
          <w:rFonts w:hint="eastAsia" w:ascii="Times New Roman" w:hAnsi="Times New Roman" w:eastAsia="仿宋_GB2312" w:cs="Times New Roman"/>
          <w:bCs/>
          <w:sz w:val="30"/>
          <w:szCs w:val="30"/>
          <w:highlight w:val="none"/>
        </w:rPr>
        <w:t>不动产</w:t>
      </w:r>
      <w:r>
        <w:rPr>
          <w:rFonts w:ascii="Times New Roman" w:hAnsi="Times New Roman" w:eastAsia="仿宋_GB2312" w:cs="Times New Roman"/>
          <w:bCs/>
          <w:sz w:val="30"/>
          <w:szCs w:val="30"/>
          <w:highlight w:val="none"/>
        </w:rPr>
        <w:t>基金获准变更注册至发售前不存在可能对</w:t>
      </w:r>
      <w:r>
        <w:rPr>
          <w:rFonts w:hint="eastAsia" w:ascii="Times New Roman" w:hAnsi="Times New Roman" w:eastAsia="仿宋_GB2312" w:cs="Times New Roman"/>
          <w:bCs/>
          <w:sz w:val="30"/>
          <w:szCs w:val="30"/>
          <w:highlight w:val="none"/>
        </w:rPr>
        <w:t>不动产</w:t>
      </w:r>
      <w:r>
        <w:rPr>
          <w:rFonts w:ascii="Times New Roman" w:hAnsi="Times New Roman" w:eastAsia="仿宋_GB2312" w:cs="Times New Roman"/>
          <w:bCs/>
          <w:sz w:val="30"/>
          <w:szCs w:val="30"/>
          <w:highlight w:val="none"/>
        </w:rPr>
        <w:t>基金投资价值及投资决策判断有重大影响的事项的承诺（盖章扫描件）；</w:t>
      </w:r>
    </w:p>
    <w:p w14:paraId="0DA33069">
      <w:pPr>
        <w:widowControl/>
        <w:numPr>
          <w:ilvl w:val="255"/>
          <w:numId w:val="0"/>
        </w:numPr>
        <w:spacing w:line="560" w:lineRule="exact"/>
        <w:ind w:firstLine="600" w:firstLineChars="200"/>
        <w:rPr>
          <w:rFonts w:ascii="Times New Roman" w:hAnsi="Times New Roman" w:eastAsia="仿宋_GB2312" w:cs="Times New Roman"/>
          <w:bCs/>
          <w:sz w:val="30"/>
          <w:szCs w:val="30"/>
          <w:highlight w:val="none"/>
        </w:rPr>
      </w:pPr>
      <w:r>
        <w:rPr>
          <w:rFonts w:ascii="Times New Roman" w:hAnsi="Times New Roman" w:eastAsia="仿宋_GB2312" w:cs="Times New Roman"/>
          <w:bCs/>
          <w:sz w:val="30"/>
          <w:szCs w:val="30"/>
          <w:highlight w:val="none"/>
        </w:rPr>
        <w:t>（4）基金管理人、财务顾问（如有）对战略投资者的选取标准、配售资格，是否存在相关禁止性情形进行核查的文件以及律师事务所出具的相应法律意见书（盖章扫描件）；</w:t>
      </w:r>
    </w:p>
    <w:p w14:paraId="4884EED5">
      <w:pPr>
        <w:widowControl/>
        <w:numPr>
          <w:ilvl w:val="255"/>
          <w:numId w:val="0"/>
        </w:numPr>
        <w:spacing w:line="560" w:lineRule="exact"/>
        <w:ind w:firstLine="600" w:firstLineChars="200"/>
        <w:rPr>
          <w:rFonts w:ascii="Times New Roman" w:hAnsi="Times New Roman" w:eastAsia="仿宋_GB2312" w:cs="Times New Roman"/>
          <w:bCs/>
          <w:sz w:val="30"/>
          <w:szCs w:val="30"/>
          <w:highlight w:val="none"/>
        </w:rPr>
      </w:pPr>
      <w:r>
        <w:rPr>
          <w:rFonts w:ascii="Times New Roman" w:hAnsi="Times New Roman" w:eastAsia="仿宋_GB2312" w:cs="Times New Roman"/>
          <w:bCs/>
          <w:sz w:val="30"/>
          <w:szCs w:val="30"/>
          <w:highlight w:val="none"/>
        </w:rPr>
        <w:t>（5）基金管理人内部运作管理规范，包括内部运作管理架构、运营操作流程、风险防范措施、指定联系人等（盖章扫描件）；</w:t>
      </w:r>
    </w:p>
    <w:p w14:paraId="2ECB2E2F">
      <w:pPr>
        <w:widowControl/>
        <w:numPr>
          <w:ilvl w:val="255"/>
          <w:numId w:val="0"/>
        </w:numPr>
        <w:spacing w:line="560" w:lineRule="exact"/>
        <w:ind w:firstLine="600" w:firstLineChars="200"/>
        <w:rPr>
          <w:rFonts w:ascii="Times New Roman" w:hAnsi="Times New Roman" w:eastAsia="仿宋_GB2312" w:cs="Times New Roman"/>
          <w:bCs/>
          <w:sz w:val="30"/>
          <w:szCs w:val="30"/>
          <w:highlight w:val="none"/>
        </w:rPr>
      </w:pPr>
      <w:r>
        <w:rPr>
          <w:rFonts w:ascii="Times New Roman" w:hAnsi="Times New Roman" w:eastAsia="仿宋_GB2312" w:cs="Times New Roman"/>
          <w:bCs/>
          <w:sz w:val="30"/>
          <w:szCs w:val="30"/>
          <w:highlight w:val="none"/>
        </w:rPr>
        <w:t>（6）基金管理人、财务顾问（如有）关于REITs扩募发售上市业务自查和承诺反馈表（格式参考附件1-1）；</w:t>
      </w:r>
    </w:p>
    <w:p w14:paraId="43B77B85">
      <w:pPr>
        <w:widowControl/>
        <w:numPr>
          <w:ilvl w:val="255"/>
          <w:numId w:val="0"/>
        </w:numPr>
        <w:spacing w:line="560" w:lineRule="exact"/>
        <w:ind w:firstLine="600" w:firstLineChars="200"/>
        <w:rPr>
          <w:rFonts w:ascii="Times New Roman" w:hAnsi="Times New Roman" w:eastAsia="仿宋_GB2312" w:cs="Times New Roman"/>
          <w:bCs/>
          <w:sz w:val="30"/>
          <w:szCs w:val="30"/>
          <w:highlight w:val="none"/>
        </w:rPr>
      </w:pPr>
      <w:r>
        <w:rPr>
          <w:rFonts w:ascii="Times New Roman" w:hAnsi="Times New Roman" w:eastAsia="仿宋_GB2312" w:cs="Times New Roman"/>
          <w:bCs/>
          <w:sz w:val="30"/>
          <w:szCs w:val="30"/>
          <w:highlight w:val="none"/>
        </w:rPr>
        <w:t>（7）提交报备文件与对外披露文件一致的承诺函（基金管理人、财务顾问（如有）盖章扫描件，格式参考附件1-2），承诺内容应包括发售上市期间向本所报送的文件与向投资者提供的纸质文件和电子文件内容一致，与经本所审核、对外披露的公告内容一致。全套申请材料不存在虚假记载、误导性陈述或重大遗漏，基金管理人、财务顾问（如有）对材料的真实性、准确性和完整性承担相应法律责任；</w:t>
      </w:r>
    </w:p>
    <w:p w14:paraId="710A6ADD">
      <w:pPr>
        <w:widowControl/>
        <w:numPr>
          <w:ilvl w:val="255"/>
          <w:numId w:val="0"/>
        </w:numPr>
        <w:spacing w:line="560" w:lineRule="exact"/>
        <w:ind w:firstLine="600" w:firstLineChars="200"/>
        <w:rPr>
          <w:rFonts w:ascii="Times New Roman" w:hAnsi="Times New Roman" w:eastAsia="仿宋_GB2312" w:cs="Times New Roman"/>
          <w:bCs/>
          <w:sz w:val="30"/>
          <w:szCs w:val="30"/>
          <w:highlight w:val="none"/>
        </w:rPr>
      </w:pPr>
      <w:r>
        <w:rPr>
          <w:rFonts w:ascii="Times New Roman" w:hAnsi="Times New Roman" w:eastAsia="仿宋_GB2312" w:cs="Times New Roman"/>
          <w:bCs/>
          <w:sz w:val="30"/>
          <w:szCs w:val="30"/>
          <w:highlight w:val="none"/>
        </w:rPr>
        <w:t>（8）本所要求的其他备查材料。</w:t>
      </w:r>
    </w:p>
    <w:p w14:paraId="37B2A06A">
      <w:pPr>
        <w:widowControl/>
        <w:numPr>
          <w:ilvl w:val="255"/>
          <w:numId w:val="0"/>
        </w:numPr>
        <w:spacing w:line="560" w:lineRule="exact"/>
        <w:ind w:firstLine="600" w:firstLineChars="200"/>
        <w:rPr>
          <w:rFonts w:ascii="Times New Roman" w:hAnsi="Times New Roman" w:eastAsia="仿宋_GB2312" w:cs="Times New Roman"/>
          <w:bCs/>
          <w:sz w:val="30"/>
          <w:szCs w:val="30"/>
          <w:highlight w:val="none"/>
        </w:rPr>
      </w:pPr>
      <w:r>
        <w:rPr>
          <w:rFonts w:ascii="Times New Roman" w:hAnsi="Times New Roman" w:eastAsia="仿宋_GB2312" w:cs="Times New Roman"/>
          <w:bCs/>
          <w:sz w:val="30"/>
          <w:szCs w:val="30"/>
          <w:highlight w:val="none"/>
        </w:rPr>
        <w:t>2.信息披露文件</w:t>
      </w:r>
    </w:p>
    <w:p w14:paraId="5AC0CD5C">
      <w:pPr>
        <w:widowControl/>
        <w:numPr>
          <w:ilvl w:val="255"/>
          <w:numId w:val="0"/>
        </w:numPr>
        <w:spacing w:line="560" w:lineRule="exact"/>
        <w:ind w:firstLine="600" w:firstLineChars="200"/>
        <w:rPr>
          <w:rFonts w:ascii="Times New Roman" w:hAnsi="Times New Roman" w:eastAsia="仿宋_GB2312" w:cs="Times New Roman"/>
          <w:bCs/>
          <w:sz w:val="30"/>
          <w:szCs w:val="30"/>
          <w:highlight w:val="none"/>
        </w:rPr>
      </w:pPr>
      <w:r>
        <w:rPr>
          <w:rFonts w:ascii="Times New Roman" w:hAnsi="Times New Roman" w:eastAsia="仿宋_GB2312" w:cs="Times New Roman"/>
          <w:bCs/>
          <w:sz w:val="30"/>
          <w:szCs w:val="30"/>
          <w:highlight w:val="none"/>
        </w:rPr>
        <w:t>（1）发售公告，公告的“重要内容提示”及正文中应披露配售比例、预估可配售数量以及发售期间的停复牌安排；</w:t>
      </w:r>
    </w:p>
    <w:p w14:paraId="31932DDF">
      <w:pPr>
        <w:widowControl/>
        <w:numPr>
          <w:ilvl w:val="255"/>
          <w:numId w:val="0"/>
        </w:numPr>
        <w:spacing w:line="560" w:lineRule="exact"/>
        <w:ind w:firstLine="600" w:firstLineChars="200"/>
        <w:rPr>
          <w:rFonts w:ascii="Times New Roman" w:hAnsi="Times New Roman" w:eastAsia="仿宋_GB2312" w:cs="Times New Roman"/>
          <w:bCs/>
          <w:sz w:val="30"/>
          <w:szCs w:val="30"/>
          <w:highlight w:val="none"/>
        </w:rPr>
      </w:pPr>
      <w:r>
        <w:rPr>
          <w:rFonts w:ascii="Times New Roman" w:hAnsi="Times New Roman" w:eastAsia="仿宋_GB2312" w:cs="Times New Roman"/>
          <w:bCs/>
          <w:sz w:val="30"/>
          <w:szCs w:val="30"/>
          <w:highlight w:val="none"/>
        </w:rPr>
        <w:t>（2）关于战略投资者的专项核查报告；</w:t>
      </w:r>
    </w:p>
    <w:p w14:paraId="7653899E">
      <w:pPr>
        <w:widowControl/>
        <w:numPr>
          <w:ilvl w:val="255"/>
          <w:numId w:val="0"/>
        </w:numPr>
        <w:spacing w:line="560" w:lineRule="exact"/>
        <w:ind w:firstLine="600" w:firstLineChars="200"/>
        <w:rPr>
          <w:rFonts w:ascii="Times New Roman" w:hAnsi="Times New Roman" w:eastAsia="仿宋_GB2312" w:cs="Times New Roman"/>
          <w:bCs/>
          <w:sz w:val="30"/>
          <w:szCs w:val="30"/>
          <w:highlight w:val="none"/>
        </w:rPr>
      </w:pPr>
      <w:r>
        <w:rPr>
          <w:rFonts w:ascii="Times New Roman" w:hAnsi="Times New Roman" w:eastAsia="仿宋_GB2312" w:cs="Times New Roman"/>
          <w:bCs/>
          <w:sz w:val="30"/>
          <w:szCs w:val="30"/>
          <w:highlight w:val="none"/>
        </w:rPr>
        <w:t>（3）律师关于战略投资者核查的专项法律意见书；</w:t>
      </w:r>
    </w:p>
    <w:p w14:paraId="7DD368C8">
      <w:pPr>
        <w:widowControl/>
        <w:numPr>
          <w:ilvl w:val="255"/>
          <w:numId w:val="0"/>
        </w:numPr>
        <w:spacing w:line="560" w:lineRule="exact"/>
        <w:ind w:firstLine="600" w:firstLineChars="200"/>
        <w:rPr>
          <w:rFonts w:ascii="Times New Roman" w:hAnsi="Times New Roman" w:eastAsia="仿宋_GB2312" w:cs="Times New Roman"/>
          <w:bCs/>
          <w:sz w:val="30"/>
          <w:szCs w:val="30"/>
          <w:highlight w:val="none"/>
        </w:rPr>
      </w:pPr>
      <w:r>
        <w:rPr>
          <w:rFonts w:ascii="Times New Roman" w:hAnsi="Times New Roman" w:eastAsia="仿宋_GB2312" w:cs="Times New Roman"/>
          <w:bCs/>
          <w:sz w:val="30"/>
          <w:szCs w:val="30"/>
          <w:highlight w:val="none"/>
        </w:rPr>
        <w:t>（4）招募说明书；</w:t>
      </w:r>
    </w:p>
    <w:p w14:paraId="3267C08F">
      <w:pPr>
        <w:widowControl/>
        <w:numPr>
          <w:ilvl w:val="255"/>
          <w:numId w:val="0"/>
        </w:numPr>
        <w:spacing w:line="560" w:lineRule="exact"/>
        <w:ind w:firstLine="600" w:firstLineChars="200"/>
        <w:rPr>
          <w:rFonts w:ascii="Times New Roman" w:hAnsi="Times New Roman" w:eastAsia="仿宋_GB2312" w:cs="Times New Roman"/>
          <w:bCs/>
          <w:sz w:val="30"/>
          <w:szCs w:val="30"/>
          <w:highlight w:val="none"/>
        </w:rPr>
      </w:pPr>
      <w:r>
        <w:rPr>
          <w:rFonts w:ascii="Times New Roman" w:hAnsi="Times New Roman" w:eastAsia="仿宋_GB2312" w:cs="Times New Roman"/>
          <w:bCs/>
          <w:sz w:val="30"/>
          <w:szCs w:val="30"/>
          <w:highlight w:val="none"/>
        </w:rPr>
        <w:t>（5）基金合同；</w:t>
      </w:r>
    </w:p>
    <w:p w14:paraId="51530A2F">
      <w:pPr>
        <w:widowControl/>
        <w:numPr>
          <w:ilvl w:val="255"/>
          <w:numId w:val="0"/>
        </w:numPr>
        <w:spacing w:line="560" w:lineRule="exact"/>
        <w:ind w:firstLine="600" w:firstLineChars="200"/>
        <w:rPr>
          <w:rFonts w:ascii="Times New Roman" w:hAnsi="Times New Roman" w:eastAsia="仿宋_GB2312" w:cs="Times New Roman"/>
          <w:bCs/>
          <w:sz w:val="30"/>
          <w:szCs w:val="30"/>
          <w:highlight w:val="none"/>
        </w:rPr>
      </w:pPr>
      <w:r>
        <w:rPr>
          <w:rFonts w:ascii="Times New Roman" w:hAnsi="Times New Roman" w:eastAsia="仿宋_GB2312" w:cs="Times New Roman"/>
          <w:bCs/>
          <w:sz w:val="30"/>
          <w:szCs w:val="30"/>
          <w:highlight w:val="none"/>
        </w:rPr>
        <w:t>（6）托管协议；</w:t>
      </w:r>
    </w:p>
    <w:p w14:paraId="79BA9DEA">
      <w:pPr>
        <w:widowControl/>
        <w:numPr>
          <w:ilvl w:val="255"/>
          <w:numId w:val="0"/>
        </w:numPr>
        <w:spacing w:line="560" w:lineRule="exact"/>
        <w:ind w:firstLine="600" w:firstLineChars="200"/>
        <w:rPr>
          <w:rFonts w:ascii="Times New Roman" w:hAnsi="Times New Roman" w:eastAsia="仿宋_GB2312" w:cs="Times New Roman"/>
          <w:bCs/>
          <w:sz w:val="30"/>
          <w:szCs w:val="30"/>
          <w:highlight w:val="none"/>
        </w:rPr>
      </w:pPr>
      <w:r>
        <w:rPr>
          <w:rFonts w:ascii="Times New Roman" w:hAnsi="Times New Roman" w:eastAsia="仿宋_GB2312" w:cs="Times New Roman"/>
          <w:bCs/>
          <w:sz w:val="30"/>
          <w:szCs w:val="30"/>
          <w:highlight w:val="none"/>
        </w:rPr>
        <w:t>（7）基金产品资料概要；</w:t>
      </w:r>
    </w:p>
    <w:p w14:paraId="074908FB">
      <w:pPr>
        <w:widowControl/>
        <w:numPr>
          <w:ilvl w:val="255"/>
          <w:numId w:val="0"/>
        </w:numPr>
        <w:spacing w:line="560" w:lineRule="exact"/>
        <w:ind w:firstLine="600" w:firstLineChars="200"/>
        <w:rPr>
          <w:rFonts w:ascii="Times New Roman" w:hAnsi="Times New Roman" w:eastAsia="仿宋_GB2312" w:cs="Times New Roman"/>
          <w:bCs/>
          <w:sz w:val="30"/>
          <w:szCs w:val="30"/>
          <w:highlight w:val="none"/>
        </w:rPr>
      </w:pPr>
      <w:r>
        <w:rPr>
          <w:rFonts w:ascii="Times New Roman" w:hAnsi="Times New Roman" w:eastAsia="仿宋_GB2312" w:cs="Times New Roman"/>
          <w:bCs/>
          <w:sz w:val="30"/>
          <w:szCs w:val="30"/>
          <w:highlight w:val="none"/>
        </w:rPr>
        <w:t>（8）本所要求的其他必要披露文件。</w:t>
      </w:r>
    </w:p>
    <w:p w14:paraId="17EA391D">
      <w:pPr>
        <w:widowControl/>
        <w:numPr>
          <w:ilvl w:val="255"/>
          <w:numId w:val="0"/>
        </w:numPr>
        <w:spacing w:line="560" w:lineRule="exact"/>
        <w:ind w:firstLine="600" w:firstLineChars="200"/>
        <w:rPr>
          <w:rFonts w:ascii="Times New Roman" w:hAnsi="Times New Roman" w:eastAsia="仿宋_GB2312" w:cs="Times New Roman"/>
          <w:bCs/>
          <w:sz w:val="30"/>
          <w:szCs w:val="30"/>
          <w:highlight w:val="none"/>
        </w:rPr>
      </w:pPr>
      <w:r>
        <w:rPr>
          <w:rFonts w:ascii="Times New Roman" w:hAnsi="Times New Roman" w:eastAsia="仿宋_GB2312" w:cs="Times New Roman"/>
          <w:bCs/>
          <w:sz w:val="30"/>
          <w:szCs w:val="30"/>
          <w:highlight w:val="none"/>
        </w:rPr>
        <w:t>注：如无特别标识，上述披露文件需以PDF格式的电子文件提交。</w:t>
      </w:r>
    </w:p>
    <w:p w14:paraId="0F9DBC4B">
      <w:pPr>
        <w:widowControl/>
        <w:spacing w:line="560" w:lineRule="exact"/>
        <w:ind w:firstLine="640"/>
        <w:rPr>
          <w:rFonts w:ascii="Times New Roman" w:hAnsi="Times New Roman" w:eastAsia="仿宋_GB2312" w:cs="Times New Roman"/>
          <w:bCs/>
          <w:sz w:val="30"/>
          <w:szCs w:val="30"/>
          <w:highlight w:val="none"/>
        </w:rPr>
      </w:pPr>
      <w:r>
        <w:rPr>
          <w:rFonts w:ascii="Times New Roman" w:hAnsi="Times New Roman" w:eastAsia="仿宋_GB2312" w:cs="Times New Roman"/>
          <w:bCs/>
          <w:sz w:val="30"/>
          <w:szCs w:val="30"/>
          <w:highlight w:val="none"/>
        </w:rPr>
        <w:t>本所自收到基金管理人的申请材料之日起5个工作日内，对申请材料进行核对，当日13:00后提交的，当日不计入前述5个工作日内；若相关材料未符合本所《</w:t>
      </w:r>
      <w:r>
        <w:rPr>
          <w:rFonts w:hint="eastAsia" w:ascii="Times New Roman" w:hAnsi="Times New Roman" w:eastAsia="仿宋_GB2312" w:cs="Times New Roman"/>
          <w:bCs/>
          <w:sz w:val="30"/>
          <w:szCs w:val="30"/>
          <w:highlight w:val="none"/>
        </w:rPr>
        <w:t>扩募及</w:t>
      </w:r>
      <w:r>
        <w:rPr>
          <w:rFonts w:ascii="Times New Roman" w:hAnsi="Times New Roman" w:eastAsia="仿宋_GB2312" w:cs="Times New Roman"/>
          <w:bCs/>
          <w:sz w:val="30"/>
          <w:szCs w:val="30"/>
          <w:highlight w:val="none"/>
        </w:rPr>
        <w:t>新购入</w:t>
      </w:r>
      <w:r>
        <w:rPr>
          <w:rFonts w:hint="eastAsia" w:ascii="Times New Roman" w:hAnsi="Times New Roman" w:eastAsia="仿宋_GB2312" w:cs="Times New Roman"/>
          <w:bCs/>
          <w:sz w:val="30"/>
          <w:szCs w:val="30"/>
          <w:highlight w:val="none"/>
        </w:rPr>
        <w:t>不动产</w:t>
      </w:r>
      <w:r>
        <w:rPr>
          <w:rFonts w:ascii="Times New Roman" w:hAnsi="Times New Roman" w:eastAsia="仿宋_GB2312" w:cs="Times New Roman"/>
          <w:bCs/>
          <w:sz w:val="30"/>
          <w:szCs w:val="30"/>
          <w:highlight w:val="none"/>
        </w:rPr>
        <w:t>指引》规定或其他相关要求的，则退回基金管理人予以补正，补正时间不计入上述5个工作日内。</w:t>
      </w:r>
    </w:p>
    <w:p w14:paraId="314D49E9">
      <w:pPr>
        <w:widowControl/>
        <w:spacing w:line="560" w:lineRule="exact"/>
        <w:ind w:firstLine="640"/>
        <w:rPr>
          <w:rFonts w:ascii="Times New Roman" w:hAnsi="Times New Roman" w:eastAsia="仿宋_GB2312" w:cs="Times New Roman"/>
          <w:bCs/>
          <w:sz w:val="30"/>
          <w:szCs w:val="30"/>
          <w:highlight w:val="none"/>
        </w:rPr>
      </w:pPr>
      <w:r>
        <w:rPr>
          <w:rFonts w:ascii="Times New Roman" w:hAnsi="Times New Roman" w:eastAsia="仿宋_GB2312" w:cs="Times New Roman"/>
          <w:bCs/>
          <w:sz w:val="30"/>
          <w:szCs w:val="30"/>
          <w:highlight w:val="none"/>
        </w:rPr>
        <w:t>正式启动发售后，基金管理人、财务顾问（如有）应按照REITs扩募相关工作安排推进发售上市工作。启动发售后，基金管理人不得再对发售方案作出修改。如因特殊情况需要对发售方案作出重大调整的，应及时通知本所。</w:t>
      </w:r>
    </w:p>
    <w:p w14:paraId="7D19401D">
      <w:pPr>
        <w:numPr>
          <w:ilvl w:val="255"/>
          <w:numId w:val="0"/>
        </w:numPr>
        <w:spacing w:line="560" w:lineRule="exact"/>
        <w:ind w:firstLine="602" w:firstLineChars="200"/>
        <w:outlineLvl w:val="2"/>
        <w:rPr>
          <w:rFonts w:ascii="Times New Roman" w:hAnsi="Times New Roman" w:eastAsia="楷体_GB2312" w:cs="Times New Roman"/>
          <w:b/>
          <w:bCs/>
          <w:kern w:val="0"/>
          <w:sz w:val="30"/>
          <w:szCs w:val="30"/>
          <w:highlight w:val="none"/>
        </w:rPr>
      </w:pPr>
      <w:bookmarkStart w:id="214" w:name="_Toc16944"/>
      <w:bookmarkStart w:id="215" w:name="_Toc22641"/>
      <w:bookmarkStart w:id="216" w:name="_Toc20066"/>
      <w:bookmarkStart w:id="217" w:name="_Toc5576"/>
      <w:bookmarkStart w:id="218" w:name="_Toc21834"/>
      <w:bookmarkStart w:id="219" w:name="_Toc7930"/>
      <w:bookmarkStart w:id="220" w:name="_Toc9598"/>
      <w:bookmarkStart w:id="221" w:name="_Toc22540"/>
      <w:bookmarkStart w:id="222" w:name="_Toc31771"/>
      <w:bookmarkStart w:id="223" w:name="_Toc3479"/>
      <w:bookmarkStart w:id="224" w:name="_Toc6682"/>
      <w:bookmarkStart w:id="225" w:name="_Toc22928"/>
      <w:r>
        <w:rPr>
          <w:rFonts w:ascii="Times New Roman" w:hAnsi="Times New Roman" w:eastAsia="楷体_GB2312" w:cs="Times New Roman"/>
          <w:b/>
          <w:bCs/>
          <w:kern w:val="0"/>
          <w:sz w:val="30"/>
          <w:szCs w:val="30"/>
          <w:highlight w:val="none"/>
        </w:rPr>
        <w:t>（二）确认认购日期</w:t>
      </w:r>
      <w:bookmarkEnd w:id="214"/>
      <w:bookmarkEnd w:id="215"/>
      <w:bookmarkEnd w:id="216"/>
      <w:bookmarkEnd w:id="217"/>
      <w:bookmarkEnd w:id="218"/>
      <w:bookmarkEnd w:id="219"/>
      <w:bookmarkEnd w:id="220"/>
      <w:r>
        <w:rPr>
          <w:rFonts w:ascii="Times New Roman" w:hAnsi="Times New Roman" w:eastAsia="楷体_GB2312" w:cs="Times New Roman"/>
          <w:b/>
          <w:bCs/>
          <w:kern w:val="0"/>
          <w:sz w:val="30"/>
          <w:szCs w:val="30"/>
          <w:highlight w:val="none"/>
        </w:rPr>
        <w:t>并录入发售参数</w:t>
      </w:r>
      <w:bookmarkEnd w:id="221"/>
      <w:bookmarkEnd w:id="222"/>
      <w:bookmarkEnd w:id="223"/>
      <w:bookmarkEnd w:id="224"/>
      <w:bookmarkEnd w:id="225"/>
    </w:p>
    <w:p w14:paraId="4CBD9BE2">
      <w:pPr>
        <w:widowControl/>
        <w:numPr>
          <w:ilvl w:val="0"/>
          <w:numId w:val="1"/>
        </w:numPr>
        <w:spacing w:line="560" w:lineRule="exact"/>
        <w:ind w:left="197" w:firstLine="643"/>
        <w:rPr>
          <w:rFonts w:ascii="Times New Roman" w:hAnsi="Times New Roman" w:eastAsia="仿宋_GB2312" w:cs="Times New Roman"/>
          <w:b/>
          <w:sz w:val="30"/>
          <w:szCs w:val="30"/>
          <w:highlight w:val="none"/>
        </w:rPr>
      </w:pPr>
      <w:r>
        <w:rPr>
          <w:rFonts w:ascii="Times New Roman" w:hAnsi="Times New Roman" w:eastAsia="仿宋_GB2312" w:cs="Times New Roman"/>
          <w:b/>
          <w:sz w:val="30"/>
          <w:szCs w:val="30"/>
          <w:highlight w:val="none"/>
        </w:rPr>
        <w:t>T-4日（含）前</w:t>
      </w:r>
    </w:p>
    <w:p w14:paraId="211216FA">
      <w:pPr>
        <w:spacing w:line="560" w:lineRule="exact"/>
        <w:ind w:firstLine="600" w:firstLineChars="200"/>
        <w:rPr>
          <w:rFonts w:ascii="Times New Roman" w:hAnsi="Times New Roman" w:eastAsia="仿宋_GB2312" w:cs="Times New Roman"/>
          <w:kern w:val="0"/>
          <w:sz w:val="30"/>
          <w:szCs w:val="30"/>
          <w:highlight w:val="none"/>
        </w:rPr>
      </w:pPr>
      <w:r>
        <w:rPr>
          <w:rFonts w:ascii="Times New Roman" w:hAnsi="Times New Roman" w:eastAsia="仿宋_GB2312" w:cs="Times New Roman"/>
          <w:kern w:val="0"/>
          <w:sz w:val="30"/>
          <w:szCs w:val="30"/>
          <w:highlight w:val="none"/>
        </w:rPr>
        <w:t>基金管理人在本所业务管理系统平台中对发售业务申请中拟定的认购日期等信息进行确认：</w:t>
      </w:r>
    </w:p>
    <w:p w14:paraId="4E08418C">
      <w:pPr>
        <w:spacing w:line="560" w:lineRule="exact"/>
        <w:ind w:firstLine="600" w:firstLineChars="200"/>
        <w:rPr>
          <w:rFonts w:ascii="Times New Roman" w:hAnsi="Times New Roman" w:eastAsia="仿宋_GB2312" w:cs="Times New Roman"/>
          <w:kern w:val="0"/>
          <w:sz w:val="30"/>
          <w:szCs w:val="30"/>
          <w:highlight w:val="none"/>
        </w:rPr>
      </w:pPr>
      <w:r>
        <w:rPr>
          <w:rFonts w:hint="eastAsia" w:ascii="Times New Roman" w:hAnsi="Times New Roman" w:eastAsia="仿宋_GB2312" w:cs="Times New Roman"/>
          <w:kern w:val="0"/>
          <w:sz w:val="30"/>
          <w:szCs w:val="30"/>
          <w:highlight w:val="none"/>
        </w:rPr>
        <w:t>1.</w:t>
      </w:r>
      <w:r>
        <w:rPr>
          <w:rFonts w:ascii="Times New Roman" w:hAnsi="Times New Roman" w:eastAsia="仿宋_GB2312" w:cs="Times New Roman"/>
          <w:kern w:val="0"/>
          <w:sz w:val="30"/>
          <w:szCs w:val="30"/>
          <w:highlight w:val="none"/>
        </w:rPr>
        <w:t>如确定拟定认购日期为正式认购日期，则发售业务申请办结；</w:t>
      </w:r>
    </w:p>
    <w:p w14:paraId="2DC771B3">
      <w:pPr>
        <w:spacing w:line="560" w:lineRule="exact"/>
        <w:ind w:firstLine="600" w:firstLineChars="200"/>
        <w:rPr>
          <w:rFonts w:ascii="Times New Roman" w:hAnsi="Times New Roman" w:eastAsia="仿宋_GB2312" w:cs="Times New Roman"/>
          <w:kern w:val="0"/>
          <w:sz w:val="30"/>
          <w:szCs w:val="30"/>
          <w:highlight w:val="none"/>
        </w:rPr>
      </w:pPr>
      <w:r>
        <w:rPr>
          <w:rFonts w:hint="eastAsia" w:ascii="Times New Roman" w:hAnsi="Times New Roman" w:eastAsia="仿宋_GB2312" w:cs="Times New Roman"/>
          <w:kern w:val="0"/>
          <w:sz w:val="30"/>
          <w:szCs w:val="30"/>
          <w:highlight w:val="none"/>
        </w:rPr>
        <w:t>2.</w:t>
      </w:r>
      <w:r>
        <w:rPr>
          <w:rFonts w:ascii="Times New Roman" w:hAnsi="Times New Roman" w:eastAsia="仿宋_GB2312" w:cs="Times New Roman"/>
          <w:kern w:val="0"/>
          <w:sz w:val="30"/>
          <w:szCs w:val="30"/>
          <w:highlight w:val="none"/>
        </w:rPr>
        <w:t>如此时需变更拟定的认购日期，但其他相关信息无变动，则基金管理人可修改认购日期，并重新提交日期变更后的发售公告文件，以及业务信息调整申请函，经本所再次审核通过后，发售业务申请办结；</w:t>
      </w:r>
    </w:p>
    <w:p w14:paraId="5761B1B3">
      <w:pPr>
        <w:spacing w:line="560" w:lineRule="exact"/>
        <w:ind w:firstLine="600" w:firstLineChars="200"/>
        <w:rPr>
          <w:rFonts w:ascii="Times New Roman" w:hAnsi="Times New Roman" w:eastAsia="仿宋_GB2312" w:cs="Times New Roman"/>
          <w:kern w:val="0"/>
          <w:sz w:val="30"/>
          <w:szCs w:val="30"/>
          <w:highlight w:val="none"/>
        </w:rPr>
      </w:pPr>
      <w:r>
        <w:rPr>
          <w:rFonts w:hint="eastAsia" w:ascii="Times New Roman" w:hAnsi="Times New Roman" w:eastAsia="仿宋_GB2312" w:cs="Times New Roman"/>
          <w:kern w:val="0"/>
          <w:sz w:val="30"/>
          <w:szCs w:val="30"/>
          <w:highlight w:val="none"/>
        </w:rPr>
        <w:t>3.</w:t>
      </w:r>
      <w:r>
        <w:rPr>
          <w:rFonts w:ascii="Times New Roman" w:hAnsi="Times New Roman" w:eastAsia="仿宋_GB2312" w:cs="Times New Roman"/>
          <w:kern w:val="0"/>
          <w:sz w:val="30"/>
          <w:szCs w:val="30"/>
          <w:highlight w:val="none"/>
        </w:rPr>
        <w:t>明确扩募采用的发售方式为向原持有人配售；</w:t>
      </w:r>
    </w:p>
    <w:p w14:paraId="59EAF96A">
      <w:pPr>
        <w:spacing w:line="560" w:lineRule="exact"/>
        <w:ind w:firstLine="600" w:firstLineChars="200"/>
        <w:rPr>
          <w:rFonts w:ascii="Times New Roman" w:hAnsi="Times New Roman" w:eastAsia="仿宋_GB2312" w:cs="Times New Roman"/>
          <w:kern w:val="0"/>
          <w:sz w:val="30"/>
          <w:szCs w:val="30"/>
          <w:highlight w:val="none"/>
        </w:rPr>
      </w:pPr>
      <w:r>
        <w:rPr>
          <w:rFonts w:hint="eastAsia" w:ascii="Times New Roman" w:hAnsi="Times New Roman" w:eastAsia="仿宋_GB2312" w:cs="Times New Roman"/>
          <w:kern w:val="0"/>
          <w:sz w:val="30"/>
          <w:szCs w:val="30"/>
          <w:highlight w:val="none"/>
        </w:rPr>
        <w:t>4.</w:t>
      </w:r>
      <w:r>
        <w:rPr>
          <w:rFonts w:ascii="Times New Roman" w:hAnsi="Times New Roman" w:eastAsia="仿宋_GB2312" w:cs="Times New Roman"/>
          <w:kern w:val="0"/>
          <w:sz w:val="30"/>
          <w:szCs w:val="30"/>
          <w:highlight w:val="none"/>
        </w:rPr>
        <w:t>原持有人配售定价和战略配售的定价应当保持一致。基金管理人或财务顾问（如有）通过本所业务管理系统平台录入发售相关参数，包括</w:t>
      </w:r>
      <w:r>
        <w:rPr>
          <w:rFonts w:ascii="Times New Roman" w:hAnsi="Times New Roman" w:eastAsia="仿宋_GB2312" w:cs="Times New Roman"/>
          <w:sz w:val="30"/>
          <w:szCs w:val="30"/>
          <w:highlight w:val="none"/>
        </w:rPr>
        <w:t>发售价格、认购起止期间</w:t>
      </w:r>
      <w:r>
        <w:rPr>
          <w:rFonts w:ascii="Times New Roman" w:hAnsi="Times New Roman" w:eastAsia="仿宋_GB2312" w:cs="Times New Roman"/>
          <w:kern w:val="0"/>
          <w:sz w:val="30"/>
          <w:szCs w:val="30"/>
          <w:highlight w:val="none"/>
        </w:rPr>
        <w:t>等；</w:t>
      </w:r>
    </w:p>
    <w:p w14:paraId="266F4C19">
      <w:pPr>
        <w:spacing w:line="560" w:lineRule="exact"/>
        <w:ind w:firstLine="600" w:firstLineChars="200"/>
        <w:rPr>
          <w:rFonts w:ascii="Times New Roman" w:hAnsi="Times New Roman" w:eastAsia="仿宋_GB2312" w:cs="Times New Roman"/>
          <w:kern w:val="0"/>
          <w:sz w:val="30"/>
          <w:szCs w:val="30"/>
          <w:highlight w:val="none"/>
        </w:rPr>
      </w:pPr>
      <w:r>
        <w:rPr>
          <w:rFonts w:hint="eastAsia" w:ascii="Times New Roman" w:hAnsi="Times New Roman" w:eastAsia="仿宋_GB2312" w:cs="Times New Roman"/>
          <w:kern w:val="0"/>
          <w:sz w:val="30"/>
          <w:szCs w:val="30"/>
          <w:highlight w:val="none"/>
        </w:rPr>
        <w:t>5.</w:t>
      </w:r>
      <w:r>
        <w:rPr>
          <w:rFonts w:ascii="Times New Roman" w:hAnsi="Times New Roman" w:eastAsia="仿宋_GB2312" w:cs="Times New Roman"/>
          <w:kern w:val="0"/>
          <w:sz w:val="30"/>
          <w:szCs w:val="30"/>
          <w:highlight w:val="none"/>
        </w:rPr>
        <w:t>如此时因其他因素导致发售相关信息有变化或需取消认购的，则基金管理人可直接取消此次发售申请，流程终止。后续如有需要，可再次发起新的发售申请。</w:t>
      </w:r>
    </w:p>
    <w:p w14:paraId="16C726D6">
      <w:pPr>
        <w:spacing w:line="560" w:lineRule="exact"/>
        <w:ind w:firstLine="600" w:firstLineChars="200"/>
        <w:rPr>
          <w:rFonts w:ascii="Times New Roman" w:hAnsi="Times New Roman" w:eastAsia="仿宋_GB2312" w:cs="Times New Roman"/>
          <w:kern w:val="0"/>
          <w:sz w:val="30"/>
          <w:szCs w:val="30"/>
          <w:highlight w:val="none"/>
        </w:rPr>
      </w:pPr>
      <w:bookmarkStart w:id="226" w:name="_Toc15851"/>
      <w:bookmarkStart w:id="227" w:name="_Toc9135"/>
      <w:r>
        <w:rPr>
          <w:rFonts w:ascii="Times New Roman" w:hAnsi="Times New Roman" w:eastAsia="仿宋_GB2312" w:cs="Times New Roman"/>
          <w:kern w:val="0"/>
          <w:sz w:val="30"/>
          <w:szCs w:val="30"/>
          <w:highlight w:val="none"/>
        </w:rPr>
        <w:t>本业务申请经本所最终审核办结后，如因特殊情况需要对募集期等相关安排作出重大调整的，应当及时通知本所。</w:t>
      </w:r>
    </w:p>
    <w:p w14:paraId="7129ABB8">
      <w:pPr>
        <w:numPr>
          <w:ilvl w:val="255"/>
          <w:numId w:val="0"/>
        </w:numPr>
        <w:spacing w:line="560" w:lineRule="exact"/>
        <w:ind w:firstLine="602" w:firstLineChars="200"/>
        <w:outlineLvl w:val="2"/>
        <w:rPr>
          <w:rFonts w:ascii="Times New Roman" w:hAnsi="Times New Roman" w:eastAsia="楷体_GB2312" w:cs="Times New Roman"/>
          <w:b/>
          <w:bCs/>
          <w:kern w:val="0"/>
          <w:sz w:val="30"/>
          <w:szCs w:val="30"/>
          <w:highlight w:val="none"/>
        </w:rPr>
      </w:pPr>
      <w:bookmarkStart w:id="228" w:name="_Toc13240"/>
      <w:bookmarkStart w:id="229" w:name="_Toc28033"/>
      <w:bookmarkStart w:id="230" w:name="_Toc27068"/>
      <w:bookmarkStart w:id="231" w:name="_Toc26625"/>
      <w:bookmarkStart w:id="232" w:name="_Toc17914"/>
      <w:bookmarkStart w:id="233" w:name="_Toc5606"/>
      <w:bookmarkStart w:id="234" w:name="_Toc31558"/>
      <w:bookmarkStart w:id="235" w:name="_Toc17504"/>
      <w:r>
        <w:rPr>
          <w:rFonts w:ascii="Times New Roman" w:hAnsi="Times New Roman" w:eastAsia="楷体_GB2312" w:cs="Times New Roman"/>
          <w:b/>
          <w:bCs/>
          <w:kern w:val="0"/>
          <w:sz w:val="30"/>
          <w:szCs w:val="30"/>
          <w:highlight w:val="none"/>
        </w:rPr>
        <w:t>（三）发布发售公告</w:t>
      </w:r>
      <w:bookmarkEnd w:id="226"/>
      <w:bookmarkEnd w:id="227"/>
      <w:bookmarkEnd w:id="228"/>
      <w:bookmarkEnd w:id="229"/>
      <w:bookmarkEnd w:id="230"/>
      <w:bookmarkEnd w:id="231"/>
      <w:bookmarkEnd w:id="232"/>
      <w:bookmarkEnd w:id="233"/>
      <w:bookmarkEnd w:id="234"/>
      <w:bookmarkEnd w:id="235"/>
    </w:p>
    <w:p w14:paraId="66AD92B9">
      <w:pPr>
        <w:widowControl/>
        <w:numPr>
          <w:ilvl w:val="0"/>
          <w:numId w:val="1"/>
        </w:numPr>
        <w:spacing w:line="560" w:lineRule="exact"/>
        <w:ind w:left="197" w:firstLine="643"/>
        <w:rPr>
          <w:rFonts w:ascii="Times New Roman" w:hAnsi="Times New Roman" w:eastAsia="仿宋_GB2312" w:cs="Times New Roman"/>
          <w:b/>
          <w:sz w:val="30"/>
          <w:szCs w:val="30"/>
          <w:highlight w:val="none"/>
        </w:rPr>
      </w:pPr>
      <w:r>
        <w:rPr>
          <w:rFonts w:ascii="Times New Roman" w:hAnsi="Times New Roman" w:eastAsia="仿宋_GB2312" w:cs="Times New Roman"/>
          <w:b/>
          <w:sz w:val="30"/>
          <w:szCs w:val="30"/>
          <w:highlight w:val="none"/>
        </w:rPr>
        <w:t xml:space="preserve">T-3日（含，自然日）前 </w:t>
      </w:r>
    </w:p>
    <w:p w14:paraId="2BE2BE2A">
      <w:pPr>
        <w:spacing w:line="560" w:lineRule="exact"/>
        <w:ind w:firstLine="600" w:firstLineChars="200"/>
        <w:rPr>
          <w:rFonts w:ascii="Times New Roman" w:hAnsi="Times New Roman" w:eastAsia="仿宋_GB2312" w:cs="Times New Roman"/>
          <w:kern w:val="0"/>
          <w:sz w:val="30"/>
          <w:szCs w:val="30"/>
          <w:highlight w:val="none"/>
        </w:rPr>
      </w:pPr>
      <w:r>
        <w:rPr>
          <w:rFonts w:ascii="Times New Roman" w:hAnsi="Times New Roman" w:eastAsia="仿宋_GB2312" w:cs="Times New Roman"/>
          <w:kern w:val="0"/>
          <w:sz w:val="30"/>
          <w:szCs w:val="30"/>
          <w:highlight w:val="none"/>
        </w:rPr>
        <w:t>发售公告、基金管理人对战略投资者的核查文件及律师事务所对战略投资者核查的法律意见书等信息披露文件在本所官网发布，基金管理人核对网站披露内容是否符合预期。</w:t>
      </w:r>
    </w:p>
    <w:p w14:paraId="34A62DDF">
      <w:pPr>
        <w:spacing w:line="560" w:lineRule="exact"/>
        <w:ind w:firstLine="600" w:firstLineChars="200"/>
        <w:rPr>
          <w:rFonts w:ascii="Times New Roman" w:hAnsi="Times New Roman" w:eastAsia="仿宋_GB2312" w:cs="Times New Roman"/>
          <w:kern w:val="0"/>
          <w:sz w:val="30"/>
          <w:szCs w:val="30"/>
          <w:highlight w:val="none"/>
        </w:rPr>
      </w:pPr>
      <w:r>
        <w:rPr>
          <w:rFonts w:ascii="Times New Roman" w:hAnsi="Times New Roman" w:eastAsia="仿宋_GB2312" w:cs="Times New Roman"/>
          <w:kern w:val="0"/>
          <w:sz w:val="30"/>
          <w:szCs w:val="30"/>
          <w:highlight w:val="none"/>
        </w:rPr>
        <w:t>基金管理人根据中国证监会规定在其他媒介上刊登前述公告。</w:t>
      </w:r>
    </w:p>
    <w:p w14:paraId="663A8AF8">
      <w:pPr>
        <w:spacing w:line="560" w:lineRule="exact"/>
        <w:ind w:firstLine="602" w:firstLineChars="200"/>
        <w:outlineLvl w:val="2"/>
        <w:rPr>
          <w:rFonts w:ascii="Times New Roman" w:hAnsi="Times New Roman" w:eastAsia="仿宋_GB2312" w:cs="Times New Roman"/>
          <w:kern w:val="0"/>
          <w:sz w:val="30"/>
          <w:szCs w:val="30"/>
          <w:highlight w:val="none"/>
        </w:rPr>
      </w:pPr>
      <w:bookmarkStart w:id="236" w:name="_Toc14245"/>
      <w:bookmarkStart w:id="237" w:name="_Toc13920"/>
      <w:bookmarkStart w:id="238" w:name="_Toc17826"/>
      <w:bookmarkStart w:id="239" w:name="_Toc387"/>
      <w:bookmarkStart w:id="240" w:name="_Toc30185"/>
      <w:bookmarkStart w:id="241" w:name="_Toc5053"/>
      <w:bookmarkStart w:id="242" w:name="_Toc6842"/>
      <w:bookmarkStart w:id="243" w:name="_Toc16458"/>
      <w:bookmarkStart w:id="244" w:name="_Toc15450"/>
      <w:bookmarkStart w:id="245" w:name="_Toc8420"/>
      <w:bookmarkStart w:id="246" w:name="_Toc10891"/>
      <w:bookmarkStart w:id="247" w:name="_Toc31963"/>
      <w:r>
        <w:rPr>
          <w:rFonts w:ascii="Times New Roman" w:hAnsi="Times New Roman" w:eastAsia="楷体_GB2312" w:cs="Times New Roman"/>
          <w:b/>
          <w:bCs/>
          <w:kern w:val="0"/>
          <w:sz w:val="30"/>
          <w:szCs w:val="30"/>
          <w:highlight w:val="none"/>
        </w:rPr>
        <w:t>（四）转托管暂停及恢复</w:t>
      </w:r>
      <w:bookmarkEnd w:id="236"/>
      <w:bookmarkEnd w:id="237"/>
      <w:bookmarkEnd w:id="238"/>
      <w:bookmarkEnd w:id="239"/>
      <w:bookmarkEnd w:id="240"/>
    </w:p>
    <w:p w14:paraId="6EF22674">
      <w:pPr>
        <w:widowControl/>
        <w:numPr>
          <w:ilvl w:val="0"/>
          <w:numId w:val="1"/>
        </w:numPr>
        <w:spacing w:line="560" w:lineRule="exact"/>
        <w:ind w:left="197" w:firstLine="643"/>
        <w:rPr>
          <w:rFonts w:ascii="Times New Roman" w:hAnsi="Times New Roman" w:eastAsia="仿宋_GB2312" w:cs="Times New Roman"/>
          <w:b/>
          <w:sz w:val="30"/>
          <w:szCs w:val="30"/>
          <w:highlight w:val="none"/>
        </w:rPr>
      </w:pPr>
      <w:r>
        <w:rPr>
          <w:rFonts w:ascii="Times New Roman" w:hAnsi="Times New Roman" w:eastAsia="仿宋_GB2312" w:cs="Times New Roman"/>
          <w:b/>
          <w:sz w:val="30"/>
          <w:szCs w:val="30"/>
          <w:highlight w:val="none"/>
        </w:rPr>
        <w:t>R-2日</w:t>
      </w:r>
    </w:p>
    <w:p w14:paraId="5ABA3297">
      <w:pPr>
        <w:numPr>
          <w:ilvl w:val="255"/>
          <w:numId w:val="0"/>
        </w:numPr>
        <w:tabs>
          <w:tab w:val="left" w:pos="1418"/>
        </w:tabs>
        <w:adjustRightInd w:val="0"/>
        <w:snapToGrid w:val="0"/>
        <w:spacing w:line="560" w:lineRule="exact"/>
        <w:ind w:firstLine="600" w:firstLineChars="200"/>
        <w:rPr>
          <w:rFonts w:ascii="Times New Roman" w:hAnsi="Times New Roman" w:eastAsia="楷体_GB2312" w:cs="Times New Roman"/>
          <w:b/>
          <w:bCs/>
          <w:kern w:val="0"/>
          <w:sz w:val="30"/>
          <w:szCs w:val="30"/>
          <w:highlight w:val="none"/>
        </w:rPr>
      </w:pPr>
      <w:r>
        <w:rPr>
          <w:rFonts w:ascii="Times New Roman" w:hAnsi="Times New Roman" w:eastAsia="仿宋_GB2312" w:cs="Times New Roman"/>
          <w:sz w:val="30"/>
          <w:szCs w:val="30"/>
          <w:highlight w:val="none"/>
        </w:rPr>
        <w:t>基金管理人应向本所及中国结算申请暂停R-2日至R日转托管。</w:t>
      </w:r>
    </w:p>
    <w:p w14:paraId="3433ADD6">
      <w:pPr>
        <w:numPr>
          <w:ilvl w:val="255"/>
          <w:numId w:val="0"/>
        </w:numPr>
        <w:tabs>
          <w:tab w:val="left" w:pos="1418"/>
        </w:tabs>
        <w:adjustRightInd w:val="0"/>
        <w:snapToGrid w:val="0"/>
        <w:spacing w:line="560" w:lineRule="exact"/>
        <w:ind w:firstLine="600" w:firstLineChars="200"/>
        <w:rPr>
          <w:rFonts w:ascii="Times New Roman" w:hAnsi="Times New Roman" w:eastAsia="仿宋_GB2312" w:cs="Times New Roman"/>
          <w:sz w:val="30"/>
          <w:szCs w:val="30"/>
          <w:highlight w:val="none"/>
        </w:rPr>
      </w:pPr>
      <w:r>
        <w:rPr>
          <w:rFonts w:ascii="Times New Roman" w:hAnsi="Times New Roman" w:eastAsia="仿宋_GB2312" w:cs="Times New Roman"/>
          <w:sz w:val="30"/>
          <w:szCs w:val="30"/>
          <w:highlight w:val="none"/>
        </w:rPr>
        <w:t>向原持有人配售的，基金管理人应在发售公告中披露转托管暂停安排。</w:t>
      </w:r>
    </w:p>
    <w:p w14:paraId="3DA0C28F">
      <w:pPr>
        <w:widowControl/>
        <w:numPr>
          <w:ilvl w:val="0"/>
          <w:numId w:val="1"/>
        </w:numPr>
        <w:spacing w:line="560" w:lineRule="exact"/>
        <w:ind w:left="197" w:firstLine="643"/>
        <w:rPr>
          <w:rFonts w:ascii="Times New Roman" w:hAnsi="Times New Roman" w:eastAsia="仿宋_GB2312" w:cs="Times New Roman"/>
          <w:b/>
          <w:sz w:val="30"/>
          <w:szCs w:val="30"/>
          <w:highlight w:val="none"/>
        </w:rPr>
      </w:pPr>
      <w:r>
        <w:rPr>
          <w:rFonts w:ascii="Times New Roman" w:hAnsi="Times New Roman" w:eastAsia="仿宋_GB2312" w:cs="Times New Roman"/>
          <w:b/>
          <w:sz w:val="30"/>
          <w:szCs w:val="30"/>
          <w:highlight w:val="none"/>
        </w:rPr>
        <w:t>R+1日</w:t>
      </w:r>
    </w:p>
    <w:p w14:paraId="5B54BD4B">
      <w:pPr>
        <w:numPr>
          <w:ilvl w:val="255"/>
          <w:numId w:val="0"/>
        </w:numPr>
        <w:tabs>
          <w:tab w:val="left" w:pos="1418"/>
        </w:tabs>
        <w:adjustRightInd w:val="0"/>
        <w:snapToGrid w:val="0"/>
        <w:spacing w:line="560" w:lineRule="exact"/>
        <w:ind w:firstLine="600" w:firstLineChars="200"/>
        <w:rPr>
          <w:rFonts w:ascii="Times New Roman" w:hAnsi="Times New Roman" w:cs="Times New Roman"/>
          <w:sz w:val="30"/>
          <w:szCs w:val="30"/>
          <w:highlight w:val="none"/>
        </w:rPr>
      </w:pPr>
      <w:r>
        <w:rPr>
          <w:rFonts w:ascii="Times New Roman" w:hAnsi="Times New Roman" w:eastAsia="仿宋_GB2312" w:cs="Times New Roman"/>
          <w:sz w:val="30"/>
          <w:szCs w:val="30"/>
          <w:highlight w:val="none"/>
        </w:rPr>
        <w:t>R+1日转托管恢复生效。</w:t>
      </w:r>
    </w:p>
    <w:p w14:paraId="5CEEBBD0">
      <w:pPr>
        <w:numPr>
          <w:ilvl w:val="255"/>
          <w:numId w:val="0"/>
        </w:numPr>
        <w:tabs>
          <w:tab w:val="left" w:pos="1418"/>
        </w:tabs>
        <w:adjustRightInd w:val="0"/>
        <w:snapToGrid w:val="0"/>
        <w:spacing w:line="560" w:lineRule="exact"/>
        <w:ind w:firstLine="602" w:firstLineChars="200"/>
        <w:outlineLvl w:val="2"/>
        <w:rPr>
          <w:rFonts w:ascii="Times New Roman" w:hAnsi="Times New Roman" w:eastAsia="楷体_GB2312" w:cs="Times New Roman"/>
          <w:b/>
          <w:bCs/>
          <w:kern w:val="0"/>
          <w:sz w:val="30"/>
          <w:szCs w:val="30"/>
          <w:highlight w:val="none"/>
        </w:rPr>
      </w:pPr>
      <w:bookmarkStart w:id="248" w:name="_Toc6923"/>
      <w:bookmarkStart w:id="249" w:name="_Toc20219"/>
      <w:bookmarkStart w:id="250" w:name="_Toc20338"/>
      <w:bookmarkStart w:id="251" w:name="_Toc5156"/>
      <w:bookmarkStart w:id="252" w:name="_Toc6816"/>
      <w:r>
        <w:rPr>
          <w:rFonts w:ascii="Times New Roman" w:hAnsi="Times New Roman" w:eastAsia="楷体_GB2312" w:cs="Times New Roman"/>
          <w:b/>
          <w:bCs/>
          <w:kern w:val="0"/>
          <w:sz w:val="30"/>
          <w:szCs w:val="30"/>
          <w:highlight w:val="none"/>
        </w:rPr>
        <w:t>（五）权益登记</w:t>
      </w:r>
      <w:bookmarkEnd w:id="241"/>
      <w:bookmarkEnd w:id="242"/>
      <w:bookmarkEnd w:id="243"/>
      <w:bookmarkEnd w:id="244"/>
      <w:bookmarkEnd w:id="245"/>
      <w:bookmarkEnd w:id="246"/>
      <w:bookmarkEnd w:id="247"/>
      <w:bookmarkEnd w:id="248"/>
      <w:bookmarkEnd w:id="249"/>
      <w:bookmarkEnd w:id="250"/>
      <w:bookmarkEnd w:id="251"/>
      <w:bookmarkEnd w:id="252"/>
    </w:p>
    <w:p w14:paraId="4DA80509">
      <w:pPr>
        <w:widowControl/>
        <w:numPr>
          <w:ilvl w:val="0"/>
          <w:numId w:val="1"/>
        </w:numPr>
        <w:spacing w:line="560" w:lineRule="exact"/>
        <w:ind w:left="197" w:firstLine="643"/>
        <w:rPr>
          <w:rFonts w:ascii="Times New Roman" w:hAnsi="Times New Roman" w:eastAsia="仿宋_GB2312" w:cs="Times New Roman"/>
          <w:b/>
          <w:sz w:val="30"/>
          <w:szCs w:val="30"/>
          <w:highlight w:val="none"/>
        </w:rPr>
      </w:pPr>
      <w:r>
        <w:rPr>
          <w:rFonts w:ascii="Times New Roman" w:hAnsi="Times New Roman" w:eastAsia="仿宋_GB2312" w:cs="Times New Roman"/>
          <w:b/>
          <w:sz w:val="30"/>
          <w:szCs w:val="30"/>
          <w:highlight w:val="none"/>
        </w:rPr>
        <w:t>R日</w:t>
      </w:r>
    </w:p>
    <w:p w14:paraId="41D60861">
      <w:pPr>
        <w:spacing w:line="560" w:lineRule="exact"/>
        <w:ind w:firstLine="600" w:firstLineChars="200"/>
        <w:rPr>
          <w:rFonts w:ascii="Times New Roman" w:hAnsi="Times New Roman" w:eastAsia="仿宋_GB2312" w:cs="Times New Roman"/>
          <w:kern w:val="0"/>
          <w:sz w:val="30"/>
          <w:szCs w:val="30"/>
          <w:highlight w:val="none"/>
        </w:rPr>
      </w:pPr>
      <w:r>
        <w:rPr>
          <w:rFonts w:ascii="Times New Roman" w:hAnsi="Times New Roman" w:eastAsia="仿宋_GB2312" w:cs="Times New Roman"/>
          <w:kern w:val="0"/>
          <w:sz w:val="30"/>
          <w:szCs w:val="30"/>
          <w:highlight w:val="none"/>
        </w:rPr>
        <w:t>基金管理人应在R日（即T-1日）收盘后确认基金持有人份额。</w:t>
      </w:r>
    </w:p>
    <w:p w14:paraId="4B0C5079">
      <w:pPr>
        <w:spacing w:line="560" w:lineRule="exact"/>
        <w:ind w:firstLine="600" w:firstLineChars="200"/>
        <w:rPr>
          <w:rFonts w:ascii="Times New Roman" w:hAnsi="Times New Roman" w:eastAsia="仿宋_GB2312" w:cs="Times New Roman"/>
          <w:kern w:val="0"/>
          <w:sz w:val="30"/>
          <w:szCs w:val="30"/>
          <w:highlight w:val="none"/>
        </w:rPr>
      </w:pPr>
      <w:r>
        <w:rPr>
          <w:rFonts w:ascii="Times New Roman" w:hAnsi="Times New Roman" w:eastAsia="仿宋_GB2312" w:cs="Times New Roman"/>
          <w:kern w:val="0"/>
          <w:sz w:val="30"/>
          <w:szCs w:val="30"/>
          <w:highlight w:val="none"/>
        </w:rPr>
        <w:t>同时，基金管理人提交配售提示性公告，并在缴款截止日前，就配售事项至少再刊登一次提示性公告，</w:t>
      </w:r>
      <w:r>
        <w:rPr>
          <w:rFonts w:ascii="Times New Roman" w:hAnsi="Times New Roman" w:eastAsia="仿宋_GB2312" w:cs="Times New Roman"/>
          <w:bCs/>
          <w:sz w:val="30"/>
          <w:szCs w:val="30"/>
          <w:highlight w:val="none"/>
        </w:rPr>
        <w:t>公告类别详见附件</w:t>
      </w:r>
      <w:r>
        <w:rPr>
          <w:rFonts w:ascii="Times New Roman" w:hAnsi="Times New Roman" w:eastAsia="仿宋_GB2312" w:cs="Times New Roman"/>
          <w:kern w:val="0"/>
          <w:sz w:val="30"/>
          <w:szCs w:val="30"/>
          <w:highlight w:val="none"/>
        </w:rPr>
        <w:t>2-13。</w:t>
      </w:r>
    </w:p>
    <w:p w14:paraId="327806A1">
      <w:pPr>
        <w:widowControl/>
        <w:spacing w:line="560" w:lineRule="exact"/>
        <w:ind w:firstLine="602" w:firstLineChars="200"/>
        <w:outlineLvl w:val="2"/>
        <w:rPr>
          <w:rFonts w:ascii="Times New Roman" w:hAnsi="Times New Roman" w:eastAsia="楷体_GB2312" w:cs="Times New Roman"/>
          <w:b/>
          <w:bCs/>
          <w:kern w:val="0"/>
          <w:sz w:val="30"/>
          <w:szCs w:val="30"/>
          <w:highlight w:val="none"/>
        </w:rPr>
      </w:pPr>
      <w:bookmarkStart w:id="253" w:name="_Toc4499"/>
      <w:bookmarkStart w:id="254" w:name="_Toc29436"/>
      <w:bookmarkStart w:id="255" w:name="_Toc11011"/>
      <w:bookmarkStart w:id="256" w:name="_Toc7631"/>
      <w:bookmarkStart w:id="257" w:name="_Toc23337"/>
      <w:bookmarkStart w:id="258" w:name="_Toc30663"/>
      <w:bookmarkStart w:id="259" w:name="_Toc30264"/>
      <w:bookmarkStart w:id="260" w:name="_Toc23839"/>
      <w:bookmarkStart w:id="261" w:name="_Toc7058"/>
      <w:bookmarkStart w:id="262" w:name="_Toc13718"/>
      <w:bookmarkStart w:id="263" w:name="_Toc27784"/>
      <w:bookmarkStart w:id="264" w:name="_Toc31502"/>
      <w:r>
        <w:rPr>
          <w:rFonts w:ascii="Times New Roman" w:hAnsi="Times New Roman" w:eastAsia="楷体_GB2312" w:cs="Times New Roman"/>
          <w:b/>
          <w:bCs/>
          <w:kern w:val="0"/>
          <w:sz w:val="30"/>
          <w:szCs w:val="30"/>
          <w:highlight w:val="none"/>
        </w:rPr>
        <w:t>（六）符合条件的基金持有人参与认购</w:t>
      </w:r>
      <w:bookmarkEnd w:id="253"/>
      <w:bookmarkEnd w:id="254"/>
      <w:bookmarkEnd w:id="255"/>
      <w:bookmarkEnd w:id="256"/>
      <w:bookmarkEnd w:id="257"/>
      <w:bookmarkEnd w:id="258"/>
      <w:bookmarkEnd w:id="259"/>
      <w:bookmarkEnd w:id="260"/>
      <w:bookmarkEnd w:id="261"/>
      <w:bookmarkEnd w:id="262"/>
      <w:bookmarkEnd w:id="263"/>
      <w:bookmarkEnd w:id="264"/>
    </w:p>
    <w:p w14:paraId="41A30BB4">
      <w:pPr>
        <w:widowControl/>
        <w:numPr>
          <w:ilvl w:val="0"/>
          <w:numId w:val="1"/>
        </w:numPr>
        <w:spacing w:line="560" w:lineRule="exact"/>
        <w:ind w:left="197" w:firstLine="643"/>
        <w:rPr>
          <w:rFonts w:ascii="Times New Roman" w:hAnsi="Times New Roman" w:eastAsia="仿宋_GB2312" w:cs="Times New Roman"/>
          <w:b/>
          <w:sz w:val="30"/>
          <w:szCs w:val="30"/>
          <w:highlight w:val="none"/>
        </w:rPr>
      </w:pPr>
      <w:r>
        <w:rPr>
          <w:rFonts w:ascii="Times New Roman" w:hAnsi="Times New Roman" w:eastAsia="仿宋_GB2312" w:cs="Times New Roman"/>
          <w:b/>
          <w:sz w:val="30"/>
          <w:szCs w:val="30"/>
          <w:highlight w:val="none"/>
        </w:rPr>
        <w:t>T日-M日</w:t>
      </w:r>
    </w:p>
    <w:p w14:paraId="2704E197">
      <w:pPr>
        <w:widowControl/>
        <w:spacing w:line="560" w:lineRule="exact"/>
        <w:ind w:firstLine="600" w:firstLineChars="200"/>
        <w:rPr>
          <w:rFonts w:ascii="Times New Roman" w:hAnsi="Times New Roman" w:eastAsia="仿宋_GB2312" w:cs="Times New Roman"/>
          <w:bCs/>
          <w:sz w:val="30"/>
          <w:szCs w:val="30"/>
          <w:highlight w:val="none"/>
        </w:rPr>
      </w:pPr>
      <w:r>
        <w:rPr>
          <w:rFonts w:ascii="Times New Roman" w:hAnsi="Times New Roman" w:eastAsia="仿宋_GB2312" w:cs="Times New Roman"/>
          <w:bCs/>
          <w:sz w:val="30"/>
          <w:szCs w:val="30"/>
          <w:highlight w:val="none"/>
        </w:rPr>
        <w:t>原则上，募集期不超过5个交易日，募集期指场内、场外两类认购期的最早起始日至最晚终止日的期间，场内、场外扩募认购期应保持一致。每个认购日日终，中国结算TA系统在收到本所发送的场内扩募认购申报数据后，将合并场外扩募认购申报数据发送至基金管理人，基金管理人参照首发认购流程完成一次确认。</w:t>
      </w:r>
    </w:p>
    <w:p w14:paraId="014F3899">
      <w:pPr>
        <w:widowControl/>
        <w:spacing w:line="560" w:lineRule="exact"/>
        <w:ind w:firstLine="600" w:firstLineChars="200"/>
        <w:rPr>
          <w:rFonts w:ascii="Times New Roman" w:hAnsi="Times New Roman" w:eastAsia="仿宋_GB2312" w:cs="Times New Roman"/>
          <w:bCs/>
          <w:sz w:val="30"/>
          <w:szCs w:val="30"/>
          <w:highlight w:val="none"/>
        </w:rPr>
      </w:pPr>
      <w:r>
        <w:rPr>
          <w:rFonts w:ascii="Times New Roman" w:hAnsi="Times New Roman" w:eastAsia="仿宋_GB2312" w:cs="Times New Roman"/>
          <w:kern w:val="0"/>
          <w:sz w:val="30"/>
          <w:szCs w:val="30"/>
          <w:highlight w:val="none"/>
        </w:rPr>
        <w:t>场内部分，原持有人在配售认购期内可以通过本所交易系统或联系基金管理人申报认购，</w:t>
      </w:r>
      <w:r>
        <w:rPr>
          <w:rFonts w:ascii="Times New Roman" w:hAnsi="Times New Roman" w:eastAsia="仿宋_GB2312" w:cs="Times New Roman"/>
          <w:bCs/>
          <w:sz w:val="30"/>
          <w:szCs w:val="30"/>
          <w:highlight w:val="none"/>
        </w:rPr>
        <w:t>本所交易系统不对场内原持有人的认购申请额度进行限制，本所会员单位（券商）在接到场内原持有人认购指令后进行前端控制，确认每个原持有人的配售限额。</w:t>
      </w:r>
      <w:r>
        <w:rPr>
          <w:rFonts w:ascii="Times New Roman" w:hAnsi="Times New Roman" w:eastAsia="仿宋_GB2312" w:cs="Times New Roman"/>
          <w:kern w:val="0"/>
          <w:sz w:val="30"/>
          <w:szCs w:val="30"/>
          <w:highlight w:val="none"/>
        </w:rPr>
        <w:t>场外部分，原持有人可通过场外销售机构或联系基金管理人申报。</w:t>
      </w:r>
      <w:r>
        <w:rPr>
          <w:rFonts w:ascii="Times New Roman" w:hAnsi="Times New Roman" w:eastAsia="仿宋_GB2312" w:cs="Times New Roman"/>
          <w:bCs/>
          <w:sz w:val="30"/>
          <w:szCs w:val="30"/>
          <w:highlight w:val="none"/>
        </w:rPr>
        <w:t>中国结算TA系统不对原持有人的认购申请额度进行限制，允许原持有人在未持仓的场外销售机构报单，基金管理人应根据投资者基金账户在各销售机构总持仓份额和配售比例逐笔确认配售结果。</w:t>
      </w:r>
    </w:p>
    <w:p w14:paraId="573AF7C8">
      <w:pPr>
        <w:widowControl/>
        <w:spacing w:line="560" w:lineRule="exact"/>
        <w:ind w:firstLine="640"/>
        <w:rPr>
          <w:rFonts w:ascii="Times New Roman" w:hAnsi="Times New Roman" w:eastAsia="仿宋_GB2312" w:cs="Times New Roman"/>
          <w:sz w:val="30"/>
          <w:szCs w:val="30"/>
          <w:highlight w:val="none"/>
        </w:rPr>
      </w:pPr>
      <w:r>
        <w:rPr>
          <w:rFonts w:ascii="Times New Roman" w:hAnsi="Times New Roman" w:eastAsia="仿宋_GB2312" w:cs="Times New Roman"/>
          <w:sz w:val="30"/>
          <w:szCs w:val="30"/>
          <w:highlight w:val="none"/>
        </w:rPr>
        <w:t>因</w:t>
      </w:r>
      <w:r>
        <w:rPr>
          <w:rFonts w:hint="eastAsia" w:ascii="Times New Roman" w:hAnsi="Times New Roman" w:eastAsia="仿宋_GB2312" w:cs="Times New Roman"/>
          <w:sz w:val="30"/>
          <w:szCs w:val="30"/>
          <w:highlight w:val="none"/>
        </w:rPr>
        <w:t>不动产</w:t>
      </w:r>
      <w:r>
        <w:rPr>
          <w:rFonts w:ascii="Times New Roman" w:hAnsi="Times New Roman" w:eastAsia="仿宋_GB2312" w:cs="Times New Roman"/>
          <w:sz w:val="30"/>
          <w:szCs w:val="30"/>
          <w:highlight w:val="none"/>
        </w:rPr>
        <w:t>基金扩募，投资者及其一致行动人拥有的基金份额比例达到《上海证券交易所公开募集</w:t>
      </w:r>
      <w:r>
        <w:rPr>
          <w:rFonts w:hint="eastAsia" w:ascii="Times New Roman" w:hAnsi="Times New Roman" w:eastAsia="仿宋_GB2312" w:cs="Times New Roman"/>
          <w:sz w:val="30"/>
          <w:szCs w:val="30"/>
          <w:highlight w:val="none"/>
        </w:rPr>
        <w:t>不动产投资信托</w:t>
      </w:r>
      <w:r>
        <w:rPr>
          <w:rFonts w:ascii="Times New Roman" w:hAnsi="Times New Roman" w:eastAsia="仿宋_GB2312" w:cs="Times New Roman"/>
          <w:sz w:val="30"/>
          <w:szCs w:val="30"/>
          <w:highlight w:val="none"/>
        </w:rPr>
        <w:t>基金（REITs）业务办法（试行）》（以下简称《</w:t>
      </w:r>
      <w:r>
        <w:rPr>
          <w:rFonts w:hint="eastAsia" w:ascii="Times New Roman" w:hAnsi="Times New Roman" w:eastAsia="仿宋_GB2312" w:cs="Times New Roman"/>
          <w:sz w:val="30"/>
          <w:szCs w:val="30"/>
          <w:highlight w:val="none"/>
        </w:rPr>
        <w:t>不动产</w:t>
      </w:r>
      <w:r>
        <w:rPr>
          <w:rFonts w:ascii="Times New Roman" w:hAnsi="Times New Roman" w:eastAsia="仿宋_GB2312" w:cs="Times New Roman"/>
          <w:sz w:val="30"/>
          <w:szCs w:val="30"/>
          <w:highlight w:val="none"/>
        </w:rPr>
        <w:t>基金业务办法》）规定的收购及权益变动标准的，应当按照《</w:t>
      </w:r>
      <w:r>
        <w:rPr>
          <w:rFonts w:hint="eastAsia" w:ascii="Times New Roman" w:hAnsi="Times New Roman" w:eastAsia="仿宋_GB2312" w:cs="Times New Roman"/>
          <w:sz w:val="30"/>
          <w:szCs w:val="30"/>
          <w:highlight w:val="none"/>
        </w:rPr>
        <w:t>不动产</w:t>
      </w:r>
      <w:r>
        <w:rPr>
          <w:rFonts w:ascii="Times New Roman" w:hAnsi="Times New Roman" w:eastAsia="仿宋_GB2312" w:cs="Times New Roman"/>
          <w:sz w:val="30"/>
          <w:szCs w:val="30"/>
          <w:highlight w:val="none"/>
        </w:rPr>
        <w:t>基金业务办法》相关规定履行相应的程序和义务。</w:t>
      </w:r>
    </w:p>
    <w:p w14:paraId="0C40A853">
      <w:pPr>
        <w:widowControl/>
        <w:spacing w:line="560" w:lineRule="exact"/>
        <w:ind w:firstLine="640"/>
        <w:rPr>
          <w:rFonts w:ascii="Times New Roman" w:hAnsi="Times New Roman" w:eastAsia="仿宋_GB2312" w:cs="Times New Roman"/>
          <w:sz w:val="30"/>
          <w:szCs w:val="30"/>
          <w:highlight w:val="none"/>
        </w:rPr>
      </w:pPr>
      <w:r>
        <w:rPr>
          <w:rFonts w:ascii="Times New Roman" w:hAnsi="Times New Roman" w:eastAsia="仿宋_GB2312" w:cs="Times New Roman"/>
          <w:sz w:val="30"/>
          <w:szCs w:val="30"/>
          <w:highlight w:val="none"/>
        </w:rPr>
        <w:t>发行期内，基金管理人</w:t>
      </w:r>
      <w:r>
        <w:rPr>
          <w:rFonts w:ascii="Times New Roman" w:hAnsi="Times New Roman" w:eastAsia="仿宋_GB2312" w:cs="Times New Roman"/>
          <w:kern w:val="0"/>
          <w:sz w:val="30"/>
          <w:szCs w:val="30"/>
          <w:highlight w:val="none"/>
        </w:rPr>
        <w:t>、财务顾问（如有）</w:t>
      </w:r>
      <w:r>
        <w:rPr>
          <w:rFonts w:ascii="Times New Roman" w:hAnsi="Times New Roman" w:eastAsia="仿宋_GB2312" w:cs="Times New Roman"/>
          <w:sz w:val="30"/>
          <w:szCs w:val="30"/>
          <w:highlight w:val="none"/>
        </w:rPr>
        <w:t>按照规定组织战略配售。</w:t>
      </w:r>
    </w:p>
    <w:p w14:paraId="27862FFA">
      <w:pPr>
        <w:widowControl/>
        <w:jc w:val="left"/>
        <w:rPr>
          <w:rFonts w:ascii="Times New Roman" w:hAnsi="Times New Roman" w:cs="Times New Roman"/>
          <w:highlight w:val="none"/>
        </w:rPr>
      </w:pPr>
      <w:bookmarkStart w:id="265" w:name="_Toc11980"/>
      <w:bookmarkStart w:id="266" w:name="_Toc14434"/>
      <w:bookmarkStart w:id="267" w:name="_Toc18785"/>
      <w:r>
        <w:rPr>
          <w:rFonts w:ascii="Times New Roman" w:hAnsi="Times New Roman" w:cs="Times New Roman"/>
          <w:highlight w:val="none"/>
        </w:rPr>
        <w:drawing>
          <wp:inline distT="0" distB="0" distL="114300" distR="114300">
            <wp:extent cx="5317490" cy="2531110"/>
            <wp:effectExtent l="0" t="0" r="16510" b="2540"/>
            <wp:docPr id="4" name="ECB019B1-382A-4266-B25C-5B523AA43C14-1" descr="C:/Users/admin/AppData/Local/Temp/wpp.tugTzQwp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ECB019B1-382A-4266-B25C-5B523AA43C14-1" descr="C:/Users/admin/AppData/Local/Temp/wpp.tugTzQwpp"/>
                    <pic:cNvPicPr>
                      <a:picLocks noChangeAspect="1"/>
                    </pic:cNvPicPr>
                  </pic:nvPicPr>
                  <pic:blipFill>
                    <a:blip r:embed="rId23"/>
                    <a:stretch>
                      <a:fillRect/>
                    </a:stretch>
                  </pic:blipFill>
                  <pic:spPr>
                    <a:xfrm>
                      <a:off x="0" y="0"/>
                      <a:ext cx="5317490" cy="2531110"/>
                    </a:xfrm>
                    <a:prstGeom prst="rect">
                      <a:avLst/>
                    </a:prstGeom>
                  </pic:spPr>
                </pic:pic>
              </a:graphicData>
            </a:graphic>
          </wp:inline>
        </w:drawing>
      </w:r>
    </w:p>
    <w:p w14:paraId="61EB49A8">
      <w:pPr>
        <w:widowControl/>
        <w:ind w:firstLine="602" w:firstLineChars="200"/>
        <w:jc w:val="left"/>
        <w:outlineLvl w:val="2"/>
        <w:rPr>
          <w:rFonts w:ascii="Times New Roman" w:hAnsi="Times New Roman" w:cs="Times New Roman"/>
          <w:sz w:val="30"/>
          <w:szCs w:val="30"/>
          <w:highlight w:val="none"/>
        </w:rPr>
      </w:pPr>
      <w:bookmarkStart w:id="268" w:name="_Toc3031"/>
      <w:bookmarkStart w:id="269" w:name="_Toc258"/>
      <w:r>
        <w:rPr>
          <w:rFonts w:ascii="Times New Roman" w:hAnsi="Times New Roman" w:eastAsia="楷体_GB2312" w:cs="Times New Roman"/>
          <w:b/>
          <w:bCs/>
          <w:kern w:val="0"/>
          <w:sz w:val="30"/>
          <w:szCs w:val="30"/>
          <w:highlight w:val="none"/>
        </w:rPr>
        <w:t>（七）认购结束日期调整</w:t>
      </w:r>
      <w:bookmarkEnd w:id="265"/>
      <w:bookmarkEnd w:id="266"/>
      <w:bookmarkEnd w:id="267"/>
      <w:bookmarkEnd w:id="268"/>
      <w:bookmarkEnd w:id="269"/>
    </w:p>
    <w:p w14:paraId="1A75A8F2">
      <w:pPr>
        <w:widowControl/>
        <w:numPr>
          <w:ilvl w:val="255"/>
          <w:numId w:val="0"/>
        </w:numPr>
        <w:spacing w:line="560" w:lineRule="exact"/>
        <w:ind w:firstLine="600" w:firstLineChars="200"/>
        <w:rPr>
          <w:rFonts w:ascii="Times New Roman" w:hAnsi="Times New Roman" w:eastAsia="仿宋_GB2312" w:cs="Times New Roman"/>
          <w:sz w:val="30"/>
          <w:szCs w:val="30"/>
          <w:highlight w:val="none"/>
        </w:rPr>
      </w:pPr>
      <w:r>
        <w:rPr>
          <w:rFonts w:ascii="Times New Roman" w:hAnsi="Times New Roman" w:eastAsia="仿宋_GB2312" w:cs="Times New Roman"/>
          <w:bCs/>
          <w:sz w:val="30"/>
          <w:szCs w:val="30"/>
          <w:highlight w:val="none"/>
        </w:rPr>
        <w:t>基金管理人可以在认购期间申请变更一次认购结束日期。</w:t>
      </w:r>
      <w:r>
        <w:rPr>
          <w:rFonts w:ascii="Times New Roman" w:hAnsi="Times New Roman" w:eastAsia="仿宋_GB2312" w:cs="Times New Roman"/>
          <w:sz w:val="30"/>
          <w:szCs w:val="30"/>
          <w:highlight w:val="none"/>
        </w:rPr>
        <w:t>基金管理人应就认购期调整事项于认购调整生效前提前向市场发布公告。基金管理人可通过业务管理系统平台找到处于认购期的REITs扩募发售流程，发起认购期调整申请。</w:t>
      </w:r>
    </w:p>
    <w:p w14:paraId="2EDF0982">
      <w:pPr>
        <w:numPr>
          <w:ilvl w:val="0"/>
          <w:numId w:val="1"/>
        </w:numPr>
        <w:snapToGrid w:val="0"/>
        <w:spacing w:line="560" w:lineRule="exact"/>
        <w:ind w:left="0" w:firstLine="602" w:firstLineChars="200"/>
        <w:rPr>
          <w:rFonts w:ascii="Times New Roman" w:hAnsi="Times New Roman" w:eastAsia="仿宋_GB2312" w:cs="Times New Roman"/>
          <w:b/>
          <w:sz w:val="30"/>
          <w:szCs w:val="30"/>
          <w:highlight w:val="none"/>
        </w:rPr>
      </w:pPr>
      <w:r>
        <w:rPr>
          <w:rFonts w:ascii="Times New Roman" w:hAnsi="Times New Roman" w:eastAsia="仿宋_GB2312" w:cs="Times New Roman"/>
          <w:b/>
          <w:sz w:val="30"/>
          <w:szCs w:val="30"/>
          <w:highlight w:val="none"/>
        </w:rPr>
        <w:t>M</w:t>
      </w:r>
      <w:r>
        <w:rPr>
          <w:rFonts w:ascii="Times New Roman" w:hAnsi="Times New Roman" w:eastAsia="仿宋_GB2312" w:cs="Times New Roman"/>
          <w:b/>
          <w:sz w:val="30"/>
          <w:szCs w:val="30"/>
          <w:highlight w:val="none"/>
          <w:vertAlign w:val="subscript"/>
        </w:rPr>
        <w:t>1</w:t>
      </w:r>
      <w:r>
        <w:rPr>
          <w:rFonts w:ascii="Times New Roman" w:hAnsi="Times New Roman" w:eastAsia="仿宋_GB2312" w:cs="Times New Roman"/>
          <w:b/>
          <w:sz w:val="30"/>
          <w:szCs w:val="30"/>
          <w:highlight w:val="none"/>
        </w:rPr>
        <w:t>-1日12:00或之前（如为提前截止，提交时间可推迟至M</w:t>
      </w:r>
      <w:r>
        <w:rPr>
          <w:rFonts w:ascii="Times New Roman" w:hAnsi="Times New Roman" w:eastAsia="仿宋_GB2312" w:cs="Times New Roman"/>
          <w:b/>
          <w:sz w:val="30"/>
          <w:szCs w:val="30"/>
          <w:highlight w:val="none"/>
          <w:vertAlign w:val="subscript"/>
        </w:rPr>
        <w:t>1</w:t>
      </w:r>
      <w:r>
        <w:rPr>
          <w:rFonts w:ascii="Times New Roman" w:hAnsi="Times New Roman" w:eastAsia="仿宋_GB2312" w:cs="Times New Roman"/>
          <w:b/>
          <w:sz w:val="30"/>
          <w:szCs w:val="30"/>
          <w:highlight w:val="none"/>
        </w:rPr>
        <w:t>日12:00前）</w:t>
      </w:r>
    </w:p>
    <w:p w14:paraId="3D7C7F8B">
      <w:pPr>
        <w:widowControl/>
        <w:numPr>
          <w:ilvl w:val="255"/>
          <w:numId w:val="0"/>
        </w:numPr>
        <w:spacing w:line="560" w:lineRule="exact"/>
        <w:ind w:firstLine="600" w:firstLineChars="200"/>
        <w:rPr>
          <w:rFonts w:ascii="Times New Roman" w:hAnsi="Times New Roman" w:eastAsia="仿宋_GB2312" w:cs="Times New Roman"/>
          <w:sz w:val="30"/>
          <w:szCs w:val="30"/>
          <w:highlight w:val="none"/>
        </w:rPr>
      </w:pPr>
      <w:r>
        <w:rPr>
          <w:rFonts w:ascii="Times New Roman" w:hAnsi="Times New Roman" w:eastAsia="仿宋_GB2312" w:cs="Times New Roman"/>
          <w:sz w:val="30"/>
          <w:szCs w:val="30"/>
          <w:highlight w:val="none"/>
        </w:rPr>
        <w:t>基金管理人提交业务申请材料，并通过业务管理系统平台提交信息披露文件：</w:t>
      </w:r>
    </w:p>
    <w:p w14:paraId="6C35BDA0">
      <w:pPr>
        <w:widowControl/>
        <w:numPr>
          <w:ilvl w:val="255"/>
          <w:numId w:val="0"/>
        </w:numPr>
        <w:spacing w:line="560" w:lineRule="exact"/>
        <w:ind w:firstLine="600" w:firstLineChars="200"/>
        <w:rPr>
          <w:rFonts w:ascii="Times New Roman" w:hAnsi="Times New Roman" w:eastAsia="仿宋_GB2312" w:cs="Times New Roman"/>
          <w:color w:val="000000"/>
          <w:sz w:val="30"/>
          <w:szCs w:val="30"/>
          <w:highlight w:val="none"/>
        </w:rPr>
      </w:pPr>
      <w:r>
        <w:rPr>
          <w:rFonts w:ascii="Times New Roman" w:hAnsi="Times New Roman" w:eastAsia="仿宋_GB2312" w:cs="Times New Roman"/>
          <w:color w:val="000000"/>
          <w:sz w:val="30"/>
          <w:szCs w:val="30"/>
          <w:highlight w:val="none"/>
        </w:rPr>
        <w:t>1.业务申请材料：</w:t>
      </w:r>
    </w:p>
    <w:p w14:paraId="64B8A3ED">
      <w:pPr>
        <w:widowControl/>
        <w:numPr>
          <w:ilvl w:val="255"/>
          <w:numId w:val="0"/>
        </w:numPr>
        <w:spacing w:line="560" w:lineRule="exact"/>
        <w:ind w:firstLine="600" w:firstLineChars="200"/>
        <w:rPr>
          <w:rFonts w:ascii="Times New Roman" w:hAnsi="Times New Roman" w:eastAsia="仿宋_GB2312" w:cs="Times New Roman"/>
          <w:sz w:val="30"/>
          <w:szCs w:val="30"/>
          <w:highlight w:val="none"/>
        </w:rPr>
      </w:pPr>
      <w:r>
        <w:rPr>
          <w:rFonts w:ascii="Times New Roman" w:hAnsi="Times New Roman" w:eastAsia="仿宋_GB2312" w:cs="Times New Roman"/>
          <w:sz w:val="30"/>
          <w:szCs w:val="30"/>
          <w:highlight w:val="none"/>
        </w:rPr>
        <w:t>（1）认购日期变更申请函（如仅变更场外认购日期不用提交，盖章扫描件）；</w:t>
      </w:r>
    </w:p>
    <w:p w14:paraId="1A759E3B">
      <w:pPr>
        <w:widowControl/>
        <w:numPr>
          <w:ilvl w:val="255"/>
          <w:numId w:val="0"/>
        </w:numPr>
        <w:spacing w:line="560" w:lineRule="exact"/>
        <w:ind w:firstLine="600" w:firstLineChars="200"/>
        <w:rPr>
          <w:rFonts w:ascii="Times New Roman" w:hAnsi="Times New Roman" w:eastAsia="仿宋_GB2312" w:cs="Times New Roman"/>
          <w:sz w:val="30"/>
          <w:szCs w:val="30"/>
          <w:highlight w:val="none"/>
        </w:rPr>
      </w:pPr>
      <w:r>
        <w:rPr>
          <w:rFonts w:ascii="Times New Roman" w:hAnsi="Times New Roman" w:eastAsia="仿宋_GB2312" w:cs="Times New Roman"/>
          <w:sz w:val="30"/>
          <w:szCs w:val="30"/>
          <w:highlight w:val="none"/>
        </w:rPr>
        <w:t>（2）本所要求的其他材料。</w:t>
      </w:r>
    </w:p>
    <w:p w14:paraId="2D43FCD3">
      <w:pPr>
        <w:widowControl/>
        <w:numPr>
          <w:ilvl w:val="255"/>
          <w:numId w:val="0"/>
        </w:numPr>
        <w:spacing w:line="560" w:lineRule="exact"/>
        <w:ind w:firstLine="600" w:firstLineChars="200"/>
        <w:rPr>
          <w:rFonts w:ascii="Times New Roman" w:hAnsi="Times New Roman" w:eastAsia="仿宋_GB2312" w:cs="Times New Roman"/>
          <w:color w:val="000000"/>
          <w:sz w:val="30"/>
          <w:szCs w:val="30"/>
          <w:highlight w:val="none"/>
        </w:rPr>
      </w:pPr>
      <w:r>
        <w:rPr>
          <w:rFonts w:ascii="Times New Roman" w:hAnsi="Times New Roman" w:eastAsia="仿宋_GB2312" w:cs="Times New Roman"/>
          <w:color w:val="000000"/>
          <w:sz w:val="30"/>
          <w:szCs w:val="30"/>
          <w:highlight w:val="none"/>
        </w:rPr>
        <w:t>2.信息披露文件：</w:t>
      </w:r>
    </w:p>
    <w:p w14:paraId="2446F7C1">
      <w:pPr>
        <w:widowControl/>
        <w:numPr>
          <w:ilvl w:val="255"/>
          <w:numId w:val="0"/>
        </w:numPr>
        <w:spacing w:line="560" w:lineRule="exact"/>
        <w:ind w:firstLine="600" w:firstLineChars="200"/>
        <w:rPr>
          <w:rFonts w:ascii="Times New Roman" w:hAnsi="Times New Roman" w:eastAsia="仿宋_GB2312" w:cs="Times New Roman"/>
          <w:sz w:val="30"/>
          <w:szCs w:val="30"/>
          <w:highlight w:val="none"/>
        </w:rPr>
      </w:pPr>
      <w:r>
        <w:rPr>
          <w:rFonts w:ascii="Times New Roman" w:hAnsi="Times New Roman" w:eastAsia="仿宋_GB2312" w:cs="Times New Roman"/>
          <w:sz w:val="30"/>
          <w:szCs w:val="30"/>
          <w:highlight w:val="none"/>
        </w:rPr>
        <w:t>（1）认购日期变更公告；</w:t>
      </w:r>
    </w:p>
    <w:p w14:paraId="519B7D6E">
      <w:pPr>
        <w:widowControl/>
        <w:numPr>
          <w:ilvl w:val="255"/>
          <w:numId w:val="0"/>
        </w:numPr>
        <w:spacing w:line="560" w:lineRule="exact"/>
        <w:ind w:firstLine="600" w:firstLineChars="200"/>
        <w:rPr>
          <w:rFonts w:ascii="Times New Roman" w:hAnsi="Times New Roman" w:eastAsia="仿宋_GB2312" w:cs="Times New Roman"/>
          <w:sz w:val="30"/>
          <w:szCs w:val="30"/>
          <w:highlight w:val="none"/>
        </w:rPr>
      </w:pPr>
      <w:r>
        <w:rPr>
          <w:rFonts w:ascii="Times New Roman" w:hAnsi="Times New Roman" w:eastAsia="仿宋_GB2312" w:cs="Times New Roman"/>
          <w:sz w:val="30"/>
          <w:szCs w:val="30"/>
          <w:highlight w:val="none"/>
        </w:rPr>
        <w:t>（2）本所要求披露的其他文件。</w:t>
      </w:r>
    </w:p>
    <w:p w14:paraId="5527C864">
      <w:pPr>
        <w:widowControl/>
        <w:numPr>
          <w:ilvl w:val="255"/>
          <w:numId w:val="0"/>
        </w:numPr>
        <w:spacing w:line="560" w:lineRule="exact"/>
        <w:ind w:firstLine="600" w:firstLineChars="200"/>
        <w:rPr>
          <w:rFonts w:ascii="Times New Roman" w:hAnsi="Times New Roman" w:eastAsia="仿宋_GB2312" w:cs="Times New Roman"/>
          <w:sz w:val="30"/>
          <w:szCs w:val="30"/>
          <w:highlight w:val="none"/>
        </w:rPr>
      </w:pPr>
      <w:r>
        <w:rPr>
          <w:rFonts w:ascii="Times New Roman" w:hAnsi="Times New Roman" w:eastAsia="仿宋_GB2312" w:cs="Times New Roman"/>
          <w:sz w:val="30"/>
          <w:szCs w:val="30"/>
          <w:highlight w:val="none"/>
        </w:rPr>
        <w:t>上述披露文件需以PDF格式的电子文件提交。</w:t>
      </w:r>
    </w:p>
    <w:p w14:paraId="723F7F97">
      <w:pPr>
        <w:widowControl/>
        <w:numPr>
          <w:ilvl w:val="255"/>
          <w:numId w:val="0"/>
        </w:numPr>
        <w:spacing w:line="560" w:lineRule="exact"/>
        <w:ind w:firstLine="600" w:firstLineChars="200"/>
        <w:rPr>
          <w:rFonts w:ascii="Times New Roman" w:hAnsi="Times New Roman" w:eastAsia="仿宋_GB2312" w:cs="Times New Roman"/>
          <w:sz w:val="30"/>
          <w:szCs w:val="30"/>
          <w:highlight w:val="none"/>
        </w:rPr>
      </w:pPr>
      <w:r>
        <w:rPr>
          <w:rFonts w:ascii="Times New Roman" w:hAnsi="Times New Roman" w:eastAsia="仿宋_GB2312" w:cs="Times New Roman"/>
          <w:kern w:val="0"/>
          <w:sz w:val="30"/>
          <w:szCs w:val="30"/>
          <w:highlight w:val="none"/>
        </w:rPr>
        <w:t>经本所最终审核办结后，基金管理人不得更改。</w:t>
      </w:r>
    </w:p>
    <w:p w14:paraId="090EA6D7">
      <w:pPr>
        <w:numPr>
          <w:ilvl w:val="0"/>
          <w:numId w:val="1"/>
        </w:numPr>
        <w:snapToGrid w:val="0"/>
        <w:spacing w:line="560" w:lineRule="exact"/>
        <w:ind w:left="0" w:firstLine="602" w:firstLineChars="200"/>
        <w:rPr>
          <w:rFonts w:ascii="Times New Roman" w:hAnsi="Times New Roman" w:eastAsia="仿宋_GB2312" w:cs="Times New Roman"/>
          <w:b/>
          <w:sz w:val="30"/>
          <w:szCs w:val="30"/>
          <w:highlight w:val="none"/>
        </w:rPr>
      </w:pPr>
      <w:r>
        <w:rPr>
          <w:rFonts w:ascii="Times New Roman" w:hAnsi="Times New Roman" w:eastAsia="仿宋_GB2312" w:cs="Times New Roman"/>
          <w:b/>
          <w:sz w:val="30"/>
          <w:szCs w:val="30"/>
          <w:highlight w:val="none"/>
        </w:rPr>
        <w:t>M</w:t>
      </w:r>
      <w:r>
        <w:rPr>
          <w:rFonts w:ascii="Times New Roman" w:hAnsi="Times New Roman" w:eastAsia="仿宋_GB2312" w:cs="Times New Roman"/>
          <w:b/>
          <w:sz w:val="30"/>
          <w:szCs w:val="30"/>
          <w:highlight w:val="none"/>
          <w:vertAlign w:val="subscript"/>
        </w:rPr>
        <w:t>1</w:t>
      </w:r>
      <w:r>
        <w:rPr>
          <w:rFonts w:ascii="Times New Roman" w:hAnsi="Times New Roman" w:eastAsia="仿宋_GB2312" w:cs="Times New Roman"/>
          <w:b/>
          <w:sz w:val="30"/>
          <w:szCs w:val="30"/>
          <w:highlight w:val="none"/>
        </w:rPr>
        <w:t>日（含）前</w:t>
      </w:r>
    </w:p>
    <w:p w14:paraId="122337A3">
      <w:pPr>
        <w:widowControl/>
        <w:numPr>
          <w:ilvl w:val="255"/>
          <w:numId w:val="0"/>
        </w:numPr>
        <w:spacing w:line="560" w:lineRule="exact"/>
        <w:ind w:firstLine="600" w:firstLineChars="200"/>
        <w:rPr>
          <w:rFonts w:ascii="Times New Roman" w:hAnsi="Times New Roman" w:eastAsia="仿宋_GB2312" w:cs="Times New Roman"/>
          <w:sz w:val="30"/>
          <w:szCs w:val="30"/>
          <w:highlight w:val="none"/>
        </w:rPr>
      </w:pPr>
      <w:r>
        <w:rPr>
          <w:rFonts w:ascii="Times New Roman" w:hAnsi="Times New Roman" w:eastAsia="仿宋_GB2312" w:cs="Times New Roman"/>
          <w:sz w:val="30"/>
          <w:szCs w:val="30"/>
          <w:highlight w:val="none"/>
        </w:rPr>
        <w:t>认购日期变更等公告文件在本所官网发布，基金管理人核对网站披露内容是否符合预期。</w:t>
      </w:r>
    </w:p>
    <w:p w14:paraId="6C1A1E29">
      <w:pPr>
        <w:widowControl/>
        <w:spacing w:line="560" w:lineRule="exact"/>
        <w:ind w:firstLine="640"/>
        <w:outlineLvl w:val="2"/>
        <w:rPr>
          <w:rFonts w:ascii="Times New Roman" w:hAnsi="Times New Roman" w:eastAsia="楷体_GB2312" w:cs="Times New Roman"/>
          <w:b/>
          <w:bCs/>
          <w:kern w:val="0"/>
          <w:sz w:val="30"/>
          <w:szCs w:val="30"/>
          <w:highlight w:val="none"/>
        </w:rPr>
      </w:pPr>
      <w:bookmarkStart w:id="270" w:name="_Toc21753"/>
      <w:bookmarkStart w:id="271" w:name="_Toc23750"/>
      <w:bookmarkStart w:id="272" w:name="_Toc3056"/>
      <w:bookmarkStart w:id="273" w:name="_Toc21514"/>
      <w:bookmarkStart w:id="274" w:name="_Toc13625"/>
      <w:bookmarkStart w:id="275" w:name="_Toc20292"/>
      <w:bookmarkStart w:id="276" w:name="_Toc3149"/>
      <w:bookmarkStart w:id="277" w:name="_Toc4390"/>
      <w:bookmarkStart w:id="278" w:name="_Toc5304"/>
      <w:bookmarkStart w:id="279" w:name="_Toc32634"/>
      <w:bookmarkStart w:id="280" w:name="_Toc20186"/>
      <w:bookmarkStart w:id="281" w:name="_Toc12101"/>
      <w:bookmarkStart w:id="282" w:name="_Toc14268"/>
      <w:bookmarkStart w:id="283" w:name="_Toc28110"/>
      <w:bookmarkStart w:id="284" w:name="_Toc14509"/>
      <w:bookmarkStart w:id="285" w:name="_Toc24856"/>
      <w:bookmarkStart w:id="286" w:name="_Toc27753"/>
      <w:bookmarkStart w:id="287" w:name="_Toc20069"/>
      <w:bookmarkStart w:id="288" w:name="_Toc4306"/>
      <w:bookmarkStart w:id="289" w:name="_Toc3036"/>
      <w:bookmarkStart w:id="290" w:name="_Toc70604222"/>
      <w:bookmarkStart w:id="291" w:name="_Toc28537"/>
      <w:bookmarkStart w:id="292" w:name="_Toc18780"/>
      <w:bookmarkStart w:id="293" w:name="_Toc22009"/>
      <w:bookmarkStart w:id="294" w:name="_Toc6346"/>
      <w:bookmarkStart w:id="295" w:name="_Toc11631"/>
      <w:bookmarkStart w:id="296" w:name="_Toc65181426"/>
      <w:bookmarkStart w:id="297" w:name="_Toc1783"/>
      <w:bookmarkStart w:id="298" w:name="_Toc20860"/>
      <w:bookmarkStart w:id="299" w:name="_Toc20172"/>
      <w:bookmarkStart w:id="300" w:name="_Toc7852"/>
      <w:r>
        <w:rPr>
          <w:rFonts w:ascii="Times New Roman" w:hAnsi="Times New Roman" w:eastAsia="楷体_GB2312" w:cs="Times New Roman"/>
          <w:b/>
          <w:bCs/>
          <w:kern w:val="0"/>
          <w:sz w:val="30"/>
          <w:szCs w:val="30"/>
          <w:highlight w:val="none"/>
        </w:rPr>
        <w:t>（八）披露《基金合同更新公告》</w:t>
      </w:r>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r>
        <w:rPr>
          <w:rFonts w:ascii="Times New Roman" w:hAnsi="Times New Roman" w:eastAsia="楷体_GB2312" w:cs="Times New Roman"/>
          <w:b/>
          <w:bCs/>
          <w:kern w:val="0"/>
          <w:sz w:val="30"/>
          <w:szCs w:val="30"/>
          <w:highlight w:val="none"/>
        </w:rPr>
        <w:tab/>
      </w:r>
    </w:p>
    <w:p w14:paraId="410402B5">
      <w:pPr>
        <w:widowControl/>
        <w:numPr>
          <w:ilvl w:val="0"/>
          <w:numId w:val="1"/>
        </w:numPr>
        <w:spacing w:line="560" w:lineRule="exact"/>
        <w:ind w:left="197" w:firstLine="643"/>
        <w:jc w:val="left"/>
        <w:rPr>
          <w:rFonts w:ascii="Times New Roman" w:hAnsi="Times New Roman" w:eastAsia="仿宋_GB2312" w:cs="Times New Roman"/>
          <w:b/>
          <w:sz w:val="30"/>
          <w:szCs w:val="30"/>
          <w:highlight w:val="none"/>
        </w:rPr>
      </w:pPr>
      <w:r>
        <w:rPr>
          <w:rFonts w:ascii="Times New Roman" w:hAnsi="Times New Roman" w:eastAsia="仿宋_GB2312" w:cs="Times New Roman"/>
          <w:b/>
          <w:sz w:val="30"/>
          <w:szCs w:val="30"/>
          <w:highlight w:val="none"/>
        </w:rPr>
        <w:t>S日</w:t>
      </w:r>
    </w:p>
    <w:p w14:paraId="51E89E50">
      <w:pPr>
        <w:widowControl/>
        <w:numPr>
          <w:ilvl w:val="255"/>
          <w:numId w:val="0"/>
        </w:numPr>
        <w:spacing w:line="560" w:lineRule="exact"/>
        <w:ind w:firstLine="640"/>
        <w:rPr>
          <w:rFonts w:ascii="Times New Roman" w:hAnsi="Times New Roman" w:eastAsia="仿宋_GB2312" w:cs="Times New Roman"/>
          <w:sz w:val="30"/>
          <w:szCs w:val="30"/>
          <w:highlight w:val="none"/>
        </w:rPr>
      </w:pPr>
      <w:r>
        <w:rPr>
          <w:rFonts w:ascii="Times New Roman" w:hAnsi="Times New Roman" w:eastAsia="仿宋_GB2312" w:cs="Times New Roman"/>
          <w:sz w:val="30"/>
          <w:szCs w:val="30"/>
          <w:highlight w:val="none"/>
        </w:rPr>
        <w:t>取得</w:t>
      </w:r>
      <w:r>
        <w:rPr>
          <w:rFonts w:hint="eastAsia" w:ascii="Times New Roman" w:hAnsi="Times New Roman" w:eastAsia="仿宋_GB2312" w:cs="Times New Roman"/>
          <w:sz w:val="30"/>
          <w:szCs w:val="30"/>
          <w:highlight w:val="none"/>
        </w:rPr>
        <w:t>中国</w:t>
      </w:r>
      <w:r>
        <w:rPr>
          <w:rFonts w:ascii="Times New Roman" w:hAnsi="Times New Roman" w:eastAsia="仿宋_GB2312" w:cs="Times New Roman"/>
          <w:sz w:val="30"/>
          <w:szCs w:val="30"/>
          <w:highlight w:val="none"/>
        </w:rPr>
        <w:t>证监会扩募份额备案确认函当日，基金管理人通过本所业务管理系统平台提交《基金合同更新公告》（必备要素见附件</w:t>
      </w:r>
      <w:r>
        <w:rPr>
          <w:rFonts w:hint="eastAsia" w:ascii="Times New Roman" w:hAnsi="Times New Roman" w:eastAsia="仿宋_GB2312" w:cs="Times New Roman"/>
          <w:sz w:val="30"/>
          <w:szCs w:val="30"/>
          <w:highlight w:val="none"/>
        </w:rPr>
        <w:t>2-14</w:t>
      </w:r>
      <w:r>
        <w:rPr>
          <w:rFonts w:ascii="Times New Roman" w:hAnsi="Times New Roman" w:eastAsia="仿宋_GB2312" w:cs="Times New Roman"/>
          <w:sz w:val="30"/>
          <w:szCs w:val="30"/>
          <w:highlight w:val="none"/>
        </w:rPr>
        <w:t>）。</w:t>
      </w:r>
    </w:p>
    <w:p w14:paraId="640E449E">
      <w:pPr>
        <w:widowControl/>
        <w:numPr>
          <w:ilvl w:val="0"/>
          <w:numId w:val="1"/>
        </w:numPr>
        <w:spacing w:line="560" w:lineRule="exact"/>
        <w:ind w:left="197" w:firstLine="643"/>
        <w:jc w:val="left"/>
        <w:rPr>
          <w:rFonts w:ascii="Times New Roman" w:hAnsi="Times New Roman" w:eastAsia="仿宋_GB2312" w:cs="Times New Roman"/>
          <w:b/>
          <w:sz w:val="30"/>
          <w:szCs w:val="30"/>
          <w:highlight w:val="none"/>
        </w:rPr>
      </w:pPr>
      <w:r>
        <w:rPr>
          <w:rFonts w:ascii="Times New Roman" w:hAnsi="Times New Roman" w:eastAsia="仿宋_GB2312" w:cs="Times New Roman"/>
          <w:b/>
          <w:sz w:val="30"/>
          <w:szCs w:val="30"/>
          <w:highlight w:val="none"/>
        </w:rPr>
        <w:t>S+1日</w:t>
      </w:r>
    </w:p>
    <w:p w14:paraId="126B4E46">
      <w:pPr>
        <w:widowControl/>
        <w:numPr>
          <w:ilvl w:val="255"/>
          <w:numId w:val="0"/>
        </w:numPr>
        <w:spacing w:line="560" w:lineRule="exact"/>
        <w:ind w:firstLine="640"/>
        <w:rPr>
          <w:rFonts w:ascii="Times New Roman" w:hAnsi="Times New Roman" w:eastAsia="仿宋_GB2312" w:cs="Times New Roman"/>
          <w:sz w:val="30"/>
          <w:szCs w:val="30"/>
          <w:highlight w:val="none"/>
        </w:rPr>
      </w:pPr>
      <w:r>
        <w:rPr>
          <w:rFonts w:ascii="Times New Roman" w:hAnsi="Times New Roman" w:eastAsia="仿宋_GB2312" w:cs="Times New Roman"/>
          <w:sz w:val="30"/>
          <w:szCs w:val="30"/>
          <w:highlight w:val="none"/>
        </w:rPr>
        <w:t>《基金合同更新公告》在符合中国证监会规定的媒介及本所网站上进行披露，基金管理人核对网站披露内容是否符合预期。</w:t>
      </w:r>
    </w:p>
    <w:p w14:paraId="39A683FC">
      <w:pPr>
        <w:widowControl/>
        <w:numPr>
          <w:ilvl w:val="255"/>
          <w:numId w:val="0"/>
        </w:numPr>
        <w:spacing w:line="560" w:lineRule="exact"/>
        <w:ind w:firstLine="602" w:firstLineChars="200"/>
        <w:jc w:val="left"/>
        <w:outlineLvl w:val="2"/>
        <w:rPr>
          <w:rFonts w:ascii="Times New Roman" w:hAnsi="Times New Roman" w:eastAsia="楷体_GB2312" w:cs="Times New Roman"/>
          <w:b/>
          <w:bCs/>
          <w:kern w:val="0"/>
          <w:sz w:val="30"/>
          <w:szCs w:val="30"/>
          <w:highlight w:val="none"/>
        </w:rPr>
      </w:pPr>
      <w:bookmarkStart w:id="301" w:name="_Toc23889"/>
      <w:bookmarkStart w:id="302" w:name="_Toc19166"/>
      <w:bookmarkStart w:id="303" w:name="_Toc6341"/>
      <w:bookmarkStart w:id="304" w:name="_Toc31347"/>
      <w:bookmarkStart w:id="305" w:name="_Toc31687"/>
      <w:bookmarkStart w:id="306" w:name="_Toc7828"/>
      <w:bookmarkStart w:id="307" w:name="_Toc7217"/>
      <w:bookmarkStart w:id="308" w:name="_Toc3442"/>
      <w:bookmarkStart w:id="309" w:name="_Toc9769"/>
      <w:bookmarkStart w:id="310" w:name="_Toc16776"/>
      <w:bookmarkStart w:id="311" w:name="_Toc16888"/>
      <w:bookmarkStart w:id="312" w:name="_Toc3719"/>
      <w:bookmarkStart w:id="313" w:name="_Toc16427"/>
      <w:bookmarkStart w:id="314" w:name="_Toc25294"/>
      <w:bookmarkStart w:id="315" w:name="_Toc29925"/>
      <w:bookmarkStart w:id="316" w:name="_Toc17049"/>
      <w:bookmarkStart w:id="317" w:name="_Toc15719"/>
      <w:bookmarkStart w:id="318" w:name="_Toc165"/>
      <w:bookmarkStart w:id="319" w:name="_Toc14516"/>
      <w:bookmarkStart w:id="320" w:name="_Toc28329"/>
      <w:bookmarkStart w:id="321" w:name="_Toc70604223"/>
      <w:bookmarkStart w:id="322" w:name="_Toc16485"/>
      <w:bookmarkStart w:id="323" w:name="_Toc20628"/>
      <w:bookmarkStart w:id="324" w:name="_Toc65181427"/>
      <w:bookmarkStart w:id="325" w:name="_Toc23619"/>
      <w:bookmarkStart w:id="326" w:name="_Toc21359"/>
      <w:bookmarkStart w:id="327" w:name="_Toc30224"/>
      <w:bookmarkStart w:id="328" w:name="_Toc2133"/>
      <w:bookmarkStart w:id="329" w:name="_Toc32675"/>
      <w:bookmarkStart w:id="330" w:name="_Toc30400"/>
      <w:r>
        <w:rPr>
          <w:rFonts w:ascii="Times New Roman" w:hAnsi="Times New Roman" w:eastAsia="楷体_GB2312" w:cs="Times New Roman"/>
          <w:b/>
          <w:bCs/>
          <w:kern w:val="0"/>
          <w:sz w:val="30"/>
          <w:szCs w:val="30"/>
          <w:highlight w:val="none"/>
        </w:rPr>
        <w:t>（九）披露交易实施情况报告书</w:t>
      </w:r>
      <w:bookmarkEnd w:id="301"/>
      <w:bookmarkEnd w:id="302"/>
      <w:bookmarkEnd w:id="303"/>
      <w:bookmarkEnd w:id="304"/>
      <w:bookmarkEnd w:id="305"/>
    </w:p>
    <w:p w14:paraId="442228FF">
      <w:pPr>
        <w:widowControl/>
        <w:numPr>
          <w:ilvl w:val="255"/>
          <w:numId w:val="0"/>
        </w:numPr>
        <w:spacing w:line="560" w:lineRule="exact"/>
        <w:ind w:firstLine="600" w:firstLineChars="200"/>
        <w:rPr>
          <w:rFonts w:ascii="Times New Roman" w:hAnsi="Times New Roman" w:eastAsia="仿宋_GB2312" w:cs="Times New Roman"/>
          <w:sz w:val="30"/>
          <w:szCs w:val="30"/>
          <w:highlight w:val="none"/>
        </w:rPr>
      </w:pPr>
      <w:r>
        <w:rPr>
          <w:rFonts w:ascii="Times New Roman" w:hAnsi="Times New Roman" w:eastAsia="仿宋_GB2312" w:cs="Times New Roman"/>
          <w:sz w:val="30"/>
          <w:szCs w:val="30"/>
          <w:highlight w:val="none"/>
        </w:rPr>
        <w:t>拟购入</w:t>
      </w:r>
      <w:r>
        <w:rPr>
          <w:rFonts w:hint="eastAsia" w:ascii="Times New Roman" w:hAnsi="Times New Roman" w:eastAsia="仿宋_GB2312" w:cs="Times New Roman"/>
          <w:sz w:val="30"/>
          <w:szCs w:val="30"/>
          <w:highlight w:val="none"/>
        </w:rPr>
        <w:t>不动产</w:t>
      </w:r>
      <w:r>
        <w:rPr>
          <w:rFonts w:ascii="Times New Roman" w:hAnsi="Times New Roman" w:eastAsia="仿宋_GB2312" w:cs="Times New Roman"/>
          <w:sz w:val="30"/>
          <w:szCs w:val="30"/>
          <w:highlight w:val="none"/>
        </w:rPr>
        <w:t>项目完成相关变更注册程序并经基金份额持有人大会表决通过后，基金管理人应当及时实施交易方案，并编制交易实施情况报告书，于实施完毕之日起2个工作日内通过本所业务管理系统平台提交</w:t>
      </w:r>
      <w:r>
        <w:rPr>
          <w:rFonts w:hint="eastAsia" w:ascii="Times New Roman" w:hAnsi="Times New Roman" w:eastAsia="仿宋_GB2312" w:cs="Times New Roman"/>
          <w:sz w:val="30"/>
          <w:szCs w:val="30"/>
          <w:highlight w:val="none"/>
        </w:rPr>
        <w:t>不动产</w:t>
      </w:r>
      <w:r>
        <w:rPr>
          <w:rFonts w:ascii="Times New Roman" w:hAnsi="Times New Roman" w:eastAsia="仿宋_GB2312" w:cs="Times New Roman"/>
          <w:sz w:val="30"/>
          <w:szCs w:val="30"/>
          <w:highlight w:val="none"/>
        </w:rPr>
        <w:t>项目交易实施情况报告书信息披露申请，并于次日对外披露。</w:t>
      </w:r>
    </w:p>
    <w:p w14:paraId="6D8B9F4B">
      <w:pPr>
        <w:widowControl/>
        <w:spacing w:line="560" w:lineRule="exact"/>
        <w:ind w:firstLine="602" w:firstLineChars="200"/>
        <w:jc w:val="left"/>
        <w:outlineLvl w:val="2"/>
        <w:rPr>
          <w:rFonts w:ascii="Times New Roman" w:hAnsi="Times New Roman" w:cs="Times New Roman"/>
          <w:color w:val="000000"/>
          <w:sz w:val="30"/>
          <w:szCs w:val="30"/>
          <w:highlight w:val="none"/>
        </w:rPr>
      </w:pPr>
      <w:bookmarkStart w:id="331" w:name="_Toc30480"/>
      <w:bookmarkStart w:id="332" w:name="_Toc10983"/>
      <w:bookmarkStart w:id="333" w:name="_Toc2200"/>
      <w:bookmarkStart w:id="334" w:name="_Toc9142"/>
      <w:bookmarkStart w:id="335" w:name="_Toc20791"/>
      <w:r>
        <w:rPr>
          <w:rFonts w:ascii="Times New Roman" w:hAnsi="Times New Roman" w:eastAsia="楷体_GB2312" w:cs="Times New Roman"/>
          <w:b/>
          <w:bCs/>
          <w:kern w:val="0"/>
          <w:sz w:val="30"/>
          <w:szCs w:val="30"/>
          <w:highlight w:val="none"/>
        </w:rPr>
        <w:t>（十）材料</w:t>
      </w:r>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r>
        <w:rPr>
          <w:rFonts w:ascii="Times New Roman" w:hAnsi="Times New Roman" w:eastAsia="楷体_GB2312" w:cs="Times New Roman"/>
          <w:b/>
          <w:bCs/>
          <w:kern w:val="0"/>
          <w:sz w:val="30"/>
          <w:szCs w:val="30"/>
          <w:highlight w:val="none"/>
        </w:rPr>
        <w:t>报备</w:t>
      </w:r>
      <w:bookmarkEnd w:id="321"/>
      <w:bookmarkEnd w:id="322"/>
      <w:bookmarkEnd w:id="323"/>
      <w:bookmarkEnd w:id="324"/>
      <w:bookmarkEnd w:id="325"/>
      <w:bookmarkEnd w:id="331"/>
      <w:bookmarkEnd w:id="332"/>
      <w:bookmarkEnd w:id="333"/>
      <w:bookmarkEnd w:id="334"/>
      <w:bookmarkEnd w:id="335"/>
      <w:r>
        <w:rPr>
          <w:rFonts w:ascii="Times New Roman" w:hAnsi="Times New Roman" w:eastAsia="楷体_GB2312" w:cs="Times New Roman"/>
          <w:b/>
          <w:bCs/>
          <w:kern w:val="0"/>
          <w:sz w:val="30"/>
          <w:szCs w:val="30"/>
          <w:highlight w:val="none"/>
        </w:rPr>
        <w:tab/>
      </w:r>
      <w:bookmarkEnd w:id="326"/>
      <w:bookmarkEnd w:id="327"/>
      <w:bookmarkEnd w:id="328"/>
      <w:bookmarkEnd w:id="329"/>
      <w:bookmarkEnd w:id="330"/>
    </w:p>
    <w:p w14:paraId="206AE63A">
      <w:pPr>
        <w:widowControl/>
        <w:numPr>
          <w:ilvl w:val="0"/>
          <w:numId w:val="1"/>
        </w:numPr>
        <w:spacing w:line="560" w:lineRule="exact"/>
        <w:ind w:left="197" w:firstLine="643"/>
        <w:jc w:val="left"/>
        <w:rPr>
          <w:rFonts w:ascii="Times New Roman" w:hAnsi="Times New Roman" w:eastAsia="仿宋_GB2312" w:cs="Times New Roman"/>
          <w:b/>
          <w:sz w:val="30"/>
          <w:szCs w:val="30"/>
          <w:highlight w:val="none"/>
        </w:rPr>
      </w:pPr>
      <w:r>
        <w:rPr>
          <w:rFonts w:hint="eastAsia" w:ascii="Times New Roman" w:hAnsi="Times New Roman" w:eastAsia="仿宋_GB2312" w:cs="Times New Roman"/>
          <w:b/>
          <w:sz w:val="30"/>
          <w:szCs w:val="30"/>
          <w:highlight w:val="none"/>
        </w:rPr>
        <w:t>上市前</w:t>
      </w:r>
    </w:p>
    <w:p w14:paraId="400EFACA">
      <w:pPr>
        <w:widowControl/>
        <w:numPr>
          <w:ilvl w:val="255"/>
          <w:numId w:val="0"/>
        </w:numPr>
        <w:spacing w:line="560" w:lineRule="exact"/>
        <w:ind w:firstLine="640"/>
        <w:jc w:val="left"/>
        <w:rPr>
          <w:rFonts w:ascii="Times New Roman" w:hAnsi="Times New Roman" w:eastAsia="仿宋_GB2312" w:cs="Times New Roman"/>
          <w:sz w:val="30"/>
          <w:szCs w:val="30"/>
          <w:highlight w:val="none"/>
        </w:rPr>
      </w:pPr>
      <w:r>
        <w:rPr>
          <w:rFonts w:ascii="Times New Roman" w:hAnsi="Times New Roman" w:eastAsia="仿宋_GB2312" w:cs="Times New Roman"/>
          <w:sz w:val="30"/>
          <w:szCs w:val="30"/>
          <w:highlight w:val="none"/>
        </w:rPr>
        <w:t>基金管理人通过本所业务管理系统平台提交以下文件：</w:t>
      </w:r>
    </w:p>
    <w:p w14:paraId="19B7E84F">
      <w:pPr>
        <w:widowControl/>
        <w:numPr>
          <w:ilvl w:val="255"/>
          <w:numId w:val="0"/>
        </w:numPr>
        <w:spacing w:line="560" w:lineRule="exact"/>
        <w:ind w:firstLine="640"/>
        <w:jc w:val="left"/>
        <w:rPr>
          <w:rFonts w:ascii="Times New Roman" w:hAnsi="Times New Roman" w:eastAsia="仿宋_GB2312" w:cs="Times New Roman"/>
          <w:sz w:val="30"/>
          <w:szCs w:val="30"/>
          <w:highlight w:val="none"/>
        </w:rPr>
      </w:pPr>
      <w:r>
        <w:rPr>
          <w:rFonts w:ascii="Times New Roman" w:hAnsi="Times New Roman" w:eastAsia="仿宋_GB2312" w:cs="Times New Roman"/>
          <w:sz w:val="30"/>
          <w:szCs w:val="30"/>
          <w:highlight w:val="none"/>
        </w:rPr>
        <w:t>1.律师事务所出具的法律意见书（盖章扫描件）；</w:t>
      </w:r>
    </w:p>
    <w:p w14:paraId="3F57D8C5">
      <w:pPr>
        <w:widowControl/>
        <w:numPr>
          <w:ilvl w:val="255"/>
          <w:numId w:val="0"/>
        </w:numPr>
        <w:spacing w:line="560" w:lineRule="exact"/>
        <w:ind w:firstLine="640"/>
        <w:jc w:val="left"/>
        <w:rPr>
          <w:rFonts w:ascii="Times New Roman" w:hAnsi="Times New Roman" w:eastAsia="仿宋_GB2312" w:cs="Times New Roman"/>
          <w:sz w:val="30"/>
          <w:szCs w:val="30"/>
          <w:highlight w:val="none"/>
        </w:rPr>
      </w:pPr>
      <w:r>
        <w:rPr>
          <w:rFonts w:ascii="Times New Roman" w:hAnsi="Times New Roman" w:eastAsia="仿宋_GB2312" w:cs="Times New Roman"/>
          <w:sz w:val="30"/>
          <w:szCs w:val="30"/>
          <w:highlight w:val="none"/>
        </w:rPr>
        <w:t>2.发售总结报告（盖章扫描件）；</w:t>
      </w:r>
    </w:p>
    <w:p w14:paraId="00BB3197">
      <w:pPr>
        <w:widowControl/>
        <w:numPr>
          <w:ilvl w:val="255"/>
          <w:numId w:val="0"/>
        </w:numPr>
        <w:spacing w:line="560" w:lineRule="exact"/>
        <w:ind w:firstLine="640"/>
        <w:jc w:val="left"/>
        <w:rPr>
          <w:rFonts w:ascii="Times New Roman" w:hAnsi="Times New Roman" w:eastAsia="仿宋_GB2312" w:cs="Times New Roman"/>
          <w:sz w:val="30"/>
          <w:szCs w:val="30"/>
          <w:highlight w:val="none"/>
        </w:rPr>
      </w:pPr>
      <w:r>
        <w:rPr>
          <w:rFonts w:hint="eastAsia" w:ascii="Times New Roman" w:hAnsi="Times New Roman" w:eastAsia="仿宋_GB2312" w:cs="Times New Roman"/>
          <w:sz w:val="30"/>
          <w:szCs w:val="30"/>
          <w:highlight w:val="none"/>
        </w:rPr>
        <w:t>3</w:t>
      </w:r>
      <w:r>
        <w:rPr>
          <w:rFonts w:ascii="Times New Roman" w:hAnsi="Times New Roman" w:eastAsia="仿宋_GB2312" w:cs="Times New Roman"/>
          <w:sz w:val="30"/>
          <w:szCs w:val="30"/>
          <w:highlight w:val="none"/>
        </w:rPr>
        <w:t>.发售结束后具有执行证券、期货相关业务资格的会计师事务所出具的验资报告（盖章扫描件）。</w:t>
      </w:r>
    </w:p>
    <w:p w14:paraId="286A1053">
      <w:pPr>
        <w:widowControl/>
        <w:numPr>
          <w:ilvl w:val="255"/>
          <w:numId w:val="0"/>
        </w:numPr>
        <w:spacing w:line="560" w:lineRule="exact"/>
        <w:ind w:firstLine="640"/>
        <w:jc w:val="left"/>
        <w:outlineLvl w:val="1"/>
        <w:rPr>
          <w:rFonts w:ascii="Times New Roman" w:hAnsi="Times New Roman" w:eastAsia="黑体" w:cs="Times New Roman"/>
          <w:b/>
          <w:bCs w:val="0"/>
          <w:sz w:val="30"/>
          <w:szCs w:val="30"/>
          <w:highlight w:val="none"/>
        </w:rPr>
      </w:pPr>
      <w:bookmarkStart w:id="336" w:name="_Toc2708"/>
      <w:bookmarkStart w:id="337" w:name="_Toc13307"/>
      <w:bookmarkStart w:id="338" w:name="_Toc6426"/>
      <w:bookmarkStart w:id="339" w:name="_Toc14635"/>
      <w:bookmarkStart w:id="340" w:name="_Toc29398"/>
      <w:bookmarkStart w:id="341" w:name="_Toc20420"/>
      <w:bookmarkStart w:id="342" w:name="_Toc7797"/>
      <w:bookmarkStart w:id="343" w:name="_Toc20479"/>
      <w:bookmarkStart w:id="344" w:name="_Toc32427"/>
      <w:bookmarkStart w:id="345" w:name="_Toc13604"/>
      <w:bookmarkStart w:id="346" w:name="_Toc3204"/>
      <w:bookmarkStart w:id="347" w:name="_Toc30532"/>
      <w:r>
        <w:rPr>
          <w:rFonts w:ascii="Times New Roman" w:hAnsi="Times New Roman" w:eastAsia="黑体" w:cs="Times New Roman"/>
          <w:b/>
          <w:bCs w:val="0"/>
          <w:sz w:val="30"/>
          <w:szCs w:val="30"/>
          <w:highlight w:val="none"/>
        </w:rPr>
        <w:t>三、登记、</w:t>
      </w:r>
      <w:bookmarkEnd w:id="336"/>
      <w:bookmarkEnd w:id="337"/>
      <w:bookmarkStart w:id="348" w:name="_Toc30327"/>
      <w:bookmarkStart w:id="349" w:name="_Toc23829"/>
      <w:r>
        <w:rPr>
          <w:rFonts w:ascii="Times New Roman" w:hAnsi="Times New Roman" w:eastAsia="黑体" w:cs="Times New Roman"/>
          <w:b/>
          <w:bCs w:val="0"/>
          <w:sz w:val="30"/>
          <w:szCs w:val="30"/>
          <w:highlight w:val="none"/>
        </w:rPr>
        <w:t>限售及锁定</w:t>
      </w:r>
      <w:bookmarkEnd w:id="300"/>
      <w:bookmarkEnd w:id="338"/>
      <w:bookmarkEnd w:id="339"/>
      <w:bookmarkEnd w:id="340"/>
      <w:bookmarkEnd w:id="341"/>
      <w:bookmarkEnd w:id="342"/>
      <w:bookmarkEnd w:id="343"/>
      <w:bookmarkEnd w:id="344"/>
      <w:bookmarkEnd w:id="345"/>
      <w:bookmarkEnd w:id="346"/>
      <w:bookmarkEnd w:id="347"/>
      <w:bookmarkEnd w:id="348"/>
      <w:bookmarkEnd w:id="349"/>
    </w:p>
    <w:p w14:paraId="080108EA">
      <w:pPr>
        <w:widowControl/>
        <w:numPr>
          <w:ilvl w:val="255"/>
          <w:numId w:val="0"/>
        </w:numPr>
        <w:spacing w:line="560" w:lineRule="exact"/>
        <w:ind w:firstLine="602" w:firstLineChars="200"/>
        <w:jc w:val="left"/>
        <w:rPr>
          <w:rFonts w:ascii="Times New Roman" w:hAnsi="Times New Roman" w:eastAsia="仿宋_GB2312" w:cs="Times New Roman"/>
          <w:b/>
          <w:sz w:val="30"/>
          <w:szCs w:val="30"/>
          <w:highlight w:val="none"/>
        </w:rPr>
      </w:pPr>
      <w:r>
        <w:rPr>
          <w:rFonts w:ascii="Times New Roman" w:hAnsi="Times New Roman" w:eastAsia="仿宋_GB2312" w:cs="Times New Roman"/>
          <w:b/>
          <w:sz w:val="30"/>
          <w:szCs w:val="30"/>
          <w:highlight w:val="none"/>
        </w:rPr>
        <w:t>名称释义：</w:t>
      </w:r>
    </w:p>
    <w:p w14:paraId="2ABF9FEF">
      <w:pPr>
        <w:widowControl/>
        <w:numPr>
          <w:ilvl w:val="255"/>
          <w:numId w:val="0"/>
        </w:numPr>
        <w:spacing w:line="560" w:lineRule="exact"/>
        <w:ind w:firstLine="602" w:firstLineChars="200"/>
        <w:jc w:val="left"/>
        <w:rPr>
          <w:rFonts w:ascii="Times New Roman" w:hAnsi="Times New Roman" w:eastAsia="仿宋_GB2312" w:cs="Times New Roman"/>
          <w:b/>
          <w:sz w:val="30"/>
          <w:szCs w:val="30"/>
          <w:highlight w:val="none"/>
        </w:rPr>
      </w:pPr>
      <w:r>
        <w:rPr>
          <w:rFonts w:ascii="Times New Roman" w:hAnsi="Times New Roman" w:eastAsia="仿宋_GB2312" w:cs="Times New Roman"/>
          <w:b/>
          <w:sz w:val="30"/>
          <w:szCs w:val="30"/>
          <w:highlight w:val="none"/>
        </w:rPr>
        <w:t>M+f日—扩募认购份额登记日</w:t>
      </w:r>
    </w:p>
    <w:p w14:paraId="14676862">
      <w:pPr>
        <w:widowControl/>
        <w:numPr>
          <w:ilvl w:val="255"/>
          <w:numId w:val="0"/>
        </w:numPr>
        <w:spacing w:line="560" w:lineRule="exact"/>
        <w:ind w:firstLine="602" w:firstLineChars="200"/>
        <w:jc w:val="left"/>
        <w:rPr>
          <w:rFonts w:ascii="Times New Roman" w:hAnsi="Times New Roman" w:eastAsia="仿宋_GB2312" w:cs="Times New Roman"/>
          <w:b/>
          <w:sz w:val="30"/>
          <w:szCs w:val="30"/>
          <w:highlight w:val="none"/>
        </w:rPr>
      </w:pPr>
      <w:r>
        <w:rPr>
          <w:rFonts w:ascii="Times New Roman" w:hAnsi="Times New Roman" w:eastAsia="仿宋_GB2312" w:cs="Times New Roman"/>
          <w:b/>
          <w:sz w:val="30"/>
          <w:szCs w:val="30"/>
          <w:highlight w:val="none"/>
        </w:rPr>
        <w:t>L日—扩募份额上市日</w:t>
      </w:r>
    </w:p>
    <w:p w14:paraId="5E1C3D8C">
      <w:pPr>
        <w:widowControl/>
        <w:spacing w:line="560" w:lineRule="exact"/>
        <w:ind w:firstLine="602" w:firstLineChars="200"/>
        <w:jc w:val="left"/>
        <w:outlineLvl w:val="2"/>
        <w:rPr>
          <w:rFonts w:ascii="Times New Roman" w:hAnsi="Times New Roman" w:eastAsia="楷体_GB2312" w:cs="Times New Roman"/>
          <w:b/>
          <w:bCs/>
          <w:kern w:val="0"/>
          <w:sz w:val="30"/>
          <w:szCs w:val="30"/>
          <w:highlight w:val="none"/>
        </w:rPr>
      </w:pPr>
      <w:bookmarkStart w:id="350" w:name="_Toc30804"/>
      <w:bookmarkStart w:id="351" w:name="_Toc26470"/>
      <w:bookmarkStart w:id="352" w:name="_Toc12508"/>
      <w:bookmarkStart w:id="353" w:name="_Toc3432"/>
      <w:bookmarkStart w:id="354" w:name="_Toc31108"/>
      <w:bookmarkStart w:id="355" w:name="_Toc15037"/>
      <w:bookmarkStart w:id="356" w:name="_Toc13144"/>
      <w:bookmarkStart w:id="357" w:name="_Toc16961"/>
      <w:bookmarkStart w:id="358" w:name="_Toc515"/>
      <w:bookmarkStart w:id="359" w:name="_Toc31896"/>
      <w:bookmarkStart w:id="360" w:name="_Toc129504665"/>
      <w:bookmarkStart w:id="361" w:name="_Toc18311"/>
      <w:bookmarkStart w:id="362" w:name="_Toc10739"/>
      <w:bookmarkStart w:id="363" w:name="_Toc7894"/>
      <w:bookmarkStart w:id="364" w:name="_Toc28340"/>
      <w:r>
        <w:rPr>
          <w:rFonts w:ascii="Times New Roman" w:hAnsi="Times New Roman" w:eastAsia="楷体_GB2312" w:cs="Times New Roman"/>
          <w:b/>
          <w:bCs/>
          <w:kern w:val="0"/>
          <w:sz w:val="30"/>
          <w:szCs w:val="30"/>
          <w:highlight w:val="none"/>
        </w:rPr>
        <w:t>（一）扩募认购份额登记</w:t>
      </w:r>
      <w:bookmarkEnd w:id="350"/>
      <w:bookmarkEnd w:id="351"/>
      <w:bookmarkEnd w:id="352"/>
      <w:bookmarkEnd w:id="353"/>
      <w:bookmarkEnd w:id="354"/>
      <w:bookmarkEnd w:id="355"/>
      <w:bookmarkEnd w:id="356"/>
      <w:bookmarkEnd w:id="357"/>
      <w:bookmarkEnd w:id="358"/>
      <w:bookmarkEnd w:id="359"/>
    </w:p>
    <w:p w14:paraId="7C72000E">
      <w:pPr>
        <w:widowControl/>
        <w:numPr>
          <w:ilvl w:val="0"/>
          <w:numId w:val="1"/>
        </w:numPr>
        <w:spacing w:line="560" w:lineRule="exact"/>
        <w:ind w:left="197" w:firstLine="643"/>
        <w:rPr>
          <w:rFonts w:ascii="Times New Roman" w:hAnsi="Times New Roman" w:eastAsia="仿宋_GB2312" w:cs="Times New Roman"/>
          <w:b/>
          <w:sz w:val="30"/>
          <w:szCs w:val="30"/>
          <w:highlight w:val="none"/>
        </w:rPr>
      </w:pPr>
      <w:r>
        <w:rPr>
          <w:rFonts w:ascii="Times New Roman" w:hAnsi="Times New Roman" w:eastAsia="仿宋_GB2312" w:cs="Times New Roman"/>
          <w:b/>
          <w:sz w:val="30"/>
          <w:szCs w:val="30"/>
          <w:highlight w:val="none"/>
        </w:rPr>
        <w:t>T日至M日</w:t>
      </w:r>
    </w:p>
    <w:p w14:paraId="3C7919AA">
      <w:pPr>
        <w:spacing w:line="560" w:lineRule="exact"/>
        <w:ind w:firstLine="600" w:firstLineChars="200"/>
        <w:rPr>
          <w:rFonts w:ascii="Times New Roman" w:hAnsi="Times New Roman" w:eastAsia="仿宋_GB2312" w:cs="Times New Roman"/>
          <w:sz w:val="30"/>
          <w:szCs w:val="30"/>
          <w:highlight w:val="none"/>
        </w:rPr>
      </w:pPr>
      <w:r>
        <w:rPr>
          <w:rFonts w:ascii="Times New Roman" w:hAnsi="Times New Roman" w:eastAsia="仿宋_GB2312" w:cs="Times New Roman"/>
          <w:sz w:val="30"/>
          <w:szCs w:val="30"/>
          <w:highlight w:val="none"/>
        </w:rPr>
        <w:t>在认购期内，基金管理人归集场内、场外原持有人认购申请；归集特殊认购申请（即需通过份额强制调增业务完成份额登记的认购部分）。</w:t>
      </w:r>
    </w:p>
    <w:p w14:paraId="0CDA5CE9">
      <w:pPr>
        <w:widowControl/>
        <w:numPr>
          <w:ilvl w:val="0"/>
          <w:numId w:val="1"/>
        </w:numPr>
        <w:spacing w:line="560" w:lineRule="exact"/>
        <w:ind w:left="197" w:firstLine="643"/>
        <w:rPr>
          <w:rFonts w:ascii="Times New Roman" w:hAnsi="Times New Roman" w:eastAsia="仿宋_GB2312" w:cs="Times New Roman"/>
          <w:b/>
          <w:sz w:val="30"/>
          <w:szCs w:val="30"/>
          <w:highlight w:val="none"/>
        </w:rPr>
      </w:pPr>
      <w:r>
        <w:rPr>
          <w:rFonts w:ascii="Times New Roman" w:hAnsi="Times New Roman" w:eastAsia="仿宋_GB2312" w:cs="Times New Roman"/>
          <w:b/>
          <w:sz w:val="30"/>
          <w:szCs w:val="30"/>
          <w:highlight w:val="none"/>
        </w:rPr>
        <w:t>M+f日</w:t>
      </w:r>
    </w:p>
    <w:p w14:paraId="302B1B6E">
      <w:pPr>
        <w:spacing w:line="560" w:lineRule="exact"/>
        <w:ind w:firstLine="600" w:firstLineChars="200"/>
        <w:rPr>
          <w:rFonts w:ascii="Times New Roman" w:hAnsi="Times New Roman" w:eastAsia="仿宋_GB2312" w:cs="Times New Roman"/>
          <w:color w:val="000000"/>
          <w:kern w:val="0"/>
          <w:sz w:val="30"/>
          <w:szCs w:val="30"/>
          <w:highlight w:val="none"/>
        </w:rPr>
      </w:pPr>
      <w:r>
        <w:rPr>
          <w:rFonts w:ascii="Times New Roman" w:hAnsi="Times New Roman" w:eastAsia="仿宋_GB2312" w:cs="Times New Roman"/>
          <w:color w:val="000000"/>
          <w:kern w:val="0"/>
          <w:sz w:val="30"/>
          <w:szCs w:val="30"/>
          <w:highlight w:val="none"/>
        </w:rPr>
        <w:t>当日11:00前，基金管理人向中国结算TA系统发送投资者场内、</w:t>
      </w:r>
      <w:r>
        <w:rPr>
          <w:rFonts w:ascii="Times New Roman" w:hAnsi="Times New Roman" w:eastAsia="仿宋_GB2312" w:cs="Times New Roman"/>
          <w:sz w:val="30"/>
          <w:szCs w:val="30"/>
          <w:highlight w:val="none"/>
        </w:rPr>
        <w:t>场</w:t>
      </w:r>
      <w:r>
        <w:rPr>
          <w:rFonts w:ascii="Times New Roman" w:hAnsi="Times New Roman" w:eastAsia="仿宋_GB2312" w:cs="Times New Roman"/>
          <w:color w:val="000000"/>
          <w:kern w:val="0"/>
          <w:sz w:val="30"/>
          <w:szCs w:val="30"/>
          <w:highlight w:val="none"/>
        </w:rPr>
        <w:t>外认购最终确认结果数据文件。</w:t>
      </w:r>
    </w:p>
    <w:p w14:paraId="00C81B10">
      <w:pPr>
        <w:spacing w:line="560" w:lineRule="exact"/>
        <w:ind w:firstLine="600" w:firstLineChars="200"/>
        <w:rPr>
          <w:rFonts w:ascii="Times New Roman" w:hAnsi="Times New Roman" w:eastAsia="仿宋_GB2312" w:cs="Times New Roman"/>
          <w:color w:val="000000"/>
          <w:kern w:val="0"/>
          <w:sz w:val="30"/>
          <w:szCs w:val="30"/>
          <w:highlight w:val="none"/>
        </w:rPr>
      </w:pPr>
      <w:r>
        <w:rPr>
          <w:rFonts w:ascii="Times New Roman" w:hAnsi="Times New Roman" w:eastAsia="仿宋_GB2312" w:cs="Times New Roman"/>
          <w:color w:val="000000"/>
          <w:kern w:val="0"/>
          <w:sz w:val="30"/>
          <w:szCs w:val="30"/>
          <w:highlight w:val="none"/>
        </w:rPr>
        <w:t>中国结算根据基金管理人发送的认购最终确认结果完成场内、场外份额登记，后续参照中国结算首发认购结束流程完成相关资金交收。</w:t>
      </w:r>
    </w:p>
    <w:p w14:paraId="17C2EEF6">
      <w:pPr>
        <w:spacing w:line="560" w:lineRule="exact"/>
        <w:ind w:firstLine="600" w:firstLineChars="200"/>
        <w:rPr>
          <w:rFonts w:ascii="Times New Roman" w:hAnsi="Times New Roman" w:eastAsia="仿宋_GB2312" w:cs="Times New Roman"/>
          <w:color w:val="000000"/>
          <w:kern w:val="0"/>
          <w:sz w:val="30"/>
          <w:szCs w:val="30"/>
          <w:highlight w:val="none"/>
        </w:rPr>
      </w:pPr>
      <w:r>
        <w:rPr>
          <w:rFonts w:ascii="Times New Roman" w:hAnsi="Times New Roman" w:eastAsia="仿宋_GB2312" w:cs="Times New Roman"/>
          <w:sz w:val="30"/>
          <w:szCs w:val="30"/>
          <w:highlight w:val="none"/>
        </w:rPr>
        <w:t>上市前，扩募所得场内份额流通类型为非流通，场外份额不能办理转托管或基金通平台做市份额转出、做市转让等业务。</w:t>
      </w:r>
    </w:p>
    <w:p w14:paraId="2C56050C">
      <w:pPr>
        <w:widowControl/>
        <w:numPr>
          <w:ilvl w:val="0"/>
          <w:numId w:val="1"/>
        </w:numPr>
        <w:spacing w:line="560" w:lineRule="exact"/>
        <w:ind w:left="197" w:firstLine="643"/>
        <w:rPr>
          <w:rFonts w:ascii="Times New Roman" w:hAnsi="Times New Roman" w:eastAsia="仿宋_GB2312" w:cs="Times New Roman"/>
          <w:b/>
          <w:sz w:val="30"/>
          <w:szCs w:val="30"/>
          <w:highlight w:val="none"/>
        </w:rPr>
      </w:pPr>
      <w:r>
        <w:rPr>
          <w:rFonts w:ascii="Times New Roman" w:hAnsi="Times New Roman" w:eastAsia="仿宋_GB2312" w:cs="Times New Roman"/>
          <w:b/>
          <w:sz w:val="30"/>
          <w:szCs w:val="30"/>
          <w:highlight w:val="none"/>
        </w:rPr>
        <w:t>T日至L-5日上午前</w:t>
      </w:r>
    </w:p>
    <w:p w14:paraId="7B0C6CBE">
      <w:pPr>
        <w:spacing w:line="560" w:lineRule="exact"/>
        <w:ind w:firstLine="600" w:firstLineChars="200"/>
        <w:rPr>
          <w:rFonts w:ascii="Times New Roman" w:hAnsi="Times New Roman" w:eastAsia="仿宋_GB2312" w:cs="Times New Roman"/>
          <w:sz w:val="30"/>
          <w:szCs w:val="30"/>
          <w:highlight w:val="none"/>
        </w:rPr>
      </w:pPr>
      <w:r>
        <w:rPr>
          <w:rFonts w:ascii="Times New Roman" w:hAnsi="Times New Roman" w:eastAsia="仿宋_GB2312" w:cs="Times New Roman"/>
          <w:sz w:val="30"/>
          <w:szCs w:val="30"/>
          <w:highlight w:val="none"/>
        </w:rPr>
        <w:t>每个强增申请日，基金管理人需向中国结算总部基金业务部申请，通过份额强制调整文件（“83文件”）向中国结算TA系统申请强增份额。若强增申请日当日强增存在失败情形，则次日基金管理人按照前述流程，继续申请强增份额，直至完成全部强增申请。</w:t>
      </w:r>
    </w:p>
    <w:p w14:paraId="26B4B33E">
      <w:pPr>
        <w:widowControl/>
        <w:numPr>
          <w:ilvl w:val="255"/>
          <w:numId w:val="0"/>
        </w:numPr>
        <w:spacing w:line="560" w:lineRule="exact"/>
        <w:ind w:firstLine="602" w:firstLineChars="200"/>
        <w:jc w:val="left"/>
        <w:outlineLvl w:val="2"/>
        <w:rPr>
          <w:rFonts w:ascii="Times New Roman" w:hAnsi="Times New Roman" w:cs="Times New Roman"/>
          <w:b/>
          <w:bCs/>
          <w:kern w:val="0"/>
          <w:sz w:val="30"/>
          <w:szCs w:val="30"/>
          <w:highlight w:val="none"/>
        </w:rPr>
      </w:pPr>
      <w:bookmarkStart w:id="365" w:name="_Toc1233"/>
      <w:bookmarkStart w:id="366" w:name="_Toc5401"/>
      <w:bookmarkStart w:id="367" w:name="_Toc5910"/>
      <w:bookmarkStart w:id="368" w:name="_Toc16636"/>
      <w:bookmarkStart w:id="369" w:name="_Toc7680"/>
      <w:bookmarkStart w:id="370" w:name="_Toc32443"/>
      <w:bookmarkStart w:id="371" w:name="_Toc29412"/>
      <w:bookmarkStart w:id="372" w:name="_Toc1922"/>
      <w:bookmarkStart w:id="373" w:name="_Toc32215"/>
      <w:bookmarkStart w:id="374" w:name="_Toc22339"/>
      <w:r>
        <w:rPr>
          <w:rFonts w:ascii="Times New Roman" w:hAnsi="Times New Roman" w:eastAsia="楷体_GB2312" w:cs="Times New Roman"/>
          <w:b/>
          <w:bCs/>
          <w:kern w:val="0"/>
          <w:sz w:val="30"/>
          <w:szCs w:val="30"/>
          <w:highlight w:val="none"/>
        </w:rPr>
        <w:t>（二）限售锁定</w:t>
      </w:r>
      <w:bookmarkEnd w:id="360"/>
      <w:bookmarkEnd w:id="361"/>
      <w:r>
        <w:rPr>
          <w:rFonts w:ascii="Times New Roman" w:hAnsi="Times New Roman" w:eastAsia="楷体_GB2312" w:cs="Times New Roman"/>
          <w:b/>
          <w:bCs/>
          <w:kern w:val="0"/>
          <w:sz w:val="30"/>
          <w:szCs w:val="30"/>
          <w:highlight w:val="none"/>
        </w:rPr>
        <w:t>办理流程</w:t>
      </w:r>
      <w:bookmarkEnd w:id="362"/>
      <w:bookmarkEnd w:id="363"/>
      <w:bookmarkEnd w:id="365"/>
      <w:bookmarkEnd w:id="366"/>
      <w:bookmarkEnd w:id="367"/>
      <w:bookmarkEnd w:id="368"/>
      <w:bookmarkEnd w:id="369"/>
      <w:bookmarkEnd w:id="370"/>
      <w:bookmarkEnd w:id="371"/>
      <w:bookmarkEnd w:id="372"/>
      <w:bookmarkEnd w:id="373"/>
      <w:bookmarkEnd w:id="374"/>
    </w:p>
    <w:p w14:paraId="7D4D1747">
      <w:pPr>
        <w:widowControl/>
        <w:numPr>
          <w:ilvl w:val="0"/>
          <w:numId w:val="1"/>
        </w:numPr>
        <w:spacing w:line="560" w:lineRule="exact"/>
        <w:ind w:left="197" w:firstLine="643"/>
        <w:rPr>
          <w:rFonts w:ascii="Times New Roman" w:hAnsi="Times New Roman" w:eastAsia="仿宋_GB2312" w:cs="Times New Roman"/>
          <w:b/>
          <w:sz w:val="30"/>
          <w:szCs w:val="30"/>
          <w:highlight w:val="none"/>
        </w:rPr>
      </w:pPr>
      <w:r>
        <w:rPr>
          <w:rFonts w:ascii="Times New Roman" w:hAnsi="Times New Roman" w:eastAsia="仿宋_GB2312" w:cs="Times New Roman"/>
          <w:b/>
          <w:sz w:val="30"/>
          <w:szCs w:val="30"/>
          <w:highlight w:val="none"/>
        </w:rPr>
        <w:t>L-5日（含）10:00前</w:t>
      </w:r>
    </w:p>
    <w:p w14:paraId="1183031F">
      <w:pPr>
        <w:spacing w:line="560" w:lineRule="exact"/>
        <w:ind w:firstLine="600" w:firstLineChars="200"/>
        <w:rPr>
          <w:rFonts w:ascii="Times New Roman" w:hAnsi="Times New Roman" w:eastAsia="仿宋_GB2312" w:cs="Times New Roman"/>
          <w:sz w:val="30"/>
          <w:szCs w:val="30"/>
          <w:highlight w:val="none"/>
        </w:rPr>
      </w:pPr>
      <w:r>
        <w:rPr>
          <w:rFonts w:ascii="Times New Roman" w:hAnsi="Times New Roman" w:eastAsia="仿宋_GB2312" w:cs="Times New Roman"/>
          <w:sz w:val="30"/>
          <w:szCs w:val="30"/>
          <w:highlight w:val="none"/>
        </w:rPr>
        <w:t>本所对限售锁定申请提供一站式电子化受理，基金管理人通过本所业务管理</w:t>
      </w:r>
      <w:r>
        <w:rPr>
          <w:rFonts w:ascii="Times New Roman" w:hAnsi="Times New Roman" w:eastAsia="仿宋_GB2312" w:cs="Times New Roman"/>
          <w:bCs/>
          <w:sz w:val="30"/>
          <w:szCs w:val="30"/>
          <w:highlight w:val="none"/>
        </w:rPr>
        <w:t>系统平台</w:t>
      </w:r>
      <w:r>
        <w:rPr>
          <w:rFonts w:ascii="Times New Roman" w:hAnsi="Times New Roman" w:eastAsia="仿宋_GB2312" w:cs="Times New Roman"/>
          <w:sz w:val="30"/>
          <w:szCs w:val="30"/>
          <w:highlight w:val="none"/>
        </w:rPr>
        <w:t>提交限售申请（场内限售、场外锁定），并向本所提交下列文件：</w:t>
      </w:r>
    </w:p>
    <w:p w14:paraId="6A1B6758">
      <w:pPr>
        <w:numPr>
          <w:ilvl w:val="255"/>
          <w:numId w:val="0"/>
        </w:numPr>
        <w:spacing w:line="560" w:lineRule="exact"/>
        <w:ind w:firstLine="420" w:firstLineChars="200"/>
        <w:rPr>
          <w:rFonts w:ascii="Times New Roman" w:hAnsi="Times New Roman" w:eastAsia="仿宋_GB2312" w:cs="Times New Roman"/>
          <w:sz w:val="30"/>
          <w:szCs w:val="30"/>
          <w:highlight w:val="none"/>
        </w:rPr>
      </w:pPr>
      <w:r>
        <w:rPr>
          <w:rFonts w:hint="eastAsia"/>
          <w:highlight w:val="none"/>
          <w:lang w:val="en-US" w:eastAsia="zh-CN"/>
        </w:rPr>
        <w:t xml:space="preserve">  </w:t>
      </w:r>
      <w:r>
        <w:rPr>
          <w:rFonts w:ascii="Times New Roman" w:hAnsi="Times New Roman" w:eastAsia="仿宋_GB2312" w:cs="Times New Roman"/>
          <w:sz w:val="30"/>
          <w:szCs w:val="30"/>
          <w:highlight w:val="none"/>
        </w:rPr>
        <w:t>1.REITs场内份额限售申请（必备要素见附件1-3）；</w:t>
      </w:r>
    </w:p>
    <w:p w14:paraId="385885D1">
      <w:pPr>
        <w:numPr>
          <w:ilvl w:val="255"/>
          <w:numId w:val="0"/>
        </w:numPr>
        <w:spacing w:line="560" w:lineRule="exact"/>
        <w:ind w:firstLine="600" w:firstLineChars="200"/>
        <w:rPr>
          <w:rFonts w:ascii="Times New Roman" w:hAnsi="Times New Roman" w:eastAsia="仿宋_GB2312" w:cs="Times New Roman"/>
          <w:sz w:val="30"/>
          <w:szCs w:val="30"/>
          <w:highlight w:val="none"/>
        </w:rPr>
      </w:pPr>
      <w:r>
        <w:rPr>
          <w:rFonts w:ascii="Times New Roman" w:hAnsi="Times New Roman" w:eastAsia="仿宋_GB2312" w:cs="Times New Roman"/>
          <w:sz w:val="30"/>
          <w:szCs w:val="30"/>
          <w:highlight w:val="none"/>
        </w:rPr>
        <w:t>2.REITs场外份额锁定申请（必备要素见附件1-4）；</w:t>
      </w:r>
    </w:p>
    <w:p w14:paraId="37127D84">
      <w:pPr>
        <w:numPr>
          <w:ilvl w:val="255"/>
          <w:numId w:val="0"/>
        </w:numPr>
        <w:spacing w:line="560" w:lineRule="exact"/>
        <w:ind w:firstLine="600" w:firstLineChars="200"/>
        <w:rPr>
          <w:rFonts w:ascii="Times New Roman" w:hAnsi="Times New Roman" w:eastAsia="仿宋_GB2312" w:cs="Times New Roman"/>
          <w:sz w:val="30"/>
          <w:szCs w:val="30"/>
          <w:highlight w:val="none"/>
        </w:rPr>
      </w:pPr>
      <w:r>
        <w:rPr>
          <w:rFonts w:ascii="Times New Roman" w:hAnsi="Times New Roman" w:eastAsia="仿宋_GB2312" w:cs="Times New Roman"/>
          <w:sz w:val="30"/>
          <w:szCs w:val="30"/>
          <w:highlight w:val="none"/>
        </w:rPr>
        <w:t>3.基金份额限售/锁定的公告；</w:t>
      </w:r>
    </w:p>
    <w:p w14:paraId="5B65FB95">
      <w:pPr>
        <w:spacing w:line="560" w:lineRule="exact"/>
        <w:ind w:firstLine="600" w:firstLineChars="200"/>
        <w:rPr>
          <w:rFonts w:ascii="Times New Roman" w:hAnsi="Times New Roman" w:eastAsia="仿宋_GB2312" w:cs="Times New Roman"/>
          <w:sz w:val="30"/>
          <w:szCs w:val="30"/>
          <w:highlight w:val="none"/>
        </w:rPr>
      </w:pPr>
      <w:r>
        <w:rPr>
          <w:rFonts w:ascii="Times New Roman" w:hAnsi="Times New Roman" w:eastAsia="仿宋_GB2312" w:cs="Times New Roman"/>
          <w:sz w:val="30"/>
          <w:szCs w:val="30"/>
          <w:highlight w:val="none"/>
        </w:rPr>
        <w:t>4.本所要求的其他文件。</w:t>
      </w:r>
    </w:p>
    <w:p w14:paraId="727159AB">
      <w:pPr>
        <w:spacing w:line="560" w:lineRule="exact"/>
        <w:ind w:firstLine="600" w:firstLineChars="200"/>
        <w:rPr>
          <w:rFonts w:ascii="Times New Roman" w:hAnsi="Times New Roman" w:eastAsia="仿宋_GB2312" w:cs="Times New Roman"/>
          <w:sz w:val="30"/>
          <w:szCs w:val="30"/>
          <w:highlight w:val="none"/>
        </w:rPr>
      </w:pPr>
      <w:r>
        <w:rPr>
          <w:rFonts w:ascii="Times New Roman" w:hAnsi="Times New Roman" w:eastAsia="仿宋_GB2312" w:cs="Times New Roman"/>
          <w:sz w:val="30"/>
          <w:szCs w:val="30"/>
          <w:highlight w:val="none"/>
        </w:rPr>
        <w:t>本所于当日完成审核。中国结算和中国结算上海分公司根据本所通知分别完成场外份额锁定、场内份额限售操作。基金管理人通过业务管理系统平台发起限售办结申请，确认投资者份额的限售和锁定已完成，并提交全量生效数据（盖章）。经本所审核通过后，办结流程生效。</w:t>
      </w:r>
    </w:p>
    <w:p w14:paraId="0189ED76">
      <w:pPr>
        <w:spacing w:line="560" w:lineRule="exact"/>
        <w:ind w:firstLine="600" w:firstLineChars="200"/>
        <w:rPr>
          <w:rFonts w:ascii="Times New Roman" w:hAnsi="Times New Roman" w:eastAsia="仿宋_GB2312" w:cs="Times New Roman"/>
          <w:sz w:val="30"/>
          <w:szCs w:val="30"/>
          <w:highlight w:val="none"/>
        </w:rPr>
      </w:pPr>
      <w:r>
        <w:rPr>
          <w:rFonts w:ascii="Times New Roman" w:hAnsi="Times New Roman" w:eastAsia="仿宋_GB2312" w:cs="Times New Roman"/>
          <w:sz w:val="30"/>
          <w:szCs w:val="30"/>
          <w:highlight w:val="none"/>
        </w:rPr>
        <w:t>注：</w:t>
      </w:r>
    </w:p>
    <w:p w14:paraId="2367708E">
      <w:pPr>
        <w:spacing w:line="560" w:lineRule="exact"/>
        <w:ind w:firstLine="600" w:firstLineChars="200"/>
        <w:rPr>
          <w:rFonts w:ascii="Times New Roman" w:hAnsi="Times New Roman" w:eastAsia="仿宋_GB2312" w:cs="Times New Roman"/>
          <w:sz w:val="30"/>
          <w:szCs w:val="30"/>
          <w:highlight w:val="none"/>
        </w:rPr>
      </w:pPr>
      <w:r>
        <w:rPr>
          <w:rFonts w:ascii="Times New Roman" w:hAnsi="Times New Roman" w:eastAsia="仿宋_GB2312" w:cs="Times New Roman"/>
          <w:sz w:val="30"/>
          <w:szCs w:val="30"/>
          <w:highlight w:val="none"/>
        </w:rPr>
        <w:t>1.在办结限售和锁定流程前，原则上，基金管理人应一次性完成所有限售份额的限售/锁定。</w:t>
      </w:r>
    </w:p>
    <w:p w14:paraId="5255C344">
      <w:pPr>
        <w:spacing w:line="560" w:lineRule="exact"/>
        <w:ind w:firstLine="600" w:firstLineChars="200"/>
        <w:rPr>
          <w:rFonts w:ascii="Times New Roman" w:hAnsi="Times New Roman" w:eastAsia="仿宋_GB2312" w:cs="Times New Roman"/>
          <w:sz w:val="30"/>
          <w:szCs w:val="30"/>
          <w:highlight w:val="none"/>
        </w:rPr>
      </w:pPr>
      <w:r>
        <w:rPr>
          <w:rFonts w:ascii="Times New Roman" w:hAnsi="Times New Roman" w:eastAsia="仿宋_GB2312" w:cs="Times New Roman"/>
          <w:sz w:val="30"/>
          <w:szCs w:val="30"/>
          <w:highlight w:val="none"/>
        </w:rPr>
        <w:t>2.战略投资者、战略配售相关事宜应符合《</w:t>
      </w:r>
      <w:r>
        <w:rPr>
          <w:rFonts w:hint="eastAsia" w:ascii="Times New Roman" w:hAnsi="Times New Roman" w:eastAsia="仿宋_GB2312" w:cs="Times New Roman"/>
          <w:sz w:val="30"/>
          <w:szCs w:val="30"/>
          <w:highlight w:val="none"/>
        </w:rPr>
        <w:t>扩募及</w:t>
      </w:r>
      <w:r>
        <w:rPr>
          <w:rFonts w:ascii="Times New Roman" w:hAnsi="Times New Roman" w:eastAsia="仿宋_GB2312" w:cs="Times New Roman"/>
          <w:sz w:val="30"/>
          <w:szCs w:val="30"/>
          <w:highlight w:val="none"/>
        </w:rPr>
        <w:t>新购入</w:t>
      </w:r>
      <w:r>
        <w:rPr>
          <w:rFonts w:hint="eastAsia" w:ascii="Times New Roman" w:hAnsi="Times New Roman" w:eastAsia="仿宋_GB2312" w:cs="Times New Roman"/>
          <w:sz w:val="30"/>
          <w:szCs w:val="30"/>
          <w:highlight w:val="none"/>
        </w:rPr>
        <w:t>不动产</w:t>
      </w:r>
      <w:r>
        <w:rPr>
          <w:rFonts w:ascii="Times New Roman" w:hAnsi="Times New Roman" w:eastAsia="仿宋_GB2312" w:cs="Times New Roman"/>
          <w:sz w:val="30"/>
          <w:szCs w:val="30"/>
          <w:highlight w:val="none"/>
        </w:rPr>
        <w:t>项目指引》《上海证券交易所公开募集</w:t>
      </w:r>
      <w:r>
        <w:rPr>
          <w:rFonts w:hint="eastAsia" w:ascii="Times New Roman" w:hAnsi="Times New Roman" w:eastAsia="仿宋_GB2312" w:cs="Times New Roman"/>
          <w:sz w:val="30"/>
          <w:szCs w:val="30"/>
          <w:highlight w:val="none"/>
        </w:rPr>
        <w:t>不动产投资信托</w:t>
      </w:r>
      <w:r>
        <w:rPr>
          <w:rFonts w:ascii="Times New Roman" w:hAnsi="Times New Roman" w:eastAsia="仿宋_GB2312" w:cs="Times New Roman"/>
          <w:sz w:val="30"/>
          <w:szCs w:val="30"/>
          <w:highlight w:val="none"/>
        </w:rPr>
        <w:t>基金（REITs）业务指南第1号——发售上市业务办理》等相关规定。</w:t>
      </w:r>
    </w:p>
    <w:p w14:paraId="3F30D837">
      <w:pPr>
        <w:spacing w:line="560" w:lineRule="exact"/>
        <w:ind w:firstLine="600" w:firstLineChars="200"/>
        <w:rPr>
          <w:rFonts w:ascii="Times New Roman" w:hAnsi="Times New Roman" w:eastAsia="仿宋_GB2312" w:cs="Times New Roman"/>
          <w:sz w:val="30"/>
          <w:szCs w:val="30"/>
          <w:highlight w:val="none"/>
        </w:rPr>
      </w:pPr>
      <w:r>
        <w:rPr>
          <w:rFonts w:ascii="Times New Roman" w:hAnsi="Times New Roman" w:eastAsia="仿宋_GB2312" w:cs="Times New Roman"/>
          <w:sz w:val="30"/>
          <w:szCs w:val="30"/>
          <w:highlight w:val="none"/>
        </w:rPr>
        <w:t>3.场外已锁定生效的份额不能办理转托管或基金通平台做市份额转出等业务。</w:t>
      </w:r>
    </w:p>
    <w:p w14:paraId="4FE3834E">
      <w:pPr>
        <w:widowControl/>
        <w:spacing w:line="560" w:lineRule="exact"/>
        <w:ind w:firstLine="640"/>
        <w:jc w:val="left"/>
        <w:outlineLvl w:val="2"/>
        <w:rPr>
          <w:rFonts w:ascii="Times New Roman" w:hAnsi="Times New Roman" w:eastAsia="楷体_GB2312" w:cs="Times New Roman"/>
          <w:sz w:val="30"/>
          <w:szCs w:val="30"/>
          <w:highlight w:val="none"/>
        </w:rPr>
      </w:pPr>
      <w:bookmarkStart w:id="375" w:name="_Toc29842"/>
      <w:bookmarkStart w:id="376" w:name="_Toc8200"/>
      <w:bookmarkStart w:id="377" w:name="_Toc8616"/>
      <w:bookmarkStart w:id="378" w:name="_Toc6248"/>
      <w:bookmarkStart w:id="379" w:name="_Toc30565"/>
      <w:bookmarkStart w:id="380" w:name="_Toc2267"/>
      <w:bookmarkStart w:id="381" w:name="_Toc9943"/>
      <w:bookmarkStart w:id="382" w:name="_Toc12829"/>
      <w:bookmarkStart w:id="383" w:name="_Toc19507"/>
      <w:bookmarkStart w:id="384" w:name="_Toc12284"/>
      <w:bookmarkStart w:id="385" w:name="_Toc1475"/>
      <w:bookmarkStart w:id="386" w:name="_Toc29929"/>
      <w:r>
        <w:rPr>
          <w:rFonts w:ascii="Times New Roman" w:hAnsi="Times New Roman" w:eastAsia="楷体_GB2312" w:cs="Times New Roman"/>
          <w:b/>
          <w:bCs/>
          <w:kern w:val="0"/>
          <w:sz w:val="30"/>
          <w:szCs w:val="30"/>
          <w:highlight w:val="none"/>
        </w:rPr>
        <w:t>（三）限售锁定期</w:t>
      </w:r>
      <w:bookmarkEnd w:id="375"/>
      <w:bookmarkEnd w:id="376"/>
      <w:r>
        <w:rPr>
          <w:rFonts w:ascii="Times New Roman" w:hAnsi="Times New Roman" w:eastAsia="楷体_GB2312" w:cs="Times New Roman"/>
          <w:b/>
          <w:bCs/>
          <w:kern w:val="0"/>
          <w:sz w:val="30"/>
          <w:szCs w:val="30"/>
          <w:highlight w:val="none"/>
        </w:rPr>
        <w:t>管理</w:t>
      </w:r>
      <w:bookmarkEnd w:id="377"/>
      <w:bookmarkEnd w:id="378"/>
      <w:bookmarkEnd w:id="379"/>
      <w:bookmarkEnd w:id="380"/>
      <w:bookmarkEnd w:id="381"/>
      <w:bookmarkEnd w:id="382"/>
      <w:bookmarkEnd w:id="383"/>
      <w:bookmarkEnd w:id="384"/>
      <w:bookmarkEnd w:id="385"/>
      <w:bookmarkEnd w:id="386"/>
    </w:p>
    <w:p w14:paraId="6631328E">
      <w:pPr>
        <w:widowControl/>
        <w:spacing w:line="560" w:lineRule="exact"/>
        <w:ind w:firstLine="640"/>
        <w:rPr>
          <w:rFonts w:ascii="Times New Roman" w:hAnsi="Times New Roman" w:eastAsia="仿宋_GB2312" w:cs="Times New Roman"/>
          <w:sz w:val="30"/>
          <w:szCs w:val="30"/>
          <w:highlight w:val="none"/>
        </w:rPr>
      </w:pPr>
      <w:r>
        <w:rPr>
          <w:rFonts w:ascii="Times New Roman" w:hAnsi="Times New Roman" w:eastAsia="仿宋_GB2312" w:cs="Times New Roman"/>
          <w:sz w:val="30"/>
          <w:szCs w:val="30"/>
          <w:highlight w:val="none"/>
        </w:rPr>
        <w:t>新购入</w:t>
      </w:r>
      <w:r>
        <w:rPr>
          <w:rFonts w:hint="eastAsia" w:ascii="Times New Roman" w:hAnsi="Times New Roman" w:eastAsia="仿宋_GB2312" w:cs="Times New Roman"/>
          <w:sz w:val="30"/>
          <w:szCs w:val="30"/>
          <w:highlight w:val="none"/>
        </w:rPr>
        <w:t>不动产</w:t>
      </w:r>
      <w:r>
        <w:rPr>
          <w:rFonts w:ascii="Times New Roman" w:hAnsi="Times New Roman" w:eastAsia="仿宋_GB2312" w:cs="Times New Roman"/>
          <w:sz w:val="30"/>
          <w:szCs w:val="30"/>
          <w:highlight w:val="none"/>
        </w:rPr>
        <w:t>项目的原始权益人或其同一控制下的关联方通过战略配售方式获得</w:t>
      </w:r>
      <w:r>
        <w:rPr>
          <w:rFonts w:hint="eastAsia" w:ascii="Times New Roman" w:hAnsi="Times New Roman" w:eastAsia="仿宋_GB2312" w:cs="Times New Roman"/>
          <w:sz w:val="30"/>
          <w:szCs w:val="30"/>
          <w:highlight w:val="none"/>
        </w:rPr>
        <w:t>不动产</w:t>
      </w:r>
      <w:r>
        <w:rPr>
          <w:rFonts w:ascii="Times New Roman" w:hAnsi="Times New Roman" w:eastAsia="仿宋_GB2312" w:cs="Times New Roman"/>
          <w:sz w:val="30"/>
          <w:szCs w:val="30"/>
          <w:highlight w:val="none"/>
        </w:rPr>
        <w:t>基金扩募份额的，其中基金扩募份额发售总量的20%持有期自上市之日起不少于60个月，超过20%部分持有期自上市之日起不少于36个月，限售期间内不允许质押。</w:t>
      </w:r>
    </w:p>
    <w:p w14:paraId="6948C8D6">
      <w:pPr>
        <w:widowControl/>
        <w:spacing w:line="560" w:lineRule="exact"/>
        <w:ind w:firstLine="640"/>
        <w:rPr>
          <w:rFonts w:ascii="Times New Roman" w:hAnsi="Times New Roman" w:eastAsia="仿宋_GB2312" w:cs="Times New Roman"/>
          <w:sz w:val="30"/>
          <w:szCs w:val="30"/>
          <w:highlight w:val="none"/>
        </w:rPr>
      </w:pPr>
      <w:r>
        <w:rPr>
          <w:rFonts w:ascii="Times New Roman" w:hAnsi="Times New Roman" w:eastAsia="仿宋_GB2312" w:cs="Times New Roman"/>
          <w:sz w:val="30"/>
          <w:szCs w:val="30"/>
          <w:highlight w:val="none"/>
        </w:rPr>
        <w:t>通过向原持有人配售方式获得的扩募份额，可以不限售，也可以设置限售。基金管理人需事先在公告中披露扩募份额有无限售，以及限售的具体安排。</w:t>
      </w:r>
    </w:p>
    <w:p w14:paraId="284DB886">
      <w:pPr>
        <w:widowControl/>
        <w:spacing w:line="560" w:lineRule="exact"/>
        <w:ind w:firstLine="600" w:firstLineChars="200"/>
        <w:jc w:val="left"/>
        <w:rPr>
          <w:rFonts w:ascii="Times New Roman" w:hAnsi="Times New Roman" w:eastAsia="仿宋_GB2312" w:cs="Times New Roman"/>
          <w:sz w:val="30"/>
          <w:szCs w:val="30"/>
          <w:highlight w:val="none"/>
        </w:rPr>
      </w:pPr>
      <w:r>
        <w:rPr>
          <w:rFonts w:ascii="Times New Roman" w:hAnsi="Times New Roman" w:eastAsia="仿宋_GB2312" w:cs="Times New Roman"/>
          <w:sz w:val="30"/>
          <w:szCs w:val="30"/>
          <w:highlight w:val="none"/>
        </w:rPr>
        <w:t>扩募份额解限/解锁参照《上海证券交易所公开募集</w:t>
      </w:r>
      <w:r>
        <w:rPr>
          <w:rFonts w:hint="eastAsia" w:ascii="Times New Roman" w:hAnsi="Times New Roman" w:eastAsia="仿宋_GB2312" w:cs="Times New Roman"/>
          <w:sz w:val="30"/>
          <w:szCs w:val="30"/>
          <w:highlight w:val="none"/>
        </w:rPr>
        <w:t>不动产投资信托</w:t>
      </w:r>
      <w:r>
        <w:rPr>
          <w:rFonts w:ascii="Times New Roman" w:hAnsi="Times New Roman" w:eastAsia="仿宋_GB2312" w:cs="Times New Roman"/>
          <w:sz w:val="30"/>
          <w:szCs w:val="30"/>
          <w:highlight w:val="none"/>
        </w:rPr>
        <w:t>基金（REITs）业务指南第2号——存续业务》</w:t>
      </w:r>
      <w:r>
        <w:rPr>
          <w:rFonts w:hint="eastAsia" w:ascii="Times New Roman" w:hAnsi="Times New Roman" w:eastAsia="仿宋_GB2312" w:cs="Times New Roman"/>
          <w:sz w:val="30"/>
          <w:szCs w:val="30"/>
          <w:highlight w:val="none"/>
        </w:rPr>
        <w:t>（以下简称《2号指南》）</w:t>
      </w:r>
      <w:r>
        <w:rPr>
          <w:rFonts w:ascii="Times New Roman" w:hAnsi="Times New Roman" w:eastAsia="仿宋_GB2312" w:cs="Times New Roman"/>
          <w:sz w:val="30"/>
          <w:szCs w:val="30"/>
          <w:highlight w:val="none"/>
        </w:rPr>
        <w:t>第二章内容办理。</w:t>
      </w:r>
    </w:p>
    <w:p w14:paraId="48ACAD0B">
      <w:pPr>
        <w:widowControl/>
        <w:spacing w:line="560" w:lineRule="exact"/>
        <w:ind w:firstLine="602" w:firstLineChars="200"/>
        <w:jc w:val="left"/>
        <w:outlineLvl w:val="1"/>
        <w:rPr>
          <w:rFonts w:ascii="Times New Roman" w:hAnsi="Times New Roman" w:eastAsia="黑体" w:cs="Times New Roman"/>
          <w:b/>
          <w:bCs w:val="0"/>
          <w:sz w:val="30"/>
          <w:szCs w:val="30"/>
          <w:highlight w:val="none"/>
        </w:rPr>
      </w:pPr>
      <w:bookmarkStart w:id="387" w:name="_Toc7700"/>
      <w:bookmarkStart w:id="388" w:name="_Toc5710"/>
      <w:bookmarkStart w:id="389" w:name="_Toc18479"/>
      <w:bookmarkStart w:id="390" w:name="_Toc6247"/>
      <w:bookmarkStart w:id="391" w:name="_Toc15013"/>
      <w:bookmarkStart w:id="392" w:name="_Toc19437"/>
      <w:bookmarkStart w:id="393" w:name="_Toc6906"/>
      <w:bookmarkStart w:id="394" w:name="_Toc28497"/>
      <w:bookmarkStart w:id="395" w:name="_Toc764"/>
      <w:bookmarkStart w:id="396" w:name="_Toc17217"/>
      <w:bookmarkStart w:id="397" w:name="_Toc8657"/>
      <w:bookmarkStart w:id="398" w:name="_Toc3591"/>
      <w:r>
        <w:rPr>
          <w:rFonts w:ascii="Times New Roman" w:hAnsi="Times New Roman" w:eastAsia="黑体" w:cs="Times New Roman"/>
          <w:b/>
          <w:bCs w:val="0"/>
          <w:sz w:val="30"/>
          <w:szCs w:val="30"/>
          <w:highlight w:val="none"/>
        </w:rPr>
        <w:t>四、发售其他安排</w:t>
      </w:r>
      <w:bookmarkEnd w:id="387"/>
      <w:bookmarkEnd w:id="388"/>
      <w:bookmarkEnd w:id="389"/>
      <w:bookmarkEnd w:id="390"/>
      <w:bookmarkEnd w:id="391"/>
      <w:bookmarkEnd w:id="392"/>
      <w:bookmarkEnd w:id="393"/>
      <w:bookmarkEnd w:id="394"/>
      <w:bookmarkEnd w:id="395"/>
      <w:bookmarkEnd w:id="396"/>
      <w:bookmarkEnd w:id="397"/>
      <w:bookmarkEnd w:id="398"/>
    </w:p>
    <w:p w14:paraId="237759F6">
      <w:pPr>
        <w:spacing w:line="560" w:lineRule="exact"/>
        <w:ind w:firstLine="602" w:firstLineChars="200"/>
        <w:outlineLvl w:val="2"/>
        <w:rPr>
          <w:rFonts w:ascii="Times New Roman" w:hAnsi="Times New Roman" w:eastAsia="楷体_GB2312" w:cs="Times New Roman"/>
          <w:b/>
          <w:bCs/>
          <w:kern w:val="0"/>
          <w:sz w:val="30"/>
          <w:szCs w:val="30"/>
          <w:highlight w:val="none"/>
        </w:rPr>
      </w:pPr>
      <w:bookmarkStart w:id="399" w:name="_Toc15135"/>
      <w:bookmarkStart w:id="400" w:name="_Toc14059"/>
      <w:bookmarkStart w:id="401" w:name="_Toc22631"/>
      <w:bookmarkStart w:id="402" w:name="_Toc12735"/>
      <w:bookmarkStart w:id="403" w:name="_Toc10910"/>
      <w:bookmarkStart w:id="404" w:name="_Toc25985"/>
      <w:bookmarkStart w:id="405" w:name="_Toc6544"/>
      <w:bookmarkStart w:id="406" w:name="_Toc6979"/>
      <w:bookmarkStart w:id="407" w:name="_Toc15401"/>
      <w:bookmarkStart w:id="408" w:name="_Toc14900"/>
      <w:bookmarkStart w:id="409" w:name="_Toc8990"/>
      <w:bookmarkStart w:id="410" w:name="_Toc8110"/>
      <w:r>
        <w:rPr>
          <w:rFonts w:ascii="Times New Roman" w:hAnsi="Times New Roman" w:eastAsia="楷体_GB2312" w:cs="Times New Roman"/>
          <w:b/>
          <w:bCs/>
          <w:kern w:val="0"/>
          <w:sz w:val="30"/>
          <w:szCs w:val="30"/>
          <w:highlight w:val="none"/>
        </w:rPr>
        <w:t>（一）认购期间停复牌管理</w:t>
      </w:r>
      <w:bookmarkEnd w:id="399"/>
      <w:bookmarkEnd w:id="400"/>
      <w:bookmarkEnd w:id="401"/>
      <w:bookmarkEnd w:id="402"/>
      <w:bookmarkEnd w:id="403"/>
      <w:bookmarkEnd w:id="404"/>
      <w:bookmarkEnd w:id="405"/>
      <w:bookmarkEnd w:id="406"/>
      <w:bookmarkEnd w:id="407"/>
      <w:bookmarkEnd w:id="408"/>
    </w:p>
    <w:p w14:paraId="34C2F97A">
      <w:pPr>
        <w:widowControl/>
        <w:spacing w:line="560" w:lineRule="exact"/>
        <w:ind w:firstLine="600" w:firstLineChars="200"/>
        <w:rPr>
          <w:rFonts w:ascii="Times New Roman" w:hAnsi="Times New Roman" w:eastAsia="仿宋_GB2312" w:cs="Times New Roman"/>
          <w:bCs/>
          <w:sz w:val="30"/>
          <w:szCs w:val="30"/>
          <w:highlight w:val="none"/>
        </w:rPr>
      </w:pPr>
      <w:r>
        <w:rPr>
          <w:rFonts w:ascii="Times New Roman" w:hAnsi="Times New Roman" w:eastAsia="仿宋_GB2312" w:cs="Times New Roman"/>
          <w:bCs/>
          <w:sz w:val="30"/>
          <w:szCs w:val="30"/>
          <w:highlight w:val="none"/>
        </w:rPr>
        <w:t>基金管理人应在发售公告中披露认购期间停复牌安排，停牌区间为[T,M+1]，M+2日复牌。</w:t>
      </w:r>
    </w:p>
    <w:bookmarkEnd w:id="409"/>
    <w:bookmarkEnd w:id="410"/>
    <w:p w14:paraId="36E97F42">
      <w:pPr>
        <w:widowControl/>
        <w:numPr>
          <w:ilvl w:val="255"/>
          <w:numId w:val="0"/>
        </w:numPr>
        <w:spacing w:line="560" w:lineRule="exact"/>
        <w:ind w:firstLine="602" w:firstLineChars="200"/>
        <w:jc w:val="left"/>
        <w:outlineLvl w:val="2"/>
        <w:rPr>
          <w:rFonts w:ascii="Times New Roman" w:hAnsi="Times New Roman" w:eastAsia="楷体_GB2312" w:cs="Times New Roman"/>
          <w:b/>
          <w:bCs/>
          <w:kern w:val="0"/>
          <w:sz w:val="30"/>
          <w:szCs w:val="30"/>
          <w:highlight w:val="none"/>
        </w:rPr>
      </w:pPr>
      <w:bookmarkStart w:id="411" w:name="_Toc4708"/>
      <w:bookmarkStart w:id="412" w:name="_Toc10130"/>
      <w:bookmarkStart w:id="413" w:name="_Toc8138"/>
      <w:bookmarkStart w:id="414" w:name="_Toc28929"/>
      <w:bookmarkStart w:id="415" w:name="_Toc4568"/>
      <w:bookmarkStart w:id="416" w:name="_Toc11498"/>
      <w:bookmarkStart w:id="417" w:name="_Toc5387"/>
      <w:bookmarkStart w:id="418" w:name="_Toc4080"/>
      <w:bookmarkStart w:id="419" w:name="_Toc13195"/>
      <w:bookmarkStart w:id="420" w:name="_Toc30780"/>
      <w:bookmarkStart w:id="421" w:name="_Toc1352"/>
      <w:bookmarkStart w:id="422" w:name="_Toc3188"/>
      <w:r>
        <w:rPr>
          <w:rFonts w:ascii="Times New Roman" w:hAnsi="Times New Roman" w:eastAsia="楷体_GB2312" w:cs="Times New Roman"/>
          <w:b/>
          <w:bCs/>
          <w:kern w:val="0"/>
          <w:sz w:val="30"/>
          <w:szCs w:val="30"/>
          <w:highlight w:val="none"/>
        </w:rPr>
        <w:t>（二）除权</w:t>
      </w:r>
      <w:bookmarkEnd w:id="411"/>
      <w:bookmarkEnd w:id="412"/>
      <w:bookmarkEnd w:id="413"/>
      <w:bookmarkEnd w:id="414"/>
      <w:bookmarkEnd w:id="415"/>
      <w:bookmarkEnd w:id="416"/>
      <w:bookmarkEnd w:id="417"/>
      <w:bookmarkEnd w:id="418"/>
      <w:bookmarkEnd w:id="419"/>
      <w:bookmarkEnd w:id="420"/>
      <w:bookmarkEnd w:id="421"/>
      <w:bookmarkEnd w:id="422"/>
    </w:p>
    <w:p w14:paraId="36C3DAD2">
      <w:pPr>
        <w:widowControl/>
        <w:numPr>
          <w:ilvl w:val="0"/>
          <w:numId w:val="1"/>
        </w:numPr>
        <w:spacing w:line="560" w:lineRule="exact"/>
        <w:ind w:left="197" w:firstLine="643"/>
        <w:rPr>
          <w:rFonts w:ascii="Times New Roman" w:hAnsi="Times New Roman" w:eastAsia="仿宋_GB2312" w:cs="Times New Roman"/>
          <w:b/>
          <w:sz w:val="30"/>
          <w:szCs w:val="30"/>
          <w:highlight w:val="none"/>
        </w:rPr>
      </w:pPr>
      <w:r>
        <w:rPr>
          <w:rFonts w:ascii="Times New Roman" w:hAnsi="Times New Roman" w:eastAsia="仿宋_GB2312" w:cs="Times New Roman"/>
          <w:b/>
          <w:sz w:val="30"/>
          <w:szCs w:val="30"/>
          <w:highlight w:val="none"/>
        </w:rPr>
        <w:t>M+1日12:00前</w:t>
      </w:r>
    </w:p>
    <w:p w14:paraId="12AE8DF2">
      <w:pPr>
        <w:widowControl/>
        <w:numPr>
          <w:ilvl w:val="255"/>
          <w:numId w:val="0"/>
        </w:numPr>
        <w:spacing w:line="560" w:lineRule="exact"/>
        <w:ind w:firstLine="640"/>
        <w:jc w:val="left"/>
        <w:rPr>
          <w:rFonts w:ascii="Times New Roman" w:hAnsi="Times New Roman" w:eastAsia="仿宋_GB2312" w:cs="Times New Roman"/>
          <w:sz w:val="30"/>
          <w:szCs w:val="30"/>
          <w:highlight w:val="none"/>
        </w:rPr>
      </w:pPr>
      <w:r>
        <w:rPr>
          <w:rFonts w:ascii="Times New Roman" w:hAnsi="Times New Roman" w:eastAsia="仿宋_GB2312" w:cs="Times New Roman"/>
          <w:sz w:val="30"/>
          <w:szCs w:val="30"/>
          <w:highlight w:val="none"/>
        </w:rPr>
        <w:t>若发行成功，基金管理人应于</w:t>
      </w:r>
      <w:r>
        <w:rPr>
          <w:rFonts w:ascii="Times New Roman" w:hAnsi="Times New Roman" w:eastAsia="仿宋_GB2312" w:cs="Times New Roman"/>
          <w:bCs/>
          <w:sz w:val="30"/>
          <w:szCs w:val="30"/>
          <w:highlight w:val="none"/>
        </w:rPr>
        <w:t>M+1日</w:t>
      </w:r>
      <w:r>
        <w:rPr>
          <w:rFonts w:ascii="Times New Roman" w:hAnsi="Times New Roman" w:eastAsia="仿宋_GB2312" w:cs="Times New Roman"/>
          <w:sz w:val="30"/>
          <w:szCs w:val="30"/>
          <w:highlight w:val="none"/>
        </w:rPr>
        <w:t>12:00前及时向本所提交除权流程，明确除权生效日（即M+2日）、除权价格，并在公告中明确除权价格计算相关参数。</w:t>
      </w:r>
    </w:p>
    <w:p w14:paraId="4D8846B8">
      <w:pPr>
        <w:widowControl/>
        <w:numPr>
          <w:ilvl w:val="0"/>
          <w:numId w:val="1"/>
        </w:numPr>
        <w:spacing w:line="560" w:lineRule="exact"/>
        <w:ind w:left="197" w:firstLine="643"/>
        <w:rPr>
          <w:rFonts w:ascii="Times New Roman" w:hAnsi="Times New Roman" w:eastAsia="仿宋_GB2312" w:cs="Times New Roman"/>
          <w:b/>
          <w:sz w:val="30"/>
          <w:szCs w:val="30"/>
          <w:highlight w:val="none"/>
        </w:rPr>
      </w:pPr>
      <w:r>
        <w:rPr>
          <w:rFonts w:ascii="Times New Roman" w:hAnsi="Times New Roman" w:eastAsia="仿宋_GB2312" w:cs="Times New Roman"/>
          <w:b/>
          <w:sz w:val="30"/>
          <w:szCs w:val="30"/>
          <w:highlight w:val="none"/>
        </w:rPr>
        <w:t>M+2日</w:t>
      </w:r>
    </w:p>
    <w:p w14:paraId="000DD777">
      <w:pPr>
        <w:widowControl/>
        <w:numPr>
          <w:ilvl w:val="255"/>
          <w:numId w:val="0"/>
        </w:numPr>
        <w:spacing w:line="560" w:lineRule="exact"/>
        <w:ind w:firstLine="640"/>
        <w:jc w:val="left"/>
        <w:rPr>
          <w:rFonts w:ascii="Times New Roman" w:hAnsi="Times New Roman" w:eastAsia="仿宋_GB2312" w:cs="Times New Roman"/>
          <w:sz w:val="30"/>
          <w:szCs w:val="30"/>
          <w:highlight w:val="none"/>
        </w:rPr>
      </w:pPr>
      <w:r>
        <w:rPr>
          <w:rFonts w:ascii="Times New Roman" w:hAnsi="Times New Roman" w:eastAsia="仿宋_GB2312" w:cs="Times New Roman"/>
          <w:sz w:val="30"/>
          <w:szCs w:val="30"/>
          <w:highlight w:val="none"/>
        </w:rPr>
        <w:t>以当日开盘基准价进行除权，当日证券简称以XR开头标识。</w:t>
      </w:r>
    </w:p>
    <w:p w14:paraId="2E0FA2CF">
      <w:pPr>
        <w:widowControl/>
        <w:numPr>
          <w:ilvl w:val="255"/>
          <w:numId w:val="0"/>
        </w:numPr>
        <w:spacing w:line="560" w:lineRule="exact"/>
        <w:ind w:firstLine="640"/>
        <w:jc w:val="left"/>
        <w:rPr>
          <w:rFonts w:ascii="Times New Roman" w:hAnsi="Times New Roman" w:eastAsia="仿宋_GB2312" w:cs="Times New Roman"/>
          <w:sz w:val="30"/>
          <w:szCs w:val="30"/>
          <w:highlight w:val="none"/>
        </w:rPr>
      </w:pPr>
      <w:r>
        <w:rPr>
          <w:rFonts w:ascii="Times New Roman" w:hAnsi="Times New Roman" w:eastAsia="仿宋_GB2312" w:cs="Times New Roman"/>
          <w:sz w:val="30"/>
          <w:szCs w:val="30"/>
          <w:highlight w:val="none"/>
        </w:rPr>
        <w:t>除权价格即除权生效日开盘参考价，计算公式为：</w:t>
      </w:r>
    </w:p>
    <w:p w14:paraId="28E5A9FB">
      <w:pPr>
        <w:widowControl/>
        <w:numPr>
          <w:ilvl w:val="255"/>
          <w:numId w:val="0"/>
        </w:numPr>
        <w:spacing w:line="560" w:lineRule="exact"/>
        <w:ind w:firstLine="640"/>
        <w:jc w:val="left"/>
        <w:rPr>
          <w:rFonts w:ascii="Times New Roman" w:hAnsi="Times New Roman" w:eastAsia="仿宋_GB2312" w:cs="Times New Roman"/>
          <w:sz w:val="30"/>
          <w:szCs w:val="30"/>
          <w:highlight w:val="none"/>
        </w:rPr>
      </w:pPr>
      <w:r>
        <w:rPr>
          <w:rFonts w:ascii="Times New Roman" w:hAnsi="Times New Roman" w:eastAsia="仿宋_GB2312" w:cs="Times New Roman"/>
          <w:sz w:val="30"/>
          <w:szCs w:val="30"/>
          <w:highlight w:val="none"/>
        </w:rPr>
        <w:t>除权（息）价格＝[（前收盘价格-现金红利）+向持有人配售价格×新发相关份额占比</w:t>
      </w:r>
      <w:r>
        <w:rPr>
          <w:rStyle w:val="26"/>
          <w:rFonts w:ascii="Times New Roman" w:hAnsi="Times New Roman" w:eastAsia="仿宋_GB2312" w:cs="Times New Roman"/>
          <w:sz w:val="30"/>
          <w:szCs w:val="30"/>
          <w:highlight w:val="none"/>
        </w:rPr>
        <w:footnoteReference w:id="0"/>
      </w:r>
      <w:r>
        <w:rPr>
          <w:rFonts w:ascii="Times New Roman" w:hAnsi="Times New Roman" w:eastAsia="仿宋_GB2312" w:cs="Times New Roman"/>
          <w:sz w:val="30"/>
          <w:szCs w:val="30"/>
          <w:highlight w:val="none"/>
        </w:rPr>
        <w:t>+战略配售价格×新发相关份额占比</w:t>
      </w:r>
      <w:r>
        <w:rPr>
          <w:rStyle w:val="26"/>
          <w:rFonts w:ascii="Times New Roman" w:hAnsi="Times New Roman" w:eastAsia="仿宋_GB2312" w:cs="Times New Roman"/>
          <w:sz w:val="30"/>
          <w:szCs w:val="30"/>
          <w:highlight w:val="none"/>
        </w:rPr>
        <w:footnoteReference w:id="1"/>
      </w:r>
      <w:r>
        <w:rPr>
          <w:rFonts w:ascii="Times New Roman" w:hAnsi="Times New Roman" w:eastAsia="仿宋_GB2312" w:cs="Times New Roman"/>
          <w:sz w:val="30"/>
          <w:szCs w:val="30"/>
          <w:highlight w:val="none"/>
        </w:rPr>
        <w:t>]/（1+合计新发份额占比</w:t>
      </w:r>
      <w:r>
        <w:rPr>
          <w:rStyle w:val="26"/>
          <w:rFonts w:ascii="Times New Roman" w:hAnsi="Times New Roman" w:eastAsia="仿宋_GB2312" w:cs="Times New Roman"/>
          <w:sz w:val="30"/>
          <w:szCs w:val="30"/>
          <w:highlight w:val="none"/>
        </w:rPr>
        <w:footnoteReference w:id="2"/>
      </w:r>
      <w:r>
        <w:rPr>
          <w:rFonts w:ascii="Times New Roman" w:hAnsi="Times New Roman" w:eastAsia="仿宋_GB2312" w:cs="Times New Roman"/>
          <w:sz w:val="30"/>
          <w:szCs w:val="30"/>
          <w:highlight w:val="none"/>
        </w:rPr>
        <w:t>）。</w:t>
      </w:r>
    </w:p>
    <w:bookmarkEnd w:id="364"/>
    <w:p w14:paraId="0DB6CDF1">
      <w:pPr>
        <w:spacing w:line="560" w:lineRule="exact"/>
        <w:ind w:firstLine="602" w:firstLineChars="200"/>
        <w:outlineLvl w:val="1"/>
        <w:rPr>
          <w:rFonts w:ascii="Times New Roman" w:hAnsi="Times New Roman" w:eastAsia="黑体" w:cs="Times New Roman"/>
          <w:b/>
          <w:bCs w:val="0"/>
          <w:sz w:val="30"/>
          <w:szCs w:val="30"/>
          <w:highlight w:val="none"/>
        </w:rPr>
      </w:pPr>
      <w:bookmarkStart w:id="423" w:name="_Toc28045"/>
      <w:bookmarkStart w:id="424" w:name="_Toc20775"/>
      <w:bookmarkStart w:id="425" w:name="_Toc7365"/>
      <w:bookmarkStart w:id="426" w:name="_Toc1149"/>
      <w:bookmarkStart w:id="427" w:name="_Toc31731"/>
      <w:bookmarkStart w:id="428" w:name="_Toc12717"/>
      <w:bookmarkStart w:id="429" w:name="_Toc8516"/>
      <w:bookmarkStart w:id="430" w:name="_Toc18902"/>
      <w:bookmarkStart w:id="431" w:name="_Toc3370"/>
      <w:bookmarkStart w:id="432" w:name="_Toc10192"/>
      <w:bookmarkStart w:id="433" w:name="_Toc27109"/>
      <w:bookmarkStart w:id="434" w:name="_Toc11497"/>
      <w:r>
        <w:rPr>
          <w:rFonts w:ascii="Times New Roman" w:hAnsi="Times New Roman" w:eastAsia="黑体" w:cs="Times New Roman"/>
          <w:b/>
          <w:bCs w:val="0"/>
          <w:sz w:val="30"/>
          <w:szCs w:val="30"/>
          <w:highlight w:val="none"/>
        </w:rPr>
        <w:t>五、发行结果公告</w:t>
      </w:r>
      <w:bookmarkEnd w:id="423"/>
      <w:bookmarkEnd w:id="424"/>
      <w:bookmarkEnd w:id="425"/>
      <w:bookmarkEnd w:id="426"/>
      <w:bookmarkEnd w:id="427"/>
      <w:bookmarkEnd w:id="428"/>
      <w:bookmarkEnd w:id="429"/>
      <w:bookmarkEnd w:id="430"/>
      <w:bookmarkEnd w:id="431"/>
      <w:bookmarkEnd w:id="432"/>
      <w:bookmarkEnd w:id="433"/>
      <w:bookmarkEnd w:id="434"/>
    </w:p>
    <w:p w14:paraId="39073C2A">
      <w:pPr>
        <w:autoSpaceDE w:val="0"/>
        <w:spacing w:line="560" w:lineRule="exact"/>
        <w:ind w:firstLine="602" w:firstLineChars="200"/>
        <w:outlineLvl w:val="2"/>
        <w:rPr>
          <w:rFonts w:ascii="Times New Roman" w:hAnsi="Times New Roman" w:eastAsia="楷体_GB2312" w:cs="Times New Roman"/>
          <w:b/>
          <w:bCs/>
          <w:kern w:val="0"/>
          <w:sz w:val="30"/>
          <w:szCs w:val="30"/>
          <w:highlight w:val="none"/>
        </w:rPr>
      </w:pPr>
      <w:bookmarkStart w:id="435" w:name="_Toc15925"/>
      <w:bookmarkStart w:id="436" w:name="_Toc11803"/>
      <w:bookmarkStart w:id="437" w:name="_Toc3463"/>
      <w:bookmarkStart w:id="438" w:name="_Toc20318"/>
      <w:bookmarkStart w:id="439" w:name="_Toc13156"/>
      <w:bookmarkStart w:id="440" w:name="_Toc27553"/>
      <w:bookmarkStart w:id="441" w:name="_Toc15400"/>
      <w:bookmarkStart w:id="442" w:name="_Toc25548"/>
      <w:bookmarkStart w:id="443" w:name="_Toc16360"/>
      <w:bookmarkStart w:id="444" w:name="_Toc2226"/>
      <w:bookmarkStart w:id="445" w:name="_Toc3648"/>
      <w:bookmarkStart w:id="446" w:name="_Toc20445"/>
      <w:r>
        <w:rPr>
          <w:rFonts w:ascii="Times New Roman" w:hAnsi="Times New Roman" w:eastAsia="楷体_GB2312" w:cs="Times New Roman"/>
          <w:b/>
          <w:bCs/>
          <w:kern w:val="0"/>
          <w:sz w:val="30"/>
          <w:szCs w:val="30"/>
          <w:highlight w:val="none"/>
        </w:rPr>
        <w:t>（一）发行成功</w:t>
      </w:r>
      <w:bookmarkEnd w:id="435"/>
      <w:bookmarkEnd w:id="436"/>
      <w:bookmarkEnd w:id="437"/>
      <w:bookmarkEnd w:id="438"/>
      <w:bookmarkEnd w:id="439"/>
      <w:bookmarkEnd w:id="440"/>
      <w:bookmarkEnd w:id="441"/>
      <w:bookmarkEnd w:id="442"/>
      <w:bookmarkEnd w:id="443"/>
      <w:bookmarkEnd w:id="444"/>
      <w:bookmarkEnd w:id="445"/>
      <w:bookmarkEnd w:id="446"/>
    </w:p>
    <w:p w14:paraId="659BF823">
      <w:pPr>
        <w:widowControl/>
        <w:numPr>
          <w:ilvl w:val="0"/>
          <w:numId w:val="1"/>
        </w:numPr>
        <w:spacing w:line="560" w:lineRule="exact"/>
        <w:ind w:left="197" w:firstLine="643"/>
        <w:rPr>
          <w:rFonts w:ascii="Times New Roman" w:hAnsi="Times New Roman" w:eastAsia="仿宋_GB2312" w:cs="Times New Roman"/>
          <w:b/>
          <w:sz w:val="30"/>
          <w:szCs w:val="30"/>
          <w:highlight w:val="none"/>
        </w:rPr>
      </w:pPr>
      <w:r>
        <w:rPr>
          <w:rFonts w:ascii="Times New Roman" w:hAnsi="Times New Roman" w:eastAsia="仿宋_GB2312" w:cs="Times New Roman"/>
          <w:b/>
          <w:sz w:val="30"/>
          <w:szCs w:val="30"/>
          <w:highlight w:val="none"/>
        </w:rPr>
        <w:t>M+1日</w:t>
      </w:r>
    </w:p>
    <w:p w14:paraId="2B8B5199">
      <w:pPr>
        <w:autoSpaceDE w:val="0"/>
        <w:spacing w:line="560" w:lineRule="exact"/>
        <w:ind w:firstLine="640"/>
        <w:rPr>
          <w:rFonts w:ascii="Times New Roman" w:hAnsi="Times New Roman" w:eastAsia="仿宋_GB2312" w:cs="Times New Roman"/>
          <w:bCs/>
          <w:sz w:val="30"/>
          <w:szCs w:val="30"/>
          <w:highlight w:val="none"/>
        </w:rPr>
      </w:pPr>
      <w:r>
        <w:rPr>
          <w:rFonts w:ascii="Times New Roman" w:hAnsi="Times New Roman" w:eastAsia="仿宋_GB2312" w:cs="Times New Roman"/>
          <w:bCs/>
          <w:sz w:val="30"/>
          <w:szCs w:val="30"/>
          <w:highlight w:val="none"/>
        </w:rPr>
        <w:t>基金管理人应披露配售发行结果公告。</w:t>
      </w:r>
      <w:r>
        <w:rPr>
          <w:rFonts w:hint="eastAsia" w:ascii="Times New Roman" w:hAnsi="Times New Roman" w:eastAsia="仿宋_GB2312" w:cs="Times New Roman"/>
          <w:bCs/>
          <w:sz w:val="30"/>
          <w:szCs w:val="30"/>
          <w:highlight w:val="none"/>
        </w:rPr>
        <w:t>不动产</w:t>
      </w:r>
      <w:r>
        <w:rPr>
          <w:rFonts w:ascii="Times New Roman" w:hAnsi="Times New Roman" w:eastAsia="仿宋_GB2312" w:cs="Times New Roman"/>
          <w:bCs/>
          <w:sz w:val="30"/>
          <w:szCs w:val="30"/>
          <w:highlight w:val="none"/>
        </w:rPr>
        <w:t>基金M+2日复牌，基金管理人应按照本指南“第二章向原持有人配售”之“四、发售其他安排”之“（二）除权”对复牌当日</w:t>
      </w:r>
      <w:r>
        <w:rPr>
          <w:rFonts w:hint="eastAsia" w:ascii="Times New Roman" w:hAnsi="Times New Roman" w:eastAsia="仿宋_GB2312" w:cs="Times New Roman"/>
          <w:bCs/>
          <w:sz w:val="30"/>
          <w:szCs w:val="30"/>
          <w:highlight w:val="none"/>
        </w:rPr>
        <w:t>不动产</w:t>
      </w:r>
      <w:r>
        <w:rPr>
          <w:rFonts w:ascii="Times New Roman" w:hAnsi="Times New Roman" w:eastAsia="仿宋_GB2312" w:cs="Times New Roman"/>
          <w:bCs/>
          <w:sz w:val="30"/>
          <w:szCs w:val="30"/>
          <w:highlight w:val="none"/>
        </w:rPr>
        <w:t>基金价格进行除权。</w:t>
      </w:r>
    </w:p>
    <w:p w14:paraId="1AC6303A">
      <w:pPr>
        <w:numPr>
          <w:ilvl w:val="0"/>
          <w:numId w:val="0"/>
        </w:numPr>
        <w:autoSpaceDE w:val="0"/>
        <w:spacing w:line="560" w:lineRule="exact"/>
        <w:ind w:firstLine="602" w:firstLineChars="200"/>
        <w:outlineLvl w:val="2"/>
        <w:rPr>
          <w:rFonts w:ascii="Times New Roman" w:hAnsi="Times New Roman" w:eastAsia="楷体_GB2312" w:cs="Times New Roman"/>
          <w:b/>
          <w:bCs/>
          <w:kern w:val="0"/>
          <w:sz w:val="30"/>
          <w:szCs w:val="30"/>
          <w:highlight w:val="none"/>
        </w:rPr>
      </w:pPr>
      <w:bookmarkStart w:id="447" w:name="_Toc20099"/>
      <w:bookmarkStart w:id="448" w:name="_Toc19376"/>
      <w:bookmarkStart w:id="449" w:name="_Toc18708"/>
      <w:bookmarkStart w:id="450" w:name="_Toc27880"/>
      <w:bookmarkStart w:id="451" w:name="_Toc2587"/>
      <w:bookmarkStart w:id="452" w:name="_Toc17127"/>
      <w:bookmarkStart w:id="453" w:name="_Toc16837"/>
      <w:bookmarkStart w:id="454" w:name="_Toc32026"/>
      <w:bookmarkStart w:id="455" w:name="_Toc8654"/>
      <w:bookmarkStart w:id="456" w:name="_Toc2636"/>
      <w:bookmarkStart w:id="457" w:name="_Toc6385"/>
      <w:bookmarkStart w:id="458" w:name="_Toc25316"/>
      <w:r>
        <w:rPr>
          <w:rFonts w:hint="eastAsia" w:ascii="Times New Roman" w:hAnsi="Times New Roman" w:eastAsia="楷体_GB2312" w:cs="Times New Roman"/>
          <w:b/>
          <w:bCs/>
          <w:kern w:val="0"/>
          <w:sz w:val="30"/>
          <w:szCs w:val="30"/>
          <w:lang w:val="en-US" w:eastAsia="zh-CN" w:bidi="ar-SA"/>
        </w:rPr>
        <w:t>（二）</w:t>
      </w:r>
      <w:r>
        <w:rPr>
          <w:rFonts w:ascii="Times New Roman" w:hAnsi="Times New Roman" w:eastAsia="楷体_GB2312" w:cs="Times New Roman"/>
          <w:b/>
          <w:bCs/>
          <w:kern w:val="0"/>
          <w:sz w:val="30"/>
          <w:szCs w:val="30"/>
          <w:highlight w:val="none"/>
        </w:rPr>
        <w:t>发行失败</w:t>
      </w:r>
      <w:bookmarkEnd w:id="447"/>
      <w:bookmarkEnd w:id="448"/>
      <w:bookmarkEnd w:id="449"/>
      <w:bookmarkEnd w:id="450"/>
      <w:bookmarkEnd w:id="451"/>
      <w:bookmarkEnd w:id="452"/>
      <w:bookmarkEnd w:id="453"/>
      <w:bookmarkEnd w:id="454"/>
      <w:bookmarkEnd w:id="455"/>
      <w:bookmarkEnd w:id="456"/>
      <w:bookmarkEnd w:id="457"/>
      <w:bookmarkEnd w:id="458"/>
    </w:p>
    <w:p w14:paraId="4034EC26">
      <w:pPr>
        <w:widowControl/>
        <w:numPr>
          <w:ilvl w:val="0"/>
          <w:numId w:val="1"/>
        </w:numPr>
        <w:spacing w:line="560" w:lineRule="exact"/>
        <w:ind w:left="197" w:firstLine="643"/>
        <w:rPr>
          <w:rFonts w:ascii="Times New Roman" w:hAnsi="Times New Roman" w:eastAsia="仿宋_GB2312" w:cs="Times New Roman"/>
          <w:b/>
          <w:sz w:val="30"/>
          <w:szCs w:val="30"/>
          <w:highlight w:val="none"/>
        </w:rPr>
      </w:pPr>
      <w:r>
        <w:rPr>
          <w:rFonts w:ascii="Times New Roman" w:hAnsi="Times New Roman" w:eastAsia="仿宋_GB2312" w:cs="Times New Roman"/>
          <w:b/>
          <w:sz w:val="30"/>
          <w:szCs w:val="30"/>
          <w:highlight w:val="none"/>
        </w:rPr>
        <w:t>M+1日</w:t>
      </w:r>
    </w:p>
    <w:p w14:paraId="495447CB">
      <w:pPr>
        <w:widowControl/>
        <w:numPr>
          <w:ilvl w:val="255"/>
          <w:numId w:val="0"/>
        </w:numPr>
        <w:autoSpaceDE w:val="0"/>
        <w:spacing w:line="560" w:lineRule="exact"/>
        <w:ind w:firstLine="600" w:firstLineChars="200"/>
        <w:jc w:val="left"/>
        <w:rPr>
          <w:rFonts w:ascii="Times New Roman" w:hAnsi="Times New Roman" w:eastAsia="楷体_GB2312" w:cs="Times New Roman"/>
          <w:b/>
          <w:bCs/>
          <w:kern w:val="0"/>
          <w:sz w:val="30"/>
          <w:szCs w:val="30"/>
          <w:highlight w:val="none"/>
        </w:rPr>
      </w:pPr>
      <w:r>
        <w:rPr>
          <w:rFonts w:ascii="Times New Roman" w:hAnsi="Times New Roman" w:eastAsia="仿宋_GB2312" w:cs="Times New Roman"/>
          <w:bCs/>
          <w:sz w:val="30"/>
          <w:szCs w:val="30"/>
          <w:highlight w:val="none"/>
        </w:rPr>
        <w:t>基金扩募发售失败的，基金管理人应披露配售发行失败结果公告。</w:t>
      </w:r>
    </w:p>
    <w:p w14:paraId="4153165B">
      <w:pPr>
        <w:autoSpaceDE w:val="0"/>
        <w:spacing w:line="560" w:lineRule="exact"/>
        <w:ind w:firstLine="640"/>
        <w:rPr>
          <w:rFonts w:ascii="Times New Roman" w:hAnsi="Times New Roman" w:eastAsia="仿宋_GB2312" w:cs="Times New Roman"/>
          <w:bCs/>
          <w:sz w:val="30"/>
          <w:szCs w:val="30"/>
          <w:highlight w:val="none"/>
        </w:rPr>
      </w:pPr>
      <w:r>
        <w:rPr>
          <w:rFonts w:ascii="Times New Roman" w:hAnsi="Times New Roman" w:eastAsia="仿宋_GB2312" w:cs="Times New Roman"/>
          <w:bCs/>
          <w:sz w:val="30"/>
          <w:szCs w:val="30"/>
          <w:highlight w:val="none"/>
        </w:rPr>
        <w:t>基金扩募发售期限届满，出现下列情形之一的，</w:t>
      </w:r>
      <w:r>
        <w:rPr>
          <w:rFonts w:hint="eastAsia" w:ascii="Times New Roman" w:hAnsi="Times New Roman" w:eastAsia="仿宋_GB2312" w:cs="Times New Roman"/>
          <w:bCs/>
          <w:sz w:val="30"/>
          <w:szCs w:val="30"/>
          <w:highlight w:val="none"/>
        </w:rPr>
        <w:t>不动产</w:t>
      </w:r>
      <w:r>
        <w:rPr>
          <w:rFonts w:ascii="Times New Roman" w:hAnsi="Times New Roman" w:eastAsia="仿宋_GB2312" w:cs="Times New Roman"/>
          <w:bCs/>
          <w:sz w:val="30"/>
          <w:szCs w:val="30"/>
          <w:highlight w:val="none"/>
        </w:rPr>
        <w:t>基金扩募发售失败：</w:t>
      </w:r>
    </w:p>
    <w:p w14:paraId="2B8D7235">
      <w:pPr>
        <w:autoSpaceDE w:val="0"/>
        <w:spacing w:line="560" w:lineRule="exact"/>
        <w:ind w:firstLine="640"/>
        <w:rPr>
          <w:rFonts w:ascii="Times New Roman" w:hAnsi="Times New Roman" w:eastAsia="仿宋_GB2312" w:cs="Times New Roman"/>
          <w:bCs/>
          <w:sz w:val="30"/>
          <w:szCs w:val="30"/>
          <w:highlight w:val="none"/>
        </w:rPr>
      </w:pPr>
      <w:r>
        <w:rPr>
          <w:rFonts w:ascii="Times New Roman" w:hAnsi="Times New Roman" w:eastAsia="仿宋_GB2312" w:cs="Times New Roman"/>
          <w:bCs/>
          <w:sz w:val="30"/>
          <w:szCs w:val="30"/>
          <w:highlight w:val="none"/>
        </w:rPr>
        <w:t xml:space="preserve">1.基金扩募份额总额未达到基金份额持有人大会表决通过规模的80%； </w:t>
      </w:r>
    </w:p>
    <w:p w14:paraId="6C632A3A">
      <w:pPr>
        <w:autoSpaceDE w:val="0"/>
        <w:spacing w:line="560" w:lineRule="exact"/>
        <w:ind w:firstLine="640"/>
        <w:rPr>
          <w:rFonts w:ascii="Times New Roman" w:hAnsi="Times New Roman" w:eastAsia="仿宋_GB2312" w:cs="Times New Roman"/>
          <w:bCs/>
          <w:sz w:val="30"/>
          <w:szCs w:val="30"/>
          <w:highlight w:val="none"/>
        </w:rPr>
      </w:pPr>
      <w:r>
        <w:rPr>
          <w:rFonts w:ascii="Times New Roman" w:hAnsi="Times New Roman" w:eastAsia="仿宋_GB2312" w:cs="Times New Roman"/>
          <w:bCs/>
          <w:sz w:val="30"/>
          <w:szCs w:val="30"/>
          <w:highlight w:val="none"/>
        </w:rPr>
        <w:t>2.</w:t>
      </w:r>
      <w:r>
        <w:rPr>
          <w:rFonts w:hint="eastAsia" w:ascii="Times New Roman" w:hAnsi="Times New Roman" w:eastAsia="仿宋_GB2312" w:cs="Times New Roman"/>
          <w:bCs/>
          <w:sz w:val="30"/>
          <w:szCs w:val="30"/>
          <w:highlight w:val="none"/>
        </w:rPr>
        <w:t>拟</w:t>
      </w:r>
      <w:r>
        <w:rPr>
          <w:rFonts w:ascii="Times New Roman" w:hAnsi="Times New Roman" w:eastAsia="仿宋_GB2312" w:cs="Times New Roman"/>
          <w:bCs/>
          <w:sz w:val="30"/>
          <w:szCs w:val="30"/>
          <w:highlight w:val="none"/>
        </w:rPr>
        <w:t>购入</w:t>
      </w:r>
      <w:r>
        <w:rPr>
          <w:rFonts w:hint="eastAsia" w:ascii="Times New Roman" w:hAnsi="Times New Roman" w:eastAsia="仿宋_GB2312" w:cs="Times New Roman"/>
          <w:bCs/>
          <w:sz w:val="30"/>
          <w:szCs w:val="30"/>
          <w:highlight w:val="none"/>
        </w:rPr>
        <w:t>不动产</w:t>
      </w:r>
      <w:r>
        <w:rPr>
          <w:rFonts w:ascii="Times New Roman" w:hAnsi="Times New Roman" w:eastAsia="仿宋_GB2312" w:cs="Times New Roman"/>
          <w:bCs/>
          <w:sz w:val="30"/>
          <w:szCs w:val="30"/>
          <w:highlight w:val="none"/>
        </w:rPr>
        <w:t>项目的原始权益人或者其同一控制下的关联方等未按</w:t>
      </w:r>
      <w:r>
        <w:rPr>
          <w:rFonts w:hint="eastAsia" w:ascii="Times New Roman" w:hAnsi="Times New Roman" w:eastAsia="仿宋_GB2312" w:cs="Times New Roman"/>
          <w:bCs/>
          <w:sz w:val="30"/>
          <w:szCs w:val="30"/>
          <w:highlight w:val="none"/>
        </w:rPr>
        <w:t>照</w:t>
      </w:r>
      <w:r>
        <w:rPr>
          <w:rFonts w:ascii="Times New Roman" w:hAnsi="Times New Roman" w:eastAsia="仿宋_GB2312" w:cs="Times New Roman"/>
          <w:bCs/>
          <w:sz w:val="30"/>
          <w:szCs w:val="30"/>
          <w:highlight w:val="none"/>
        </w:rPr>
        <w:t>规定参与战略配售；</w:t>
      </w:r>
    </w:p>
    <w:p w14:paraId="3357DE25">
      <w:pPr>
        <w:spacing w:line="560" w:lineRule="exact"/>
        <w:ind w:firstLine="640"/>
        <w:rPr>
          <w:rFonts w:ascii="Times New Roman" w:hAnsi="Times New Roman" w:eastAsia="仿宋_GB2312" w:cs="Times New Roman"/>
          <w:bCs/>
          <w:sz w:val="30"/>
          <w:szCs w:val="30"/>
          <w:highlight w:val="none"/>
        </w:rPr>
      </w:pPr>
      <w:r>
        <w:rPr>
          <w:rFonts w:ascii="Times New Roman" w:hAnsi="Times New Roman" w:eastAsia="仿宋_GB2312" w:cs="Times New Roman"/>
          <w:bCs/>
          <w:sz w:val="30"/>
          <w:szCs w:val="30"/>
          <w:highlight w:val="none"/>
        </w:rPr>
        <w:t>3.持有份额不低于20%的第一大</w:t>
      </w:r>
      <w:r>
        <w:rPr>
          <w:rFonts w:hint="eastAsia" w:ascii="Times New Roman" w:hAnsi="Times New Roman" w:eastAsia="仿宋_GB2312" w:cs="Times New Roman"/>
          <w:bCs/>
          <w:sz w:val="30"/>
          <w:szCs w:val="30"/>
          <w:highlight w:val="none"/>
        </w:rPr>
        <w:t>不动产</w:t>
      </w:r>
      <w:r>
        <w:rPr>
          <w:rFonts w:ascii="Times New Roman" w:hAnsi="Times New Roman" w:eastAsia="仿宋_GB2312" w:cs="Times New Roman"/>
          <w:bCs/>
          <w:sz w:val="30"/>
          <w:szCs w:val="30"/>
          <w:highlight w:val="none"/>
        </w:rPr>
        <w:t>基金持有人、新购入</w:t>
      </w:r>
      <w:r>
        <w:rPr>
          <w:rFonts w:hint="eastAsia" w:ascii="Times New Roman" w:hAnsi="Times New Roman" w:eastAsia="仿宋_GB2312" w:cs="Times New Roman"/>
          <w:bCs/>
          <w:sz w:val="30"/>
          <w:szCs w:val="30"/>
          <w:highlight w:val="none"/>
        </w:rPr>
        <w:t>不动产</w:t>
      </w:r>
      <w:r>
        <w:rPr>
          <w:rFonts w:ascii="Times New Roman" w:hAnsi="Times New Roman" w:eastAsia="仿宋_GB2312" w:cs="Times New Roman"/>
          <w:bCs/>
          <w:sz w:val="30"/>
          <w:szCs w:val="30"/>
          <w:highlight w:val="none"/>
        </w:rPr>
        <w:t>项目的原始权益人或者其同一控制下的关联方不履行认购基金份额的承诺；</w:t>
      </w:r>
    </w:p>
    <w:p w14:paraId="4CF1FAA5">
      <w:pPr>
        <w:spacing w:line="560" w:lineRule="exact"/>
        <w:ind w:firstLine="640"/>
        <w:rPr>
          <w:rFonts w:ascii="Times New Roman" w:hAnsi="Times New Roman" w:eastAsia="仿宋_GB2312" w:cs="Times New Roman"/>
          <w:bCs/>
          <w:sz w:val="30"/>
          <w:szCs w:val="30"/>
          <w:highlight w:val="none"/>
        </w:rPr>
      </w:pPr>
      <w:r>
        <w:rPr>
          <w:rFonts w:ascii="Times New Roman" w:hAnsi="Times New Roman" w:eastAsia="仿宋_GB2312" w:cs="Times New Roman"/>
          <w:bCs/>
          <w:sz w:val="30"/>
          <w:szCs w:val="30"/>
          <w:highlight w:val="none"/>
        </w:rPr>
        <w:t>4.导致基金扩募发售失败的其他情形。</w:t>
      </w:r>
    </w:p>
    <w:p w14:paraId="7A297789">
      <w:pPr>
        <w:spacing w:line="560" w:lineRule="exact"/>
        <w:ind w:firstLine="640"/>
        <w:rPr>
          <w:rFonts w:ascii="Times New Roman" w:hAnsi="Times New Roman" w:eastAsia="仿宋_GB2312" w:cs="Times New Roman"/>
          <w:bCs/>
          <w:sz w:val="30"/>
          <w:szCs w:val="30"/>
          <w:highlight w:val="none"/>
        </w:rPr>
      </w:pPr>
      <w:r>
        <w:rPr>
          <w:rFonts w:ascii="Times New Roman" w:hAnsi="Times New Roman" w:eastAsia="仿宋_GB2312" w:cs="Times New Roman"/>
          <w:bCs/>
          <w:sz w:val="30"/>
          <w:szCs w:val="30"/>
          <w:highlight w:val="none"/>
        </w:rPr>
        <w:t>基金扩募发售失败的，基金管理人应披露配售发行失败公告，应在募集期限届满后30日内返还投资</w:t>
      </w:r>
      <w:r>
        <w:rPr>
          <w:rFonts w:hint="eastAsia" w:ascii="Times New Roman" w:hAnsi="Times New Roman" w:eastAsia="仿宋_GB2312" w:cs="Times New Roman"/>
          <w:bCs/>
          <w:sz w:val="30"/>
          <w:szCs w:val="30"/>
          <w:highlight w:val="none"/>
        </w:rPr>
        <w:t>者</w:t>
      </w:r>
      <w:r>
        <w:rPr>
          <w:rFonts w:ascii="Times New Roman" w:hAnsi="Times New Roman" w:eastAsia="仿宋_GB2312" w:cs="Times New Roman"/>
          <w:bCs/>
          <w:sz w:val="30"/>
          <w:szCs w:val="30"/>
          <w:highlight w:val="none"/>
        </w:rPr>
        <w:t>已交</w:t>
      </w:r>
      <w:r>
        <w:rPr>
          <w:rFonts w:hint="eastAsia" w:ascii="Times New Roman" w:hAnsi="Times New Roman" w:eastAsia="仿宋_GB2312" w:cs="Times New Roman"/>
          <w:bCs/>
          <w:sz w:val="30"/>
          <w:szCs w:val="30"/>
          <w:highlight w:val="none"/>
        </w:rPr>
        <w:t>付</w:t>
      </w:r>
      <w:r>
        <w:rPr>
          <w:rFonts w:ascii="Times New Roman" w:hAnsi="Times New Roman" w:eastAsia="仿宋_GB2312" w:cs="Times New Roman"/>
          <w:bCs/>
          <w:sz w:val="30"/>
          <w:szCs w:val="30"/>
          <w:highlight w:val="none"/>
        </w:rPr>
        <w:t>的款项，并加计银行同期存款利息。</w:t>
      </w:r>
      <w:r>
        <w:rPr>
          <w:rFonts w:hint="eastAsia" w:ascii="Times New Roman" w:hAnsi="Times New Roman" w:eastAsia="仿宋_GB2312" w:cs="Times New Roman"/>
          <w:bCs/>
          <w:sz w:val="30"/>
          <w:szCs w:val="30"/>
          <w:highlight w:val="none"/>
        </w:rPr>
        <w:t>不动产</w:t>
      </w:r>
      <w:r>
        <w:rPr>
          <w:rFonts w:ascii="Times New Roman" w:hAnsi="Times New Roman" w:eastAsia="仿宋_GB2312" w:cs="Times New Roman"/>
          <w:bCs/>
          <w:sz w:val="30"/>
          <w:szCs w:val="30"/>
          <w:highlight w:val="none"/>
        </w:rPr>
        <w:t>基金M+2日复牌，价格不除权。</w:t>
      </w:r>
      <w:bookmarkStart w:id="459" w:name="_Toc13077"/>
      <w:bookmarkStart w:id="460" w:name="_Toc1875"/>
      <w:bookmarkStart w:id="461" w:name="_Toc9236"/>
      <w:bookmarkStart w:id="462" w:name="_Toc3925"/>
      <w:bookmarkStart w:id="463" w:name="_Toc6193"/>
      <w:bookmarkStart w:id="464" w:name="_Toc16711"/>
      <w:bookmarkStart w:id="465" w:name="_Toc18763"/>
      <w:bookmarkStart w:id="466" w:name="_Toc21422"/>
      <w:bookmarkStart w:id="467" w:name="_Toc29797"/>
      <w:bookmarkStart w:id="468" w:name="_Toc26627"/>
      <w:bookmarkStart w:id="469" w:name="_Toc30309"/>
      <w:bookmarkStart w:id="470" w:name="_Toc9649"/>
    </w:p>
    <w:p w14:paraId="23DBBCAE">
      <w:pPr>
        <w:spacing w:line="560" w:lineRule="exact"/>
        <w:ind w:firstLine="640"/>
        <w:rPr>
          <w:rFonts w:ascii="Times New Roman" w:hAnsi="Times New Roman" w:eastAsia="仿宋_GB2312" w:cs="Times New Roman"/>
          <w:bCs/>
          <w:sz w:val="30"/>
          <w:szCs w:val="30"/>
          <w:highlight w:val="none"/>
        </w:rPr>
      </w:pPr>
    </w:p>
    <w:p w14:paraId="3FE22711">
      <w:pPr>
        <w:keepNext/>
        <w:widowControl/>
        <w:adjustRightInd w:val="0"/>
        <w:snapToGrid w:val="0"/>
        <w:spacing w:line="560" w:lineRule="exact"/>
        <w:jc w:val="center"/>
        <w:outlineLvl w:val="0"/>
        <w:rPr>
          <w:rFonts w:ascii="Times New Roman" w:hAnsi="Times New Roman" w:eastAsia="黑体" w:cs="Times New Roman"/>
          <w:b/>
          <w:bCs/>
          <w:sz w:val="30"/>
          <w:szCs w:val="30"/>
          <w:highlight w:val="none"/>
        </w:rPr>
      </w:pPr>
      <w:bookmarkStart w:id="471" w:name="_Toc8188"/>
      <w:r>
        <w:rPr>
          <w:rFonts w:ascii="Times New Roman" w:hAnsi="Times New Roman" w:eastAsia="黑体" w:cs="Times New Roman"/>
          <w:b/>
          <w:bCs/>
          <w:sz w:val="30"/>
          <w:szCs w:val="30"/>
          <w:highlight w:val="none"/>
        </w:rPr>
        <w:t>第三章 公开</w:t>
      </w:r>
      <w:bookmarkEnd w:id="459"/>
      <w:bookmarkEnd w:id="460"/>
      <w:bookmarkEnd w:id="461"/>
      <w:bookmarkEnd w:id="462"/>
      <w:bookmarkEnd w:id="463"/>
      <w:bookmarkEnd w:id="464"/>
      <w:bookmarkEnd w:id="465"/>
      <w:bookmarkEnd w:id="466"/>
      <w:bookmarkStart w:id="472" w:name="_Toc10158"/>
      <w:r>
        <w:rPr>
          <w:rFonts w:ascii="Times New Roman" w:hAnsi="Times New Roman" w:eastAsia="黑体" w:cs="Times New Roman"/>
          <w:b/>
          <w:bCs/>
          <w:sz w:val="30"/>
          <w:szCs w:val="30"/>
          <w:highlight w:val="none"/>
        </w:rPr>
        <w:t>扩募</w:t>
      </w:r>
      <w:bookmarkEnd w:id="467"/>
      <w:bookmarkEnd w:id="468"/>
      <w:bookmarkEnd w:id="469"/>
      <w:bookmarkEnd w:id="470"/>
      <w:bookmarkEnd w:id="471"/>
    </w:p>
    <w:p w14:paraId="6201986E">
      <w:pPr>
        <w:rPr>
          <w:rFonts w:ascii="Times New Roman" w:hAnsi="Times New Roman" w:cs="Times New Roman"/>
          <w:sz w:val="30"/>
          <w:szCs w:val="30"/>
          <w:highlight w:val="none"/>
        </w:rPr>
      </w:pPr>
    </w:p>
    <w:p w14:paraId="7241AB52">
      <w:pPr>
        <w:keepNext/>
        <w:numPr>
          <w:ilvl w:val="255"/>
          <w:numId w:val="0"/>
        </w:numPr>
        <w:spacing w:line="560" w:lineRule="exact"/>
        <w:ind w:firstLine="602" w:firstLineChars="200"/>
        <w:outlineLvl w:val="1"/>
        <w:rPr>
          <w:rFonts w:ascii="Times New Roman" w:hAnsi="Times New Roman" w:eastAsia="楷体" w:cs="Times New Roman"/>
          <w:b/>
          <w:bCs/>
          <w:sz w:val="30"/>
          <w:szCs w:val="30"/>
          <w:highlight w:val="none"/>
        </w:rPr>
      </w:pPr>
      <w:bookmarkStart w:id="473" w:name="_Toc10109"/>
      <w:bookmarkStart w:id="474" w:name="_Toc22736"/>
      <w:bookmarkStart w:id="475" w:name="_Toc22058"/>
      <w:bookmarkStart w:id="476" w:name="_Toc24613"/>
      <w:bookmarkStart w:id="477" w:name="_Toc12152"/>
      <w:bookmarkStart w:id="478" w:name="_Toc1470"/>
      <w:bookmarkStart w:id="479" w:name="_Toc19060"/>
      <w:bookmarkStart w:id="480" w:name="_Toc30879"/>
      <w:bookmarkStart w:id="481" w:name="_Toc22837"/>
      <w:bookmarkStart w:id="482" w:name="_Toc25170"/>
      <w:bookmarkStart w:id="483" w:name="_Toc15598"/>
      <w:bookmarkStart w:id="484" w:name="_Toc16296"/>
      <w:r>
        <w:rPr>
          <w:rFonts w:ascii="Times New Roman" w:hAnsi="Times New Roman" w:eastAsia="黑体" w:cs="Times New Roman"/>
          <w:b/>
          <w:bCs/>
          <w:sz w:val="30"/>
          <w:szCs w:val="30"/>
          <w:highlight w:val="none"/>
        </w:rPr>
        <w:t>一、发售前需关注事项</w:t>
      </w:r>
      <w:bookmarkEnd w:id="473"/>
      <w:bookmarkEnd w:id="474"/>
      <w:bookmarkEnd w:id="475"/>
      <w:bookmarkEnd w:id="476"/>
      <w:bookmarkEnd w:id="477"/>
      <w:bookmarkEnd w:id="478"/>
      <w:bookmarkEnd w:id="479"/>
      <w:bookmarkEnd w:id="480"/>
      <w:bookmarkEnd w:id="481"/>
      <w:bookmarkEnd w:id="482"/>
      <w:bookmarkEnd w:id="483"/>
      <w:bookmarkEnd w:id="484"/>
    </w:p>
    <w:p w14:paraId="5C565030">
      <w:pPr>
        <w:widowControl/>
        <w:spacing w:line="560" w:lineRule="exact"/>
        <w:ind w:firstLine="600" w:firstLineChars="200"/>
        <w:rPr>
          <w:rFonts w:ascii="Times New Roman" w:hAnsi="Times New Roman" w:eastAsia="仿宋_GB2312" w:cs="Times New Roman"/>
          <w:bCs/>
          <w:sz w:val="30"/>
          <w:szCs w:val="30"/>
          <w:highlight w:val="none"/>
        </w:rPr>
      </w:pPr>
      <w:r>
        <w:rPr>
          <w:rFonts w:ascii="Times New Roman" w:hAnsi="Times New Roman" w:eastAsia="仿宋_GB2312" w:cs="Times New Roman"/>
          <w:bCs/>
          <w:sz w:val="30"/>
          <w:szCs w:val="30"/>
          <w:highlight w:val="none"/>
        </w:rPr>
        <w:t>基金管理人可向原持有人优先配售、剩余份额公开扩募，也可全部公开扩募。</w:t>
      </w:r>
    </w:p>
    <w:p w14:paraId="764F34C0">
      <w:pPr>
        <w:widowControl/>
        <w:spacing w:line="560" w:lineRule="exact"/>
        <w:ind w:firstLine="600" w:firstLineChars="200"/>
        <w:rPr>
          <w:rFonts w:ascii="Times New Roman" w:hAnsi="Times New Roman" w:eastAsia="仿宋_GB2312" w:cs="Times New Roman"/>
          <w:bCs/>
          <w:sz w:val="30"/>
          <w:szCs w:val="30"/>
          <w:highlight w:val="none"/>
        </w:rPr>
      </w:pPr>
      <w:r>
        <w:rPr>
          <w:rFonts w:ascii="Times New Roman" w:hAnsi="Times New Roman" w:eastAsia="仿宋_GB2312" w:cs="Times New Roman"/>
          <w:bCs/>
          <w:sz w:val="30"/>
          <w:szCs w:val="30"/>
          <w:highlight w:val="none"/>
        </w:rPr>
        <w:t>选择向原持有人优先配售、剩余份额公开扩募的，向原持有人优先配售和公开扩募两种业务应同时进行，即两种业务在本所交易系统的认购起止时间相同，向原持有人优先配售和剩余部分公开扩募的发售价格相同，原持有人参与配售的优先权在基金管理人确认份额时体现。</w:t>
      </w:r>
    </w:p>
    <w:p w14:paraId="57A7987E">
      <w:pPr>
        <w:widowControl/>
        <w:spacing w:line="560" w:lineRule="exact"/>
        <w:ind w:firstLine="600" w:firstLineChars="200"/>
        <w:rPr>
          <w:rFonts w:ascii="Times New Roman" w:hAnsi="Times New Roman" w:eastAsia="仿宋_GB2312" w:cs="Times New Roman"/>
          <w:bCs/>
          <w:sz w:val="30"/>
          <w:szCs w:val="30"/>
          <w:highlight w:val="none"/>
        </w:rPr>
      </w:pPr>
      <w:r>
        <w:rPr>
          <w:rFonts w:ascii="Times New Roman" w:hAnsi="Times New Roman" w:eastAsia="仿宋_GB2312" w:cs="Times New Roman"/>
          <w:bCs/>
          <w:sz w:val="30"/>
          <w:szCs w:val="30"/>
          <w:highlight w:val="none"/>
        </w:rPr>
        <w:t>参与优先配售下的原持有人超比例认购的部分，基金管理人在最终确认时不得确认为公开扩募的部分。网下机构投资者、参与优先配售的原持有人以及其他投资者，可以参与优先配售后的余额认购。</w:t>
      </w:r>
    </w:p>
    <w:p w14:paraId="53920598">
      <w:pPr>
        <w:keepNext/>
        <w:numPr>
          <w:ilvl w:val="255"/>
          <w:numId w:val="0"/>
        </w:numPr>
        <w:spacing w:line="560" w:lineRule="exact"/>
        <w:ind w:firstLine="602" w:firstLineChars="200"/>
        <w:outlineLvl w:val="1"/>
        <w:rPr>
          <w:rFonts w:ascii="Times New Roman" w:hAnsi="Times New Roman" w:eastAsia="黑体" w:cs="Times New Roman"/>
          <w:b/>
          <w:bCs/>
          <w:sz w:val="30"/>
          <w:szCs w:val="30"/>
          <w:highlight w:val="none"/>
        </w:rPr>
      </w:pPr>
      <w:bookmarkStart w:id="485" w:name="_Toc8015"/>
      <w:bookmarkStart w:id="486" w:name="_Toc6122"/>
      <w:bookmarkStart w:id="487" w:name="_Toc283"/>
      <w:bookmarkStart w:id="488" w:name="_Toc21769"/>
      <w:bookmarkStart w:id="489" w:name="_Toc31440"/>
      <w:bookmarkStart w:id="490" w:name="_Toc18888"/>
      <w:bookmarkStart w:id="491" w:name="_Toc16315"/>
      <w:bookmarkStart w:id="492" w:name="_Toc18092"/>
      <w:bookmarkStart w:id="493" w:name="_Toc5804"/>
      <w:bookmarkStart w:id="494" w:name="_Toc18104"/>
      <w:r>
        <w:rPr>
          <w:rFonts w:ascii="Times New Roman" w:hAnsi="Times New Roman" w:eastAsia="黑体" w:cs="Times New Roman"/>
          <w:b/>
          <w:bCs/>
          <w:sz w:val="30"/>
          <w:szCs w:val="30"/>
          <w:highlight w:val="none"/>
        </w:rPr>
        <w:t>二、</w:t>
      </w:r>
      <w:bookmarkEnd w:id="472"/>
      <w:bookmarkStart w:id="495" w:name="_Toc4956"/>
      <w:bookmarkStart w:id="496" w:name="_Toc2346"/>
      <w:r>
        <w:rPr>
          <w:rFonts w:ascii="Times New Roman" w:hAnsi="Times New Roman" w:eastAsia="黑体" w:cs="Times New Roman"/>
          <w:b/>
          <w:bCs/>
          <w:sz w:val="30"/>
          <w:szCs w:val="30"/>
          <w:highlight w:val="none"/>
        </w:rPr>
        <w:t>发售及认购</w:t>
      </w:r>
      <w:bookmarkEnd w:id="485"/>
      <w:bookmarkEnd w:id="486"/>
      <w:bookmarkEnd w:id="487"/>
      <w:bookmarkEnd w:id="488"/>
      <w:bookmarkEnd w:id="489"/>
      <w:bookmarkEnd w:id="490"/>
      <w:bookmarkEnd w:id="491"/>
      <w:bookmarkEnd w:id="492"/>
      <w:bookmarkEnd w:id="493"/>
      <w:bookmarkEnd w:id="494"/>
      <w:bookmarkEnd w:id="495"/>
      <w:bookmarkEnd w:id="496"/>
    </w:p>
    <w:p w14:paraId="23ED80AC">
      <w:pPr>
        <w:widowControl/>
        <w:numPr>
          <w:ilvl w:val="255"/>
          <w:numId w:val="0"/>
        </w:numPr>
        <w:spacing w:line="560" w:lineRule="exact"/>
        <w:ind w:firstLine="602" w:firstLineChars="200"/>
        <w:rPr>
          <w:rFonts w:ascii="Times New Roman" w:hAnsi="Times New Roman" w:eastAsia="仿宋_GB2312" w:cs="Times New Roman"/>
          <w:b/>
          <w:sz w:val="30"/>
          <w:szCs w:val="30"/>
          <w:highlight w:val="none"/>
        </w:rPr>
      </w:pPr>
      <w:r>
        <w:rPr>
          <w:rFonts w:ascii="Times New Roman" w:hAnsi="Times New Roman" w:eastAsia="仿宋_GB2312" w:cs="Times New Roman"/>
          <w:b/>
          <w:sz w:val="30"/>
          <w:szCs w:val="30"/>
          <w:highlight w:val="none"/>
        </w:rPr>
        <w:t>名称释义：</w:t>
      </w:r>
    </w:p>
    <w:p w14:paraId="696E01E6">
      <w:pPr>
        <w:widowControl/>
        <w:numPr>
          <w:ilvl w:val="255"/>
          <w:numId w:val="0"/>
        </w:numPr>
        <w:spacing w:line="560" w:lineRule="exact"/>
        <w:ind w:firstLine="602" w:firstLineChars="200"/>
        <w:rPr>
          <w:rFonts w:ascii="Times New Roman" w:hAnsi="Times New Roman" w:eastAsia="仿宋_GB2312" w:cs="Times New Roman"/>
          <w:b/>
          <w:sz w:val="30"/>
          <w:szCs w:val="30"/>
          <w:highlight w:val="none"/>
        </w:rPr>
      </w:pPr>
      <w:r>
        <w:rPr>
          <w:rFonts w:ascii="Times New Roman" w:hAnsi="Times New Roman" w:eastAsia="仿宋_GB2312" w:cs="Times New Roman"/>
          <w:b/>
          <w:sz w:val="30"/>
          <w:szCs w:val="30"/>
          <w:highlight w:val="none"/>
        </w:rPr>
        <w:t>T日—认购起始日/停牌起始日</w:t>
      </w:r>
    </w:p>
    <w:p w14:paraId="3C4BD655">
      <w:pPr>
        <w:widowControl/>
        <w:spacing w:line="560" w:lineRule="exact"/>
        <w:ind w:firstLine="640"/>
        <w:rPr>
          <w:rFonts w:ascii="Times New Roman" w:hAnsi="Times New Roman" w:eastAsia="仿宋_GB2312" w:cs="Times New Roman"/>
          <w:b/>
          <w:sz w:val="30"/>
          <w:szCs w:val="30"/>
          <w:highlight w:val="none"/>
        </w:rPr>
      </w:pPr>
      <w:r>
        <w:rPr>
          <w:rFonts w:ascii="Times New Roman" w:hAnsi="Times New Roman" w:eastAsia="仿宋_GB2312" w:cs="Times New Roman"/>
          <w:b/>
          <w:sz w:val="30"/>
          <w:szCs w:val="30"/>
          <w:highlight w:val="none"/>
        </w:rPr>
        <w:t>M日—认购结束日</w:t>
      </w:r>
    </w:p>
    <w:p w14:paraId="446A456F">
      <w:pPr>
        <w:keepNext/>
        <w:widowControl/>
        <w:numPr>
          <w:ilvl w:val="255"/>
          <w:numId w:val="0"/>
        </w:numPr>
        <w:spacing w:line="560" w:lineRule="exact"/>
        <w:ind w:firstLine="602" w:firstLineChars="200"/>
        <w:rPr>
          <w:rFonts w:ascii="Times New Roman" w:hAnsi="Times New Roman" w:eastAsia="仿宋_GB2312" w:cs="Times New Roman"/>
          <w:b/>
          <w:sz w:val="30"/>
          <w:szCs w:val="30"/>
          <w:highlight w:val="none"/>
        </w:rPr>
      </w:pPr>
      <w:r>
        <w:rPr>
          <w:rFonts w:ascii="Times New Roman" w:hAnsi="Times New Roman" w:eastAsia="仿宋_GB2312" w:cs="Times New Roman"/>
          <w:b/>
          <w:sz w:val="30"/>
          <w:szCs w:val="30"/>
          <w:highlight w:val="none"/>
        </w:rPr>
        <w:t>M</w:t>
      </w:r>
      <w:r>
        <w:rPr>
          <w:rFonts w:ascii="Times New Roman" w:hAnsi="Times New Roman" w:eastAsia="仿宋_GB2312" w:cs="Times New Roman"/>
          <w:b/>
          <w:sz w:val="30"/>
          <w:szCs w:val="30"/>
          <w:highlight w:val="none"/>
          <w:vertAlign w:val="subscript"/>
        </w:rPr>
        <w:t>1</w:t>
      </w:r>
      <w:r>
        <w:rPr>
          <w:rFonts w:ascii="Times New Roman" w:hAnsi="Times New Roman" w:eastAsia="仿宋_GB2312" w:cs="Times New Roman"/>
          <w:b/>
          <w:sz w:val="30"/>
          <w:szCs w:val="30"/>
          <w:highlight w:val="none"/>
        </w:rPr>
        <w:t>日—变更后的认购终止日</w:t>
      </w:r>
    </w:p>
    <w:p w14:paraId="3BF682E6">
      <w:pPr>
        <w:widowControl/>
        <w:spacing w:line="560" w:lineRule="exact"/>
        <w:ind w:firstLine="640"/>
        <w:rPr>
          <w:rFonts w:ascii="Times New Roman" w:hAnsi="Times New Roman" w:eastAsia="仿宋_GB2312" w:cs="Times New Roman"/>
          <w:b/>
          <w:sz w:val="30"/>
          <w:szCs w:val="30"/>
          <w:highlight w:val="none"/>
        </w:rPr>
      </w:pPr>
      <w:r>
        <w:rPr>
          <w:rFonts w:ascii="Times New Roman" w:hAnsi="Times New Roman" w:eastAsia="仿宋_GB2312" w:cs="Times New Roman"/>
          <w:b/>
          <w:sz w:val="30"/>
          <w:szCs w:val="30"/>
          <w:highlight w:val="none"/>
        </w:rPr>
        <w:t>S日—基金合同更新生效日</w:t>
      </w:r>
    </w:p>
    <w:p w14:paraId="7B0887A5">
      <w:pPr>
        <w:widowControl/>
        <w:spacing w:line="560" w:lineRule="exact"/>
        <w:ind w:firstLine="640"/>
        <w:rPr>
          <w:rFonts w:ascii="Times New Roman" w:hAnsi="Times New Roman" w:eastAsia="仿宋_GB2312" w:cs="Times New Roman"/>
          <w:b/>
          <w:sz w:val="30"/>
          <w:szCs w:val="30"/>
          <w:highlight w:val="none"/>
        </w:rPr>
      </w:pPr>
    </w:p>
    <w:p w14:paraId="1148B9D5">
      <w:pPr>
        <w:widowControl/>
        <w:numPr>
          <w:ilvl w:val="255"/>
          <w:numId w:val="0"/>
        </w:numPr>
        <w:spacing w:line="560" w:lineRule="exact"/>
        <w:ind w:firstLine="602" w:firstLineChars="200"/>
        <w:outlineLvl w:val="2"/>
        <w:rPr>
          <w:rFonts w:ascii="Times New Roman" w:hAnsi="Times New Roman" w:eastAsia="楷体_GB2312" w:cs="Times New Roman"/>
          <w:b/>
          <w:sz w:val="30"/>
          <w:szCs w:val="30"/>
          <w:highlight w:val="none"/>
        </w:rPr>
      </w:pPr>
      <w:bookmarkStart w:id="497" w:name="_Toc5620"/>
      <w:bookmarkStart w:id="498" w:name="_Toc30707"/>
      <w:bookmarkStart w:id="499" w:name="_Toc27060"/>
      <w:bookmarkStart w:id="500" w:name="_Toc17197"/>
      <w:bookmarkStart w:id="501" w:name="_Toc23748"/>
      <w:bookmarkStart w:id="502" w:name="_Toc1320"/>
      <w:bookmarkStart w:id="503" w:name="_Toc1891"/>
      <w:bookmarkStart w:id="504" w:name="_Toc2615"/>
      <w:bookmarkStart w:id="505" w:name="_Toc3821"/>
      <w:bookmarkStart w:id="506" w:name="_Toc30685"/>
      <w:bookmarkStart w:id="507" w:name="_Toc4387"/>
      <w:bookmarkStart w:id="508" w:name="_Toc24105"/>
      <w:r>
        <w:rPr>
          <w:rFonts w:ascii="Times New Roman" w:hAnsi="Times New Roman" w:eastAsia="楷体_GB2312" w:cs="Times New Roman"/>
          <w:b/>
          <w:sz w:val="30"/>
          <w:szCs w:val="30"/>
          <w:highlight w:val="none"/>
        </w:rPr>
        <w:t>（一）发售业务申请与受理</w:t>
      </w:r>
      <w:bookmarkEnd w:id="497"/>
      <w:bookmarkEnd w:id="498"/>
      <w:bookmarkEnd w:id="499"/>
      <w:bookmarkEnd w:id="500"/>
      <w:bookmarkEnd w:id="501"/>
      <w:bookmarkEnd w:id="502"/>
      <w:bookmarkEnd w:id="503"/>
      <w:bookmarkEnd w:id="504"/>
      <w:bookmarkEnd w:id="505"/>
      <w:bookmarkEnd w:id="506"/>
      <w:bookmarkEnd w:id="507"/>
      <w:bookmarkEnd w:id="508"/>
    </w:p>
    <w:p w14:paraId="2E0DE1A5">
      <w:pPr>
        <w:widowControl/>
        <w:numPr>
          <w:ilvl w:val="0"/>
          <w:numId w:val="1"/>
        </w:numPr>
        <w:spacing w:line="560" w:lineRule="exact"/>
        <w:ind w:left="197" w:firstLine="643"/>
        <w:rPr>
          <w:rFonts w:ascii="Times New Roman" w:hAnsi="Times New Roman" w:eastAsia="仿宋_GB2312" w:cs="Times New Roman"/>
          <w:b/>
          <w:sz w:val="30"/>
          <w:szCs w:val="30"/>
          <w:highlight w:val="none"/>
        </w:rPr>
      </w:pPr>
      <w:r>
        <w:rPr>
          <w:rFonts w:ascii="Times New Roman" w:hAnsi="Times New Roman" w:eastAsia="仿宋_GB2312" w:cs="Times New Roman"/>
          <w:b/>
          <w:sz w:val="30"/>
          <w:szCs w:val="30"/>
          <w:highlight w:val="none"/>
        </w:rPr>
        <w:t>T-8日（含）前</w:t>
      </w:r>
    </w:p>
    <w:p w14:paraId="6596326F">
      <w:pPr>
        <w:widowControl/>
        <w:spacing w:line="560" w:lineRule="exact"/>
        <w:ind w:firstLine="640"/>
        <w:rPr>
          <w:rFonts w:ascii="Times New Roman" w:hAnsi="Times New Roman" w:eastAsia="仿宋_GB2312" w:cs="Times New Roman"/>
          <w:bCs/>
          <w:sz w:val="30"/>
          <w:szCs w:val="30"/>
          <w:highlight w:val="none"/>
        </w:rPr>
      </w:pPr>
      <w:r>
        <w:rPr>
          <w:rFonts w:ascii="Times New Roman" w:hAnsi="Times New Roman" w:eastAsia="仿宋_GB2312" w:cs="Times New Roman"/>
          <w:bCs/>
          <w:sz w:val="30"/>
          <w:szCs w:val="30"/>
          <w:highlight w:val="none"/>
        </w:rPr>
        <w:t>基金管理人收到本所关于变更申请的无异议函和中国证监会关于基金变更注册的批复，且基金份额持有人大会作出拟购入</w:t>
      </w:r>
      <w:r>
        <w:rPr>
          <w:rFonts w:hint="eastAsia" w:ascii="Times New Roman" w:hAnsi="Times New Roman" w:eastAsia="仿宋_GB2312" w:cs="Times New Roman"/>
          <w:bCs/>
          <w:sz w:val="30"/>
          <w:szCs w:val="30"/>
          <w:highlight w:val="none"/>
        </w:rPr>
        <w:t>不动产</w:t>
      </w:r>
      <w:r>
        <w:rPr>
          <w:rFonts w:ascii="Times New Roman" w:hAnsi="Times New Roman" w:eastAsia="仿宋_GB2312" w:cs="Times New Roman"/>
          <w:bCs/>
          <w:sz w:val="30"/>
          <w:szCs w:val="30"/>
          <w:highlight w:val="none"/>
        </w:rPr>
        <w:t>项目决议后，基金管理人通过本所业务管理系统平台提交发售业务申请，并提交下列文件：</w:t>
      </w:r>
    </w:p>
    <w:p w14:paraId="4E19AEB4">
      <w:pPr>
        <w:widowControl/>
        <w:spacing w:line="560" w:lineRule="exact"/>
        <w:ind w:firstLine="600" w:firstLineChars="200"/>
        <w:rPr>
          <w:rFonts w:ascii="Times New Roman" w:hAnsi="Times New Roman" w:eastAsia="仿宋_GB2312" w:cs="Times New Roman"/>
          <w:bCs/>
          <w:sz w:val="30"/>
          <w:szCs w:val="30"/>
          <w:highlight w:val="none"/>
        </w:rPr>
      </w:pPr>
      <w:r>
        <w:rPr>
          <w:rFonts w:ascii="Times New Roman" w:hAnsi="Times New Roman" w:eastAsia="仿宋_GB2312" w:cs="Times New Roman"/>
          <w:bCs/>
          <w:sz w:val="30"/>
          <w:szCs w:val="30"/>
          <w:highlight w:val="none"/>
        </w:rPr>
        <w:t>1.业务申请文件</w:t>
      </w:r>
    </w:p>
    <w:p w14:paraId="4A501C30">
      <w:pPr>
        <w:widowControl/>
        <w:numPr>
          <w:ilvl w:val="255"/>
          <w:numId w:val="0"/>
        </w:numPr>
        <w:spacing w:line="560" w:lineRule="exact"/>
        <w:ind w:firstLine="600" w:firstLineChars="200"/>
        <w:rPr>
          <w:rFonts w:ascii="Times New Roman" w:hAnsi="Times New Roman" w:eastAsia="仿宋_GB2312" w:cs="Times New Roman"/>
          <w:bCs/>
          <w:sz w:val="30"/>
          <w:szCs w:val="30"/>
          <w:highlight w:val="none"/>
        </w:rPr>
      </w:pPr>
      <w:r>
        <w:rPr>
          <w:rFonts w:ascii="Times New Roman" w:hAnsi="Times New Roman" w:eastAsia="仿宋_GB2312" w:cs="Times New Roman"/>
          <w:bCs/>
          <w:sz w:val="30"/>
          <w:szCs w:val="30"/>
          <w:highlight w:val="none"/>
        </w:rPr>
        <w:t>（1）发售申请表（函）；</w:t>
      </w:r>
    </w:p>
    <w:p w14:paraId="7E562D62">
      <w:pPr>
        <w:widowControl/>
        <w:numPr>
          <w:ilvl w:val="255"/>
          <w:numId w:val="0"/>
        </w:numPr>
        <w:spacing w:line="560" w:lineRule="exact"/>
        <w:ind w:firstLine="600" w:firstLineChars="200"/>
        <w:rPr>
          <w:rFonts w:ascii="Times New Roman" w:hAnsi="Times New Roman" w:eastAsia="仿宋_GB2312" w:cs="Times New Roman"/>
          <w:bCs/>
          <w:sz w:val="30"/>
          <w:szCs w:val="30"/>
          <w:highlight w:val="none"/>
        </w:rPr>
      </w:pPr>
      <w:r>
        <w:rPr>
          <w:rFonts w:ascii="Times New Roman" w:hAnsi="Times New Roman" w:eastAsia="仿宋_GB2312" w:cs="Times New Roman"/>
          <w:bCs/>
          <w:sz w:val="30"/>
          <w:szCs w:val="30"/>
          <w:highlight w:val="none"/>
        </w:rPr>
        <w:t>（2）中国证监会准予基金变更注册的批文（扫描件）；</w:t>
      </w:r>
    </w:p>
    <w:p w14:paraId="4B180189">
      <w:pPr>
        <w:widowControl/>
        <w:numPr>
          <w:ilvl w:val="255"/>
          <w:numId w:val="0"/>
        </w:numPr>
        <w:spacing w:line="560" w:lineRule="exact"/>
        <w:ind w:firstLine="600" w:firstLineChars="200"/>
        <w:rPr>
          <w:rFonts w:ascii="Times New Roman" w:hAnsi="Times New Roman" w:eastAsia="仿宋_GB2312" w:cs="Times New Roman"/>
          <w:bCs/>
          <w:sz w:val="30"/>
          <w:szCs w:val="30"/>
          <w:highlight w:val="none"/>
        </w:rPr>
      </w:pPr>
      <w:r>
        <w:rPr>
          <w:rFonts w:ascii="Times New Roman" w:hAnsi="Times New Roman" w:eastAsia="仿宋_GB2312" w:cs="Times New Roman"/>
          <w:bCs/>
          <w:sz w:val="30"/>
          <w:szCs w:val="30"/>
          <w:highlight w:val="none"/>
        </w:rPr>
        <w:t>（3）基金管理人、财务顾问（如有）及原始权益人（如有）对</w:t>
      </w:r>
      <w:r>
        <w:rPr>
          <w:rFonts w:hint="eastAsia" w:ascii="Times New Roman" w:hAnsi="Times New Roman" w:eastAsia="仿宋_GB2312" w:cs="Times New Roman"/>
          <w:bCs/>
          <w:sz w:val="30"/>
          <w:szCs w:val="30"/>
          <w:highlight w:val="none"/>
        </w:rPr>
        <w:t>不动产</w:t>
      </w:r>
      <w:r>
        <w:rPr>
          <w:rFonts w:ascii="Times New Roman" w:hAnsi="Times New Roman" w:eastAsia="仿宋_GB2312" w:cs="Times New Roman"/>
          <w:bCs/>
          <w:sz w:val="30"/>
          <w:szCs w:val="30"/>
          <w:highlight w:val="none"/>
        </w:rPr>
        <w:t>基金获准变更注册至发售前不存在可能对</w:t>
      </w:r>
      <w:r>
        <w:rPr>
          <w:rFonts w:hint="eastAsia" w:ascii="Times New Roman" w:hAnsi="Times New Roman" w:eastAsia="仿宋_GB2312" w:cs="Times New Roman"/>
          <w:bCs/>
          <w:sz w:val="30"/>
          <w:szCs w:val="30"/>
          <w:highlight w:val="none"/>
        </w:rPr>
        <w:t>不动产</w:t>
      </w:r>
      <w:r>
        <w:rPr>
          <w:rFonts w:ascii="Times New Roman" w:hAnsi="Times New Roman" w:eastAsia="仿宋_GB2312" w:cs="Times New Roman"/>
          <w:bCs/>
          <w:sz w:val="30"/>
          <w:szCs w:val="30"/>
          <w:highlight w:val="none"/>
        </w:rPr>
        <w:t>基金投资价值及投资决策判断有重大影响的事项的承诺（盖章扫描件）；</w:t>
      </w:r>
    </w:p>
    <w:p w14:paraId="72FFC533">
      <w:pPr>
        <w:widowControl/>
        <w:numPr>
          <w:ilvl w:val="255"/>
          <w:numId w:val="0"/>
        </w:numPr>
        <w:spacing w:line="560" w:lineRule="exact"/>
        <w:ind w:firstLine="600" w:firstLineChars="200"/>
        <w:rPr>
          <w:rFonts w:ascii="Times New Roman" w:hAnsi="Times New Roman" w:eastAsia="仿宋_GB2312" w:cs="Times New Roman"/>
          <w:bCs/>
          <w:sz w:val="30"/>
          <w:szCs w:val="30"/>
          <w:highlight w:val="none"/>
        </w:rPr>
      </w:pPr>
      <w:r>
        <w:rPr>
          <w:rFonts w:ascii="Times New Roman" w:hAnsi="Times New Roman" w:eastAsia="仿宋_GB2312" w:cs="Times New Roman"/>
          <w:bCs/>
          <w:sz w:val="30"/>
          <w:szCs w:val="30"/>
          <w:highlight w:val="none"/>
        </w:rPr>
        <w:t>（4）基金管理人、财务顾问（如有）对战略投资者的选取标准、配售资格，是否存在相关禁止性情形进行核查的文件以及律师事务所出具的相应法律意见书（盖章扫描件）；</w:t>
      </w:r>
    </w:p>
    <w:p w14:paraId="593D2CF6">
      <w:pPr>
        <w:widowControl/>
        <w:numPr>
          <w:ilvl w:val="255"/>
          <w:numId w:val="0"/>
        </w:numPr>
        <w:spacing w:line="560" w:lineRule="exact"/>
        <w:ind w:firstLine="600" w:firstLineChars="200"/>
        <w:rPr>
          <w:rFonts w:ascii="Times New Roman" w:hAnsi="Times New Roman" w:eastAsia="仿宋_GB2312" w:cs="Times New Roman"/>
          <w:bCs/>
          <w:sz w:val="30"/>
          <w:szCs w:val="30"/>
          <w:highlight w:val="none"/>
        </w:rPr>
      </w:pPr>
      <w:r>
        <w:rPr>
          <w:rFonts w:ascii="Times New Roman" w:hAnsi="Times New Roman" w:eastAsia="仿宋_GB2312" w:cs="Times New Roman"/>
          <w:bCs/>
          <w:sz w:val="30"/>
          <w:szCs w:val="30"/>
          <w:highlight w:val="none"/>
        </w:rPr>
        <w:t>（5）基金管理人内部运作管理规范，包括内部运作管理架构、运营操作流程、风险防范措施、指定联系人等（盖章扫描件）；</w:t>
      </w:r>
    </w:p>
    <w:p w14:paraId="1AF2C7E4">
      <w:pPr>
        <w:widowControl/>
        <w:numPr>
          <w:ilvl w:val="255"/>
          <w:numId w:val="0"/>
        </w:numPr>
        <w:spacing w:line="560" w:lineRule="exact"/>
        <w:ind w:firstLine="600" w:firstLineChars="200"/>
        <w:rPr>
          <w:rFonts w:ascii="Times New Roman" w:hAnsi="Times New Roman" w:eastAsia="仿宋_GB2312" w:cs="Times New Roman"/>
          <w:bCs/>
          <w:sz w:val="30"/>
          <w:szCs w:val="30"/>
          <w:highlight w:val="none"/>
        </w:rPr>
      </w:pPr>
      <w:r>
        <w:rPr>
          <w:rFonts w:ascii="Times New Roman" w:hAnsi="Times New Roman" w:eastAsia="仿宋_GB2312" w:cs="Times New Roman"/>
          <w:bCs/>
          <w:sz w:val="30"/>
          <w:szCs w:val="30"/>
          <w:highlight w:val="none"/>
        </w:rPr>
        <w:t>（6）基金管理人、财务顾问（如有）关于REITs扩募发售上市业务自查和承诺反馈表（格式参考附件1-1）；</w:t>
      </w:r>
    </w:p>
    <w:p w14:paraId="6EEB263B">
      <w:pPr>
        <w:widowControl/>
        <w:numPr>
          <w:ilvl w:val="255"/>
          <w:numId w:val="0"/>
        </w:numPr>
        <w:spacing w:line="560" w:lineRule="exact"/>
        <w:ind w:firstLine="600" w:firstLineChars="200"/>
        <w:rPr>
          <w:rFonts w:ascii="Times New Roman" w:hAnsi="Times New Roman" w:eastAsia="仿宋_GB2312" w:cs="Times New Roman"/>
          <w:bCs/>
          <w:sz w:val="30"/>
          <w:szCs w:val="30"/>
          <w:highlight w:val="none"/>
        </w:rPr>
      </w:pPr>
      <w:r>
        <w:rPr>
          <w:rFonts w:ascii="Times New Roman" w:hAnsi="Times New Roman" w:eastAsia="仿宋_GB2312" w:cs="Times New Roman"/>
          <w:bCs/>
          <w:sz w:val="30"/>
          <w:szCs w:val="30"/>
          <w:highlight w:val="none"/>
        </w:rPr>
        <w:t>（7）提交报备文件与对外披露文件一致的承诺函（基金管理人、财务顾问（如有）盖章扫描件，格式参考附件1-2）；</w:t>
      </w:r>
    </w:p>
    <w:p w14:paraId="4E268C4F">
      <w:pPr>
        <w:widowControl/>
        <w:numPr>
          <w:ilvl w:val="255"/>
          <w:numId w:val="0"/>
        </w:numPr>
        <w:spacing w:line="560" w:lineRule="exact"/>
        <w:ind w:firstLine="600" w:firstLineChars="200"/>
        <w:rPr>
          <w:rFonts w:ascii="Times New Roman" w:hAnsi="Times New Roman" w:eastAsia="仿宋_GB2312" w:cs="Times New Roman"/>
          <w:bCs/>
          <w:sz w:val="30"/>
          <w:szCs w:val="30"/>
          <w:highlight w:val="none"/>
        </w:rPr>
      </w:pPr>
      <w:r>
        <w:rPr>
          <w:rFonts w:ascii="Times New Roman" w:hAnsi="Times New Roman" w:eastAsia="仿宋_GB2312" w:cs="Times New Roman"/>
          <w:bCs/>
          <w:sz w:val="30"/>
          <w:szCs w:val="30"/>
          <w:highlight w:val="none"/>
        </w:rPr>
        <w:t>（8）本所要求的其他备查材料。</w:t>
      </w:r>
    </w:p>
    <w:p w14:paraId="37E19BAD">
      <w:pPr>
        <w:widowControl/>
        <w:numPr>
          <w:ilvl w:val="255"/>
          <w:numId w:val="0"/>
        </w:numPr>
        <w:spacing w:line="560" w:lineRule="exact"/>
        <w:ind w:firstLine="600" w:firstLineChars="200"/>
        <w:rPr>
          <w:rFonts w:ascii="Times New Roman" w:hAnsi="Times New Roman" w:eastAsia="仿宋_GB2312" w:cs="Times New Roman"/>
          <w:bCs/>
          <w:sz w:val="30"/>
          <w:szCs w:val="30"/>
          <w:highlight w:val="none"/>
        </w:rPr>
      </w:pPr>
      <w:r>
        <w:rPr>
          <w:rFonts w:ascii="Times New Roman" w:hAnsi="Times New Roman" w:eastAsia="仿宋_GB2312" w:cs="Times New Roman"/>
          <w:bCs/>
          <w:sz w:val="30"/>
          <w:szCs w:val="30"/>
          <w:highlight w:val="none"/>
        </w:rPr>
        <w:t>2.信息披露文件</w:t>
      </w:r>
    </w:p>
    <w:p w14:paraId="651E01AE">
      <w:pPr>
        <w:widowControl/>
        <w:numPr>
          <w:ilvl w:val="255"/>
          <w:numId w:val="0"/>
        </w:numPr>
        <w:spacing w:line="560" w:lineRule="exact"/>
        <w:ind w:firstLine="600" w:firstLineChars="200"/>
        <w:rPr>
          <w:rFonts w:ascii="Times New Roman" w:hAnsi="Times New Roman" w:eastAsia="仿宋_GB2312" w:cs="Times New Roman"/>
          <w:bCs/>
          <w:sz w:val="30"/>
          <w:szCs w:val="30"/>
          <w:highlight w:val="none"/>
        </w:rPr>
      </w:pPr>
      <w:r>
        <w:rPr>
          <w:rFonts w:ascii="Times New Roman" w:hAnsi="Times New Roman" w:eastAsia="仿宋_GB2312" w:cs="Times New Roman"/>
          <w:bCs/>
          <w:sz w:val="30"/>
          <w:szCs w:val="30"/>
          <w:highlight w:val="none"/>
        </w:rPr>
        <w:t>（1）发售公告，公告“重要内容提示”及正文中应特别披露配售比例及预估可配售数量，并说明实际可配售数量将根据配售比例、可参与配售的发售份额数量确定（如有），以及发售期间的停复牌安排；</w:t>
      </w:r>
    </w:p>
    <w:p w14:paraId="4B335524">
      <w:pPr>
        <w:widowControl/>
        <w:numPr>
          <w:ilvl w:val="255"/>
          <w:numId w:val="0"/>
        </w:numPr>
        <w:spacing w:line="560" w:lineRule="exact"/>
        <w:ind w:firstLine="600" w:firstLineChars="200"/>
        <w:rPr>
          <w:rFonts w:ascii="Times New Roman" w:hAnsi="Times New Roman" w:eastAsia="仿宋_GB2312" w:cs="Times New Roman"/>
          <w:bCs/>
          <w:sz w:val="30"/>
          <w:szCs w:val="30"/>
          <w:highlight w:val="none"/>
        </w:rPr>
      </w:pPr>
      <w:r>
        <w:rPr>
          <w:rFonts w:ascii="Times New Roman" w:hAnsi="Times New Roman" w:eastAsia="仿宋_GB2312" w:cs="Times New Roman"/>
          <w:bCs/>
          <w:sz w:val="30"/>
          <w:szCs w:val="30"/>
          <w:highlight w:val="none"/>
        </w:rPr>
        <w:t>（2）关于战略投资者的专项核查报告；</w:t>
      </w:r>
    </w:p>
    <w:p w14:paraId="0B561342">
      <w:pPr>
        <w:widowControl/>
        <w:numPr>
          <w:ilvl w:val="255"/>
          <w:numId w:val="0"/>
        </w:numPr>
        <w:spacing w:line="560" w:lineRule="exact"/>
        <w:ind w:firstLine="600" w:firstLineChars="200"/>
        <w:rPr>
          <w:rFonts w:ascii="Times New Roman" w:hAnsi="Times New Roman" w:eastAsia="仿宋_GB2312" w:cs="Times New Roman"/>
          <w:bCs/>
          <w:sz w:val="30"/>
          <w:szCs w:val="30"/>
          <w:highlight w:val="none"/>
        </w:rPr>
      </w:pPr>
      <w:r>
        <w:rPr>
          <w:rFonts w:ascii="Times New Roman" w:hAnsi="Times New Roman" w:eastAsia="仿宋_GB2312" w:cs="Times New Roman"/>
          <w:bCs/>
          <w:sz w:val="30"/>
          <w:szCs w:val="30"/>
          <w:highlight w:val="none"/>
        </w:rPr>
        <w:t>（3）律师关于战略投资者核查的专项法律意见书；</w:t>
      </w:r>
    </w:p>
    <w:p w14:paraId="002D81E7">
      <w:pPr>
        <w:widowControl/>
        <w:numPr>
          <w:ilvl w:val="255"/>
          <w:numId w:val="0"/>
        </w:numPr>
        <w:spacing w:line="560" w:lineRule="exact"/>
        <w:ind w:firstLine="600" w:firstLineChars="200"/>
        <w:rPr>
          <w:rFonts w:ascii="Times New Roman" w:hAnsi="Times New Roman" w:eastAsia="仿宋_GB2312" w:cs="Times New Roman"/>
          <w:bCs/>
          <w:sz w:val="30"/>
          <w:szCs w:val="30"/>
          <w:highlight w:val="none"/>
        </w:rPr>
      </w:pPr>
      <w:r>
        <w:rPr>
          <w:rFonts w:ascii="Times New Roman" w:hAnsi="Times New Roman" w:eastAsia="仿宋_GB2312" w:cs="Times New Roman"/>
          <w:bCs/>
          <w:sz w:val="30"/>
          <w:szCs w:val="30"/>
          <w:highlight w:val="none"/>
        </w:rPr>
        <w:t>（4）招募说明书；</w:t>
      </w:r>
    </w:p>
    <w:p w14:paraId="6CDD33DC">
      <w:pPr>
        <w:widowControl/>
        <w:numPr>
          <w:ilvl w:val="255"/>
          <w:numId w:val="0"/>
        </w:numPr>
        <w:spacing w:line="560" w:lineRule="exact"/>
        <w:ind w:firstLine="600" w:firstLineChars="200"/>
        <w:rPr>
          <w:rFonts w:ascii="Times New Roman" w:hAnsi="Times New Roman" w:eastAsia="仿宋_GB2312" w:cs="Times New Roman"/>
          <w:bCs/>
          <w:sz w:val="30"/>
          <w:szCs w:val="30"/>
          <w:highlight w:val="none"/>
        </w:rPr>
      </w:pPr>
      <w:r>
        <w:rPr>
          <w:rFonts w:ascii="Times New Roman" w:hAnsi="Times New Roman" w:eastAsia="仿宋_GB2312" w:cs="Times New Roman"/>
          <w:bCs/>
          <w:sz w:val="30"/>
          <w:szCs w:val="30"/>
          <w:highlight w:val="none"/>
        </w:rPr>
        <w:t>（5）基金合同；</w:t>
      </w:r>
    </w:p>
    <w:p w14:paraId="7D1B80EC">
      <w:pPr>
        <w:widowControl/>
        <w:numPr>
          <w:ilvl w:val="255"/>
          <w:numId w:val="0"/>
        </w:numPr>
        <w:spacing w:line="560" w:lineRule="exact"/>
        <w:ind w:firstLine="600" w:firstLineChars="200"/>
        <w:rPr>
          <w:rFonts w:ascii="Times New Roman" w:hAnsi="Times New Roman" w:eastAsia="仿宋_GB2312" w:cs="Times New Roman"/>
          <w:bCs/>
          <w:sz w:val="30"/>
          <w:szCs w:val="30"/>
          <w:highlight w:val="none"/>
        </w:rPr>
      </w:pPr>
      <w:r>
        <w:rPr>
          <w:rFonts w:ascii="Times New Roman" w:hAnsi="Times New Roman" w:eastAsia="仿宋_GB2312" w:cs="Times New Roman"/>
          <w:bCs/>
          <w:sz w:val="30"/>
          <w:szCs w:val="30"/>
          <w:highlight w:val="none"/>
        </w:rPr>
        <w:t>（6）托管协议；</w:t>
      </w:r>
    </w:p>
    <w:p w14:paraId="232DCBA8">
      <w:pPr>
        <w:widowControl/>
        <w:numPr>
          <w:ilvl w:val="255"/>
          <w:numId w:val="0"/>
        </w:numPr>
        <w:spacing w:line="560" w:lineRule="exact"/>
        <w:ind w:firstLine="600" w:firstLineChars="200"/>
        <w:rPr>
          <w:rFonts w:ascii="Times New Roman" w:hAnsi="Times New Roman" w:eastAsia="仿宋_GB2312" w:cs="Times New Roman"/>
          <w:bCs/>
          <w:sz w:val="30"/>
          <w:szCs w:val="30"/>
          <w:highlight w:val="none"/>
        </w:rPr>
      </w:pPr>
      <w:r>
        <w:rPr>
          <w:rFonts w:ascii="Times New Roman" w:hAnsi="Times New Roman" w:eastAsia="仿宋_GB2312" w:cs="Times New Roman"/>
          <w:bCs/>
          <w:sz w:val="30"/>
          <w:szCs w:val="30"/>
          <w:highlight w:val="none"/>
        </w:rPr>
        <w:t>（7）基金产品资料概要；</w:t>
      </w:r>
    </w:p>
    <w:p w14:paraId="2EEAB17E">
      <w:pPr>
        <w:widowControl/>
        <w:numPr>
          <w:ilvl w:val="255"/>
          <w:numId w:val="0"/>
        </w:numPr>
        <w:spacing w:line="560" w:lineRule="exact"/>
        <w:ind w:firstLine="600" w:firstLineChars="200"/>
        <w:rPr>
          <w:rFonts w:ascii="Times New Roman" w:hAnsi="Times New Roman" w:eastAsia="仿宋_GB2312" w:cs="Times New Roman"/>
          <w:bCs/>
          <w:sz w:val="30"/>
          <w:szCs w:val="30"/>
          <w:highlight w:val="none"/>
        </w:rPr>
      </w:pPr>
      <w:r>
        <w:rPr>
          <w:rFonts w:ascii="Times New Roman" w:hAnsi="Times New Roman" w:eastAsia="仿宋_GB2312" w:cs="Times New Roman"/>
          <w:bCs/>
          <w:sz w:val="30"/>
          <w:szCs w:val="30"/>
          <w:highlight w:val="none"/>
        </w:rPr>
        <w:t>（8）本所要求的其他必要披露文件。</w:t>
      </w:r>
    </w:p>
    <w:p w14:paraId="7CA7F0DB">
      <w:pPr>
        <w:widowControl/>
        <w:numPr>
          <w:ilvl w:val="255"/>
          <w:numId w:val="0"/>
        </w:numPr>
        <w:spacing w:line="560" w:lineRule="exact"/>
        <w:ind w:firstLine="600" w:firstLineChars="200"/>
        <w:rPr>
          <w:rFonts w:ascii="Times New Roman" w:hAnsi="Times New Roman" w:eastAsia="仿宋_GB2312" w:cs="Times New Roman"/>
          <w:bCs/>
          <w:sz w:val="30"/>
          <w:szCs w:val="30"/>
          <w:highlight w:val="none"/>
        </w:rPr>
      </w:pPr>
      <w:r>
        <w:rPr>
          <w:rFonts w:ascii="Times New Roman" w:hAnsi="Times New Roman" w:eastAsia="仿宋_GB2312" w:cs="Times New Roman"/>
          <w:bCs/>
          <w:sz w:val="30"/>
          <w:szCs w:val="30"/>
          <w:highlight w:val="none"/>
        </w:rPr>
        <w:t>注：如无特别标识，上述披露文件需以PDF格式的电子文件提交。</w:t>
      </w:r>
    </w:p>
    <w:p w14:paraId="51D009B4">
      <w:pPr>
        <w:widowControl/>
        <w:spacing w:line="560" w:lineRule="exact"/>
        <w:ind w:firstLine="640"/>
        <w:rPr>
          <w:rFonts w:ascii="Times New Roman" w:hAnsi="Times New Roman" w:eastAsia="仿宋_GB2312" w:cs="Times New Roman"/>
          <w:bCs/>
          <w:sz w:val="30"/>
          <w:szCs w:val="30"/>
          <w:highlight w:val="none"/>
        </w:rPr>
      </w:pPr>
      <w:r>
        <w:rPr>
          <w:rFonts w:ascii="Times New Roman" w:hAnsi="Times New Roman" w:eastAsia="仿宋_GB2312" w:cs="Times New Roman"/>
          <w:bCs/>
          <w:sz w:val="30"/>
          <w:szCs w:val="30"/>
          <w:highlight w:val="none"/>
        </w:rPr>
        <w:t>本所自收到基金管理人的申请材料之日起5个工作日内，对申请材料进行核对，当日13:00后提交的，当日不计入前述5个工作日内；若相关材料未符合本所《</w:t>
      </w:r>
      <w:r>
        <w:rPr>
          <w:rFonts w:hint="eastAsia" w:ascii="Times New Roman" w:hAnsi="Times New Roman" w:eastAsia="仿宋_GB2312" w:cs="Times New Roman"/>
          <w:bCs/>
          <w:sz w:val="30"/>
          <w:szCs w:val="30"/>
          <w:highlight w:val="none"/>
        </w:rPr>
        <w:t>扩募及</w:t>
      </w:r>
      <w:r>
        <w:rPr>
          <w:rFonts w:ascii="Times New Roman" w:hAnsi="Times New Roman" w:eastAsia="仿宋_GB2312" w:cs="Times New Roman"/>
          <w:bCs/>
          <w:sz w:val="30"/>
          <w:szCs w:val="30"/>
          <w:highlight w:val="none"/>
        </w:rPr>
        <w:t>新购入</w:t>
      </w:r>
      <w:r>
        <w:rPr>
          <w:rFonts w:hint="eastAsia" w:ascii="Times New Roman" w:hAnsi="Times New Roman" w:eastAsia="仿宋_GB2312" w:cs="Times New Roman"/>
          <w:bCs/>
          <w:sz w:val="30"/>
          <w:szCs w:val="30"/>
          <w:highlight w:val="none"/>
        </w:rPr>
        <w:t>不动产</w:t>
      </w:r>
      <w:r>
        <w:rPr>
          <w:rFonts w:ascii="Times New Roman" w:hAnsi="Times New Roman" w:eastAsia="仿宋_GB2312" w:cs="Times New Roman"/>
          <w:bCs/>
          <w:sz w:val="30"/>
          <w:szCs w:val="30"/>
          <w:highlight w:val="none"/>
        </w:rPr>
        <w:t>指引》规定或其他相关要求的，则退回基金管理人予以补正，补正时间不计入上述5个工作日内。</w:t>
      </w:r>
    </w:p>
    <w:p w14:paraId="351119E1">
      <w:pPr>
        <w:widowControl/>
        <w:spacing w:line="560" w:lineRule="exact"/>
        <w:ind w:firstLine="640"/>
        <w:rPr>
          <w:rFonts w:ascii="Times New Roman" w:hAnsi="Times New Roman" w:eastAsia="仿宋_GB2312" w:cs="Times New Roman"/>
          <w:bCs/>
          <w:sz w:val="30"/>
          <w:szCs w:val="30"/>
          <w:highlight w:val="none"/>
        </w:rPr>
      </w:pPr>
      <w:r>
        <w:rPr>
          <w:rFonts w:ascii="Times New Roman" w:hAnsi="Times New Roman" w:eastAsia="仿宋_GB2312" w:cs="Times New Roman"/>
          <w:bCs/>
          <w:sz w:val="30"/>
          <w:szCs w:val="30"/>
          <w:highlight w:val="none"/>
        </w:rPr>
        <w:t>正式启动发售后，基金管理人、财务顾问（如有）应按照REITs扩募相关工作安排推进发售上市工作。启动发售后，基金管理人不得再对发售方案作出修改。如因特殊情况需要对发售方案作出重大调整的，应及时通知本所。</w:t>
      </w:r>
    </w:p>
    <w:p w14:paraId="6C1A9E42">
      <w:pPr>
        <w:numPr>
          <w:ilvl w:val="255"/>
          <w:numId w:val="0"/>
        </w:numPr>
        <w:spacing w:line="560" w:lineRule="exact"/>
        <w:ind w:firstLine="602" w:firstLineChars="200"/>
        <w:outlineLvl w:val="2"/>
        <w:rPr>
          <w:rFonts w:ascii="Times New Roman" w:hAnsi="Times New Roman" w:eastAsia="楷体_GB2312" w:cs="Times New Roman"/>
          <w:b/>
          <w:bCs/>
          <w:kern w:val="0"/>
          <w:sz w:val="30"/>
          <w:szCs w:val="30"/>
          <w:highlight w:val="none"/>
        </w:rPr>
      </w:pPr>
      <w:bookmarkStart w:id="509" w:name="_Toc10481"/>
      <w:bookmarkStart w:id="510" w:name="_Toc7676"/>
      <w:bookmarkStart w:id="511" w:name="_Toc8567"/>
      <w:bookmarkStart w:id="512" w:name="_Toc6159"/>
      <w:bookmarkStart w:id="513" w:name="_Toc11920"/>
      <w:bookmarkStart w:id="514" w:name="_Toc8960"/>
      <w:bookmarkStart w:id="515" w:name="_Toc3189"/>
      <w:bookmarkStart w:id="516" w:name="_Toc4374"/>
      <w:bookmarkStart w:id="517" w:name="_Toc19752"/>
      <w:bookmarkStart w:id="518" w:name="_Toc19604"/>
      <w:bookmarkStart w:id="519" w:name="_Toc8549"/>
      <w:bookmarkStart w:id="520" w:name="_Toc15435"/>
      <w:r>
        <w:rPr>
          <w:rFonts w:ascii="Times New Roman" w:hAnsi="Times New Roman" w:eastAsia="楷体_GB2312" w:cs="Times New Roman"/>
          <w:b/>
          <w:bCs/>
          <w:kern w:val="0"/>
          <w:sz w:val="30"/>
          <w:szCs w:val="30"/>
          <w:highlight w:val="none"/>
        </w:rPr>
        <w:t>（二）确认认购日期</w:t>
      </w:r>
      <w:bookmarkEnd w:id="509"/>
      <w:bookmarkEnd w:id="510"/>
      <w:bookmarkEnd w:id="511"/>
      <w:bookmarkEnd w:id="512"/>
      <w:bookmarkEnd w:id="513"/>
      <w:bookmarkEnd w:id="514"/>
      <w:bookmarkEnd w:id="515"/>
      <w:r>
        <w:rPr>
          <w:rFonts w:ascii="Times New Roman" w:hAnsi="Times New Roman" w:eastAsia="楷体_GB2312" w:cs="Times New Roman"/>
          <w:b/>
          <w:bCs/>
          <w:kern w:val="0"/>
          <w:sz w:val="30"/>
          <w:szCs w:val="30"/>
          <w:highlight w:val="none"/>
        </w:rPr>
        <w:t>并录入发售参数</w:t>
      </w:r>
      <w:bookmarkEnd w:id="516"/>
      <w:bookmarkEnd w:id="517"/>
      <w:bookmarkEnd w:id="518"/>
      <w:bookmarkEnd w:id="519"/>
      <w:bookmarkEnd w:id="520"/>
    </w:p>
    <w:p w14:paraId="54363BCB">
      <w:pPr>
        <w:widowControl/>
        <w:numPr>
          <w:ilvl w:val="0"/>
          <w:numId w:val="1"/>
        </w:numPr>
        <w:spacing w:line="560" w:lineRule="exact"/>
        <w:ind w:left="197" w:firstLine="643"/>
        <w:rPr>
          <w:rFonts w:ascii="Times New Roman" w:hAnsi="Times New Roman" w:eastAsia="仿宋_GB2312" w:cs="Times New Roman"/>
          <w:b/>
          <w:sz w:val="30"/>
          <w:szCs w:val="30"/>
          <w:highlight w:val="none"/>
        </w:rPr>
      </w:pPr>
      <w:r>
        <w:rPr>
          <w:rFonts w:ascii="Times New Roman" w:hAnsi="Times New Roman" w:eastAsia="仿宋_GB2312" w:cs="Times New Roman"/>
          <w:b/>
          <w:sz w:val="30"/>
          <w:szCs w:val="30"/>
          <w:highlight w:val="none"/>
        </w:rPr>
        <w:t>T-4日（含）前</w:t>
      </w:r>
    </w:p>
    <w:p w14:paraId="3FA0B14A">
      <w:pPr>
        <w:spacing w:line="560" w:lineRule="exact"/>
        <w:ind w:firstLine="600" w:firstLineChars="200"/>
        <w:rPr>
          <w:rFonts w:ascii="Times New Roman" w:hAnsi="Times New Roman" w:eastAsia="仿宋_GB2312" w:cs="Times New Roman"/>
          <w:kern w:val="0"/>
          <w:sz w:val="30"/>
          <w:szCs w:val="30"/>
          <w:highlight w:val="none"/>
        </w:rPr>
      </w:pPr>
      <w:r>
        <w:rPr>
          <w:rFonts w:ascii="Times New Roman" w:hAnsi="Times New Roman" w:eastAsia="仿宋_GB2312" w:cs="Times New Roman"/>
          <w:kern w:val="0"/>
          <w:sz w:val="30"/>
          <w:szCs w:val="30"/>
          <w:highlight w:val="none"/>
        </w:rPr>
        <w:t>基金管理人在本所业务管理系统平台中对发售业务申请中拟定的认购日期等信息进行确认：</w:t>
      </w:r>
    </w:p>
    <w:p w14:paraId="12BE35DC">
      <w:pPr>
        <w:spacing w:line="560" w:lineRule="exact"/>
        <w:ind w:firstLine="600" w:firstLineChars="200"/>
        <w:rPr>
          <w:rFonts w:ascii="Times New Roman" w:hAnsi="Times New Roman" w:eastAsia="仿宋_GB2312" w:cs="Times New Roman"/>
          <w:kern w:val="0"/>
          <w:sz w:val="30"/>
          <w:szCs w:val="30"/>
          <w:highlight w:val="none"/>
        </w:rPr>
      </w:pPr>
      <w:r>
        <w:rPr>
          <w:rFonts w:hint="eastAsia" w:ascii="Times New Roman" w:hAnsi="Times New Roman" w:eastAsia="仿宋_GB2312" w:cs="Times New Roman"/>
          <w:kern w:val="0"/>
          <w:sz w:val="30"/>
          <w:szCs w:val="30"/>
          <w:highlight w:val="none"/>
        </w:rPr>
        <w:t>1.</w:t>
      </w:r>
      <w:r>
        <w:rPr>
          <w:rFonts w:ascii="Times New Roman" w:hAnsi="Times New Roman" w:eastAsia="仿宋_GB2312" w:cs="Times New Roman"/>
          <w:kern w:val="0"/>
          <w:sz w:val="30"/>
          <w:szCs w:val="30"/>
          <w:highlight w:val="none"/>
        </w:rPr>
        <w:t>如确定拟定认购日期为正式认购日期，则发售业务申请办结；</w:t>
      </w:r>
    </w:p>
    <w:p w14:paraId="2624E176">
      <w:pPr>
        <w:spacing w:line="560" w:lineRule="exact"/>
        <w:ind w:firstLine="600" w:firstLineChars="200"/>
        <w:rPr>
          <w:rFonts w:ascii="Times New Roman" w:hAnsi="Times New Roman" w:eastAsia="仿宋_GB2312" w:cs="Times New Roman"/>
          <w:kern w:val="0"/>
          <w:sz w:val="30"/>
          <w:szCs w:val="30"/>
          <w:highlight w:val="none"/>
        </w:rPr>
      </w:pPr>
      <w:r>
        <w:rPr>
          <w:rFonts w:hint="eastAsia" w:ascii="Times New Roman" w:hAnsi="Times New Roman" w:eastAsia="仿宋_GB2312" w:cs="Times New Roman"/>
          <w:kern w:val="0"/>
          <w:sz w:val="30"/>
          <w:szCs w:val="30"/>
          <w:highlight w:val="none"/>
        </w:rPr>
        <w:t>2.</w:t>
      </w:r>
      <w:r>
        <w:rPr>
          <w:rFonts w:ascii="Times New Roman" w:hAnsi="Times New Roman" w:eastAsia="仿宋_GB2312" w:cs="Times New Roman"/>
          <w:kern w:val="0"/>
          <w:sz w:val="30"/>
          <w:szCs w:val="30"/>
          <w:highlight w:val="none"/>
        </w:rPr>
        <w:t>如此时需变更拟定的认购日期，但其他相关信息无变动，则基金管理人可修改认购日期，并重新提交日期变更后的发售公告文件，以及业务信息调整申请函，经本所再次审核通过后，发售业务申请办结；</w:t>
      </w:r>
    </w:p>
    <w:p w14:paraId="6FEA299B">
      <w:pPr>
        <w:spacing w:line="560" w:lineRule="exact"/>
        <w:ind w:firstLine="600" w:firstLineChars="200"/>
        <w:rPr>
          <w:rFonts w:ascii="Times New Roman" w:hAnsi="Times New Roman" w:eastAsia="仿宋_GB2312" w:cs="Times New Roman"/>
          <w:kern w:val="0"/>
          <w:sz w:val="30"/>
          <w:szCs w:val="30"/>
          <w:highlight w:val="none"/>
        </w:rPr>
      </w:pPr>
      <w:r>
        <w:rPr>
          <w:rFonts w:hint="eastAsia" w:ascii="Times New Roman" w:hAnsi="Times New Roman" w:eastAsia="仿宋_GB2312" w:cs="Times New Roman"/>
          <w:kern w:val="0"/>
          <w:sz w:val="30"/>
          <w:szCs w:val="30"/>
          <w:highlight w:val="none"/>
        </w:rPr>
        <w:t>3.</w:t>
      </w:r>
      <w:r>
        <w:rPr>
          <w:rFonts w:ascii="Times New Roman" w:hAnsi="Times New Roman" w:eastAsia="仿宋_GB2312" w:cs="Times New Roman"/>
          <w:kern w:val="0"/>
          <w:sz w:val="30"/>
          <w:szCs w:val="30"/>
          <w:highlight w:val="none"/>
        </w:rPr>
        <w:t>明确扩募采用的发售方式为公开扩募或</w:t>
      </w:r>
      <w:r>
        <w:rPr>
          <w:rFonts w:ascii="Times New Roman" w:hAnsi="Times New Roman" w:eastAsia="仿宋_GB2312" w:cs="Times New Roman"/>
          <w:bCs/>
          <w:sz w:val="30"/>
          <w:szCs w:val="30"/>
          <w:highlight w:val="none"/>
        </w:rPr>
        <w:t>向原持有人优先配售、剩余份额公开扩募</w:t>
      </w:r>
      <w:r>
        <w:rPr>
          <w:rFonts w:ascii="Times New Roman" w:hAnsi="Times New Roman" w:eastAsia="仿宋_GB2312" w:cs="Times New Roman"/>
          <w:kern w:val="0"/>
          <w:sz w:val="30"/>
          <w:szCs w:val="30"/>
          <w:highlight w:val="none"/>
        </w:rPr>
        <w:t>；</w:t>
      </w:r>
    </w:p>
    <w:p w14:paraId="054B12ED">
      <w:pPr>
        <w:spacing w:line="560" w:lineRule="exact"/>
        <w:ind w:firstLine="600" w:firstLineChars="200"/>
        <w:rPr>
          <w:rFonts w:ascii="Times New Roman" w:hAnsi="Times New Roman" w:eastAsia="仿宋_GB2312" w:cs="Times New Roman"/>
          <w:kern w:val="0"/>
          <w:sz w:val="30"/>
          <w:szCs w:val="30"/>
          <w:highlight w:val="none"/>
        </w:rPr>
      </w:pPr>
      <w:r>
        <w:rPr>
          <w:rFonts w:hint="eastAsia" w:ascii="Times New Roman" w:hAnsi="Times New Roman" w:eastAsia="仿宋_GB2312" w:cs="Times New Roman"/>
          <w:kern w:val="0"/>
          <w:sz w:val="30"/>
          <w:szCs w:val="30"/>
          <w:highlight w:val="none"/>
        </w:rPr>
        <w:t>4.</w:t>
      </w:r>
      <w:r>
        <w:rPr>
          <w:rFonts w:ascii="Times New Roman" w:hAnsi="Times New Roman" w:eastAsia="仿宋_GB2312" w:cs="Times New Roman"/>
          <w:bCs/>
          <w:sz w:val="30"/>
          <w:szCs w:val="30"/>
          <w:highlight w:val="none"/>
        </w:rPr>
        <w:t>涉及向原持有人优先配售的</w:t>
      </w:r>
      <w:r>
        <w:rPr>
          <w:rFonts w:ascii="Times New Roman" w:hAnsi="Times New Roman" w:eastAsia="仿宋_GB2312" w:cs="Times New Roman"/>
          <w:kern w:val="0"/>
          <w:sz w:val="30"/>
          <w:szCs w:val="30"/>
          <w:highlight w:val="none"/>
        </w:rPr>
        <w:t>，原持有人配售定价、公开募集定价以及战略配售定价应当保持一致。基金管理人或财务顾问（如有）通过本所业务管理系统平台录入发售相关参数，包括</w:t>
      </w:r>
      <w:r>
        <w:rPr>
          <w:rFonts w:ascii="Times New Roman" w:hAnsi="Times New Roman" w:eastAsia="仿宋_GB2312" w:cs="Times New Roman"/>
          <w:sz w:val="30"/>
          <w:szCs w:val="30"/>
          <w:highlight w:val="none"/>
        </w:rPr>
        <w:t>发售价格、认购起止期间</w:t>
      </w:r>
      <w:r>
        <w:rPr>
          <w:rFonts w:ascii="Times New Roman" w:hAnsi="Times New Roman" w:eastAsia="仿宋_GB2312" w:cs="Times New Roman"/>
          <w:kern w:val="0"/>
          <w:sz w:val="30"/>
          <w:szCs w:val="30"/>
          <w:highlight w:val="none"/>
        </w:rPr>
        <w:t>等；</w:t>
      </w:r>
    </w:p>
    <w:p w14:paraId="2C21CC11">
      <w:pPr>
        <w:spacing w:line="560" w:lineRule="exact"/>
        <w:ind w:firstLine="600" w:firstLineChars="200"/>
        <w:rPr>
          <w:rFonts w:ascii="Times New Roman" w:hAnsi="Times New Roman" w:eastAsia="仿宋_GB2312" w:cs="Times New Roman"/>
          <w:kern w:val="0"/>
          <w:sz w:val="30"/>
          <w:szCs w:val="30"/>
          <w:highlight w:val="none"/>
        </w:rPr>
      </w:pPr>
      <w:r>
        <w:rPr>
          <w:rFonts w:hint="eastAsia" w:ascii="Times New Roman" w:hAnsi="Times New Roman" w:eastAsia="仿宋_GB2312" w:cs="Times New Roman"/>
          <w:kern w:val="0"/>
          <w:sz w:val="30"/>
          <w:szCs w:val="30"/>
          <w:highlight w:val="none"/>
        </w:rPr>
        <w:t>5.</w:t>
      </w:r>
      <w:r>
        <w:rPr>
          <w:rFonts w:ascii="Times New Roman" w:hAnsi="Times New Roman" w:eastAsia="仿宋_GB2312" w:cs="Times New Roman"/>
          <w:kern w:val="0"/>
          <w:sz w:val="30"/>
          <w:szCs w:val="30"/>
          <w:highlight w:val="none"/>
        </w:rPr>
        <w:t>如此时因其他因素导致发售相关信息有变化或需取消认购的，则基金管理人可直接取消此次发售申请，流程终止。后续如有需要，可再次发起新的发售申请。</w:t>
      </w:r>
    </w:p>
    <w:p w14:paraId="279E63F8">
      <w:pPr>
        <w:spacing w:line="560" w:lineRule="exact"/>
        <w:ind w:firstLine="600" w:firstLineChars="200"/>
        <w:rPr>
          <w:rFonts w:ascii="Times New Roman" w:hAnsi="Times New Roman" w:eastAsia="仿宋_GB2312" w:cs="Times New Roman"/>
          <w:kern w:val="0"/>
          <w:sz w:val="30"/>
          <w:szCs w:val="30"/>
          <w:highlight w:val="none"/>
        </w:rPr>
      </w:pPr>
      <w:r>
        <w:rPr>
          <w:rFonts w:ascii="Times New Roman" w:hAnsi="Times New Roman" w:eastAsia="仿宋_GB2312" w:cs="Times New Roman"/>
          <w:kern w:val="0"/>
          <w:sz w:val="30"/>
          <w:szCs w:val="30"/>
          <w:highlight w:val="none"/>
        </w:rPr>
        <w:t>本业务申请经本所最终审核办结后，如因特殊情况需要对募集期相关安排作出重大调整的，应当及时通知本所。</w:t>
      </w:r>
    </w:p>
    <w:p w14:paraId="026DF8FD">
      <w:pPr>
        <w:numPr>
          <w:ilvl w:val="255"/>
          <w:numId w:val="0"/>
        </w:numPr>
        <w:spacing w:line="560" w:lineRule="exact"/>
        <w:ind w:firstLine="602" w:firstLineChars="200"/>
        <w:outlineLvl w:val="2"/>
        <w:rPr>
          <w:rFonts w:ascii="Times New Roman" w:hAnsi="Times New Roman" w:eastAsia="楷体_GB2312" w:cs="Times New Roman"/>
          <w:b/>
          <w:bCs/>
          <w:kern w:val="0"/>
          <w:sz w:val="30"/>
          <w:szCs w:val="30"/>
          <w:highlight w:val="none"/>
        </w:rPr>
      </w:pPr>
      <w:bookmarkStart w:id="521" w:name="_Toc17609"/>
      <w:bookmarkStart w:id="522" w:name="_Toc23505"/>
      <w:bookmarkStart w:id="523" w:name="_Toc19516"/>
      <w:bookmarkStart w:id="524" w:name="_Toc1629"/>
      <w:bookmarkStart w:id="525" w:name="_Toc10416"/>
      <w:bookmarkStart w:id="526" w:name="_Toc3316"/>
      <w:bookmarkStart w:id="527" w:name="_Toc22016"/>
      <w:bookmarkStart w:id="528" w:name="_Toc14214"/>
      <w:bookmarkStart w:id="529" w:name="_Toc23573"/>
      <w:bookmarkStart w:id="530" w:name="_Toc16534"/>
      <w:bookmarkStart w:id="531" w:name="_Toc7497"/>
      <w:bookmarkStart w:id="532" w:name="_Toc13949"/>
      <w:r>
        <w:rPr>
          <w:rFonts w:ascii="Times New Roman" w:hAnsi="Times New Roman" w:eastAsia="楷体_GB2312" w:cs="Times New Roman"/>
          <w:b/>
          <w:bCs/>
          <w:kern w:val="0"/>
          <w:sz w:val="30"/>
          <w:szCs w:val="30"/>
          <w:highlight w:val="none"/>
        </w:rPr>
        <w:t>（三）发布发售公告</w:t>
      </w:r>
      <w:bookmarkEnd w:id="521"/>
      <w:bookmarkEnd w:id="522"/>
      <w:bookmarkEnd w:id="523"/>
      <w:bookmarkEnd w:id="524"/>
      <w:bookmarkEnd w:id="525"/>
      <w:bookmarkEnd w:id="526"/>
      <w:bookmarkEnd w:id="527"/>
      <w:bookmarkEnd w:id="528"/>
      <w:bookmarkEnd w:id="529"/>
      <w:bookmarkEnd w:id="530"/>
      <w:bookmarkEnd w:id="531"/>
      <w:bookmarkEnd w:id="532"/>
    </w:p>
    <w:p w14:paraId="4FF5B7DC">
      <w:pPr>
        <w:widowControl/>
        <w:numPr>
          <w:ilvl w:val="0"/>
          <w:numId w:val="1"/>
        </w:numPr>
        <w:spacing w:line="560" w:lineRule="exact"/>
        <w:ind w:left="197" w:firstLine="643"/>
        <w:rPr>
          <w:rFonts w:ascii="Times New Roman" w:hAnsi="Times New Roman" w:eastAsia="仿宋_GB2312" w:cs="Times New Roman"/>
          <w:b/>
          <w:sz w:val="30"/>
          <w:szCs w:val="30"/>
          <w:highlight w:val="none"/>
        </w:rPr>
      </w:pPr>
      <w:r>
        <w:rPr>
          <w:rFonts w:ascii="Times New Roman" w:hAnsi="Times New Roman" w:eastAsia="仿宋_GB2312" w:cs="Times New Roman"/>
          <w:b/>
          <w:sz w:val="30"/>
          <w:szCs w:val="30"/>
          <w:highlight w:val="none"/>
        </w:rPr>
        <w:t xml:space="preserve">T-3日（含）前 </w:t>
      </w:r>
    </w:p>
    <w:p w14:paraId="209B4460">
      <w:pPr>
        <w:spacing w:line="560" w:lineRule="exact"/>
        <w:ind w:firstLine="600" w:firstLineChars="200"/>
        <w:rPr>
          <w:rFonts w:ascii="Times New Roman" w:hAnsi="Times New Roman" w:eastAsia="仿宋_GB2312" w:cs="Times New Roman"/>
          <w:kern w:val="0"/>
          <w:sz w:val="30"/>
          <w:szCs w:val="30"/>
          <w:highlight w:val="none"/>
        </w:rPr>
      </w:pPr>
      <w:r>
        <w:rPr>
          <w:rFonts w:ascii="Times New Roman" w:hAnsi="Times New Roman" w:eastAsia="仿宋_GB2312" w:cs="Times New Roman"/>
          <w:kern w:val="0"/>
          <w:sz w:val="30"/>
          <w:szCs w:val="30"/>
          <w:highlight w:val="none"/>
        </w:rPr>
        <w:t>发售公告、基金管理人对战略投资者的核查文件及律师事务所对战略投资者核查的法律意见书等公告文件在本所官网发布，基金管理人核对网站披露内容是否符合预期。</w:t>
      </w:r>
    </w:p>
    <w:p w14:paraId="7F9ACBFF">
      <w:pPr>
        <w:spacing w:line="560" w:lineRule="exact"/>
        <w:ind w:firstLine="600" w:firstLineChars="200"/>
        <w:rPr>
          <w:rFonts w:ascii="Times New Roman" w:hAnsi="Times New Roman" w:cs="Times New Roman"/>
          <w:sz w:val="30"/>
          <w:szCs w:val="30"/>
          <w:highlight w:val="none"/>
        </w:rPr>
      </w:pPr>
      <w:r>
        <w:rPr>
          <w:rFonts w:ascii="Times New Roman" w:hAnsi="Times New Roman" w:eastAsia="仿宋_GB2312" w:cs="Times New Roman"/>
          <w:kern w:val="0"/>
          <w:sz w:val="30"/>
          <w:szCs w:val="30"/>
          <w:highlight w:val="none"/>
        </w:rPr>
        <w:t>基金管理人根据中国证监会规定在其他媒介上刊登前述公告。</w:t>
      </w:r>
    </w:p>
    <w:p w14:paraId="7090ED85">
      <w:pPr>
        <w:widowControl/>
        <w:numPr>
          <w:ilvl w:val="255"/>
          <w:numId w:val="0"/>
        </w:numPr>
        <w:spacing w:line="560" w:lineRule="exact"/>
        <w:ind w:firstLine="602" w:firstLineChars="200"/>
        <w:jc w:val="left"/>
        <w:outlineLvl w:val="2"/>
        <w:rPr>
          <w:rFonts w:ascii="Times New Roman" w:hAnsi="Times New Roman" w:eastAsia="楷体_GB2312" w:cs="Times New Roman"/>
          <w:b/>
          <w:bCs/>
          <w:kern w:val="0"/>
          <w:sz w:val="30"/>
          <w:szCs w:val="30"/>
          <w:highlight w:val="none"/>
        </w:rPr>
      </w:pPr>
      <w:bookmarkStart w:id="533" w:name="_Toc25439"/>
      <w:bookmarkStart w:id="534" w:name="_Toc10164"/>
      <w:bookmarkStart w:id="535" w:name="_Toc20210"/>
      <w:bookmarkStart w:id="536" w:name="_Toc906"/>
      <w:bookmarkStart w:id="537" w:name="_Toc479"/>
      <w:r>
        <w:rPr>
          <w:rFonts w:ascii="Times New Roman" w:hAnsi="Times New Roman" w:eastAsia="楷体_GB2312" w:cs="Times New Roman"/>
          <w:b/>
          <w:bCs/>
          <w:kern w:val="0"/>
          <w:sz w:val="30"/>
          <w:szCs w:val="30"/>
          <w:highlight w:val="none"/>
        </w:rPr>
        <w:t>（四）转托管暂停及恢复</w:t>
      </w:r>
      <w:bookmarkEnd w:id="533"/>
      <w:bookmarkEnd w:id="534"/>
      <w:bookmarkEnd w:id="535"/>
      <w:bookmarkEnd w:id="536"/>
      <w:bookmarkEnd w:id="537"/>
    </w:p>
    <w:p w14:paraId="02F4F923">
      <w:pPr>
        <w:widowControl/>
        <w:numPr>
          <w:ilvl w:val="255"/>
          <w:numId w:val="0"/>
        </w:numPr>
        <w:spacing w:line="560" w:lineRule="exact"/>
        <w:ind w:firstLine="600" w:firstLineChars="200"/>
        <w:rPr>
          <w:rFonts w:ascii="Times New Roman" w:hAnsi="Times New Roman" w:eastAsia="仿宋_GB2312" w:cs="Times New Roman"/>
          <w:kern w:val="0"/>
          <w:sz w:val="30"/>
          <w:szCs w:val="30"/>
          <w:highlight w:val="none"/>
        </w:rPr>
      </w:pPr>
      <w:r>
        <w:rPr>
          <w:rFonts w:ascii="Times New Roman" w:hAnsi="Times New Roman" w:eastAsia="仿宋_GB2312" w:cs="Times New Roman"/>
          <w:kern w:val="0"/>
          <w:sz w:val="30"/>
          <w:szCs w:val="30"/>
          <w:highlight w:val="none"/>
        </w:rPr>
        <w:t>若公开扩募中涉及向原持有人优先配售的，</w:t>
      </w:r>
      <w:r>
        <w:rPr>
          <w:rFonts w:ascii="Times New Roman" w:hAnsi="Times New Roman" w:eastAsia="仿宋_GB2312" w:cs="Times New Roman"/>
          <w:sz w:val="30"/>
          <w:szCs w:val="30"/>
          <w:highlight w:val="none"/>
        </w:rPr>
        <w:t>基金管理人应</w:t>
      </w:r>
      <w:r>
        <w:rPr>
          <w:rFonts w:ascii="Times New Roman" w:hAnsi="Times New Roman" w:eastAsia="仿宋_GB2312" w:cs="Times New Roman"/>
          <w:kern w:val="0"/>
          <w:sz w:val="30"/>
          <w:szCs w:val="30"/>
          <w:highlight w:val="none"/>
        </w:rPr>
        <w:t>参照本指南“第二章向原持有人配售”之“二、发售及认购”之“（四）转托管暂停及恢复”办理相关业务。</w:t>
      </w:r>
    </w:p>
    <w:p w14:paraId="0B0663E6">
      <w:pPr>
        <w:numPr>
          <w:ilvl w:val="255"/>
          <w:numId w:val="0"/>
        </w:numPr>
        <w:spacing w:line="560" w:lineRule="exact"/>
        <w:ind w:firstLine="602" w:firstLineChars="200"/>
        <w:outlineLvl w:val="2"/>
        <w:rPr>
          <w:rFonts w:ascii="Times New Roman" w:hAnsi="Times New Roman" w:eastAsia="楷体_GB2312" w:cs="Times New Roman"/>
          <w:b/>
          <w:bCs/>
          <w:kern w:val="0"/>
          <w:sz w:val="30"/>
          <w:szCs w:val="30"/>
          <w:highlight w:val="none"/>
        </w:rPr>
      </w:pPr>
      <w:bookmarkStart w:id="538" w:name="_Toc26545"/>
      <w:bookmarkStart w:id="539" w:name="_Toc3395"/>
      <w:bookmarkStart w:id="540" w:name="_Toc23248"/>
      <w:bookmarkStart w:id="541" w:name="_Toc1159"/>
      <w:bookmarkStart w:id="542" w:name="_Toc20499"/>
      <w:bookmarkStart w:id="543" w:name="_Toc28421"/>
      <w:bookmarkStart w:id="544" w:name="_Toc9891"/>
      <w:bookmarkStart w:id="545" w:name="_Toc15862"/>
      <w:bookmarkStart w:id="546" w:name="_Toc11105"/>
      <w:bookmarkStart w:id="547" w:name="_Toc30217"/>
      <w:bookmarkStart w:id="548" w:name="_Toc11101"/>
      <w:bookmarkStart w:id="549" w:name="_Toc16362"/>
      <w:r>
        <w:rPr>
          <w:rFonts w:ascii="Times New Roman" w:hAnsi="Times New Roman" w:eastAsia="楷体_GB2312" w:cs="Times New Roman"/>
          <w:b/>
          <w:bCs/>
          <w:kern w:val="0"/>
          <w:sz w:val="30"/>
          <w:szCs w:val="30"/>
          <w:highlight w:val="none"/>
        </w:rPr>
        <w:t>（五）权益登记</w:t>
      </w:r>
      <w:bookmarkEnd w:id="538"/>
      <w:bookmarkEnd w:id="539"/>
      <w:bookmarkEnd w:id="540"/>
      <w:bookmarkEnd w:id="541"/>
      <w:bookmarkEnd w:id="542"/>
      <w:bookmarkEnd w:id="543"/>
      <w:bookmarkEnd w:id="544"/>
      <w:bookmarkEnd w:id="545"/>
      <w:bookmarkEnd w:id="546"/>
      <w:bookmarkEnd w:id="547"/>
      <w:bookmarkEnd w:id="548"/>
      <w:bookmarkEnd w:id="549"/>
    </w:p>
    <w:p w14:paraId="0F331A2B">
      <w:pPr>
        <w:widowControl/>
        <w:numPr>
          <w:ilvl w:val="255"/>
          <w:numId w:val="0"/>
        </w:numPr>
        <w:spacing w:line="560" w:lineRule="exact"/>
        <w:ind w:firstLine="600" w:firstLineChars="200"/>
        <w:rPr>
          <w:rFonts w:ascii="Times New Roman" w:hAnsi="Times New Roman" w:eastAsia="仿宋_GB2312" w:cs="Times New Roman"/>
          <w:kern w:val="0"/>
          <w:sz w:val="30"/>
          <w:szCs w:val="30"/>
          <w:highlight w:val="none"/>
        </w:rPr>
      </w:pPr>
      <w:r>
        <w:rPr>
          <w:rFonts w:ascii="Times New Roman" w:hAnsi="Times New Roman" w:eastAsia="仿宋_GB2312" w:cs="Times New Roman"/>
          <w:bCs/>
          <w:sz w:val="30"/>
          <w:szCs w:val="30"/>
          <w:highlight w:val="none"/>
        </w:rPr>
        <w:t>涉及向基金原持有人优先配售的</w:t>
      </w:r>
      <w:r>
        <w:rPr>
          <w:rFonts w:ascii="Times New Roman" w:hAnsi="Times New Roman" w:eastAsia="仿宋_GB2312" w:cs="Times New Roman"/>
          <w:kern w:val="0"/>
          <w:sz w:val="30"/>
          <w:szCs w:val="30"/>
          <w:highlight w:val="none"/>
        </w:rPr>
        <w:t>，基金管理人应参照本指南“第二章向原持有人配售”之“二、发售及认购”之“（</w:t>
      </w:r>
      <w:r>
        <w:rPr>
          <w:rFonts w:hint="eastAsia" w:ascii="Times New Roman" w:hAnsi="Times New Roman" w:eastAsia="仿宋_GB2312" w:cs="Times New Roman"/>
          <w:kern w:val="0"/>
          <w:sz w:val="30"/>
          <w:szCs w:val="30"/>
          <w:highlight w:val="none"/>
        </w:rPr>
        <w:t>五</w:t>
      </w:r>
      <w:r>
        <w:rPr>
          <w:rFonts w:ascii="Times New Roman" w:hAnsi="Times New Roman" w:eastAsia="仿宋_GB2312" w:cs="Times New Roman"/>
          <w:kern w:val="0"/>
          <w:sz w:val="30"/>
          <w:szCs w:val="30"/>
          <w:highlight w:val="none"/>
        </w:rPr>
        <w:t>）权益登记”办理相关业务。</w:t>
      </w:r>
    </w:p>
    <w:p w14:paraId="367FA327">
      <w:pPr>
        <w:widowControl/>
        <w:spacing w:line="560" w:lineRule="exact"/>
        <w:ind w:firstLine="602" w:firstLineChars="200"/>
        <w:outlineLvl w:val="2"/>
        <w:rPr>
          <w:rFonts w:ascii="Times New Roman" w:hAnsi="Times New Roman" w:eastAsia="楷体_GB2312" w:cs="Times New Roman"/>
          <w:b/>
          <w:bCs/>
          <w:kern w:val="0"/>
          <w:sz w:val="30"/>
          <w:szCs w:val="30"/>
          <w:highlight w:val="none"/>
        </w:rPr>
      </w:pPr>
      <w:bookmarkStart w:id="550" w:name="_Toc19678"/>
      <w:bookmarkStart w:id="551" w:name="_Toc26097"/>
      <w:bookmarkStart w:id="552" w:name="_Toc19250"/>
      <w:bookmarkStart w:id="553" w:name="_Toc21837"/>
      <w:bookmarkStart w:id="554" w:name="_Toc9318"/>
      <w:bookmarkStart w:id="555" w:name="_Toc1034"/>
      <w:bookmarkStart w:id="556" w:name="_Toc4321"/>
      <w:bookmarkStart w:id="557" w:name="_Toc15416"/>
      <w:bookmarkStart w:id="558" w:name="_Toc11903"/>
      <w:bookmarkStart w:id="559" w:name="_Toc8214"/>
      <w:bookmarkStart w:id="560" w:name="_Toc9417"/>
      <w:bookmarkStart w:id="561" w:name="_Toc14602"/>
      <w:r>
        <w:rPr>
          <w:rFonts w:ascii="Times New Roman" w:hAnsi="Times New Roman" w:eastAsia="楷体_GB2312" w:cs="Times New Roman"/>
          <w:b/>
          <w:bCs/>
          <w:kern w:val="0"/>
          <w:sz w:val="30"/>
          <w:szCs w:val="30"/>
          <w:highlight w:val="none"/>
        </w:rPr>
        <w:t>（六）符合条件的投资者参与认购</w:t>
      </w:r>
      <w:bookmarkEnd w:id="550"/>
      <w:bookmarkEnd w:id="551"/>
      <w:bookmarkEnd w:id="552"/>
      <w:bookmarkEnd w:id="553"/>
      <w:bookmarkEnd w:id="554"/>
      <w:bookmarkEnd w:id="555"/>
      <w:bookmarkEnd w:id="556"/>
      <w:bookmarkEnd w:id="557"/>
      <w:bookmarkEnd w:id="558"/>
      <w:bookmarkEnd w:id="559"/>
      <w:bookmarkEnd w:id="560"/>
      <w:bookmarkEnd w:id="561"/>
    </w:p>
    <w:p w14:paraId="59A2DAF5">
      <w:pPr>
        <w:widowControl/>
        <w:numPr>
          <w:ilvl w:val="0"/>
          <w:numId w:val="1"/>
        </w:numPr>
        <w:spacing w:line="560" w:lineRule="exact"/>
        <w:ind w:left="197" w:firstLine="643"/>
        <w:rPr>
          <w:rFonts w:ascii="Times New Roman" w:hAnsi="Times New Roman" w:eastAsia="仿宋_GB2312" w:cs="Times New Roman"/>
          <w:b/>
          <w:sz w:val="30"/>
          <w:szCs w:val="30"/>
          <w:highlight w:val="none"/>
        </w:rPr>
      </w:pPr>
      <w:r>
        <w:rPr>
          <w:rFonts w:ascii="Times New Roman" w:hAnsi="Times New Roman" w:eastAsia="仿宋_GB2312" w:cs="Times New Roman"/>
          <w:b/>
          <w:sz w:val="30"/>
          <w:szCs w:val="30"/>
          <w:highlight w:val="none"/>
        </w:rPr>
        <w:t>T日-M日</w:t>
      </w:r>
    </w:p>
    <w:p w14:paraId="57B6CB9C">
      <w:pPr>
        <w:widowControl/>
        <w:spacing w:line="560" w:lineRule="exact"/>
        <w:ind w:firstLine="600" w:firstLineChars="200"/>
        <w:rPr>
          <w:rFonts w:ascii="Times New Roman" w:hAnsi="Times New Roman" w:eastAsia="仿宋_GB2312" w:cs="Times New Roman"/>
          <w:bCs/>
          <w:sz w:val="30"/>
          <w:szCs w:val="30"/>
          <w:highlight w:val="none"/>
        </w:rPr>
      </w:pPr>
      <w:r>
        <w:rPr>
          <w:rFonts w:ascii="Times New Roman" w:hAnsi="Times New Roman" w:eastAsia="仿宋_GB2312" w:cs="Times New Roman"/>
          <w:bCs/>
          <w:sz w:val="30"/>
          <w:szCs w:val="30"/>
          <w:highlight w:val="none"/>
        </w:rPr>
        <w:t>原则上，募集期不超过5个交易日，募集期指场内、场外两类认购期的最早起始日至最晚终止日的期间，场内、场外扩募认购期应保持一致。每个认购日日终，中国结算TA系统在收到本所发送的场内扩募认购申报数据后，将合并场外扩募认购申报数据发送基金管理人，基金管理人参照首发认购流程完成一次确认。</w:t>
      </w:r>
    </w:p>
    <w:p w14:paraId="1AADFB03">
      <w:pPr>
        <w:widowControl/>
        <w:spacing w:line="560" w:lineRule="exact"/>
        <w:ind w:firstLine="600" w:firstLineChars="200"/>
        <w:rPr>
          <w:rFonts w:ascii="Times New Roman" w:hAnsi="Times New Roman" w:eastAsia="仿宋_GB2312" w:cs="Times New Roman"/>
          <w:kern w:val="0"/>
          <w:sz w:val="30"/>
          <w:szCs w:val="30"/>
          <w:highlight w:val="none"/>
        </w:rPr>
      </w:pPr>
      <w:r>
        <w:rPr>
          <w:rFonts w:ascii="Times New Roman" w:hAnsi="Times New Roman" w:eastAsia="仿宋_GB2312" w:cs="Times New Roman"/>
          <w:kern w:val="0"/>
          <w:sz w:val="30"/>
          <w:szCs w:val="30"/>
          <w:highlight w:val="none"/>
        </w:rPr>
        <w:t>场内部分，符合条件的投资者在募集期内可以通过本所交易系统或联系基金管理人认购；场外部分，符合条件的投资者可通过场外销售机构或联系基金管理人认购。</w:t>
      </w:r>
    </w:p>
    <w:p w14:paraId="1F8365AD">
      <w:pPr>
        <w:widowControl/>
        <w:spacing w:line="560" w:lineRule="exact"/>
        <w:ind w:firstLine="600" w:firstLineChars="200"/>
        <w:rPr>
          <w:rFonts w:ascii="Times New Roman" w:hAnsi="Times New Roman" w:eastAsia="仿宋_GB2312" w:cs="Times New Roman"/>
          <w:bCs/>
          <w:sz w:val="30"/>
          <w:szCs w:val="30"/>
          <w:highlight w:val="none"/>
        </w:rPr>
      </w:pPr>
      <w:r>
        <w:rPr>
          <w:rFonts w:ascii="Times New Roman" w:hAnsi="Times New Roman" w:eastAsia="仿宋_GB2312" w:cs="Times New Roman"/>
          <w:bCs/>
          <w:sz w:val="30"/>
          <w:szCs w:val="30"/>
          <w:highlight w:val="none"/>
        </w:rPr>
        <w:t>涉及向基金原持有人优先配售的</w:t>
      </w:r>
      <w:r>
        <w:rPr>
          <w:rFonts w:ascii="Times New Roman" w:hAnsi="Times New Roman" w:eastAsia="仿宋_GB2312" w:cs="Times New Roman"/>
          <w:kern w:val="0"/>
          <w:sz w:val="30"/>
          <w:szCs w:val="30"/>
          <w:highlight w:val="none"/>
        </w:rPr>
        <w:t>，基金管理人应参照本指南</w:t>
      </w:r>
      <w:r>
        <w:rPr>
          <w:rFonts w:ascii="Times New Roman" w:hAnsi="Times New Roman" w:eastAsia="仿宋_GB2312" w:cs="Times New Roman"/>
          <w:bCs/>
          <w:sz w:val="30"/>
          <w:szCs w:val="30"/>
          <w:highlight w:val="none"/>
        </w:rPr>
        <w:t>“第二章向原持有人配售</w:t>
      </w:r>
      <w:r>
        <w:rPr>
          <w:rFonts w:ascii="Times New Roman" w:hAnsi="Times New Roman" w:eastAsia="仿宋_GB2312" w:cs="Times New Roman"/>
          <w:kern w:val="0"/>
          <w:sz w:val="30"/>
          <w:szCs w:val="30"/>
          <w:highlight w:val="none"/>
        </w:rPr>
        <w:t>”之“</w:t>
      </w:r>
      <w:r>
        <w:rPr>
          <w:rFonts w:ascii="Times New Roman" w:hAnsi="Times New Roman" w:eastAsia="仿宋_GB2312" w:cs="Times New Roman"/>
          <w:bCs/>
          <w:sz w:val="30"/>
          <w:szCs w:val="30"/>
          <w:highlight w:val="none"/>
        </w:rPr>
        <w:t>二、发售及认购</w:t>
      </w:r>
      <w:r>
        <w:rPr>
          <w:rFonts w:ascii="Times New Roman" w:hAnsi="Times New Roman" w:eastAsia="仿宋_GB2312" w:cs="Times New Roman"/>
          <w:kern w:val="0"/>
          <w:sz w:val="30"/>
          <w:szCs w:val="30"/>
          <w:highlight w:val="none"/>
        </w:rPr>
        <w:t>”之“</w:t>
      </w:r>
      <w:r>
        <w:rPr>
          <w:rFonts w:ascii="Times New Roman" w:hAnsi="Times New Roman" w:eastAsia="仿宋_GB2312" w:cs="Times New Roman"/>
          <w:bCs/>
          <w:sz w:val="30"/>
          <w:szCs w:val="30"/>
          <w:highlight w:val="none"/>
        </w:rPr>
        <w:t>（</w:t>
      </w:r>
      <w:r>
        <w:rPr>
          <w:rFonts w:hint="eastAsia" w:ascii="Times New Roman" w:hAnsi="Times New Roman" w:eastAsia="仿宋_GB2312" w:cs="Times New Roman"/>
          <w:bCs/>
          <w:sz w:val="30"/>
          <w:szCs w:val="30"/>
          <w:highlight w:val="none"/>
        </w:rPr>
        <w:t>六</w:t>
      </w:r>
      <w:r>
        <w:rPr>
          <w:rFonts w:ascii="Times New Roman" w:hAnsi="Times New Roman" w:eastAsia="仿宋_GB2312" w:cs="Times New Roman"/>
          <w:bCs/>
          <w:sz w:val="30"/>
          <w:szCs w:val="30"/>
          <w:highlight w:val="none"/>
        </w:rPr>
        <w:t>）符合条件的基金持有人参与认购”办理相关业务。向原持有人优先配售后的余额部分按比例向符合条件的投资者公开扩募。</w:t>
      </w:r>
    </w:p>
    <w:p w14:paraId="0EE0718C">
      <w:pPr>
        <w:widowControl/>
        <w:spacing w:line="560" w:lineRule="exact"/>
        <w:ind w:firstLine="640"/>
        <w:rPr>
          <w:rFonts w:ascii="Times New Roman" w:hAnsi="Times New Roman" w:eastAsia="仿宋_GB2312" w:cs="Times New Roman"/>
          <w:sz w:val="30"/>
          <w:szCs w:val="30"/>
          <w:highlight w:val="none"/>
        </w:rPr>
      </w:pPr>
      <w:r>
        <w:rPr>
          <w:rFonts w:ascii="Times New Roman" w:hAnsi="Times New Roman" w:eastAsia="仿宋_GB2312" w:cs="Times New Roman"/>
          <w:sz w:val="30"/>
          <w:szCs w:val="30"/>
          <w:highlight w:val="none"/>
        </w:rPr>
        <w:t>因</w:t>
      </w:r>
      <w:r>
        <w:rPr>
          <w:rFonts w:hint="eastAsia" w:ascii="Times New Roman" w:hAnsi="Times New Roman" w:eastAsia="仿宋_GB2312" w:cs="Times New Roman"/>
          <w:sz w:val="30"/>
          <w:szCs w:val="30"/>
          <w:highlight w:val="none"/>
        </w:rPr>
        <w:t>不动产</w:t>
      </w:r>
      <w:r>
        <w:rPr>
          <w:rFonts w:ascii="Times New Roman" w:hAnsi="Times New Roman" w:eastAsia="仿宋_GB2312" w:cs="Times New Roman"/>
          <w:sz w:val="30"/>
          <w:szCs w:val="30"/>
          <w:highlight w:val="none"/>
        </w:rPr>
        <w:t>基金扩募，投资者及其一致行动人拥有的基金份额比例达到《</w:t>
      </w:r>
      <w:r>
        <w:rPr>
          <w:rFonts w:hint="eastAsia" w:ascii="Times New Roman" w:hAnsi="Times New Roman" w:eastAsia="仿宋_GB2312" w:cs="Times New Roman"/>
          <w:sz w:val="30"/>
          <w:szCs w:val="30"/>
          <w:highlight w:val="none"/>
        </w:rPr>
        <w:t>不动产</w:t>
      </w:r>
      <w:r>
        <w:rPr>
          <w:rFonts w:ascii="Times New Roman" w:hAnsi="Times New Roman" w:eastAsia="仿宋_GB2312" w:cs="Times New Roman"/>
          <w:sz w:val="30"/>
          <w:szCs w:val="30"/>
          <w:highlight w:val="none"/>
        </w:rPr>
        <w:t>基金业务办法》规定的收购及权益变动标准的，应当按照《</w:t>
      </w:r>
      <w:r>
        <w:rPr>
          <w:rFonts w:hint="eastAsia" w:ascii="Times New Roman" w:hAnsi="Times New Roman" w:eastAsia="仿宋_GB2312" w:cs="Times New Roman"/>
          <w:sz w:val="30"/>
          <w:szCs w:val="30"/>
          <w:highlight w:val="none"/>
        </w:rPr>
        <w:t>不动产</w:t>
      </w:r>
      <w:r>
        <w:rPr>
          <w:rFonts w:ascii="Times New Roman" w:hAnsi="Times New Roman" w:eastAsia="仿宋_GB2312" w:cs="Times New Roman"/>
          <w:sz w:val="30"/>
          <w:szCs w:val="30"/>
          <w:highlight w:val="none"/>
        </w:rPr>
        <w:t>基金业务办法》相关规定履行相应的程序和义务。</w:t>
      </w:r>
    </w:p>
    <w:p w14:paraId="5370B737">
      <w:pPr>
        <w:widowControl/>
        <w:spacing w:line="560" w:lineRule="exact"/>
        <w:ind w:firstLine="640"/>
        <w:rPr>
          <w:rFonts w:ascii="Times New Roman" w:hAnsi="Times New Roman" w:eastAsia="仿宋_GB2312" w:cs="Times New Roman"/>
          <w:sz w:val="30"/>
          <w:szCs w:val="30"/>
          <w:highlight w:val="none"/>
        </w:rPr>
      </w:pPr>
      <w:r>
        <w:rPr>
          <w:rFonts w:ascii="Times New Roman" w:hAnsi="Times New Roman" w:eastAsia="仿宋_GB2312" w:cs="Times New Roman"/>
          <w:sz w:val="30"/>
          <w:szCs w:val="30"/>
          <w:highlight w:val="none"/>
        </w:rPr>
        <w:t>发行期内，基金管理人</w:t>
      </w:r>
      <w:r>
        <w:rPr>
          <w:rFonts w:ascii="Times New Roman" w:hAnsi="Times New Roman" w:eastAsia="仿宋_GB2312" w:cs="Times New Roman"/>
          <w:kern w:val="0"/>
          <w:sz w:val="30"/>
          <w:szCs w:val="30"/>
          <w:highlight w:val="none"/>
        </w:rPr>
        <w:t>、财务顾问（如有）</w:t>
      </w:r>
      <w:r>
        <w:rPr>
          <w:rFonts w:ascii="Times New Roman" w:hAnsi="Times New Roman" w:eastAsia="仿宋_GB2312" w:cs="Times New Roman"/>
          <w:sz w:val="30"/>
          <w:szCs w:val="30"/>
          <w:highlight w:val="none"/>
        </w:rPr>
        <w:t>按照规定组织战略配售。</w:t>
      </w:r>
    </w:p>
    <w:p w14:paraId="26318B07">
      <w:pPr>
        <w:widowControl/>
        <w:rPr>
          <w:rFonts w:ascii="Times New Roman" w:hAnsi="Times New Roman" w:eastAsia="仿宋_GB2312" w:cs="Times New Roman"/>
          <w:sz w:val="32"/>
          <w:szCs w:val="32"/>
          <w:highlight w:val="none"/>
        </w:rPr>
      </w:pPr>
      <w:r>
        <w:rPr>
          <w:rFonts w:ascii="Times New Roman" w:hAnsi="Times New Roman" w:cs="Times New Roman"/>
          <w:highlight w:val="none"/>
        </w:rPr>
        <w:drawing>
          <wp:inline distT="0" distB="0" distL="114300" distR="114300">
            <wp:extent cx="5346700" cy="2544445"/>
            <wp:effectExtent l="0" t="0" r="6350" b="8255"/>
            <wp:docPr id="8" name="ECB019B1-382A-4266-B25C-5B523AA43C14-2" descr="C:/Users/admin/AppData/Local/Temp/wpp.fxgjMMwp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ECB019B1-382A-4266-B25C-5B523AA43C14-2" descr="C:/Users/admin/AppData/Local/Temp/wpp.fxgjMMwpp"/>
                    <pic:cNvPicPr>
                      <a:picLocks noChangeAspect="1"/>
                    </pic:cNvPicPr>
                  </pic:nvPicPr>
                  <pic:blipFill>
                    <a:blip r:embed="rId24"/>
                    <a:stretch>
                      <a:fillRect/>
                    </a:stretch>
                  </pic:blipFill>
                  <pic:spPr>
                    <a:xfrm>
                      <a:off x="0" y="0"/>
                      <a:ext cx="5346700" cy="2544445"/>
                    </a:xfrm>
                    <a:prstGeom prst="rect">
                      <a:avLst/>
                    </a:prstGeom>
                  </pic:spPr>
                </pic:pic>
              </a:graphicData>
            </a:graphic>
          </wp:inline>
        </w:drawing>
      </w:r>
    </w:p>
    <w:p w14:paraId="55AF6169">
      <w:pPr>
        <w:widowControl/>
        <w:spacing w:line="560" w:lineRule="exact"/>
        <w:ind w:firstLine="602" w:firstLineChars="200"/>
        <w:outlineLvl w:val="2"/>
        <w:rPr>
          <w:rFonts w:ascii="Times New Roman" w:hAnsi="Times New Roman" w:eastAsia="楷体_GB2312" w:cs="Times New Roman"/>
          <w:b/>
          <w:bCs/>
          <w:kern w:val="0"/>
          <w:sz w:val="30"/>
          <w:szCs w:val="30"/>
          <w:highlight w:val="none"/>
        </w:rPr>
      </w:pPr>
      <w:bookmarkStart w:id="562" w:name="_Toc25332"/>
      <w:bookmarkStart w:id="563" w:name="_Toc9733"/>
      <w:bookmarkStart w:id="564" w:name="_Toc20167"/>
      <w:bookmarkStart w:id="565" w:name="_Toc8126"/>
      <w:bookmarkStart w:id="566" w:name="_Toc23246"/>
      <w:r>
        <w:rPr>
          <w:rFonts w:ascii="Times New Roman" w:hAnsi="Times New Roman" w:eastAsia="楷体_GB2312" w:cs="Times New Roman"/>
          <w:b/>
          <w:bCs/>
          <w:kern w:val="0"/>
          <w:sz w:val="30"/>
          <w:szCs w:val="30"/>
          <w:highlight w:val="none"/>
        </w:rPr>
        <w:t>（七）认购结束日期调整</w:t>
      </w:r>
      <w:bookmarkEnd w:id="562"/>
      <w:bookmarkEnd w:id="563"/>
      <w:bookmarkEnd w:id="564"/>
      <w:bookmarkEnd w:id="565"/>
      <w:bookmarkEnd w:id="566"/>
    </w:p>
    <w:p w14:paraId="4438D921">
      <w:pPr>
        <w:widowControl/>
        <w:numPr>
          <w:ilvl w:val="255"/>
          <w:numId w:val="0"/>
        </w:numPr>
        <w:spacing w:line="560" w:lineRule="exact"/>
        <w:ind w:firstLine="600" w:firstLineChars="200"/>
        <w:rPr>
          <w:rFonts w:ascii="Times New Roman" w:hAnsi="Times New Roman" w:eastAsia="仿宋_GB2312" w:cs="Times New Roman"/>
          <w:sz w:val="30"/>
          <w:szCs w:val="30"/>
          <w:highlight w:val="none"/>
        </w:rPr>
      </w:pPr>
      <w:bookmarkStart w:id="567" w:name="_Toc27964"/>
      <w:bookmarkStart w:id="568" w:name="_Toc17130"/>
      <w:bookmarkStart w:id="569" w:name="_Toc18478"/>
      <w:bookmarkStart w:id="570" w:name="_Toc8625"/>
      <w:bookmarkStart w:id="571" w:name="_Toc1480"/>
      <w:bookmarkStart w:id="572" w:name="_Toc10666"/>
      <w:bookmarkStart w:id="573" w:name="_Toc6646"/>
      <w:r>
        <w:rPr>
          <w:rFonts w:ascii="Times New Roman" w:hAnsi="Times New Roman" w:eastAsia="仿宋_GB2312" w:cs="Times New Roman"/>
          <w:bCs/>
          <w:sz w:val="30"/>
          <w:szCs w:val="30"/>
          <w:highlight w:val="none"/>
        </w:rPr>
        <w:t>基金管理人可参照</w:t>
      </w:r>
      <w:r>
        <w:rPr>
          <w:rFonts w:ascii="Times New Roman" w:hAnsi="Times New Roman" w:eastAsia="仿宋_GB2312" w:cs="Times New Roman"/>
          <w:kern w:val="0"/>
          <w:sz w:val="30"/>
          <w:szCs w:val="30"/>
          <w:highlight w:val="none"/>
        </w:rPr>
        <w:t>本指南</w:t>
      </w:r>
      <w:r>
        <w:rPr>
          <w:rFonts w:ascii="Times New Roman" w:hAnsi="Times New Roman" w:eastAsia="仿宋_GB2312" w:cs="Times New Roman"/>
          <w:bCs/>
          <w:sz w:val="30"/>
          <w:szCs w:val="30"/>
          <w:highlight w:val="none"/>
        </w:rPr>
        <w:t>“第二章向原持有人配售</w:t>
      </w:r>
      <w:r>
        <w:rPr>
          <w:rFonts w:ascii="Times New Roman" w:hAnsi="Times New Roman" w:eastAsia="仿宋_GB2312" w:cs="Times New Roman"/>
          <w:kern w:val="0"/>
          <w:sz w:val="30"/>
          <w:szCs w:val="30"/>
          <w:highlight w:val="none"/>
        </w:rPr>
        <w:t>”之“</w:t>
      </w:r>
      <w:r>
        <w:rPr>
          <w:rFonts w:ascii="Times New Roman" w:hAnsi="Times New Roman" w:eastAsia="仿宋_GB2312" w:cs="Times New Roman"/>
          <w:bCs/>
          <w:sz w:val="30"/>
          <w:szCs w:val="30"/>
          <w:highlight w:val="none"/>
        </w:rPr>
        <w:t>二、发售及认购</w:t>
      </w:r>
      <w:r>
        <w:rPr>
          <w:rFonts w:ascii="Times New Roman" w:hAnsi="Times New Roman" w:eastAsia="仿宋_GB2312" w:cs="Times New Roman"/>
          <w:kern w:val="0"/>
          <w:sz w:val="30"/>
          <w:szCs w:val="30"/>
          <w:highlight w:val="none"/>
        </w:rPr>
        <w:t>”之“</w:t>
      </w:r>
      <w:r>
        <w:rPr>
          <w:rFonts w:ascii="Times New Roman" w:hAnsi="Times New Roman" w:eastAsia="仿宋_GB2312" w:cs="Times New Roman"/>
          <w:bCs/>
          <w:sz w:val="30"/>
          <w:szCs w:val="30"/>
          <w:highlight w:val="none"/>
        </w:rPr>
        <w:t>（</w:t>
      </w:r>
      <w:r>
        <w:rPr>
          <w:rFonts w:hint="eastAsia" w:ascii="Times New Roman" w:hAnsi="Times New Roman" w:eastAsia="仿宋_GB2312" w:cs="Times New Roman"/>
          <w:bCs/>
          <w:sz w:val="30"/>
          <w:szCs w:val="30"/>
          <w:highlight w:val="none"/>
        </w:rPr>
        <w:t>七</w:t>
      </w:r>
      <w:r>
        <w:rPr>
          <w:rFonts w:ascii="Times New Roman" w:hAnsi="Times New Roman" w:eastAsia="仿宋_GB2312" w:cs="Times New Roman"/>
          <w:bCs/>
          <w:sz w:val="30"/>
          <w:szCs w:val="30"/>
          <w:highlight w:val="none"/>
        </w:rPr>
        <w:t>）认购结束日期调整”办理相关业务。</w:t>
      </w:r>
    </w:p>
    <w:p w14:paraId="53EE949D">
      <w:pPr>
        <w:widowControl/>
        <w:spacing w:line="560" w:lineRule="exact"/>
        <w:ind w:firstLine="602" w:firstLineChars="200"/>
        <w:outlineLvl w:val="2"/>
        <w:rPr>
          <w:rFonts w:ascii="Times New Roman" w:hAnsi="Times New Roman" w:eastAsia="楷体_GB2312" w:cs="Times New Roman"/>
          <w:b/>
          <w:bCs/>
          <w:kern w:val="0"/>
          <w:sz w:val="30"/>
          <w:szCs w:val="30"/>
          <w:highlight w:val="none"/>
        </w:rPr>
      </w:pPr>
      <w:bookmarkStart w:id="574" w:name="_Toc11225"/>
      <w:bookmarkStart w:id="575" w:name="_Toc29880"/>
      <w:bookmarkStart w:id="576" w:name="_Toc8651"/>
      <w:bookmarkStart w:id="577" w:name="_Toc6298"/>
      <w:bookmarkStart w:id="578" w:name="_Toc29584"/>
      <w:r>
        <w:rPr>
          <w:rFonts w:ascii="Times New Roman" w:hAnsi="Times New Roman" w:eastAsia="楷体_GB2312" w:cs="Times New Roman"/>
          <w:b/>
          <w:bCs/>
          <w:kern w:val="0"/>
          <w:sz w:val="30"/>
          <w:szCs w:val="30"/>
          <w:highlight w:val="none"/>
        </w:rPr>
        <w:t>（八）披露《基金合同更新公告》</w:t>
      </w:r>
      <w:bookmarkEnd w:id="567"/>
      <w:bookmarkEnd w:id="568"/>
      <w:bookmarkEnd w:id="569"/>
      <w:bookmarkEnd w:id="570"/>
      <w:bookmarkEnd w:id="571"/>
      <w:bookmarkEnd w:id="574"/>
      <w:bookmarkEnd w:id="575"/>
      <w:bookmarkEnd w:id="576"/>
      <w:bookmarkEnd w:id="577"/>
      <w:bookmarkEnd w:id="578"/>
      <w:r>
        <w:rPr>
          <w:rFonts w:ascii="Times New Roman" w:hAnsi="Times New Roman" w:eastAsia="楷体_GB2312" w:cs="Times New Roman"/>
          <w:b/>
          <w:bCs/>
          <w:kern w:val="0"/>
          <w:sz w:val="30"/>
          <w:szCs w:val="30"/>
          <w:highlight w:val="none"/>
        </w:rPr>
        <w:tab/>
      </w:r>
    </w:p>
    <w:p w14:paraId="02C82BC6">
      <w:pPr>
        <w:widowControl/>
        <w:numPr>
          <w:ilvl w:val="0"/>
          <w:numId w:val="1"/>
        </w:numPr>
        <w:spacing w:line="560" w:lineRule="exact"/>
        <w:ind w:left="197" w:firstLine="643"/>
        <w:jc w:val="left"/>
        <w:rPr>
          <w:rFonts w:ascii="Times New Roman" w:hAnsi="Times New Roman" w:eastAsia="仿宋_GB2312" w:cs="Times New Roman"/>
          <w:b/>
          <w:sz w:val="30"/>
          <w:szCs w:val="30"/>
          <w:highlight w:val="none"/>
        </w:rPr>
      </w:pPr>
      <w:r>
        <w:rPr>
          <w:rFonts w:ascii="Times New Roman" w:hAnsi="Times New Roman" w:eastAsia="仿宋_GB2312" w:cs="Times New Roman"/>
          <w:b/>
          <w:sz w:val="30"/>
          <w:szCs w:val="30"/>
          <w:highlight w:val="none"/>
        </w:rPr>
        <w:t>S日</w:t>
      </w:r>
    </w:p>
    <w:p w14:paraId="5443EB26">
      <w:pPr>
        <w:widowControl/>
        <w:numPr>
          <w:ilvl w:val="255"/>
          <w:numId w:val="0"/>
        </w:numPr>
        <w:spacing w:line="560" w:lineRule="exact"/>
        <w:ind w:firstLine="640"/>
        <w:rPr>
          <w:rFonts w:ascii="Times New Roman" w:hAnsi="Times New Roman" w:eastAsia="仿宋_GB2312" w:cs="Times New Roman"/>
          <w:sz w:val="30"/>
          <w:szCs w:val="30"/>
          <w:highlight w:val="none"/>
        </w:rPr>
      </w:pPr>
      <w:r>
        <w:rPr>
          <w:rFonts w:ascii="Times New Roman" w:hAnsi="Times New Roman" w:eastAsia="仿宋_GB2312" w:cs="Times New Roman"/>
          <w:sz w:val="30"/>
          <w:szCs w:val="30"/>
          <w:highlight w:val="none"/>
        </w:rPr>
        <w:t>取得</w:t>
      </w:r>
      <w:r>
        <w:rPr>
          <w:rFonts w:hint="eastAsia" w:ascii="Times New Roman" w:hAnsi="Times New Roman" w:eastAsia="仿宋_GB2312" w:cs="Times New Roman"/>
          <w:sz w:val="30"/>
          <w:szCs w:val="30"/>
          <w:highlight w:val="none"/>
        </w:rPr>
        <w:t>中国</w:t>
      </w:r>
      <w:r>
        <w:rPr>
          <w:rFonts w:ascii="Times New Roman" w:hAnsi="Times New Roman" w:eastAsia="仿宋_GB2312" w:cs="Times New Roman"/>
          <w:sz w:val="30"/>
          <w:szCs w:val="30"/>
          <w:highlight w:val="none"/>
        </w:rPr>
        <w:t>证监会扩募份额备案确认函当日，基金管理人通过本所业务管理系统平台提交《基金合同更新公告》（必备要素见附件</w:t>
      </w:r>
      <w:r>
        <w:rPr>
          <w:rFonts w:hint="eastAsia" w:ascii="Times New Roman" w:hAnsi="Times New Roman" w:eastAsia="仿宋_GB2312" w:cs="Times New Roman"/>
          <w:sz w:val="30"/>
          <w:szCs w:val="30"/>
          <w:highlight w:val="none"/>
        </w:rPr>
        <w:t>2-14</w:t>
      </w:r>
      <w:r>
        <w:rPr>
          <w:rFonts w:ascii="Times New Roman" w:hAnsi="Times New Roman" w:eastAsia="仿宋_GB2312" w:cs="Times New Roman"/>
          <w:sz w:val="30"/>
          <w:szCs w:val="30"/>
          <w:highlight w:val="none"/>
        </w:rPr>
        <w:t>）。</w:t>
      </w:r>
    </w:p>
    <w:p w14:paraId="4CA0EEB1">
      <w:pPr>
        <w:widowControl/>
        <w:numPr>
          <w:ilvl w:val="0"/>
          <w:numId w:val="1"/>
        </w:numPr>
        <w:spacing w:line="560" w:lineRule="exact"/>
        <w:ind w:left="197" w:firstLine="643"/>
        <w:jc w:val="left"/>
        <w:rPr>
          <w:rFonts w:ascii="Times New Roman" w:hAnsi="Times New Roman" w:eastAsia="仿宋_GB2312" w:cs="Times New Roman"/>
          <w:b/>
          <w:sz w:val="30"/>
          <w:szCs w:val="30"/>
          <w:highlight w:val="none"/>
        </w:rPr>
      </w:pPr>
      <w:r>
        <w:rPr>
          <w:rFonts w:ascii="Times New Roman" w:hAnsi="Times New Roman" w:eastAsia="仿宋_GB2312" w:cs="Times New Roman"/>
          <w:b/>
          <w:sz w:val="30"/>
          <w:szCs w:val="30"/>
          <w:highlight w:val="none"/>
        </w:rPr>
        <w:t>S+1日</w:t>
      </w:r>
    </w:p>
    <w:p w14:paraId="54F1DDA2">
      <w:pPr>
        <w:widowControl/>
        <w:numPr>
          <w:ilvl w:val="255"/>
          <w:numId w:val="0"/>
        </w:numPr>
        <w:spacing w:line="560" w:lineRule="exact"/>
        <w:ind w:firstLine="640"/>
        <w:rPr>
          <w:rFonts w:ascii="Times New Roman" w:hAnsi="Times New Roman" w:eastAsia="仿宋_GB2312" w:cs="Times New Roman"/>
          <w:sz w:val="30"/>
          <w:szCs w:val="30"/>
          <w:highlight w:val="none"/>
        </w:rPr>
      </w:pPr>
      <w:r>
        <w:rPr>
          <w:rFonts w:ascii="Times New Roman" w:hAnsi="Times New Roman" w:eastAsia="仿宋_GB2312" w:cs="Times New Roman"/>
          <w:sz w:val="30"/>
          <w:szCs w:val="30"/>
          <w:highlight w:val="none"/>
        </w:rPr>
        <w:t>《基金合同更新公告》在符合中国证监会规定的媒介及本所网站上进行披露，基金管理人核对网站披露内容是否符合预期。</w:t>
      </w:r>
    </w:p>
    <w:p w14:paraId="5DD067D1">
      <w:pPr>
        <w:widowControl/>
        <w:numPr>
          <w:ilvl w:val="255"/>
          <w:numId w:val="0"/>
        </w:numPr>
        <w:spacing w:line="560" w:lineRule="exact"/>
        <w:ind w:firstLine="602" w:firstLineChars="200"/>
        <w:jc w:val="left"/>
        <w:outlineLvl w:val="2"/>
        <w:rPr>
          <w:rFonts w:ascii="Times New Roman" w:hAnsi="Times New Roman" w:eastAsia="楷体_GB2312" w:cs="Times New Roman"/>
          <w:b/>
          <w:bCs/>
          <w:kern w:val="0"/>
          <w:sz w:val="30"/>
          <w:szCs w:val="30"/>
          <w:highlight w:val="none"/>
        </w:rPr>
      </w:pPr>
      <w:bookmarkStart w:id="579" w:name="_Toc5523"/>
      <w:bookmarkStart w:id="580" w:name="_Toc3841"/>
      <w:bookmarkStart w:id="581" w:name="_Toc6665"/>
      <w:bookmarkStart w:id="582" w:name="_Toc21564"/>
      <w:bookmarkStart w:id="583" w:name="_Toc26653"/>
      <w:bookmarkStart w:id="584" w:name="_Toc29316"/>
      <w:bookmarkStart w:id="585" w:name="_Toc28959"/>
      <w:bookmarkStart w:id="586" w:name="_Toc17965"/>
      <w:bookmarkStart w:id="587" w:name="_Toc10624"/>
      <w:bookmarkStart w:id="588" w:name="_Toc25032"/>
      <w:r>
        <w:rPr>
          <w:rFonts w:ascii="Times New Roman" w:hAnsi="Times New Roman" w:eastAsia="楷体_GB2312" w:cs="Times New Roman"/>
          <w:b/>
          <w:bCs/>
          <w:kern w:val="0"/>
          <w:sz w:val="30"/>
          <w:szCs w:val="30"/>
          <w:highlight w:val="none"/>
        </w:rPr>
        <w:t>（九）披露交易实施情况报告书</w:t>
      </w:r>
      <w:bookmarkEnd w:id="579"/>
      <w:bookmarkEnd w:id="580"/>
      <w:bookmarkEnd w:id="581"/>
      <w:bookmarkEnd w:id="582"/>
      <w:bookmarkEnd w:id="583"/>
    </w:p>
    <w:p w14:paraId="1F2BA035">
      <w:pPr>
        <w:widowControl/>
        <w:numPr>
          <w:ilvl w:val="255"/>
          <w:numId w:val="0"/>
        </w:numPr>
        <w:spacing w:line="560" w:lineRule="exact"/>
        <w:ind w:firstLine="600" w:firstLineChars="200"/>
        <w:jc w:val="left"/>
        <w:rPr>
          <w:rFonts w:ascii="Times New Roman" w:hAnsi="Times New Roman" w:eastAsia="仿宋_GB2312" w:cs="Times New Roman"/>
          <w:sz w:val="30"/>
          <w:szCs w:val="30"/>
          <w:highlight w:val="none"/>
        </w:rPr>
      </w:pPr>
      <w:r>
        <w:rPr>
          <w:rFonts w:ascii="Times New Roman" w:hAnsi="Times New Roman" w:eastAsia="仿宋_GB2312" w:cs="Times New Roman"/>
          <w:sz w:val="30"/>
          <w:szCs w:val="30"/>
          <w:highlight w:val="none"/>
        </w:rPr>
        <w:t>基金管理人参照</w:t>
      </w:r>
      <w:r>
        <w:rPr>
          <w:rFonts w:hint="eastAsia" w:ascii="Times New Roman" w:hAnsi="Times New Roman" w:eastAsia="仿宋_GB2312" w:cs="Times New Roman"/>
          <w:sz w:val="30"/>
          <w:szCs w:val="30"/>
          <w:highlight w:val="none"/>
        </w:rPr>
        <w:t>本指南</w:t>
      </w:r>
      <w:r>
        <w:rPr>
          <w:rFonts w:ascii="Times New Roman" w:hAnsi="Times New Roman" w:eastAsia="仿宋_GB2312" w:cs="Times New Roman"/>
          <w:bCs/>
          <w:sz w:val="30"/>
          <w:szCs w:val="30"/>
          <w:highlight w:val="none"/>
        </w:rPr>
        <w:t>“第二章向原持有人配售</w:t>
      </w:r>
      <w:r>
        <w:rPr>
          <w:rFonts w:ascii="Times New Roman" w:hAnsi="Times New Roman" w:eastAsia="仿宋_GB2312" w:cs="Times New Roman"/>
          <w:kern w:val="0"/>
          <w:sz w:val="30"/>
          <w:szCs w:val="30"/>
          <w:highlight w:val="none"/>
        </w:rPr>
        <w:t>”之“</w:t>
      </w:r>
      <w:r>
        <w:rPr>
          <w:rFonts w:ascii="Times New Roman" w:hAnsi="Times New Roman" w:eastAsia="仿宋_GB2312" w:cs="Times New Roman"/>
          <w:bCs/>
          <w:sz w:val="30"/>
          <w:szCs w:val="30"/>
          <w:highlight w:val="none"/>
        </w:rPr>
        <w:t>二、发售及认购</w:t>
      </w:r>
      <w:r>
        <w:rPr>
          <w:rFonts w:ascii="Times New Roman" w:hAnsi="Times New Roman" w:eastAsia="仿宋_GB2312" w:cs="Times New Roman"/>
          <w:kern w:val="0"/>
          <w:sz w:val="30"/>
          <w:szCs w:val="30"/>
          <w:highlight w:val="none"/>
        </w:rPr>
        <w:t>”之“</w:t>
      </w:r>
      <w:r>
        <w:rPr>
          <w:rFonts w:ascii="Times New Roman" w:hAnsi="Times New Roman" w:eastAsia="仿宋_GB2312" w:cs="Times New Roman"/>
          <w:bCs/>
          <w:sz w:val="30"/>
          <w:szCs w:val="30"/>
          <w:highlight w:val="none"/>
        </w:rPr>
        <w:t>（</w:t>
      </w:r>
      <w:r>
        <w:rPr>
          <w:rFonts w:hint="eastAsia" w:ascii="Times New Roman" w:hAnsi="Times New Roman" w:eastAsia="仿宋_GB2312" w:cs="Times New Roman"/>
          <w:bCs/>
          <w:sz w:val="30"/>
          <w:szCs w:val="30"/>
          <w:highlight w:val="none"/>
        </w:rPr>
        <w:t>九</w:t>
      </w:r>
      <w:r>
        <w:rPr>
          <w:rFonts w:ascii="Times New Roman" w:hAnsi="Times New Roman" w:eastAsia="仿宋_GB2312" w:cs="Times New Roman"/>
          <w:bCs/>
          <w:sz w:val="30"/>
          <w:szCs w:val="30"/>
          <w:highlight w:val="none"/>
        </w:rPr>
        <w:t>）披露交易实施情况报告书”办理相关业务</w:t>
      </w:r>
      <w:r>
        <w:rPr>
          <w:rFonts w:ascii="Times New Roman" w:hAnsi="Times New Roman" w:eastAsia="仿宋_GB2312" w:cs="Times New Roman"/>
          <w:sz w:val="30"/>
          <w:szCs w:val="30"/>
          <w:highlight w:val="none"/>
        </w:rPr>
        <w:t>。</w:t>
      </w:r>
    </w:p>
    <w:p w14:paraId="67ADDE94">
      <w:pPr>
        <w:widowControl/>
        <w:spacing w:line="560" w:lineRule="exact"/>
        <w:ind w:firstLine="602" w:firstLineChars="200"/>
        <w:jc w:val="left"/>
        <w:outlineLvl w:val="2"/>
        <w:rPr>
          <w:rFonts w:ascii="Times New Roman" w:hAnsi="Times New Roman" w:cs="Times New Roman"/>
          <w:color w:val="000000"/>
          <w:sz w:val="30"/>
          <w:szCs w:val="30"/>
          <w:highlight w:val="none"/>
        </w:rPr>
      </w:pPr>
      <w:bookmarkStart w:id="589" w:name="_Toc27444"/>
      <w:bookmarkStart w:id="590" w:name="_Toc11106"/>
      <w:bookmarkStart w:id="591" w:name="_Toc27728"/>
      <w:bookmarkStart w:id="592" w:name="_Toc32716"/>
      <w:bookmarkStart w:id="593" w:name="_Toc13317"/>
      <w:r>
        <w:rPr>
          <w:rFonts w:ascii="Times New Roman" w:hAnsi="Times New Roman" w:eastAsia="楷体_GB2312" w:cs="Times New Roman"/>
          <w:b/>
          <w:bCs/>
          <w:kern w:val="0"/>
          <w:sz w:val="30"/>
          <w:szCs w:val="30"/>
          <w:highlight w:val="none"/>
        </w:rPr>
        <w:t>（十）材料报备</w:t>
      </w:r>
      <w:bookmarkEnd w:id="589"/>
      <w:bookmarkEnd w:id="590"/>
      <w:bookmarkEnd w:id="591"/>
      <w:bookmarkEnd w:id="592"/>
      <w:bookmarkEnd w:id="593"/>
      <w:r>
        <w:rPr>
          <w:rFonts w:ascii="Times New Roman" w:hAnsi="Times New Roman" w:eastAsia="楷体_GB2312" w:cs="Times New Roman"/>
          <w:b/>
          <w:bCs/>
          <w:kern w:val="0"/>
          <w:sz w:val="30"/>
          <w:szCs w:val="30"/>
          <w:highlight w:val="none"/>
        </w:rPr>
        <w:tab/>
      </w:r>
      <w:bookmarkEnd w:id="584"/>
      <w:bookmarkEnd w:id="585"/>
      <w:bookmarkEnd w:id="586"/>
      <w:bookmarkEnd w:id="587"/>
      <w:bookmarkEnd w:id="588"/>
    </w:p>
    <w:p w14:paraId="1440BEFE">
      <w:pPr>
        <w:widowControl/>
        <w:numPr>
          <w:ilvl w:val="0"/>
          <w:numId w:val="1"/>
        </w:numPr>
        <w:spacing w:line="560" w:lineRule="exact"/>
        <w:ind w:left="197" w:firstLine="643"/>
        <w:jc w:val="left"/>
        <w:rPr>
          <w:rFonts w:ascii="Times New Roman" w:hAnsi="Times New Roman" w:eastAsia="仿宋_GB2312" w:cs="Times New Roman"/>
          <w:b/>
          <w:sz w:val="30"/>
          <w:szCs w:val="30"/>
          <w:highlight w:val="none"/>
        </w:rPr>
      </w:pPr>
      <w:r>
        <w:rPr>
          <w:rFonts w:hint="eastAsia" w:ascii="Times New Roman" w:hAnsi="Times New Roman" w:eastAsia="仿宋_GB2312" w:cs="Times New Roman"/>
          <w:b/>
          <w:sz w:val="30"/>
          <w:szCs w:val="30"/>
          <w:highlight w:val="none"/>
        </w:rPr>
        <w:t>上市前</w:t>
      </w:r>
    </w:p>
    <w:p w14:paraId="12EBC6FB">
      <w:pPr>
        <w:widowControl/>
        <w:numPr>
          <w:ilvl w:val="255"/>
          <w:numId w:val="0"/>
        </w:numPr>
        <w:spacing w:line="560" w:lineRule="exact"/>
        <w:ind w:firstLine="640"/>
        <w:jc w:val="left"/>
        <w:rPr>
          <w:rFonts w:ascii="Times New Roman" w:hAnsi="Times New Roman" w:eastAsia="仿宋_GB2312" w:cs="Times New Roman"/>
          <w:sz w:val="30"/>
          <w:szCs w:val="30"/>
          <w:highlight w:val="none"/>
        </w:rPr>
      </w:pPr>
      <w:r>
        <w:rPr>
          <w:rFonts w:ascii="Times New Roman" w:hAnsi="Times New Roman" w:eastAsia="仿宋_GB2312" w:cs="Times New Roman"/>
          <w:sz w:val="30"/>
          <w:szCs w:val="30"/>
          <w:highlight w:val="none"/>
        </w:rPr>
        <w:t>基金管理人通过本所业务管理系统平台提交以下文件：</w:t>
      </w:r>
    </w:p>
    <w:p w14:paraId="7A3D4134">
      <w:pPr>
        <w:widowControl/>
        <w:numPr>
          <w:ilvl w:val="255"/>
          <w:numId w:val="0"/>
        </w:numPr>
        <w:spacing w:line="560" w:lineRule="exact"/>
        <w:ind w:firstLine="640"/>
        <w:jc w:val="left"/>
        <w:rPr>
          <w:rFonts w:ascii="Times New Roman" w:hAnsi="Times New Roman" w:eastAsia="仿宋_GB2312" w:cs="Times New Roman"/>
          <w:sz w:val="30"/>
          <w:szCs w:val="30"/>
          <w:highlight w:val="none"/>
        </w:rPr>
      </w:pPr>
      <w:r>
        <w:rPr>
          <w:rFonts w:ascii="Times New Roman" w:hAnsi="Times New Roman" w:eastAsia="仿宋_GB2312" w:cs="Times New Roman"/>
          <w:sz w:val="30"/>
          <w:szCs w:val="30"/>
          <w:highlight w:val="none"/>
        </w:rPr>
        <w:t>1.律师事务所出具的法律意见书（盖章扫描件）；</w:t>
      </w:r>
    </w:p>
    <w:p w14:paraId="1AFB66AC">
      <w:pPr>
        <w:widowControl/>
        <w:numPr>
          <w:ilvl w:val="255"/>
          <w:numId w:val="0"/>
        </w:numPr>
        <w:spacing w:line="560" w:lineRule="exact"/>
        <w:ind w:firstLine="640"/>
        <w:jc w:val="left"/>
        <w:rPr>
          <w:rFonts w:ascii="Times New Roman" w:hAnsi="Times New Roman" w:eastAsia="仿宋_GB2312" w:cs="Times New Roman"/>
          <w:sz w:val="30"/>
          <w:szCs w:val="30"/>
          <w:highlight w:val="none"/>
        </w:rPr>
      </w:pPr>
      <w:r>
        <w:rPr>
          <w:rFonts w:ascii="Times New Roman" w:hAnsi="Times New Roman" w:eastAsia="仿宋_GB2312" w:cs="Times New Roman"/>
          <w:sz w:val="30"/>
          <w:szCs w:val="30"/>
          <w:highlight w:val="none"/>
        </w:rPr>
        <w:t>2.发售总结报告（盖章扫描件）；</w:t>
      </w:r>
    </w:p>
    <w:p w14:paraId="13C123CC">
      <w:pPr>
        <w:widowControl/>
        <w:numPr>
          <w:ilvl w:val="255"/>
          <w:numId w:val="0"/>
        </w:numPr>
        <w:spacing w:line="560" w:lineRule="exact"/>
        <w:ind w:firstLine="640"/>
        <w:jc w:val="left"/>
        <w:rPr>
          <w:rFonts w:ascii="Times New Roman" w:hAnsi="Times New Roman" w:eastAsia="仿宋_GB2312" w:cs="Times New Roman"/>
          <w:sz w:val="30"/>
          <w:szCs w:val="30"/>
          <w:highlight w:val="none"/>
        </w:rPr>
      </w:pPr>
      <w:r>
        <w:rPr>
          <w:rFonts w:hint="eastAsia" w:ascii="Times New Roman" w:hAnsi="Times New Roman" w:eastAsia="仿宋_GB2312" w:cs="Times New Roman"/>
          <w:sz w:val="30"/>
          <w:szCs w:val="30"/>
          <w:highlight w:val="none"/>
        </w:rPr>
        <w:t>3</w:t>
      </w:r>
      <w:r>
        <w:rPr>
          <w:rFonts w:ascii="Times New Roman" w:hAnsi="Times New Roman" w:eastAsia="仿宋_GB2312" w:cs="Times New Roman"/>
          <w:sz w:val="30"/>
          <w:szCs w:val="30"/>
          <w:highlight w:val="none"/>
        </w:rPr>
        <w:t>.发售结束后具有执行证券、期货相关业务资格的会计师事务所出具的验资报告（盖章扫描件）。</w:t>
      </w:r>
    </w:p>
    <w:bookmarkEnd w:id="572"/>
    <w:bookmarkEnd w:id="573"/>
    <w:p w14:paraId="73871037">
      <w:pPr>
        <w:widowControl/>
        <w:numPr>
          <w:ilvl w:val="255"/>
          <w:numId w:val="0"/>
        </w:numPr>
        <w:spacing w:line="560" w:lineRule="exact"/>
        <w:ind w:firstLine="640"/>
        <w:jc w:val="left"/>
        <w:outlineLvl w:val="1"/>
        <w:rPr>
          <w:rFonts w:ascii="Times New Roman" w:hAnsi="Times New Roman" w:eastAsia="黑体" w:cs="Times New Roman"/>
          <w:b/>
          <w:bCs w:val="0"/>
          <w:sz w:val="30"/>
          <w:szCs w:val="30"/>
          <w:highlight w:val="none"/>
        </w:rPr>
      </w:pPr>
      <w:bookmarkStart w:id="594" w:name="_Toc15120"/>
      <w:bookmarkStart w:id="595" w:name="_Toc1271"/>
      <w:bookmarkStart w:id="596" w:name="_Toc17985"/>
      <w:bookmarkStart w:id="597" w:name="_Toc662"/>
      <w:bookmarkStart w:id="598" w:name="_Toc5475"/>
      <w:bookmarkStart w:id="599" w:name="_Toc15081"/>
      <w:bookmarkStart w:id="600" w:name="_Toc32243"/>
      <w:bookmarkStart w:id="601" w:name="_Toc32429"/>
      <w:bookmarkStart w:id="602" w:name="_Toc6712"/>
      <w:bookmarkStart w:id="603" w:name="_Toc5564"/>
      <w:bookmarkStart w:id="604" w:name="_Toc5650"/>
      <w:bookmarkStart w:id="605" w:name="_Toc26492"/>
      <w:r>
        <w:rPr>
          <w:rFonts w:ascii="Times New Roman" w:hAnsi="Times New Roman" w:eastAsia="黑体" w:cs="Times New Roman"/>
          <w:b/>
          <w:bCs w:val="0"/>
          <w:sz w:val="30"/>
          <w:szCs w:val="30"/>
          <w:highlight w:val="none"/>
        </w:rPr>
        <w:t>三、登记、限售及锁定</w:t>
      </w:r>
      <w:bookmarkEnd w:id="594"/>
      <w:bookmarkEnd w:id="595"/>
      <w:bookmarkEnd w:id="596"/>
      <w:bookmarkEnd w:id="597"/>
      <w:bookmarkEnd w:id="598"/>
      <w:bookmarkEnd w:id="599"/>
      <w:bookmarkEnd w:id="600"/>
      <w:bookmarkEnd w:id="601"/>
      <w:bookmarkEnd w:id="602"/>
      <w:bookmarkEnd w:id="603"/>
    </w:p>
    <w:p w14:paraId="1F85F648">
      <w:pPr>
        <w:widowControl/>
        <w:spacing w:line="560" w:lineRule="exact"/>
        <w:ind w:firstLine="602" w:firstLineChars="200"/>
        <w:jc w:val="left"/>
        <w:outlineLvl w:val="2"/>
        <w:rPr>
          <w:rFonts w:ascii="Times New Roman" w:hAnsi="Times New Roman" w:eastAsia="楷体_GB2312" w:cs="Times New Roman"/>
          <w:b/>
          <w:bCs/>
          <w:kern w:val="0"/>
          <w:sz w:val="30"/>
          <w:szCs w:val="30"/>
          <w:highlight w:val="none"/>
        </w:rPr>
      </w:pPr>
      <w:bookmarkStart w:id="606" w:name="_Toc32179"/>
      <w:bookmarkStart w:id="607" w:name="_Toc10957"/>
      <w:bookmarkStart w:id="608" w:name="_Toc22695"/>
      <w:bookmarkStart w:id="609" w:name="_Toc22368"/>
      <w:bookmarkStart w:id="610" w:name="_Toc16236"/>
      <w:bookmarkStart w:id="611" w:name="_Toc1140"/>
      <w:bookmarkStart w:id="612" w:name="_Toc15413"/>
      <w:bookmarkStart w:id="613" w:name="_Toc4173"/>
      <w:bookmarkStart w:id="614" w:name="_Toc26017"/>
      <w:bookmarkStart w:id="615" w:name="_Toc16741"/>
      <w:r>
        <w:rPr>
          <w:rFonts w:ascii="Times New Roman" w:hAnsi="Times New Roman" w:eastAsia="楷体_GB2312" w:cs="Times New Roman"/>
          <w:b/>
          <w:bCs/>
          <w:kern w:val="0"/>
          <w:sz w:val="30"/>
          <w:szCs w:val="30"/>
          <w:highlight w:val="none"/>
        </w:rPr>
        <w:t>（一）扩募认购份额登记</w:t>
      </w:r>
      <w:bookmarkEnd w:id="606"/>
      <w:bookmarkEnd w:id="607"/>
      <w:bookmarkEnd w:id="608"/>
      <w:bookmarkEnd w:id="609"/>
      <w:bookmarkEnd w:id="610"/>
    </w:p>
    <w:p w14:paraId="7145FC00">
      <w:pPr>
        <w:widowControl/>
        <w:numPr>
          <w:ilvl w:val="255"/>
          <w:numId w:val="0"/>
        </w:numPr>
        <w:spacing w:line="560" w:lineRule="exact"/>
        <w:ind w:firstLine="600" w:firstLineChars="200"/>
        <w:jc w:val="left"/>
        <w:rPr>
          <w:rFonts w:ascii="Times New Roman" w:hAnsi="Times New Roman" w:eastAsia="仿宋_GB2312" w:cs="Times New Roman"/>
          <w:sz w:val="30"/>
          <w:szCs w:val="30"/>
          <w:highlight w:val="none"/>
        </w:rPr>
      </w:pPr>
      <w:r>
        <w:rPr>
          <w:rFonts w:ascii="Times New Roman" w:hAnsi="Times New Roman" w:eastAsia="仿宋_GB2312" w:cs="Times New Roman"/>
          <w:sz w:val="30"/>
          <w:szCs w:val="30"/>
          <w:highlight w:val="none"/>
        </w:rPr>
        <w:t>基金管理人应参照</w:t>
      </w:r>
      <w:r>
        <w:rPr>
          <w:rFonts w:ascii="Times New Roman" w:hAnsi="Times New Roman" w:eastAsia="仿宋_GB2312" w:cs="Times New Roman"/>
          <w:kern w:val="0"/>
          <w:sz w:val="30"/>
          <w:szCs w:val="30"/>
          <w:highlight w:val="none"/>
        </w:rPr>
        <w:t>本指南</w:t>
      </w:r>
      <w:r>
        <w:rPr>
          <w:rFonts w:ascii="Times New Roman" w:hAnsi="Times New Roman" w:eastAsia="仿宋_GB2312" w:cs="Times New Roman"/>
          <w:bCs/>
          <w:sz w:val="30"/>
          <w:szCs w:val="30"/>
          <w:highlight w:val="none"/>
        </w:rPr>
        <w:t>“第二章向原持有人配售</w:t>
      </w:r>
      <w:r>
        <w:rPr>
          <w:rFonts w:ascii="Times New Roman" w:hAnsi="Times New Roman" w:eastAsia="仿宋_GB2312" w:cs="Times New Roman"/>
          <w:kern w:val="0"/>
          <w:sz w:val="30"/>
          <w:szCs w:val="30"/>
          <w:highlight w:val="none"/>
        </w:rPr>
        <w:t>”之“</w:t>
      </w:r>
      <w:r>
        <w:rPr>
          <w:rFonts w:ascii="Times New Roman" w:hAnsi="Times New Roman" w:eastAsia="仿宋_GB2312" w:cs="Times New Roman"/>
          <w:bCs/>
          <w:sz w:val="30"/>
          <w:szCs w:val="30"/>
          <w:highlight w:val="none"/>
        </w:rPr>
        <w:t>三、登记、限售及锁定</w:t>
      </w:r>
      <w:r>
        <w:rPr>
          <w:rFonts w:ascii="Times New Roman" w:hAnsi="Times New Roman" w:eastAsia="仿宋_GB2312" w:cs="Times New Roman"/>
          <w:kern w:val="0"/>
          <w:sz w:val="30"/>
          <w:szCs w:val="30"/>
          <w:highlight w:val="none"/>
        </w:rPr>
        <w:t>”之“</w:t>
      </w:r>
      <w:r>
        <w:rPr>
          <w:rFonts w:ascii="Times New Roman" w:hAnsi="Times New Roman" w:eastAsia="仿宋_GB2312" w:cs="Times New Roman"/>
          <w:bCs/>
          <w:sz w:val="30"/>
          <w:szCs w:val="30"/>
          <w:highlight w:val="none"/>
        </w:rPr>
        <w:t>（一）扩募认购份额登记”办理相关业务。</w:t>
      </w:r>
    </w:p>
    <w:p w14:paraId="24E16FA8">
      <w:pPr>
        <w:widowControl/>
        <w:numPr>
          <w:ilvl w:val="255"/>
          <w:numId w:val="0"/>
        </w:numPr>
        <w:spacing w:line="560" w:lineRule="exact"/>
        <w:ind w:firstLine="602" w:firstLineChars="200"/>
        <w:jc w:val="left"/>
        <w:outlineLvl w:val="2"/>
        <w:rPr>
          <w:rFonts w:ascii="Times New Roman" w:hAnsi="Times New Roman" w:cs="Times New Roman"/>
          <w:b/>
          <w:bCs/>
          <w:kern w:val="0"/>
          <w:sz w:val="30"/>
          <w:szCs w:val="30"/>
          <w:highlight w:val="none"/>
        </w:rPr>
      </w:pPr>
      <w:bookmarkStart w:id="616" w:name="_Toc32537"/>
      <w:bookmarkStart w:id="617" w:name="_Toc11070"/>
      <w:bookmarkStart w:id="618" w:name="_Toc29339"/>
      <w:bookmarkStart w:id="619" w:name="_Toc29147"/>
      <w:bookmarkStart w:id="620" w:name="_Toc5470"/>
      <w:r>
        <w:rPr>
          <w:rFonts w:ascii="Times New Roman" w:hAnsi="Times New Roman" w:eastAsia="楷体_GB2312" w:cs="Times New Roman"/>
          <w:b/>
          <w:bCs/>
          <w:kern w:val="0"/>
          <w:sz w:val="30"/>
          <w:szCs w:val="30"/>
          <w:highlight w:val="none"/>
        </w:rPr>
        <w:t>（二）限售锁定办理流程</w:t>
      </w:r>
      <w:bookmarkEnd w:id="616"/>
      <w:bookmarkEnd w:id="617"/>
      <w:bookmarkEnd w:id="618"/>
      <w:bookmarkEnd w:id="619"/>
      <w:bookmarkEnd w:id="620"/>
    </w:p>
    <w:bookmarkEnd w:id="604"/>
    <w:bookmarkEnd w:id="605"/>
    <w:bookmarkEnd w:id="611"/>
    <w:bookmarkEnd w:id="612"/>
    <w:bookmarkEnd w:id="613"/>
    <w:bookmarkEnd w:id="614"/>
    <w:bookmarkEnd w:id="615"/>
    <w:p w14:paraId="778549FB">
      <w:pPr>
        <w:widowControl/>
        <w:numPr>
          <w:ilvl w:val="255"/>
          <w:numId w:val="0"/>
        </w:numPr>
        <w:spacing w:line="560" w:lineRule="exact"/>
        <w:ind w:firstLine="600" w:firstLineChars="200"/>
        <w:jc w:val="left"/>
        <w:rPr>
          <w:rFonts w:ascii="Times New Roman" w:hAnsi="Times New Roman" w:eastAsia="仿宋_GB2312" w:cs="Times New Roman"/>
          <w:sz w:val="30"/>
          <w:szCs w:val="30"/>
          <w:highlight w:val="none"/>
        </w:rPr>
      </w:pPr>
      <w:bookmarkStart w:id="621" w:name="_Toc30494"/>
      <w:bookmarkStart w:id="622" w:name="_Toc3562"/>
      <w:bookmarkStart w:id="623" w:name="_Toc29091"/>
      <w:bookmarkStart w:id="624" w:name="_Toc27243"/>
      <w:bookmarkStart w:id="625" w:name="_Toc175"/>
      <w:bookmarkStart w:id="626" w:name="_Toc32500"/>
      <w:bookmarkStart w:id="627" w:name="_Toc7259"/>
      <w:r>
        <w:rPr>
          <w:rFonts w:ascii="Times New Roman" w:hAnsi="Times New Roman" w:eastAsia="仿宋_GB2312" w:cs="Times New Roman"/>
          <w:sz w:val="30"/>
          <w:szCs w:val="30"/>
          <w:highlight w:val="none"/>
        </w:rPr>
        <w:t>基金管理人应参照</w:t>
      </w:r>
      <w:r>
        <w:rPr>
          <w:rFonts w:ascii="Times New Roman" w:hAnsi="Times New Roman" w:eastAsia="仿宋_GB2312" w:cs="Times New Roman"/>
          <w:kern w:val="0"/>
          <w:sz w:val="30"/>
          <w:szCs w:val="30"/>
          <w:highlight w:val="none"/>
        </w:rPr>
        <w:t>本指南</w:t>
      </w:r>
      <w:r>
        <w:rPr>
          <w:rFonts w:ascii="Times New Roman" w:hAnsi="Times New Roman" w:eastAsia="仿宋_GB2312" w:cs="Times New Roman"/>
          <w:bCs/>
          <w:sz w:val="30"/>
          <w:szCs w:val="30"/>
          <w:highlight w:val="none"/>
        </w:rPr>
        <w:t>“第二章向原持有人配售</w:t>
      </w:r>
      <w:r>
        <w:rPr>
          <w:rFonts w:ascii="Times New Roman" w:hAnsi="Times New Roman" w:eastAsia="仿宋_GB2312" w:cs="Times New Roman"/>
          <w:kern w:val="0"/>
          <w:sz w:val="30"/>
          <w:szCs w:val="30"/>
          <w:highlight w:val="none"/>
        </w:rPr>
        <w:t>”之“</w:t>
      </w:r>
      <w:r>
        <w:rPr>
          <w:rFonts w:ascii="Times New Roman" w:hAnsi="Times New Roman" w:eastAsia="仿宋_GB2312" w:cs="Times New Roman"/>
          <w:bCs/>
          <w:sz w:val="30"/>
          <w:szCs w:val="30"/>
          <w:highlight w:val="none"/>
        </w:rPr>
        <w:t>三、登记、限售及锁定</w:t>
      </w:r>
      <w:r>
        <w:rPr>
          <w:rFonts w:ascii="Times New Roman" w:hAnsi="Times New Roman" w:eastAsia="仿宋_GB2312" w:cs="Times New Roman"/>
          <w:kern w:val="0"/>
          <w:sz w:val="30"/>
          <w:szCs w:val="30"/>
          <w:highlight w:val="none"/>
        </w:rPr>
        <w:t>”之“</w:t>
      </w:r>
      <w:r>
        <w:rPr>
          <w:rFonts w:ascii="Times New Roman" w:hAnsi="Times New Roman" w:eastAsia="仿宋_GB2312" w:cs="Times New Roman"/>
          <w:bCs/>
          <w:sz w:val="30"/>
          <w:szCs w:val="30"/>
          <w:highlight w:val="none"/>
        </w:rPr>
        <w:t>（二）限售锁定办理流程”办理相关业务。</w:t>
      </w:r>
    </w:p>
    <w:p w14:paraId="4F742D1A">
      <w:pPr>
        <w:widowControl/>
        <w:spacing w:line="560" w:lineRule="exact"/>
        <w:ind w:firstLine="640"/>
        <w:jc w:val="left"/>
        <w:outlineLvl w:val="2"/>
        <w:rPr>
          <w:rFonts w:ascii="Times New Roman" w:hAnsi="Times New Roman" w:eastAsia="仿宋_GB2312" w:cs="Times New Roman"/>
          <w:sz w:val="30"/>
          <w:szCs w:val="30"/>
          <w:highlight w:val="none"/>
        </w:rPr>
      </w:pPr>
      <w:bookmarkStart w:id="628" w:name="_Toc10526"/>
      <w:bookmarkStart w:id="629" w:name="_Toc5423"/>
      <w:bookmarkStart w:id="630" w:name="_Toc27384"/>
      <w:bookmarkStart w:id="631" w:name="_Toc13772"/>
      <w:bookmarkStart w:id="632" w:name="_Toc21967"/>
      <w:r>
        <w:rPr>
          <w:rFonts w:ascii="Times New Roman" w:hAnsi="Times New Roman" w:eastAsia="楷体_GB2312" w:cs="Times New Roman"/>
          <w:b/>
          <w:bCs/>
          <w:kern w:val="0"/>
          <w:sz w:val="30"/>
          <w:szCs w:val="30"/>
          <w:highlight w:val="none"/>
        </w:rPr>
        <w:t>（三）限售锁定期</w:t>
      </w:r>
      <w:bookmarkEnd w:id="621"/>
      <w:bookmarkEnd w:id="622"/>
      <w:r>
        <w:rPr>
          <w:rFonts w:ascii="Times New Roman" w:hAnsi="Times New Roman" w:eastAsia="楷体_GB2312" w:cs="Times New Roman"/>
          <w:b/>
          <w:bCs/>
          <w:kern w:val="0"/>
          <w:sz w:val="30"/>
          <w:szCs w:val="30"/>
          <w:highlight w:val="none"/>
        </w:rPr>
        <w:t>管理</w:t>
      </w:r>
      <w:bookmarkEnd w:id="623"/>
      <w:bookmarkEnd w:id="624"/>
      <w:bookmarkEnd w:id="625"/>
      <w:bookmarkEnd w:id="626"/>
      <w:bookmarkEnd w:id="627"/>
      <w:bookmarkEnd w:id="628"/>
      <w:bookmarkEnd w:id="629"/>
      <w:bookmarkEnd w:id="630"/>
      <w:bookmarkEnd w:id="631"/>
      <w:bookmarkEnd w:id="632"/>
    </w:p>
    <w:p w14:paraId="36F30F4B">
      <w:pPr>
        <w:widowControl/>
        <w:numPr>
          <w:ilvl w:val="255"/>
          <w:numId w:val="0"/>
        </w:numPr>
        <w:spacing w:line="560" w:lineRule="exact"/>
        <w:ind w:firstLine="600" w:firstLineChars="200"/>
        <w:jc w:val="left"/>
        <w:rPr>
          <w:rFonts w:ascii="Times New Roman" w:hAnsi="Times New Roman" w:eastAsia="仿宋_GB2312" w:cs="Times New Roman"/>
          <w:sz w:val="30"/>
          <w:szCs w:val="30"/>
          <w:highlight w:val="none"/>
        </w:rPr>
      </w:pPr>
      <w:bookmarkStart w:id="633" w:name="_Toc7478"/>
      <w:bookmarkStart w:id="634" w:name="_Toc538"/>
      <w:bookmarkStart w:id="635" w:name="_Toc27322"/>
      <w:bookmarkStart w:id="636" w:name="_Toc4278"/>
      <w:bookmarkStart w:id="637" w:name="_Toc32725"/>
      <w:bookmarkStart w:id="638" w:name="_Toc28399"/>
      <w:bookmarkStart w:id="639" w:name="_Toc23354"/>
      <w:r>
        <w:rPr>
          <w:rFonts w:ascii="Times New Roman" w:hAnsi="Times New Roman" w:eastAsia="仿宋_GB2312" w:cs="Times New Roman"/>
          <w:sz w:val="30"/>
          <w:szCs w:val="30"/>
          <w:highlight w:val="none"/>
        </w:rPr>
        <w:t>限售</w:t>
      </w:r>
      <w:r>
        <w:rPr>
          <w:rFonts w:hint="eastAsia" w:ascii="Times New Roman" w:hAnsi="Times New Roman" w:eastAsia="仿宋_GB2312" w:cs="Times New Roman"/>
          <w:sz w:val="30"/>
          <w:szCs w:val="30"/>
          <w:highlight w:val="none"/>
        </w:rPr>
        <w:t>锁定</w:t>
      </w:r>
      <w:r>
        <w:rPr>
          <w:rFonts w:ascii="Times New Roman" w:hAnsi="Times New Roman" w:eastAsia="仿宋_GB2312" w:cs="Times New Roman"/>
          <w:sz w:val="30"/>
          <w:szCs w:val="30"/>
          <w:highlight w:val="none"/>
        </w:rPr>
        <w:t>期管理参照本指南“第二章向原持有人配售</w:t>
      </w:r>
      <w:r>
        <w:rPr>
          <w:rFonts w:ascii="Times New Roman" w:hAnsi="Times New Roman" w:eastAsia="仿宋_GB2312" w:cs="Times New Roman"/>
          <w:kern w:val="0"/>
          <w:sz w:val="30"/>
          <w:szCs w:val="30"/>
          <w:highlight w:val="none"/>
        </w:rPr>
        <w:t>”之“</w:t>
      </w:r>
      <w:r>
        <w:rPr>
          <w:rFonts w:ascii="Times New Roman" w:hAnsi="Times New Roman" w:eastAsia="仿宋_GB2312" w:cs="Times New Roman"/>
          <w:sz w:val="30"/>
          <w:szCs w:val="30"/>
          <w:highlight w:val="none"/>
        </w:rPr>
        <w:t>三、登记、限售及锁定</w:t>
      </w:r>
      <w:r>
        <w:rPr>
          <w:rFonts w:ascii="Times New Roman" w:hAnsi="Times New Roman" w:eastAsia="仿宋_GB2312" w:cs="Times New Roman"/>
          <w:kern w:val="0"/>
          <w:sz w:val="30"/>
          <w:szCs w:val="30"/>
          <w:highlight w:val="none"/>
        </w:rPr>
        <w:t>”之“</w:t>
      </w:r>
      <w:r>
        <w:rPr>
          <w:rFonts w:ascii="Times New Roman" w:hAnsi="Times New Roman" w:eastAsia="仿宋_GB2312" w:cs="Times New Roman"/>
          <w:sz w:val="30"/>
          <w:szCs w:val="30"/>
          <w:highlight w:val="none"/>
        </w:rPr>
        <w:t>（三）限售锁定期管理”。</w:t>
      </w:r>
    </w:p>
    <w:p w14:paraId="259E89B6">
      <w:pPr>
        <w:widowControl/>
        <w:numPr>
          <w:ilvl w:val="255"/>
          <w:numId w:val="0"/>
        </w:numPr>
        <w:spacing w:line="560" w:lineRule="exact"/>
        <w:ind w:firstLine="640"/>
        <w:jc w:val="left"/>
        <w:outlineLvl w:val="1"/>
        <w:rPr>
          <w:rFonts w:ascii="Times New Roman" w:hAnsi="Times New Roman" w:eastAsia="黑体" w:cs="Times New Roman"/>
          <w:b/>
          <w:bCs w:val="0"/>
          <w:sz w:val="30"/>
          <w:szCs w:val="30"/>
          <w:highlight w:val="none"/>
        </w:rPr>
      </w:pPr>
      <w:bookmarkStart w:id="640" w:name="_Toc12367"/>
      <w:bookmarkStart w:id="641" w:name="_Toc18282"/>
      <w:bookmarkStart w:id="642" w:name="_Toc25421"/>
      <w:bookmarkStart w:id="643" w:name="_Toc3498"/>
      <w:bookmarkStart w:id="644" w:name="_Toc9125"/>
      <w:r>
        <w:rPr>
          <w:rFonts w:ascii="Times New Roman" w:hAnsi="Times New Roman" w:eastAsia="黑体" w:cs="Times New Roman"/>
          <w:b/>
          <w:bCs w:val="0"/>
          <w:sz w:val="30"/>
          <w:szCs w:val="30"/>
          <w:highlight w:val="none"/>
        </w:rPr>
        <w:t>四、发售其他安排</w:t>
      </w:r>
      <w:bookmarkEnd w:id="633"/>
      <w:bookmarkEnd w:id="634"/>
      <w:bookmarkEnd w:id="635"/>
      <w:bookmarkEnd w:id="636"/>
      <w:bookmarkEnd w:id="637"/>
      <w:bookmarkEnd w:id="638"/>
      <w:bookmarkEnd w:id="639"/>
      <w:bookmarkEnd w:id="640"/>
      <w:bookmarkEnd w:id="641"/>
      <w:bookmarkEnd w:id="642"/>
      <w:bookmarkEnd w:id="643"/>
      <w:bookmarkEnd w:id="644"/>
    </w:p>
    <w:p w14:paraId="4E15E04F">
      <w:pPr>
        <w:widowControl/>
        <w:spacing w:line="560" w:lineRule="exact"/>
        <w:ind w:firstLine="602" w:firstLineChars="200"/>
        <w:jc w:val="left"/>
        <w:outlineLvl w:val="2"/>
        <w:rPr>
          <w:rFonts w:ascii="Times New Roman" w:hAnsi="Times New Roman" w:eastAsia="楷体_GB2312" w:cs="Times New Roman"/>
          <w:b/>
          <w:bCs/>
          <w:kern w:val="0"/>
          <w:sz w:val="30"/>
          <w:szCs w:val="30"/>
          <w:highlight w:val="none"/>
        </w:rPr>
      </w:pPr>
      <w:bookmarkStart w:id="645" w:name="_Toc19901"/>
      <w:bookmarkStart w:id="646" w:name="_Toc8546"/>
      <w:bookmarkStart w:id="647" w:name="_Toc21951"/>
      <w:bookmarkStart w:id="648" w:name="_Toc5230"/>
      <w:bookmarkStart w:id="649" w:name="_Toc22790"/>
      <w:bookmarkStart w:id="650" w:name="_Toc2141"/>
      <w:bookmarkStart w:id="651" w:name="_Toc28224"/>
      <w:bookmarkStart w:id="652" w:name="_Toc6971"/>
      <w:bookmarkStart w:id="653" w:name="_Toc17478"/>
      <w:bookmarkStart w:id="654" w:name="_Toc3402"/>
      <w:bookmarkStart w:id="655" w:name="_Toc12532"/>
      <w:bookmarkStart w:id="656" w:name="_Toc23022"/>
      <w:r>
        <w:rPr>
          <w:rFonts w:ascii="Times New Roman" w:hAnsi="Times New Roman" w:eastAsia="楷体_GB2312" w:cs="Times New Roman"/>
          <w:b/>
          <w:bCs/>
          <w:kern w:val="0"/>
          <w:sz w:val="30"/>
          <w:szCs w:val="30"/>
          <w:highlight w:val="none"/>
        </w:rPr>
        <w:t>（一）组合发售</w:t>
      </w:r>
      <w:bookmarkEnd w:id="645"/>
      <w:bookmarkEnd w:id="646"/>
      <w:bookmarkEnd w:id="647"/>
      <w:bookmarkEnd w:id="648"/>
      <w:bookmarkEnd w:id="649"/>
      <w:bookmarkEnd w:id="650"/>
      <w:bookmarkEnd w:id="651"/>
      <w:bookmarkEnd w:id="652"/>
      <w:bookmarkEnd w:id="653"/>
      <w:bookmarkEnd w:id="654"/>
    </w:p>
    <w:p w14:paraId="384B24B2">
      <w:pPr>
        <w:widowControl/>
        <w:numPr>
          <w:ilvl w:val="255"/>
          <w:numId w:val="0"/>
        </w:numPr>
        <w:spacing w:line="560" w:lineRule="exact"/>
        <w:ind w:firstLine="600" w:firstLineChars="200"/>
        <w:jc w:val="left"/>
        <w:rPr>
          <w:rFonts w:ascii="Times New Roman" w:hAnsi="Times New Roman" w:eastAsia="仿宋_GB2312" w:cs="Times New Roman"/>
          <w:b/>
          <w:sz w:val="30"/>
          <w:szCs w:val="30"/>
          <w:highlight w:val="none"/>
        </w:rPr>
      </w:pPr>
      <w:r>
        <w:rPr>
          <w:rFonts w:ascii="Times New Roman" w:hAnsi="Times New Roman" w:eastAsia="仿宋_GB2312" w:cs="Times New Roman"/>
          <w:bCs/>
          <w:sz w:val="30"/>
          <w:szCs w:val="30"/>
          <w:highlight w:val="none"/>
        </w:rPr>
        <w:t>基金管理人选择组合发售（即向原持有人优先配售、剩余份额公开扩募）的，向原持有人优先配售的具体流程参照本指南第二章相应内容进行操作，基金管理人应在公告中明确优先向原持有人优先配售的认购方式、配售比例、发售价格等。公开募集部分超额认购的，应参照</w:t>
      </w:r>
      <w:r>
        <w:rPr>
          <w:rFonts w:hint="eastAsia" w:ascii="Times New Roman" w:hAnsi="Times New Roman" w:eastAsia="仿宋_GB2312" w:cs="Times New Roman"/>
          <w:bCs/>
          <w:sz w:val="30"/>
          <w:szCs w:val="30"/>
          <w:highlight w:val="none"/>
        </w:rPr>
        <w:t>不动产</w:t>
      </w:r>
      <w:r>
        <w:rPr>
          <w:rFonts w:ascii="Times New Roman" w:hAnsi="Times New Roman" w:eastAsia="仿宋_GB2312" w:cs="Times New Roman"/>
          <w:bCs/>
          <w:sz w:val="30"/>
          <w:szCs w:val="30"/>
          <w:highlight w:val="none"/>
        </w:rPr>
        <w:t>基金首次发行操作，按比例退还超额认购资金，由基金管理人进行最终发售结果的核对和确认。</w:t>
      </w:r>
    </w:p>
    <w:p w14:paraId="35CB8D04">
      <w:pPr>
        <w:spacing w:line="560" w:lineRule="exact"/>
        <w:ind w:firstLine="602" w:firstLineChars="200"/>
        <w:outlineLvl w:val="2"/>
        <w:rPr>
          <w:rFonts w:ascii="Times New Roman" w:hAnsi="Times New Roman" w:eastAsia="楷体_GB2312" w:cs="Times New Roman"/>
          <w:b/>
          <w:bCs/>
          <w:kern w:val="0"/>
          <w:sz w:val="30"/>
          <w:szCs w:val="30"/>
          <w:highlight w:val="none"/>
        </w:rPr>
      </w:pPr>
      <w:bookmarkStart w:id="657" w:name="_Toc24588"/>
      <w:bookmarkStart w:id="658" w:name="_Toc2251"/>
      <w:bookmarkStart w:id="659" w:name="_Toc683"/>
      <w:bookmarkStart w:id="660" w:name="_Toc26458"/>
      <w:bookmarkStart w:id="661" w:name="_Toc6204"/>
      <w:bookmarkStart w:id="662" w:name="_Toc19842"/>
      <w:bookmarkStart w:id="663" w:name="_Toc4075"/>
      <w:bookmarkStart w:id="664" w:name="_Toc16666"/>
      <w:bookmarkStart w:id="665" w:name="_Toc24556"/>
      <w:bookmarkStart w:id="666" w:name="_Toc4740"/>
      <w:r>
        <w:rPr>
          <w:rFonts w:ascii="Times New Roman" w:hAnsi="Times New Roman" w:eastAsia="楷体_GB2312" w:cs="Times New Roman"/>
          <w:b/>
          <w:bCs/>
          <w:kern w:val="0"/>
          <w:sz w:val="30"/>
          <w:szCs w:val="30"/>
          <w:highlight w:val="none"/>
        </w:rPr>
        <w:t>（二）认购期间停复牌管理</w:t>
      </w:r>
      <w:bookmarkEnd w:id="657"/>
      <w:bookmarkEnd w:id="658"/>
      <w:bookmarkEnd w:id="659"/>
      <w:bookmarkEnd w:id="660"/>
      <w:bookmarkEnd w:id="661"/>
      <w:bookmarkEnd w:id="662"/>
      <w:bookmarkEnd w:id="663"/>
      <w:bookmarkEnd w:id="664"/>
      <w:bookmarkEnd w:id="665"/>
      <w:bookmarkEnd w:id="666"/>
    </w:p>
    <w:p w14:paraId="5CEDAFD0">
      <w:pPr>
        <w:widowControl/>
        <w:spacing w:line="560" w:lineRule="exact"/>
        <w:ind w:firstLine="600" w:firstLineChars="200"/>
        <w:rPr>
          <w:rFonts w:ascii="Times New Roman" w:hAnsi="Times New Roman" w:eastAsia="仿宋_GB2312" w:cs="Times New Roman"/>
          <w:bCs/>
          <w:sz w:val="30"/>
          <w:szCs w:val="30"/>
          <w:highlight w:val="none"/>
        </w:rPr>
      </w:pPr>
      <w:r>
        <w:rPr>
          <w:rFonts w:ascii="Times New Roman" w:hAnsi="Times New Roman" w:eastAsia="仿宋_GB2312" w:cs="Times New Roman"/>
          <w:bCs/>
          <w:sz w:val="30"/>
          <w:szCs w:val="30"/>
          <w:highlight w:val="none"/>
        </w:rPr>
        <w:t>基金管理人</w:t>
      </w:r>
      <w:r>
        <w:rPr>
          <w:rFonts w:ascii="Times New Roman" w:hAnsi="Times New Roman" w:eastAsia="仿宋_GB2312" w:cs="Times New Roman"/>
          <w:sz w:val="30"/>
          <w:szCs w:val="30"/>
          <w:highlight w:val="none"/>
        </w:rPr>
        <w:t>应在发售公告中披露认购期间停复牌安排，</w:t>
      </w:r>
      <w:r>
        <w:rPr>
          <w:rFonts w:ascii="Times New Roman" w:hAnsi="Times New Roman" w:eastAsia="仿宋_GB2312" w:cs="Times New Roman"/>
          <w:bCs/>
          <w:sz w:val="30"/>
          <w:szCs w:val="30"/>
          <w:highlight w:val="none"/>
        </w:rPr>
        <w:t>停牌区间为[T,M]，M+1日复牌。</w:t>
      </w:r>
    </w:p>
    <w:bookmarkEnd w:id="655"/>
    <w:bookmarkEnd w:id="656"/>
    <w:p w14:paraId="257EA4D7">
      <w:pPr>
        <w:spacing w:line="560" w:lineRule="exact"/>
        <w:ind w:firstLine="602" w:firstLineChars="200"/>
        <w:outlineLvl w:val="1"/>
        <w:rPr>
          <w:rFonts w:ascii="Times New Roman" w:hAnsi="Times New Roman" w:eastAsia="黑体" w:cs="Times New Roman"/>
          <w:b/>
          <w:bCs w:val="0"/>
          <w:sz w:val="30"/>
          <w:szCs w:val="30"/>
          <w:highlight w:val="none"/>
        </w:rPr>
      </w:pPr>
      <w:bookmarkStart w:id="667" w:name="_Toc22887"/>
      <w:bookmarkStart w:id="668" w:name="_Toc20889"/>
      <w:bookmarkStart w:id="669" w:name="_Toc13926"/>
      <w:bookmarkStart w:id="670" w:name="_Toc17012"/>
      <w:bookmarkStart w:id="671" w:name="_Toc791"/>
      <w:bookmarkStart w:id="672" w:name="_Toc5672"/>
      <w:bookmarkStart w:id="673" w:name="_Toc5451"/>
      <w:bookmarkStart w:id="674" w:name="_Toc30632"/>
      <w:bookmarkStart w:id="675" w:name="_Toc19248"/>
      <w:bookmarkStart w:id="676" w:name="_Toc4241"/>
      <w:bookmarkStart w:id="677" w:name="_Toc819"/>
      <w:bookmarkStart w:id="678" w:name="_Toc5808"/>
      <w:r>
        <w:rPr>
          <w:rFonts w:ascii="Times New Roman" w:hAnsi="Times New Roman" w:eastAsia="黑体" w:cs="Times New Roman"/>
          <w:b/>
          <w:bCs w:val="0"/>
          <w:sz w:val="30"/>
          <w:szCs w:val="30"/>
          <w:highlight w:val="none"/>
        </w:rPr>
        <w:t>五、发行结果公告</w:t>
      </w:r>
      <w:bookmarkEnd w:id="667"/>
      <w:bookmarkEnd w:id="668"/>
      <w:bookmarkEnd w:id="669"/>
      <w:bookmarkEnd w:id="670"/>
      <w:bookmarkEnd w:id="671"/>
      <w:bookmarkEnd w:id="672"/>
      <w:bookmarkEnd w:id="673"/>
      <w:bookmarkEnd w:id="674"/>
      <w:bookmarkEnd w:id="675"/>
      <w:bookmarkEnd w:id="676"/>
      <w:bookmarkEnd w:id="677"/>
      <w:bookmarkEnd w:id="678"/>
    </w:p>
    <w:p w14:paraId="0686A3A0">
      <w:pPr>
        <w:tabs>
          <w:tab w:val="left" w:pos="1060"/>
        </w:tabs>
        <w:autoSpaceDE w:val="0"/>
        <w:spacing w:line="560" w:lineRule="exact"/>
        <w:ind w:firstLine="602" w:firstLineChars="200"/>
        <w:outlineLvl w:val="2"/>
        <w:rPr>
          <w:rFonts w:ascii="Times New Roman" w:hAnsi="Times New Roman" w:eastAsia="楷体_GB2312" w:cs="Times New Roman"/>
          <w:b/>
          <w:bCs/>
          <w:kern w:val="0"/>
          <w:sz w:val="30"/>
          <w:szCs w:val="30"/>
          <w:highlight w:val="none"/>
        </w:rPr>
      </w:pPr>
      <w:bookmarkStart w:id="679" w:name="_Toc31213"/>
      <w:bookmarkStart w:id="680" w:name="_Toc19926"/>
      <w:bookmarkStart w:id="681" w:name="_Toc25047"/>
      <w:bookmarkStart w:id="682" w:name="_Toc28733"/>
      <w:bookmarkStart w:id="683" w:name="_Toc15994"/>
      <w:bookmarkStart w:id="684" w:name="_Toc31199"/>
      <w:bookmarkStart w:id="685" w:name="_Toc2523"/>
      <w:bookmarkStart w:id="686" w:name="_Toc26546"/>
      <w:bookmarkStart w:id="687" w:name="_Toc7574"/>
      <w:bookmarkStart w:id="688" w:name="_Toc4881"/>
      <w:bookmarkStart w:id="689" w:name="_Toc20541"/>
      <w:bookmarkStart w:id="690" w:name="_Toc15643"/>
      <w:r>
        <w:rPr>
          <w:rFonts w:ascii="Times New Roman" w:hAnsi="Times New Roman" w:eastAsia="楷体_GB2312" w:cs="Times New Roman"/>
          <w:b/>
          <w:bCs/>
          <w:kern w:val="0"/>
          <w:sz w:val="30"/>
          <w:szCs w:val="30"/>
          <w:highlight w:val="none"/>
        </w:rPr>
        <w:t>（一）发行成功</w:t>
      </w:r>
      <w:bookmarkEnd w:id="679"/>
      <w:bookmarkEnd w:id="680"/>
      <w:bookmarkEnd w:id="681"/>
      <w:bookmarkEnd w:id="682"/>
      <w:bookmarkEnd w:id="683"/>
      <w:bookmarkEnd w:id="684"/>
      <w:bookmarkEnd w:id="685"/>
      <w:bookmarkEnd w:id="686"/>
      <w:bookmarkEnd w:id="687"/>
      <w:bookmarkEnd w:id="688"/>
      <w:bookmarkEnd w:id="689"/>
      <w:bookmarkEnd w:id="690"/>
    </w:p>
    <w:p w14:paraId="763FEA98">
      <w:pPr>
        <w:widowControl/>
        <w:numPr>
          <w:ilvl w:val="0"/>
          <w:numId w:val="1"/>
        </w:numPr>
        <w:spacing w:line="560" w:lineRule="exact"/>
        <w:ind w:left="197" w:firstLine="643"/>
        <w:rPr>
          <w:rFonts w:ascii="Times New Roman" w:hAnsi="Times New Roman" w:eastAsia="仿宋_GB2312" w:cs="Times New Roman"/>
          <w:b/>
          <w:sz w:val="30"/>
          <w:szCs w:val="30"/>
          <w:highlight w:val="none"/>
        </w:rPr>
      </w:pPr>
      <w:r>
        <w:rPr>
          <w:rFonts w:ascii="Times New Roman" w:hAnsi="Times New Roman" w:eastAsia="仿宋_GB2312" w:cs="Times New Roman"/>
          <w:b/>
          <w:sz w:val="30"/>
          <w:szCs w:val="30"/>
          <w:highlight w:val="none"/>
        </w:rPr>
        <w:t>M+1日</w:t>
      </w:r>
    </w:p>
    <w:p w14:paraId="0D17AF46">
      <w:pPr>
        <w:tabs>
          <w:tab w:val="left" w:pos="1060"/>
        </w:tabs>
        <w:autoSpaceDE w:val="0"/>
        <w:spacing w:line="560" w:lineRule="exact"/>
        <w:ind w:firstLine="640"/>
        <w:rPr>
          <w:rFonts w:ascii="Times New Roman" w:hAnsi="Times New Roman" w:eastAsia="仿宋_GB2312" w:cs="Times New Roman"/>
          <w:bCs/>
          <w:sz w:val="30"/>
          <w:szCs w:val="30"/>
          <w:highlight w:val="none"/>
        </w:rPr>
      </w:pPr>
      <w:r>
        <w:rPr>
          <w:rFonts w:ascii="Times New Roman" w:hAnsi="Times New Roman" w:eastAsia="仿宋_GB2312" w:cs="Times New Roman"/>
          <w:bCs/>
          <w:sz w:val="30"/>
          <w:szCs w:val="30"/>
          <w:highlight w:val="none"/>
        </w:rPr>
        <w:t>基金管理人应披露发行结果公告。</w:t>
      </w:r>
    </w:p>
    <w:p w14:paraId="60ABD330">
      <w:pPr>
        <w:spacing w:line="560" w:lineRule="exact"/>
        <w:ind w:firstLine="602" w:firstLineChars="200"/>
        <w:outlineLvl w:val="2"/>
        <w:rPr>
          <w:rFonts w:ascii="Times New Roman" w:hAnsi="Times New Roman" w:eastAsia="楷体_GB2312" w:cs="Times New Roman"/>
          <w:b/>
          <w:bCs/>
          <w:kern w:val="0"/>
          <w:sz w:val="30"/>
          <w:szCs w:val="30"/>
          <w:highlight w:val="none"/>
        </w:rPr>
      </w:pPr>
      <w:bookmarkStart w:id="691" w:name="_Toc22246"/>
      <w:bookmarkStart w:id="692" w:name="_Toc32234"/>
      <w:bookmarkStart w:id="693" w:name="_Toc3557"/>
      <w:bookmarkStart w:id="694" w:name="_Toc20907"/>
      <w:bookmarkStart w:id="695" w:name="_Toc24546"/>
      <w:bookmarkStart w:id="696" w:name="_Toc24592"/>
      <w:bookmarkStart w:id="697" w:name="_Toc25843"/>
      <w:bookmarkStart w:id="698" w:name="_Toc31148"/>
      <w:bookmarkStart w:id="699" w:name="_Toc13067"/>
      <w:bookmarkStart w:id="700" w:name="_Toc29492"/>
      <w:bookmarkStart w:id="701" w:name="_Toc26239"/>
      <w:bookmarkStart w:id="702" w:name="_Toc12128"/>
      <w:r>
        <w:rPr>
          <w:rFonts w:ascii="Times New Roman" w:hAnsi="Times New Roman" w:eastAsia="楷体_GB2312" w:cs="Times New Roman"/>
          <w:b/>
          <w:bCs/>
          <w:kern w:val="0"/>
          <w:sz w:val="30"/>
          <w:szCs w:val="30"/>
          <w:highlight w:val="none"/>
        </w:rPr>
        <w:t>（二）发行失败</w:t>
      </w:r>
      <w:bookmarkEnd w:id="691"/>
      <w:bookmarkEnd w:id="692"/>
      <w:bookmarkEnd w:id="693"/>
      <w:bookmarkEnd w:id="694"/>
      <w:bookmarkEnd w:id="695"/>
      <w:bookmarkEnd w:id="696"/>
      <w:bookmarkEnd w:id="697"/>
      <w:bookmarkEnd w:id="698"/>
      <w:bookmarkEnd w:id="699"/>
      <w:bookmarkEnd w:id="700"/>
      <w:bookmarkEnd w:id="701"/>
      <w:bookmarkEnd w:id="702"/>
    </w:p>
    <w:p w14:paraId="3AD1D292">
      <w:pPr>
        <w:widowControl/>
        <w:numPr>
          <w:ilvl w:val="0"/>
          <w:numId w:val="1"/>
        </w:numPr>
        <w:spacing w:line="560" w:lineRule="exact"/>
        <w:ind w:left="197" w:firstLine="643"/>
        <w:rPr>
          <w:rFonts w:ascii="Times New Roman" w:hAnsi="Times New Roman" w:eastAsia="仿宋_GB2312" w:cs="Times New Roman"/>
          <w:b/>
          <w:sz w:val="30"/>
          <w:szCs w:val="30"/>
          <w:highlight w:val="none"/>
        </w:rPr>
      </w:pPr>
      <w:r>
        <w:rPr>
          <w:rFonts w:ascii="Times New Roman" w:hAnsi="Times New Roman" w:eastAsia="仿宋_GB2312" w:cs="Times New Roman"/>
          <w:b/>
          <w:sz w:val="30"/>
          <w:szCs w:val="30"/>
          <w:highlight w:val="none"/>
        </w:rPr>
        <w:t>M+1日</w:t>
      </w:r>
    </w:p>
    <w:p w14:paraId="1E8807BA">
      <w:pPr>
        <w:widowControl/>
        <w:numPr>
          <w:ilvl w:val="255"/>
          <w:numId w:val="0"/>
        </w:numPr>
        <w:autoSpaceDE w:val="0"/>
        <w:spacing w:line="560" w:lineRule="exact"/>
        <w:ind w:firstLine="600" w:firstLineChars="200"/>
        <w:jc w:val="left"/>
        <w:rPr>
          <w:rFonts w:ascii="Times New Roman" w:hAnsi="Times New Roman" w:eastAsia="仿宋_GB2312" w:cs="Times New Roman"/>
          <w:bCs/>
          <w:sz w:val="30"/>
          <w:szCs w:val="30"/>
          <w:highlight w:val="none"/>
        </w:rPr>
      </w:pPr>
      <w:r>
        <w:rPr>
          <w:rFonts w:ascii="Times New Roman" w:hAnsi="Times New Roman" w:eastAsia="仿宋_GB2312" w:cs="Times New Roman"/>
          <w:bCs/>
          <w:sz w:val="30"/>
          <w:szCs w:val="30"/>
          <w:highlight w:val="none"/>
        </w:rPr>
        <w:t>基金扩募发售失败的，基金管理人应披露发售失败结果公告。</w:t>
      </w:r>
    </w:p>
    <w:p w14:paraId="639D387E">
      <w:pPr>
        <w:tabs>
          <w:tab w:val="left" w:pos="1060"/>
        </w:tabs>
        <w:autoSpaceDE w:val="0"/>
        <w:spacing w:line="560" w:lineRule="exact"/>
        <w:ind w:firstLine="640"/>
        <w:rPr>
          <w:rFonts w:ascii="Times New Roman" w:hAnsi="Times New Roman" w:eastAsia="仿宋_GB2312" w:cs="Times New Roman"/>
          <w:bCs/>
          <w:sz w:val="30"/>
          <w:szCs w:val="30"/>
          <w:highlight w:val="none"/>
        </w:rPr>
      </w:pPr>
      <w:r>
        <w:rPr>
          <w:rFonts w:ascii="Times New Roman" w:hAnsi="Times New Roman" w:eastAsia="仿宋_GB2312" w:cs="Times New Roman"/>
          <w:bCs/>
          <w:sz w:val="30"/>
          <w:szCs w:val="30"/>
          <w:highlight w:val="none"/>
        </w:rPr>
        <w:t>基金扩募发售期限届满，出现下列情形之一的，</w:t>
      </w:r>
      <w:r>
        <w:rPr>
          <w:rFonts w:hint="eastAsia" w:ascii="Times New Roman" w:hAnsi="Times New Roman" w:eastAsia="仿宋_GB2312" w:cs="Times New Roman"/>
          <w:bCs/>
          <w:sz w:val="30"/>
          <w:szCs w:val="30"/>
          <w:highlight w:val="none"/>
        </w:rPr>
        <w:t>不动产</w:t>
      </w:r>
      <w:r>
        <w:rPr>
          <w:rFonts w:ascii="Times New Roman" w:hAnsi="Times New Roman" w:eastAsia="仿宋_GB2312" w:cs="Times New Roman"/>
          <w:bCs/>
          <w:sz w:val="30"/>
          <w:szCs w:val="30"/>
          <w:highlight w:val="none"/>
        </w:rPr>
        <w:t>基金扩募发售失败：</w:t>
      </w:r>
    </w:p>
    <w:p w14:paraId="218D3662">
      <w:pPr>
        <w:tabs>
          <w:tab w:val="left" w:pos="1060"/>
        </w:tabs>
        <w:autoSpaceDE w:val="0"/>
        <w:spacing w:line="560" w:lineRule="exact"/>
        <w:ind w:firstLine="640"/>
        <w:rPr>
          <w:rFonts w:ascii="Times New Roman" w:hAnsi="Times New Roman" w:eastAsia="仿宋_GB2312" w:cs="Times New Roman"/>
          <w:bCs/>
          <w:sz w:val="30"/>
          <w:szCs w:val="30"/>
          <w:highlight w:val="none"/>
        </w:rPr>
      </w:pPr>
      <w:r>
        <w:rPr>
          <w:rFonts w:ascii="Times New Roman" w:hAnsi="Times New Roman" w:eastAsia="仿宋_GB2312" w:cs="Times New Roman"/>
          <w:bCs/>
          <w:sz w:val="30"/>
          <w:szCs w:val="30"/>
          <w:highlight w:val="none"/>
        </w:rPr>
        <w:t xml:space="preserve">1.基金扩募份额总额未达到基金份额持有人大会表决通过规模的80%； </w:t>
      </w:r>
    </w:p>
    <w:p w14:paraId="416C03B3">
      <w:pPr>
        <w:tabs>
          <w:tab w:val="left" w:pos="1060"/>
        </w:tabs>
        <w:autoSpaceDE w:val="0"/>
        <w:spacing w:line="560" w:lineRule="exact"/>
        <w:ind w:firstLine="640"/>
        <w:rPr>
          <w:rFonts w:ascii="Times New Roman" w:hAnsi="Times New Roman" w:eastAsia="仿宋_GB2312" w:cs="Times New Roman"/>
          <w:bCs/>
          <w:sz w:val="30"/>
          <w:szCs w:val="30"/>
          <w:highlight w:val="none"/>
        </w:rPr>
      </w:pPr>
      <w:r>
        <w:rPr>
          <w:rFonts w:ascii="Times New Roman" w:hAnsi="Times New Roman" w:eastAsia="仿宋_GB2312" w:cs="Times New Roman"/>
          <w:bCs/>
          <w:sz w:val="30"/>
          <w:szCs w:val="30"/>
          <w:highlight w:val="none"/>
        </w:rPr>
        <w:t>2.</w:t>
      </w:r>
      <w:r>
        <w:rPr>
          <w:rFonts w:hint="eastAsia" w:ascii="Times New Roman" w:hAnsi="Times New Roman" w:eastAsia="仿宋_GB2312" w:cs="Times New Roman"/>
          <w:bCs/>
          <w:sz w:val="30"/>
          <w:szCs w:val="30"/>
          <w:highlight w:val="none"/>
        </w:rPr>
        <w:t>拟</w:t>
      </w:r>
      <w:r>
        <w:rPr>
          <w:rFonts w:ascii="Times New Roman" w:hAnsi="Times New Roman" w:eastAsia="仿宋_GB2312" w:cs="Times New Roman"/>
          <w:bCs/>
          <w:sz w:val="30"/>
          <w:szCs w:val="30"/>
          <w:highlight w:val="none"/>
        </w:rPr>
        <w:t>购入</w:t>
      </w:r>
      <w:r>
        <w:rPr>
          <w:rFonts w:hint="eastAsia" w:ascii="Times New Roman" w:hAnsi="Times New Roman" w:eastAsia="仿宋_GB2312" w:cs="Times New Roman"/>
          <w:bCs/>
          <w:sz w:val="30"/>
          <w:szCs w:val="30"/>
          <w:highlight w:val="none"/>
        </w:rPr>
        <w:t>不动产</w:t>
      </w:r>
      <w:r>
        <w:rPr>
          <w:rFonts w:ascii="Times New Roman" w:hAnsi="Times New Roman" w:eastAsia="仿宋_GB2312" w:cs="Times New Roman"/>
          <w:bCs/>
          <w:sz w:val="30"/>
          <w:szCs w:val="30"/>
          <w:highlight w:val="none"/>
        </w:rPr>
        <w:t>项目的原始权益人或者其同一控制下的关联方等未按</w:t>
      </w:r>
      <w:r>
        <w:rPr>
          <w:rFonts w:hint="eastAsia" w:ascii="Times New Roman" w:hAnsi="Times New Roman" w:eastAsia="仿宋_GB2312" w:cs="Times New Roman"/>
          <w:bCs/>
          <w:sz w:val="30"/>
          <w:szCs w:val="30"/>
          <w:highlight w:val="none"/>
        </w:rPr>
        <w:t>照</w:t>
      </w:r>
      <w:r>
        <w:rPr>
          <w:rFonts w:ascii="Times New Roman" w:hAnsi="Times New Roman" w:eastAsia="仿宋_GB2312" w:cs="Times New Roman"/>
          <w:bCs/>
          <w:sz w:val="30"/>
          <w:szCs w:val="30"/>
          <w:highlight w:val="none"/>
        </w:rPr>
        <w:t>规定参与战略配售；</w:t>
      </w:r>
    </w:p>
    <w:p w14:paraId="67D6C969">
      <w:pPr>
        <w:tabs>
          <w:tab w:val="left" w:pos="1701"/>
        </w:tabs>
        <w:spacing w:line="560" w:lineRule="exact"/>
        <w:ind w:firstLine="640"/>
        <w:rPr>
          <w:rFonts w:ascii="Times New Roman" w:hAnsi="Times New Roman" w:eastAsia="仿宋_GB2312" w:cs="Times New Roman"/>
          <w:bCs/>
          <w:sz w:val="30"/>
          <w:szCs w:val="30"/>
          <w:highlight w:val="none"/>
        </w:rPr>
      </w:pPr>
      <w:r>
        <w:rPr>
          <w:rFonts w:ascii="Times New Roman" w:hAnsi="Times New Roman" w:eastAsia="仿宋_GB2312" w:cs="Times New Roman"/>
          <w:bCs/>
          <w:sz w:val="30"/>
          <w:szCs w:val="30"/>
          <w:highlight w:val="none"/>
        </w:rPr>
        <w:t>3.导致基金扩募发售失败的其他情形。</w:t>
      </w:r>
    </w:p>
    <w:p w14:paraId="35F9A3C0">
      <w:pPr>
        <w:spacing w:line="560" w:lineRule="exact"/>
        <w:ind w:firstLine="640"/>
        <w:rPr>
          <w:rFonts w:ascii="Times New Roman" w:hAnsi="Times New Roman" w:eastAsia="黑体" w:cs="Times New Roman"/>
          <w:bCs/>
          <w:sz w:val="32"/>
          <w:szCs w:val="32"/>
          <w:highlight w:val="none"/>
        </w:rPr>
      </w:pPr>
      <w:r>
        <w:rPr>
          <w:rFonts w:ascii="Times New Roman" w:hAnsi="Times New Roman" w:eastAsia="仿宋_GB2312" w:cs="Times New Roman"/>
          <w:bCs/>
          <w:sz w:val="30"/>
          <w:szCs w:val="30"/>
          <w:highlight w:val="none"/>
        </w:rPr>
        <w:t>基金扩募发售失败的，基金管理人披露发行失败公告，应在募集期限届满后30日内返还投资</w:t>
      </w:r>
      <w:r>
        <w:rPr>
          <w:rFonts w:hint="eastAsia" w:ascii="Times New Roman" w:hAnsi="Times New Roman" w:eastAsia="仿宋_GB2312" w:cs="Times New Roman"/>
          <w:bCs/>
          <w:sz w:val="30"/>
          <w:szCs w:val="30"/>
          <w:highlight w:val="none"/>
        </w:rPr>
        <w:t>者</w:t>
      </w:r>
      <w:r>
        <w:rPr>
          <w:rFonts w:ascii="Times New Roman" w:hAnsi="Times New Roman" w:eastAsia="仿宋_GB2312" w:cs="Times New Roman"/>
          <w:bCs/>
          <w:sz w:val="30"/>
          <w:szCs w:val="30"/>
          <w:highlight w:val="none"/>
        </w:rPr>
        <w:t>已交</w:t>
      </w:r>
      <w:r>
        <w:rPr>
          <w:rFonts w:hint="eastAsia" w:ascii="Times New Roman" w:hAnsi="Times New Roman" w:eastAsia="仿宋_GB2312" w:cs="Times New Roman"/>
          <w:bCs/>
          <w:sz w:val="30"/>
          <w:szCs w:val="30"/>
          <w:highlight w:val="none"/>
        </w:rPr>
        <w:t>付</w:t>
      </w:r>
      <w:r>
        <w:rPr>
          <w:rFonts w:ascii="Times New Roman" w:hAnsi="Times New Roman" w:eastAsia="仿宋_GB2312" w:cs="Times New Roman"/>
          <w:bCs/>
          <w:sz w:val="30"/>
          <w:szCs w:val="30"/>
          <w:highlight w:val="none"/>
        </w:rPr>
        <w:t>的款项，并加计银行同期存款利息。</w:t>
      </w:r>
    </w:p>
    <w:p w14:paraId="450BD816">
      <w:pPr>
        <w:widowControl/>
        <w:spacing w:line="560" w:lineRule="exact"/>
        <w:jc w:val="center"/>
        <w:outlineLvl w:val="1"/>
        <w:rPr>
          <w:rFonts w:ascii="Times New Roman" w:hAnsi="Times New Roman" w:eastAsia="黑体" w:cs="Times New Roman"/>
          <w:bCs/>
          <w:sz w:val="30"/>
          <w:szCs w:val="30"/>
          <w:highlight w:val="none"/>
        </w:rPr>
      </w:pPr>
      <w:bookmarkStart w:id="703" w:name="_Toc21136"/>
      <w:bookmarkStart w:id="704" w:name="_Toc24113"/>
      <w:bookmarkStart w:id="705" w:name="_Toc8963"/>
      <w:bookmarkStart w:id="706" w:name="_Toc9896"/>
      <w:bookmarkStart w:id="707" w:name="_Toc32432"/>
      <w:bookmarkStart w:id="708" w:name="_Toc14612"/>
      <w:bookmarkStart w:id="709" w:name="_Toc5708"/>
      <w:bookmarkStart w:id="710" w:name="_Toc12815"/>
      <w:bookmarkStart w:id="711" w:name="_Toc24563"/>
    </w:p>
    <w:p w14:paraId="726DADF0">
      <w:pPr>
        <w:keepNext/>
        <w:widowControl/>
        <w:adjustRightInd w:val="0"/>
        <w:snapToGrid w:val="0"/>
        <w:spacing w:line="560" w:lineRule="exact"/>
        <w:jc w:val="center"/>
        <w:outlineLvl w:val="0"/>
        <w:rPr>
          <w:rFonts w:ascii="Times New Roman" w:hAnsi="Times New Roman" w:eastAsia="黑体" w:cs="Times New Roman"/>
          <w:b/>
          <w:bCs/>
          <w:sz w:val="30"/>
          <w:szCs w:val="30"/>
          <w:highlight w:val="none"/>
        </w:rPr>
      </w:pPr>
      <w:bookmarkStart w:id="712" w:name="_Toc11188"/>
      <w:r>
        <w:rPr>
          <w:rFonts w:ascii="Times New Roman" w:hAnsi="Times New Roman" w:eastAsia="黑体" w:cs="Times New Roman"/>
          <w:b/>
          <w:bCs/>
          <w:sz w:val="30"/>
          <w:szCs w:val="30"/>
          <w:highlight w:val="none"/>
        </w:rPr>
        <w:t>第四章 定向扩募</w:t>
      </w:r>
      <w:bookmarkEnd w:id="703"/>
      <w:bookmarkEnd w:id="704"/>
      <w:bookmarkEnd w:id="705"/>
      <w:bookmarkEnd w:id="706"/>
      <w:bookmarkEnd w:id="707"/>
      <w:bookmarkEnd w:id="708"/>
      <w:bookmarkEnd w:id="709"/>
      <w:bookmarkEnd w:id="710"/>
      <w:bookmarkEnd w:id="711"/>
      <w:bookmarkEnd w:id="712"/>
    </w:p>
    <w:p w14:paraId="74B6CA3E">
      <w:pPr>
        <w:widowControl/>
        <w:spacing w:line="560" w:lineRule="exact"/>
        <w:ind w:firstLine="640"/>
        <w:rPr>
          <w:rFonts w:ascii="Times New Roman" w:hAnsi="Times New Roman" w:eastAsia="仿宋_GB2312" w:cs="Times New Roman"/>
          <w:bCs/>
          <w:sz w:val="30"/>
          <w:szCs w:val="30"/>
          <w:highlight w:val="none"/>
        </w:rPr>
      </w:pPr>
    </w:p>
    <w:p w14:paraId="2379A8AF">
      <w:pPr>
        <w:widowControl/>
        <w:spacing w:line="560" w:lineRule="exact"/>
        <w:ind w:firstLine="640"/>
        <w:outlineLvl w:val="1"/>
        <w:rPr>
          <w:rFonts w:ascii="Times New Roman" w:hAnsi="Times New Roman" w:eastAsia="黑体" w:cs="Times New Roman"/>
          <w:b/>
          <w:bCs w:val="0"/>
          <w:sz w:val="30"/>
          <w:szCs w:val="30"/>
          <w:highlight w:val="none"/>
        </w:rPr>
      </w:pPr>
      <w:bookmarkStart w:id="713" w:name="_Toc15433"/>
      <w:bookmarkStart w:id="714" w:name="_Toc31379"/>
      <w:bookmarkStart w:id="715" w:name="_Toc20623"/>
      <w:bookmarkStart w:id="716" w:name="_Toc14499"/>
      <w:bookmarkStart w:id="717" w:name="_Toc3445"/>
      <w:bookmarkStart w:id="718" w:name="_Toc763"/>
      <w:bookmarkStart w:id="719" w:name="_Toc17100"/>
      <w:bookmarkStart w:id="720" w:name="_Toc3201"/>
      <w:bookmarkStart w:id="721" w:name="_Toc3836"/>
      <w:bookmarkStart w:id="722" w:name="_Toc32496"/>
      <w:r>
        <w:rPr>
          <w:rFonts w:ascii="Times New Roman" w:hAnsi="Times New Roman" w:eastAsia="黑体" w:cs="Times New Roman"/>
          <w:b/>
          <w:bCs w:val="0"/>
          <w:sz w:val="30"/>
          <w:szCs w:val="30"/>
          <w:highlight w:val="none"/>
        </w:rPr>
        <w:t>一、认购</w:t>
      </w:r>
      <w:bookmarkEnd w:id="713"/>
      <w:bookmarkEnd w:id="714"/>
      <w:bookmarkEnd w:id="715"/>
      <w:bookmarkEnd w:id="716"/>
      <w:bookmarkEnd w:id="717"/>
      <w:bookmarkEnd w:id="718"/>
      <w:bookmarkEnd w:id="719"/>
      <w:bookmarkEnd w:id="720"/>
      <w:bookmarkEnd w:id="721"/>
      <w:bookmarkEnd w:id="722"/>
    </w:p>
    <w:p w14:paraId="0D48F44E">
      <w:pPr>
        <w:widowControl/>
        <w:numPr>
          <w:ilvl w:val="255"/>
          <w:numId w:val="0"/>
        </w:numPr>
        <w:spacing w:line="560" w:lineRule="exact"/>
        <w:ind w:firstLine="602" w:firstLineChars="200"/>
        <w:rPr>
          <w:rFonts w:ascii="Times New Roman" w:hAnsi="Times New Roman" w:eastAsia="仿宋_GB2312" w:cs="Times New Roman"/>
          <w:b/>
          <w:sz w:val="30"/>
          <w:szCs w:val="30"/>
          <w:highlight w:val="none"/>
        </w:rPr>
      </w:pPr>
      <w:bookmarkStart w:id="723" w:name="_Toc144903175"/>
      <w:r>
        <w:rPr>
          <w:rFonts w:ascii="Times New Roman" w:hAnsi="Times New Roman" w:eastAsia="仿宋_GB2312" w:cs="Times New Roman"/>
          <w:b/>
          <w:sz w:val="30"/>
          <w:szCs w:val="30"/>
          <w:highlight w:val="none"/>
        </w:rPr>
        <w:t>名称释义：</w:t>
      </w:r>
    </w:p>
    <w:p w14:paraId="42D106B0">
      <w:pPr>
        <w:widowControl/>
        <w:numPr>
          <w:ilvl w:val="255"/>
          <w:numId w:val="0"/>
        </w:numPr>
        <w:spacing w:line="560" w:lineRule="exact"/>
        <w:ind w:firstLine="602" w:firstLineChars="200"/>
        <w:rPr>
          <w:rFonts w:ascii="Times New Roman" w:hAnsi="Times New Roman" w:eastAsia="仿宋_GB2312" w:cs="Times New Roman"/>
          <w:b/>
          <w:sz w:val="30"/>
          <w:szCs w:val="30"/>
          <w:highlight w:val="none"/>
        </w:rPr>
      </w:pPr>
      <w:r>
        <w:rPr>
          <w:rFonts w:ascii="Times New Roman" w:hAnsi="Times New Roman" w:eastAsia="仿宋_GB2312" w:cs="Times New Roman"/>
          <w:b/>
          <w:sz w:val="30"/>
          <w:szCs w:val="30"/>
          <w:highlight w:val="none"/>
        </w:rPr>
        <w:t>T日—认购起始日</w:t>
      </w:r>
    </w:p>
    <w:p w14:paraId="67FA6A2C">
      <w:pPr>
        <w:widowControl/>
        <w:spacing w:line="560" w:lineRule="exact"/>
        <w:ind w:firstLine="640"/>
        <w:rPr>
          <w:rFonts w:ascii="Times New Roman" w:hAnsi="Times New Roman" w:eastAsia="仿宋_GB2312" w:cs="Times New Roman"/>
          <w:b/>
          <w:sz w:val="30"/>
          <w:szCs w:val="30"/>
          <w:highlight w:val="none"/>
        </w:rPr>
      </w:pPr>
      <w:r>
        <w:rPr>
          <w:rFonts w:ascii="Times New Roman" w:hAnsi="Times New Roman" w:eastAsia="仿宋_GB2312" w:cs="Times New Roman"/>
          <w:b/>
          <w:sz w:val="30"/>
          <w:szCs w:val="30"/>
          <w:highlight w:val="none"/>
        </w:rPr>
        <w:t>M日—认购结束日</w:t>
      </w:r>
    </w:p>
    <w:p w14:paraId="0CC80AD4">
      <w:pPr>
        <w:ind w:firstLine="602" w:firstLineChars="200"/>
        <w:rPr>
          <w:rFonts w:ascii="Times New Roman" w:hAnsi="Times New Roman" w:eastAsia="仿宋_GB2312" w:cs="Times New Roman"/>
          <w:b/>
          <w:sz w:val="30"/>
          <w:szCs w:val="30"/>
          <w:highlight w:val="none"/>
        </w:rPr>
      </w:pPr>
      <w:bookmarkStart w:id="724" w:name="_Toc2720"/>
      <w:bookmarkStart w:id="725" w:name="_Toc23642"/>
      <w:r>
        <w:rPr>
          <w:rFonts w:ascii="Times New Roman" w:hAnsi="Times New Roman" w:eastAsia="仿宋_GB2312" w:cs="Times New Roman"/>
          <w:b/>
          <w:sz w:val="30"/>
          <w:szCs w:val="30"/>
          <w:highlight w:val="none"/>
        </w:rPr>
        <w:t>S日—基金合同更新生效日</w:t>
      </w:r>
      <w:bookmarkEnd w:id="724"/>
      <w:bookmarkEnd w:id="725"/>
    </w:p>
    <w:p w14:paraId="71542F9E">
      <w:pPr>
        <w:ind w:firstLine="602" w:firstLineChars="200"/>
        <w:rPr>
          <w:rFonts w:ascii="Times New Roman" w:hAnsi="Times New Roman" w:cs="Times New Roman"/>
          <w:sz w:val="30"/>
          <w:szCs w:val="30"/>
          <w:highlight w:val="none"/>
        </w:rPr>
      </w:pPr>
      <w:r>
        <w:rPr>
          <w:rFonts w:ascii="Times New Roman" w:hAnsi="Times New Roman" w:eastAsia="仿宋_GB2312" w:cs="Times New Roman"/>
          <w:b/>
          <w:sz w:val="30"/>
          <w:szCs w:val="30"/>
          <w:highlight w:val="none"/>
        </w:rPr>
        <w:t>Y日—会计师事务所出具验资报告日</w:t>
      </w:r>
    </w:p>
    <w:p w14:paraId="45B3C0FA">
      <w:pPr>
        <w:pStyle w:val="4"/>
        <w:keepNext w:val="0"/>
        <w:keepLines w:val="0"/>
        <w:spacing w:before="0" w:after="0" w:line="560" w:lineRule="exact"/>
        <w:ind w:firstLine="602" w:firstLineChars="200"/>
        <w:rPr>
          <w:rFonts w:eastAsia="楷体"/>
          <w:bCs w:val="0"/>
          <w:sz w:val="30"/>
          <w:szCs w:val="30"/>
          <w:highlight w:val="none"/>
        </w:rPr>
      </w:pPr>
      <w:bookmarkStart w:id="726" w:name="_Toc29262"/>
      <w:bookmarkStart w:id="727" w:name="_Toc10385"/>
      <w:bookmarkStart w:id="728" w:name="_Toc21117"/>
      <w:bookmarkStart w:id="729" w:name="_Toc1347"/>
      <w:bookmarkStart w:id="730" w:name="_Toc29442"/>
      <w:r>
        <w:rPr>
          <w:rFonts w:eastAsia="楷体"/>
          <w:bCs w:val="0"/>
          <w:sz w:val="30"/>
          <w:szCs w:val="30"/>
          <w:highlight w:val="none"/>
        </w:rPr>
        <w:t>（一）扩募发售报备</w:t>
      </w:r>
      <w:bookmarkEnd w:id="723"/>
      <w:bookmarkEnd w:id="726"/>
      <w:bookmarkEnd w:id="727"/>
      <w:bookmarkEnd w:id="728"/>
      <w:bookmarkEnd w:id="729"/>
      <w:bookmarkEnd w:id="730"/>
    </w:p>
    <w:p w14:paraId="1BFF04F9">
      <w:pPr>
        <w:widowControl/>
        <w:numPr>
          <w:ilvl w:val="0"/>
          <w:numId w:val="1"/>
        </w:numPr>
        <w:spacing w:line="560" w:lineRule="exact"/>
        <w:ind w:left="197" w:firstLine="643"/>
        <w:rPr>
          <w:rFonts w:ascii="Times New Roman" w:hAnsi="Times New Roman" w:eastAsia="仿宋_GB2312" w:cs="Times New Roman"/>
          <w:b/>
          <w:sz w:val="30"/>
          <w:szCs w:val="30"/>
          <w:highlight w:val="none"/>
        </w:rPr>
      </w:pPr>
      <w:r>
        <w:rPr>
          <w:rFonts w:ascii="Times New Roman" w:hAnsi="Times New Roman" w:eastAsia="仿宋_GB2312" w:cs="Times New Roman"/>
          <w:b/>
          <w:sz w:val="30"/>
          <w:szCs w:val="30"/>
          <w:highlight w:val="none"/>
        </w:rPr>
        <w:t>T-8日（含）前</w:t>
      </w:r>
    </w:p>
    <w:p w14:paraId="216E893E">
      <w:pPr>
        <w:widowControl/>
        <w:snapToGrid w:val="0"/>
        <w:spacing w:line="560" w:lineRule="exact"/>
        <w:ind w:firstLine="640"/>
        <w:rPr>
          <w:rFonts w:ascii="Times New Roman" w:hAnsi="Times New Roman" w:eastAsia="仿宋_GB2312" w:cs="Times New Roman"/>
          <w:bCs/>
          <w:sz w:val="30"/>
          <w:szCs w:val="30"/>
          <w:highlight w:val="none"/>
        </w:rPr>
      </w:pPr>
      <w:r>
        <w:rPr>
          <w:rFonts w:ascii="Times New Roman" w:hAnsi="Times New Roman" w:eastAsia="仿宋_GB2312" w:cs="Times New Roman"/>
          <w:bCs/>
          <w:sz w:val="30"/>
          <w:szCs w:val="30"/>
          <w:highlight w:val="none"/>
        </w:rPr>
        <w:t>基金管理人收到本所关于变更申请的无异议函和中国证监会关于基金变更注册的批复，且基金份额持有人大会作出拟购入</w:t>
      </w:r>
      <w:r>
        <w:rPr>
          <w:rFonts w:hint="eastAsia" w:ascii="Times New Roman" w:hAnsi="Times New Roman" w:eastAsia="仿宋_GB2312" w:cs="Times New Roman"/>
          <w:bCs/>
          <w:sz w:val="30"/>
          <w:szCs w:val="30"/>
          <w:highlight w:val="none"/>
        </w:rPr>
        <w:t>不动产</w:t>
      </w:r>
      <w:r>
        <w:rPr>
          <w:rFonts w:ascii="Times New Roman" w:hAnsi="Times New Roman" w:eastAsia="仿宋_GB2312" w:cs="Times New Roman"/>
          <w:bCs/>
          <w:sz w:val="30"/>
          <w:szCs w:val="30"/>
          <w:highlight w:val="none"/>
        </w:rPr>
        <w:t>项目决议后，基金管理人通过本所业务管理系统平台提交下列文件：</w:t>
      </w:r>
    </w:p>
    <w:p w14:paraId="2893DFA0">
      <w:pPr>
        <w:widowControl/>
        <w:snapToGrid w:val="0"/>
        <w:spacing w:line="560" w:lineRule="exact"/>
        <w:ind w:firstLine="600" w:firstLineChars="200"/>
        <w:rPr>
          <w:rFonts w:ascii="Times New Roman" w:hAnsi="Times New Roman" w:eastAsia="仿宋_GB2312" w:cs="Times New Roman"/>
          <w:bCs/>
          <w:sz w:val="30"/>
          <w:szCs w:val="30"/>
          <w:highlight w:val="none"/>
        </w:rPr>
      </w:pPr>
      <w:r>
        <w:rPr>
          <w:rFonts w:ascii="Times New Roman" w:hAnsi="Times New Roman" w:eastAsia="仿宋_GB2312" w:cs="Times New Roman"/>
          <w:bCs/>
          <w:sz w:val="30"/>
          <w:szCs w:val="30"/>
          <w:highlight w:val="none"/>
        </w:rPr>
        <w:t>1.发售方案（基金管理人、财务顾问（如有）盖章扫描件）。</w:t>
      </w:r>
    </w:p>
    <w:p w14:paraId="4BF6B745">
      <w:pPr>
        <w:autoSpaceDE w:val="0"/>
        <w:autoSpaceDN w:val="0"/>
        <w:adjustRightInd w:val="0"/>
        <w:snapToGrid w:val="0"/>
        <w:spacing w:line="560" w:lineRule="exact"/>
        <w:ind w:firstLine="600" w:firstLineChars="200"/>
        <w:jc w:val="left"/>
        <w:rPr>
          <w:rFonts w:ascii="Times New Roman" w:hAnsi="Times New Roman" w:eastAsia="仿宋_GB2312" w:cs="Times New Roman"/>
          <w:sz w:val="30"/>
          <w:szCs w:val="30"/>
          <w:highlight w:val="none"/>
        </w:rPr>
      </w:pPr>
      <w:r>
        <w:rPr>
          <w:rFonts w:ascii="Times New Roman" w:hAnsi="Times New Roman" w:eastAsia="仿宋_GB2312" w:cs="Times New Roman"/>
          <w:sz w:val="30"/>
          <w:szCs w:val="30"/>
          <w:highlight w:val="none"/>
        </w:rPr>
        <w:t>发售方案应包括：</w:t>
      </w:r>
    </w:p>
    <w:p w14:paraId="52E1AA1B">
      <w:pPr>
        <w:autoSpaceDE w:val="0"/>
        <w:autoSpaceDN w:val="0"/>
        <w:adjustRightInd w:val="0"/>
        <w:snapToGrid w:val="0"/>
        <w:spacing w:line="560" w:lineRule="exact"/>
        <w:ind w:firstLine="600" w:firstLineChars="200"/>
        <w:jc w:val="left"/>
        <w:rPr>
          <w:rFonts w:ascii="Times New Roman" w:hAnsi="Times New Roman" w:eastAsia="仿宋_GB2312" w:cs="Times New Roman"/>
          <w:sz w:val="30"/>
          <w:szCs w:val="30"/>
          <w:highlight w:val="none"/>
        </w:rPr>
      </w:pPr>
      <w:r>
        <w:rPr>
          <w:rFonts w:ascii="Times New Roman" w:hAnsi="Times New Roman" w:eastAsia="仿宋_GB2312" w:cs="Times New Roman"/>
          <w:sz w:val="30"/>
          <w:szCs w:val="30"/>
          <w:highlight w:val="none"/>
        </w:rPr>
        <w:t>（1）拟购入</w:t>
      </w:r>
      <w:r>
        <w:rPr>
          <w:rFonts w:hint="eastAsia" w:ascii="Times New Roman" w:hAnsi="Times New Roman" w:eastAsia="仿宋_GB2312" w:cs="Times New Roman"/>
          <w:sz w:val="30"/>
          <w:szCs w:val="30"/>
          <w:highlight w:val="none"/>
        </w:rPr>
        <w:t>不动产</w:t>
      </w:r>
      <w:r>
        <w:rPr>
          <w:rFonts w:ascii="Times New Roman" w:hAnsi="Times New Roman" w:eastAsia="仿宋_GB2312" w:cs="Times New Roman"/>
          <w:sz w:val="30"/>
          <w:szCs w:val="30"/>
          <w:highlight w:val="none"/>
        </w:rPr>
        <w:t>项目基本情况</w:t>
      </w:r>
      <w:r>
        <w:rPr>
          <w:rFonts w:hint="eastAsia" w:ascii="Times New Roman" w:hAnsi="Times New Roman" w:eastAsia="仿宋_GB2312" w:cs="Times New Roman"/>
          <w:sz w:val="30"/>
          <w:szCs w:val="30"/>
          <w:highlight w:val="none"/>
        </w:rPr>
        <w:t>；</w:t>
      </w:r>
    </w:p>
    <w:p w14:paraId="48A03508">
      <w:pPr>
        <w:autoSpaceDE w:val="0"/>
        <w:autoSpaceDN w:val="0"/>
        <w:adjustRightInd w:val="0"/>
        <w:snapToGrid w:val="0"/>
        <w:spacing w:line="560" w:lineRule="exact"/>
        <w:ind w:firstLine="600" w:firstLineChars="200"/>
        <w:jc w:val="left"/>
        <w:rPr>
          <w:rFonts w:ascii="Times New Roman" w:hAnsi="Times New Roman" w:eastAsia="仿宋_GB2312" w:cs="Times New Roman"/>
          <w:sz w:val="30"/>
          <w:szCs w:val="30"/>
          <w:highlight w:val="none"/>
        </w:rPr>
      </w:pPr>
      <w:r>
        <w:rPr>
          <w:rFonts w:ascii="Times New Roman" w:hAnsi="Times New Roman" w:eastAsia="仿宋_GB2312" w:cs="Times New Roman"/>
          <w:sz w:val="30"/>
          <w:szCs w:val="30"/>
          <w:highlight w:val="none"/>
        </w:rPr>
        <w:t>（2）本次发行基本情况</w:t>
      </w:r>
      <w:r>
        <w:rPr>
          <w:rFonts w:hint="eastAsia" w:ascii="Times New Roman" w:hAnsi="Times New Roman" w:eastAsia="仿宋_GB2312" w:cs="Times New Roman"/>
          <w:sz w:val="30"/>
          <w:szCs w:val="30"/>
          <w:highlight w:val="none"/>
        </w:rPr>
        <w:t>，</w:t>
      </w:r>
      <w:r>
        <w:rPr>
          <w:rFonts w:ascii="Times New Roman" w:hAnsi="Times New Roman" w:eastAsia="仿宋_GB2312" w:cs="Times New Roman"/>
          <w:sz w:val="30"/>
          <w:szCs w:val="30"/>
          <w:highlight w:val="none"/>
        </w:rPr>
        <w:t>包括发行份额、发行价格或定价原则、发行对象、发行时间安排、认购配售缴款安排、追加认购安排（如有）、中止发行安排、发行失败安排、上市安排、限售情况等。针对报送拟发送认购邀请书对象名单后、启动发行前，或者发送认购邀请书后、竞价开始前，新增认购对象的情形，发行方案可以约定相应处理原则和程序等。</w:t>
      </w:r>
    </w:p>
    <w:p w14:paraId="5D07A948">
      <w:pPr>
        <w:autoSpaceDE w:val="0"/>
        <w:autoSpaceDN w:val="0"/>
        <w:adjustRightInd w:val="0"/>
        <w:snapToGrid w:val="0"/>
        <w:spacing w:line="560" w:lineRule="exact"/>
        <w:ind w:firstLine="600" w:firstLineChars="200"/>
        <w:jc w:val="left"/>
        <w:rPr>
          <w:rFonts w:ascii="Times New Roman" w:hAnsi="Times New Roman" w:eastAsia="仿宋_GB2312" w:cs="Times New Roman"/>
          <w:sz w:val="30"/>
          <w:szCs w:val="30"/>
          <w:highlight w:val="none"/>
        </w:rPr>
      </w:pPr>
      <w:r>
        <w:rPr>
          <w:rFonts w:ascii="Times New Roman" w:hAnsi="Times New Roman" w:eastAsia="仿宋_GB2312" w:cs="Times New Roman"/>
          <w:sz w:val="30"/>
          <w:szCs w:val="30"/>
          <w:highlight w:val="none"/>
        </w:rPr>
        <w:t>基金份额持有人大会决议确定发售对象的，需在发售方案中披露已确定发行对象的基本情况、认购数量或金额、已签署的附生效条件基金份额认购合同摘要</w:t>
      </w:r>
      <w:r>
        <w:rPr>
          <w:rFonts w:hint="eastAsia" w:ascii="Times New Roman" w:hAnsi="Times New Roman" w:eastAsia="仿宋_GB2312" w:cs="Times New Roman"/>
          <w:sz w:val="30"/>
          <w:szCs w:val="30"/>
          <w:highlight w:val="none"/>
        </w:rPr>
        <w:t>；</w:t>
      </w:r>
    </w:p>
    <w:p w14:paraId="40BDD98C">
      <w:pPr>
        <w:autoSpaceDE w:val="0"/>
        <w:autoSpaceDN w:val="0"/>
        <w:adjustRightInd w:val="0"/>
        <w:snapToGrid w:val="0"/>
        <w:spacing w:line="560" w:lineRule="exact"/>
        <w:ind w:firstLine="600" w:firstLineChars="200"/>
        <w:jc w:val="left"/>
        <w:rPr>
          <w:rFonts w:ascii="Times New Roman" w:hAnsi="Times New Roman" w:eastAsia="仿宋_GB2312" w:cs="Times New Roman"/>
          <w:sz w:val="30"/>
          <w:szCs w:val="30"/>
          <w:highlight w:val="none"/>
        </w:rPr>
      </w:pPr>
      <w:r>
        <w:rPr>
          <w:rFonts w:ascii="Times New Roman" w:hAnsi="Times New Roman" w:eastAsia="仿宋_GB2312" w:cs="Times New Roman"/>
          <w:sz w:val="30"/>
          <w:szCs w:val="30"/>
          <w:highlight w:val="none"/>
        </w:rPr>
        <w:t>（3）发行准备工作，如竞价安排、投资者适当性要求等</w:t>
      </w:r>
      <w:r>
        <w:rPr>
          <w:rFonts w:hint="eastAsia" w:ascii="Times New Roman" w:hAnsi="Times New Roman" w:eastAsia="仿宋_GB2312" w:cs="Times New Roman"/>
          <w:sz w:val="30"/>
          <w:szCs w:val="30"/>
          <w:highlight w:val="none"/>
        </w:rPr>
        <w:t>；</w:t>
      </w:r>
    </w:p>
    <w:p w14:paraId="4E4FACD8">
      <w:pPr>
        <w:autoSpaceDE w:val="0"/>
        <w:autoSpaceDN w:val="0"/>
        <w:adjustRightInd w:val="0"/>
        <w:snapToGrid w:val="0"/>
        <w:spacing w:line="560" w:lineRule="exact"/>
        <w:ind w:firstLine="600" w:firstLineChars="200"/>
        <w:jc w:val="left"/>
        <w:rPr>
          <w:rFonts w:ascii="Times New Roman" w:hAnsi="Times New Roman" w:eastAsia="仿宋_GB2312" w:cs="Times New Roman"/>
          <w:sz w:val="30"/>
          <w:szCs w:val="30"/>
          <w:highlight w:val="none"/>
        </w:rPr>
      </w:pPr>
      <w:r>
        <w:rPr>
          <w:rFonts w:ascii="Times New Roman" w:hAnsi="Times New Roman" w:eastAsia="仿宋_GB2312" w:cs="Times New Roman"/>
          <w:sz w:val="30"/>
          <w:szCs w:val="30"/>
          <w:highlight w:val="none"/>
        </w:rPr>
        <w:t>（4）发行可能遇到的问题和拟采取的措施</w:t>
      </w:r>
      <w:r>
        <w:rPr>
          <w:rFonts w:hint="eastAsia" w:ascii="Times New Roman" w:hAnsi="Times New Roman" w:eastAsia="仿宋_GB2312" w:cs="Times New Roman"/>
          <w:sz w:val="30"/>
          <w:szCs w:val="30"/>
          <w:highlight w:val="none"/>
        </w:rPr>
        <w:t>；</w:t>
      </w:r>
    </w:p>
    <w:p w14:paraId="55C450D3">
      <w:pPr>
        <w:autoSpaceDE w:val="0"/>
        <w:autoSpaceDN w:val="0"/>
        <w:adjustRightInd w:val="0"/>
        <w:snapToGrid w:val="0"/>
        <w:spacing w:line="560" w:lineRule="exact"/>
        <w:ind w:firstLine="600" w:firstLineChars="200"/>
        <w:jc w:val="left"/>
        <w:rPr>
          <w:rFonts w:ascii="Times New Roman" w:hAnsi="Times New Roman" w:eastAsia="仿宋_GB2312" w:cs="Times New Roman"/>
          <w:sz w:val="30"/>
          <w:szCs w:val="30"/>
          <w:highlight w:val="none"/>
        </w:rPr>
      </w:pPr>
      <w:r>
        <w:rPr>
          <w:rFonts w:ascii="Times New Roman" w:hAnsi="Times New Roman" w:eastAsia="仿宋_GB2312" w:cs="Times New Roman"/>
          <w:sz w:val="30"/>
          <w:szCs w:val="30"/>
          <w:highlight w:val="none"/>
        </w:rPr>
        <w:t>（5）根据法律法规、业务规则等需要说明的其他事项，以及基金管理人、财务顾问（如有）认为需要说明的相关事项</w:t>
      </w:r>
      <w:r>
        <w:rPr>
          <w:rFonts w:hint="eastAsia" w:ascii="Times New Roman" w:hAnsi="Times New Roman" w:eastAsia="仿宋_GB2312" w:cs="Times New Roman"/>
          <w:sz w:val="30"/>
          <w:szCs w:val="30"/>
          <w:highlight w:val="none"/>
        </w:rPr>
        <w:t>；</w:t>
      </w:r>
    </w:p>
    <w:p w14:paraId="675D8C9C">
      <w:pPr>
        <w:numPr>
          <w:ilvl w:val="0"/>
          <w:numId w:val="0"/>
        </w:numPr>
        <w:autoSpaceDE w:val="0"/>
        <w:autoSpaceDN w:val="0"/>
        <w:adjustRightInd w:val="0"/>
        <w:snapToGrid w:val="0"/>
        <w:spacing w:line="560" w:lineRule="exact"/>
        <w:ind w:firstLine="600" w:firstLineChars="200"/>
        <w:jc w:val="left"/>
        <w:rPr>
          <w:rFonts w:ascii="Times New Roman" w:hAnsi="Times New Roman" w:eastAsia="仿宋_GB2312" w:cs="Times New Roman"/>
          <w:sz w:val="30"/>
          <w:szCs w:val="30"/>
          <w:highlight w:val="none"/>
        </w:rPr>
      </w:pPr>
      <w:r>
        <w:rPr>
          <w:rFonts w:ascii="Times New Roman" w:hAnsi="Times New Roman" w:eastAsia="仿宋_GB2312" w:cs="Times New Roman"/>
          <w:kern w:val="2"/>
          <w:sz w:val="30"/>
          <w:szCs w:val="30"/>
          <w:lang w:val="en-US" w:eastAsia="zh-CN" w:bidi="ar-SA"/>
        </w:rPr>
        <w:t>（6）</w:t>
      </w:r>
      <w:r>
        <w:rPr>
          <w:rFonts w:ascii="Times New Roman" w:hAnsi="Times New Roman" w:eastAsia="仿宋_GB2312" w:cs="Times New Roman"/>
          <w:sz w:val="30"/>
          <w:szCs w:val="30"/>
          <w:highlight w:val="none"/>
        </w:rPr>
        <w:t>基金管理人及财务顾问（如有）联系方式。</w:t>
      </w:r>
    </w:p>
    <w:p w14:paraId="0AE83456">
      <w:pPr>
        <w:widowControl/>
        <w:snapToGrid w:val="0"/>
        <w:spacing w:line="560" w:lineRule="exact"/>
        <w:ind w:firstLine="600" w:firstLineChars="200"/>
        <w:rPr>
          <w:rFonts w:ascii="Times New Roman" w:hAnsi="Times New Roman" w:eastAsia="仿宋_GB2312" w:cs="Times New Roman"/>
          <w:bCs/>
          <w:sz w:val="30"/>
          <w:szCs w:val="30"/>
          <w:highlight w:val="none"/>
        </w:rPr>
      </w:pPr>
      <w:r>
        <w:rPr>
          <w:rFonts w:ascii="Times New Roman" w:hAnsi="Times New Roman" w:eastAsia="仿宋_GB2312" w:cs="Times New Roman"/>
          <w:bCs/>
          <w:sz w:val="30"/>
          <w:szCs w:val="30"/>
          <w:highlight w:val="none"/>
        </w:rPr>
        <w:t>2.中国证监会准予基金变更注册的批文（扫描件）。</w:t>
      </w:r>
    </w:p>
    <w:p w14:paraId="092C7DCB">
      <w:pPr>
        <w:numPr>
          <w:ilvl w:val="255"/>
          <w:numId w:val="0"/>
        </w:numPr>
        <w:autoSpaceDE w:val="0"/>
        <w:autoSpaceDN w:val="0"/>
        <w:adjustRightInd w:val="0"/>
        <w:snapToGrid w:val="0"/>
        <w:spacing w:line="560" w:lineRule="exact"/>
        <w:ind w:firstLine="600" w:firstLineChars="200"/>
        <w:jc w:val="left"/>
        <w:rPr>
          <w:rFonts w:ascii="Times New Roman" w:hAnsi="Times New Roman" w:eastAsia="仿宋_GB2312" w:cs="Times New Roman"/>
          <w:sz w:val="30"/>
          <w:szCs w:val="30"/>
          <w:highlight w:val="none"/>
        </w:rPr>
      </w:pPr>
      <w:r>
        <w:rPr>
          <w:rFonts w:ascii="Times New Roman" w:hAnsi="Times New Roman" w:eastAsia="仿宋_GB2312" w:cs="Times New Roman"/>
          <w:sz w:val="30"/>
          <w:szCs w:val="30"/>
          <w:highlight w:val="none"/>
        </w:rPr>
        <w:t>3.认购邀请书（基金管理人、财务顾问（如有）盖章扫描件）。</w:t>
      </w:r>
    </w:p>
    <w:p w14:paraId="30E9B4DC">
      <w:pPr>
        <w:numPr>
          <w:ilvl w:val="255"/>
          <w:numId w:val="0"/>
        </w:numPr>
        <w:autoSpaceDE w:val="0"/>
        <w:autoSpaceDN w:val="0"/>
        <w:adjustRightInd w:val="0"/>
        <w:snapToGrid w:val="0"/>
        <w:spacing w:line="560" w:lineRule="exact"/>
        <w:ind w:firstLine="600" w:firstLineChars="200"/>
        <w:jc w:val="left"/>
        <w:rPr>
          <w:rFonts w:ascii="Times New Roman" w:hAnsi="Times New Roman" w:eastAsia="仿宋_GB2312" w:cs="Times New Roman"/>
          <w:sz w:val="30"/>
          <w:szCs w:val="30"/>
          <w:highlight w:val="none"/>
        </w:rPr>
      </w:pPr>
      <w:r>
        <w:rPr>
          <w:rFonts w:ascii="Times New Roman" w:hAnsi="Times New Roman" w:eastAsia="仿宋_GB2312" w:cs="Times New Roman"/>
          <w:sz w:val="30"/>
          <w:szCs w:val="30"/>
          <w:highlight w:val="none"/>
        </w:rPr>
        <w:t>4.拟发送认购邀请书名单（基金管理人、财务顾问（如有）盖章扫描件）。</w:t>
      </w:r>
    </w:p>
    <w:p w14:paraId="10CC3983">
      <w:pPr>
        <w:numPr>
          <w:ilvl w:val="255"/>
          <w:numId w:val="0"/>
        </w:numPr>
        <w:autoSpaceDE w:val="0"/>
        <w:autoSpaceDN w:val="0"/>
        <w:adjustRightInd w:val="0"/>
        <w:snapToGrid w:val="0"/>
        <w:spacing w:line="560" w:lineRule="exact"/>
        <w:ind w:firstLine="600" w:firstLineChars="200"/>
        <w:rPr>
          <w:rFonts w:ascii="Times New Roman" w:hAnsi="Times New Roman" w:eastAsia="仿宋_GB2312" w:cs="Times New Roman"/>
          <w:sz w:val="30"/>
          <w:szCs w:val="30"/>
          <w:highlight w:val="none"/>
        </w:rPr>
      </w:pPr>
      <w:r>
        <w:rPr>
          <w:rFonts w:ascii="Times New Roman" w:hAnsi="Times New Roman" w:eastAsia="仿宋_GB2312" w:cs="Times New Roman"/>
          <w:sz w:val="30"/>
          <w:szCs w:val="30"/>
          <w:highlight w:val="none"/>
        </w:rPr>
        <w:t>5.发售上市期间报送文件的相关承诺（基金管理人、财务顾问（如有）盖章扫描件），承诺内容应包括发售上市期间向本所报送的文件与向投资者提供的纸质文件和电子文件内容一致，与经本所审核、对外披露的公告内容一致。全套申请材料不存在虚假记载、误导性陈述或重大遗漏，基金管理人、财务顾问（如有）对材料的真实性、准确性和完整性承担相应法律责任。</w:t>
      </w:r>
    </w:p>
    <w:p w14:paraId="05C7050D">
      <w:pPr>
        <w:numPr>
          <w:ilvl w:val="255"/>
          <w:numId w:val="0"/>
        </w:numPr>
        <w:autoSpaceDE w:val="0"/>
        <w:autoSpaceDN w:val="0"/>
        <w:adjustRightInd w:val="0"/>
        <w:snapToGrid w:val="0"/>
        <w:spacing w:line="560" w:lineRule="exact"/>
        <w:ind w:firstLine="600" w:firstLineChars="200"/>
        <w:jc w:val="left"/>
        <w:rPr>
          <w:rFonts w:ascii="Times New Roman" w:hAnsi="Times New Roman" w:eastAsia="仿宋_GB2312" w:cs="Times New Roman"/>
          <w:sz w:val="30"/>
          <w:szCs w:val="30"/>
          <w:highlight w:val="none"/>
        </w:rPr>
      </w:pPr>
      <w:r>
        <w:rPr>
          <w:rFonts w:ascii="Times New Roman" w:hAnsi="Times New Roman" w:eastAsia="仿宋_GB2312" w:cs="Times New Roman"/>
          <w:sz w:val="30"/>
          <w:szCs w:val="30"/>
          <w:highlight w:val="none"/>
        </w:rPr>
        <w:t>6.其他文件（如有）。</w:t>
      </w:r>
    </w:p>
    <w:p w14:paraId="3F196883">
      <w:pPr>
        <w:widowControl/>
        <w:snapToGrid w:val="0"/>
        <w:spacing w:line="560" w:lineRule="exact"/>
        <w:ind w:firstLine="640"/>
        <w:rPr>
          <w:rFonts w:ascii="Times New Roman" w:hAnsi="Times New Roman" w:eastAsia="仿宋_GB2312" w:cs="Times New Roman"/>
          <w:sz w:val="30"/>
          <w:szCs w:val="30"/>
          <w:highlight w:val="none"/>
        </w:rPr>
      </w:pPr>
      <w:r>
        <w:rPr>
          <w:rFonts w:ascii="Times New Roman" w:hAnsi="Times New Roman" w:eastAsia="仿宋_GB2312" w:cs="Times New Roman"/>
          <w:bCs/>
          <w:sz w:val="30"/>
          <w:szCs w:val="30"/>
          <w:highlight w:val="none"/>
        </w:rPr>
        <w:t>本所自收到基金管理人的申请材料之日起5个工作日内，对申请材料进行核对，当日13:00后提交的，当日不计入前述5个工作日内；若相关材料未符合本所《</w:t>
      </w:r>
      <w:r>
        <w:rPr>
          <w:rFonts w:hint="eastAsia" w:ascii="Times New Roman" w:hAnsi="Times New Roman" w:eastAsia="仿宋_GB2312" w:cs="Times New Roman"/>
          <w:bCs/>
          <w:sz w:val="30"/>
          <w:szCs w:val="30"/>
          <w:highlight w:val="none"/>
        </w:rPr>
        <w:t>扩募及</w:t>
      </w:r>
      <w:r>
        <w:rPr>
          <w:rFonts w:ascii="Times New Roman" w:hAnsi="Times New Roman" w:eastAsia="仿宋_GB2312" w:cs="Times New Roman"/>
          <w:bCs/>
          <w:sz w:val="30"/>
          <w:szCs w:val="30"/>
          <w:highlight w:val="none"/>
        </w:rPr>
        <w:t>新购入</w:t>
      </w:r>
      <w:r>
        <w:rPr>
          <w:rFonts w:hint="eastAsia" w:ascii="Times New Roman" w:hAnsi="Times New Roman" w:eastAsia="仿宋_GB2312" w:cs="Times New Roman"/>
          <w:bCs/>
          <w:sz w:val="30"/>
          <w:szCs w:val="30"/>
          <w:highlight w:val="none"/>
        </w:rPr>
        <w:t>不动产</w:t>
      </w:r>
      <w:r>
        <w:rPr>
          <w:rFonts w:ascii="Times New Roman" w:hAnsi="Times New Roman" w:eastAsia="仿宋_GB2312" w:cs="Times New Roman"/>
          <w:bCs/>
          <w:sz w:val="30"/>
          <w:szCs w:val="30"/>
          <w:highlight w:val="none"/>
        </w:rPr>
        <w:t>指引》规定或其他相关要求的，则退回基金管理人予以补正，补正时间不计入上述5个工作日内。</w:t>
      </w:r>
    </w:p>
    <w:p w14:paraId="4CCB4A8C">
      <w:pPr>
        <w:widowControl/>
        <w:snapToGrid w:val="0"/>
        <w:spacing w:line="560" w:lineRule="exact"/>
        <w:ind w:firstLine="640"/>
        <w:rPr>
          <w:rFonts w:ascii="Times New Roman" w:hAnsi="Times New Roman" w:eastAsia="仿宋_GB2312" w:cs="Times New Roman"/>
          <w:bCs/>
          <w:sz w:val="30"/>
          <w:szCs w:val="30"/>
          <w:highlight w:val="none"/>
        </w:rPr>
      </w:pPr>
      <w:r>
        <w:rPr>
          <w:rFonts w:ascii="Times New Roman" w:hAnsi="Times New Roman" w:eastAsia="仿宋_GB2312" w:cs="Times New Roman"/>
          <w:bCs/>
          <w:sz w:val="30"/>
          <w:szCs w:val="30"/>
          <w:highlight w:val="none"/>
        </w:rPr>
        <w:t>正式启动发售后，基金管理人、财务顾问（如有）应按照相关工作安排推进发售上市工作。启动发售后，基金管理人不得再对发售方案作出修改。如因特殊情况需要对发售方案作出重大调整的，应及时通知本所。</w:t>
      </w:r>
    </w:p>
    <w:p w14:paraId="2DF7B859">
      <w:pPr>
        <w:widowControl/>
        <w:spacing w:line="560" w:lineRule="exact"/>
        <w:ind w:firstLine="602" w:firstLineChars="200"/>
        <w:outlineLvl w:val="2"/>
        <w:rPr>
          <w:rFonts w:ascii="Times New Roman" w:hAnsi="Times New Roman" w:eastAsia="楷体_GB2312" w:cs="Times New Roman"/>
          <w:b/>
          <w:bCs/>
          <w:kern w:val="0"/>
          <w:sz w:val="30"/>
          <w:szCs w:val="30"/>
          <w:highlight w:val="none"/>
        </w:rPr>
      </w:pPr>
      <w:bookmarkStart w:id="731" w:name="_Toc23593"/>
      <w:bookmarkStart w:id="732" w:name="_Toc2714"/>
      <w:bookmarkStart w:id="733" w:name="_Toc24352"/>
      <w:bookmarkStart w:id="734" w:name="_Toc8413"/>
      <w:bookmarkStart w:id="735" w:name="_Toc2687"/>
      <w:r>
        <w:rPr>
          <w:rFonts w:ascii="Times New Roman" w:hAnsi="Times New Roman" w:eastAsia="楷体_GB2312" w:cs="Times New Roman"/>
          <w:b/>
          <w:bCs/>
          <w:kern w:val="0"/>
          <w:sz w:val="30"/>
          <w:szCs w:val="30"/>
          <w:highlight w:val="none"/>
        </w:rPr>
        <w:t>（二）符合条件的投资者参与认购</w:t>
      </w:r>
      <w:bookmarkEnd w:id="731"/>
      <w:bookmarkEnd w:id="732"/>
      <w:bookmarkEnd w:id="733"/>
      <w:bookmarkEnd w:id="734"/>
      <w:bookmarkEnd w:id="735"/>
    </w:p>
    <w:p w14:paraId="1367FFDB">
      <w:pPr>
        <w:widowControl/>
        <w:numPr>
          <w:ilvl w:val="0"/>
          <w:numId w:val="1"/>
        </w:numPr>
        <w:spacing w:line="560" w:lineRule="exact"/>
        <w:ind w:left="197" w:firstLine="643"/>
        <w:rPr>
          <w:rFonts w:ascii="Times New Roman" w:hAnsi="Times New Roman" w:eastAsia="仿宋_GB2312" w:cs="Times New Roman"/>
          <w:b/>
          <w:sz w:val="30"/>
          <w:szCs w:val="30"/>
          <w:highlight w:val="none"/>
        </w:rPr>
      </w:pPr>
      <w:r>
        <w:rPr>
          <w:rFonts w:ascii="Times New Roman" w:hAnsi="Times New Roman" w:eastAsia="仿宋_GB2312" w:cs="Times New Roman"/>
          <w:b/>
          <w:sz w:val="30"/>
          <w:szCs w:val="30"/>
          <w:highlight w:val="none"/>
        </w:rPr>
        <w:t>T日-M日</w:t>
      </w:r>
    </w:p>
    <w:p w14:paraId="17CF4004">
      <w:pPr>
        <w:widowControl/>
        <w:spacing w:line="560" w:lineRule="exact"/>
        <w:ind w:firstLine="640"/>
        <w:rPr>
          <w:rFonts w:ascii="Times New Roman" w:hAnsi="Times New Roman" w:eastAsia="仿宋_GB2312" w:cs="Times New Roman"/>
          <w:bCs/>
          <w:sz w:val="30"/>
          <w:szCs w:val="30"/>
          <w:highlight w:val="none"/>
        </w:rPr>
      </w:pPr>
      <w:r>
        <w:rPr>
          <w:rFonts w:ascii="Times New Roman" w:hAnsi="Times New Roman" w:eastAsia="仿宋_GB2312" w:cs="Times New Roman"/>
          <w:bCs/>
          <w:sz w:val="30"/>
          <w:szCs w:val="30"/>
          <w:highlight w:val="none"/>
        </w:rPr>
        <w:t>发行期内，基金管理人、财务顾问（如有）按照规定向特定对象组织发行。</w:t>
      </w:r>
      <w:r>
        <w:rPr>
          <w:rFonts w:ascii="Times New Roman" w:hAnsi="Times New Roman" w:eastAsia="仿宋_GB2312" w:cs="Times New Roman"/>
          <w:sz w:val="30"/>
          <w:szCs w:val="30"/>
          <w:highlight w:val="none"/>
        </w:rPr>
        <w:t>因</w:t>
      </w:r>
      <w:r>
        <w:rPr>
          <w:rFonts w:hint="eastAsia" w:ascii="Times New Roman" w:hAnsi="Times New Roman" w:eastAsia="仿宋_GB2312" w:cs="Times New Roman"/>
          <w:sz w:val="30"/>
          <w:szCs w:val="30"/>
          <w:highlight w:val="none"/>
        </w:rPr>
        <w:t>不动产</w:t>
      </w:r>
      <w:r>
        <w:rPr>
          <w:rFonts w:ascii="Times New Roman" w:hAnsi="Times New Roman" w:eastAsia="仿宋_GB2312" w:cs="Times New Roman"/>
          <w:sz w:val="30"/>
          <w:szCs w:val="30"/>
          <w:highlight w:val="none"/>
        </w:rPr>
        <w:t>基金扩募，投资者及其一致行动人拥有的基金份额比例达到《</w:t>
      </w:r>
      <w:r>
        <w:rPr>
          <w:rFonts w:hint="eastAsia" w:ascii="Times New Roman" w:hAnsi="Times New Roman" w:eastAsia="仿宋_GB2312" w:cs="Times New Roman"/>
          <w:sz w:val="30"/>
          <w:szCs w:val="30"/>
          <w:highlight w:val="none"/>
        </w:rPr>
        <w:t>不动产</w:t>
      </w:r>
      <w:r>
        <w:rPr>
          <w:rFonts w:ascii="Times New Roman" w:hAnsi="Times New Roman" w:eastAsia="仿宋_GB2312" w:cs="Times New Roman"/>
          <w:sz w:val="30"/>
          <w:szCs w:val="30"/>
          <w:highlight w:val="none"/>
        </w:rPr>
        <w:t>基金业务办法》规定的收购及权益变动标准的，应当按照《</w:t>
      </w:r>
      <w:r>
        <w:rPr>
          <w:rFonts w:hint="eastAsia" w:ascii="Times New Roman" w:hAnsi="Times New Roman" w:eastAsia="仿宋_GB2312" w:cs="Times New Roman"/>
          <w:sz w:val="30"/>
          <w:szCs w:val="30"/>
          <w:highlight w:val="none"/>
        </w:rPr>
        <w:t>不动产</w:t>
      </w:r>
      <w:r>
        <w:rPr>
          <w:rFonts w:ascii="Times New Roman" w:hAnsi="Times New Roman" w:eastAsia="仿宋_GB2312" w:cs="Times New Roman"/>
          <w:sz w:val="30"/>
          <w:szCs w:val="30"/>
          <w:highlight w:val="none"/>
        </w:rPr>
        <w:t>基金业务办法》相关规定履行相应的程序和义务。</w:t>
      </w:r>
    </w:p>
    <w:p w14:paraId="04D78990">
      <w:pPr>
        <w:widowControl/>
        <w:spacing w:line="560" w:lineRule="exact"/>
        <w:ind w:firstLine="602" w:firstLineChars="200"/>
        <w:outlineLvl w:val="2"/>
        <w:rPr>
          <w:rFonts w:ascii="Times New Roman" w:hAnsi="Times New Roman" w:eastAsia="楷体_GB2312" w:cs="Times New Roman"/>
          <w:b/>
          <w:bCs/>
          <w:kern w:val="0"/>
          <w:sz w:val="30"/>
          <w:szCs w:val="30"/>
          <w:highlight w:val="none"/>
        </w:rPr>
      </w:pPr>
      <w:bookmarkStart w:id="736" w:name="_Toc27413"/>
      <w:bookmarkStart w:id="737" w:name="_Toc23936"/>
      <w:bookmarkStart w:id="738" w:name="_Toc23611"/>
      <w:bookmarkStart w:id="739" w:name="_Toc10556"/>
      <w:bookmarkStart w:id="740" w:name="_Toc25824"/>
      <w:r>
        <w:rPr>
          <w:rFonts w:ascii="Times New Roman" w:hAnsi="Times New Roman" w:eastAsia="楷体_GB2312" w:cs="Times New Roman"/>
          <w:b/>
          <w:bCs/>
          <w:kern w:val="0"/>
          <w:sz w:val="30"/>
          <w:szCs w:val="30"/>
          <w:highlight w:val="none"/>
        </w:rPr>
        <w:t>（三）披露《基金合同更新公告》</w:t>
      </w:r>
      <w:bookmarkEnd w:id="736"/>
      <w:bookmarkEnd w:id="737"/>
      <w:bookmarkEnd w:id="738"/>
      <w:bookmarkEnd w:id="739"/>
      <w:bookmarkEnd w:id="740"/>
      <w:r>
        <w:rPr>
          <w:rFonts w:ascii="Times New Roman" w:hAnsi="Times New Roman" w:eastAsia="楷体_GB2312" w:cs="Times New Roman"/>
          <w:b/>
          <w:bCs/>
          <w:kern w:val="0"/>
          <w:sz w:val="30"/>
          <w:szCs w:val="30"/>
          <w:highlight w:val="none"/>
        </w:rPr>
        <w:tab/>
      </w:r>
    </w:p>
    <w:p w14:paraId="5BC4FDF3">
      <w:pPr>
        <w:widowControl/>
        <w:numPr>
          <w:ilvl w:val="0"/>
          <w:numId w:val="1"/>
        </w:numPr>
        <w:spacing w:line="560" w:lineRule="exact"/>
        <w:ind w:left="197" w:firstLine="643"/>
        <w:jc w:val="left"/>
        <w:rPr>
          <w:rFonts w:ascii="Times New Roman" w:hAnsi="Times New Roman" w:eastAsia="仿宋_GB2312" w:cs="Times New Roman"/>
          <w:b/>
          <w:sz w:val="30"/>
          <w:szCs w:val="30"/>
          <w:highlight w:val="none"/>
        </w:rPr>
      </w:pPr>
      <w:r>
        <w:rPr>
          <w:rFonts w:ascii="Times New Roman" w:hAnsi="Times New Roman" w:eastAsia="仿宋_GB2312" w:cs="Times New Roman"/>
          <w:b/>
          <w:sz w:val="30"/>
          <w:szCs w:val="30"/>
          <w:highlight w:val="none"/>
        </w:rPr>
        <w:t>S日</w:t>
      </w:r>
    </w:p>
    <w:p w14:paraId="2F4F4CAA">
      <w:pPr>
        <w:widowControl/>
        <w:numPr>
          <w:ilvl w:val="255"/>
          <w:numId w:val="0"/>
        </w:numPr>
        <w:spacing w:line="560" w:lineRule="exact"/>
        <w:ind w:firstLine="640"/>
        <w:rPr>
          <w:rFonts w:ascii="Times New Roman" w:hAnsi="Times New Roman" w:eastAsia="仿宋_GB2312" w:cs="Times New Roman"/>
          <w:sz w:val="30"/>
          <w:szCs w:val="30"/>
          <w:highlight w:val="none"/>
        </w:rPr>
      </w:pPr>
      <w:r>
        <w:rPr>
          <w:rFonts w:ascii="Times New Roman" w:hAnsi="Times New Roman" w:eastAsia="仿宋_GB2312" w:cs="Times New Roman"/>
          <w:sz w:val="30"/>
          <w:szCs w:val="30"/>
          <w:highlight w:val="none"/>
        </w:rPr>
        <w:t>取得</w:t>
      </w:r>
      <w:r>
        <w:rPr>
          <w:rFonts w:hint="eastAsia" w:ascii="Times New Roman" w:hAnsi="Times New Roman" w:eastAsia="仿宋_GB2312" w:cs="Times New Roman"/>
          <w:sz w:val="30"/>
          <w:szCs w:val="30"/>
          <w:highlight w:val="none"/>
        </w:rPr>
        <w:t>中国</w:t>
      </w:r>
      <w:r>
        <w:rPr>
          <w:rFonts w:ascii="Times New Roman" w:hAnsi="Times New Roman" w:eastAsia="仿宋_GB2312" w:cs="Times New Roman"/>
          <w:sz w:val="30"/>
          <w:szCs w:val="30"/>
          <w:highlight w:val="none"/>
        </w:rPr>
        <w:t>证监会扩募份额备案确认函当日，基金管理人通过本所业务管理系统平台提交《基金合同更新公告》（必备要素见附件</w:t>
      </w:r>
      <w:r>
        <w:rPr>
          <w:rFonts w:hint="eastAsia" w:ascii="Times New Roman" w:hAnsi="Times New Roman" w:eastAsia="仿宋_GB2312" w:cs="Times New Roman"/>
          <w:sz w:val="30"/>
          <w:szCs w:val="30"/>
          <w:highlight w:val="none"/>
        </w:rPr>
        <w:t>2-14</w:t>
      </w:r>
      <w:r>
        <w:rPr>
          <w:rFonts w:ascii="Times New Roman" w:hAnsi="Times New Roman" w:eastAsia="仿宋_GB2312" w:cs="Times New Roman"/>
          <w:sz w:val="30"/>
          <w:szCs w:val="30"/>
          <w:highlight w:val="none"/>
        </w:rPr>
        <w:t>）。</w:t>
      </w:r>
    </w:p>
    <w:p w14:paraId="103CD321">
      <w:pPr>
        <w:widowControl/>
        <w:numPr>
          <w:ilvl w:val="0"/>
          <w:numId w:val="1"/>
        </w:numPr>
        <w:spacing w:line="560" w:lineRule="exact"/>
        <w:ind w:left="197" w:firstLine="643"/>
        <w:jc w:val="left"/>
        <w:rPr>
          <w:rFonts w:ascii="Times New Roman" w:hAnsi="Times New Roman" w:eastAsia="仿宋_GB2312" w:cs="Times New Roman"/>
          <w:b/>
          <w:sz w:val="30"/>
          <w:szCs w:val="30"/>
          <w:highlight w:val="none"/>
        </w:rPr>
      </w:pPr>
      <w:r>
        <w:rPr>
          <w:rFonts w:ascii="Times New Roman" w:hAnsi="Times New Roman" w:eastAsia="仿宋_GB2312" w:cs="Times New Roman"/>
          <w:b/>
          <w:sz w:val="30"/>
          <w:szCs w:val="30"/>
          <w:highlight w:val="none"/>
        </w:rPr>
        <w:t>S+1日</w:t>
      </w:r>
    </w:p>
    <w:p w14:paraId="087C4367">
      <w:pPr>
        <w:widowControl/>
        <w:numPr>
          <w:ilvl w:val="255"/>
          <w:numId w:val="0"/>
        </w:numPr>
        <w:spacing w:line="560" w:lineRule="exact"/>
        <w:ind w:firstLine="640"/>
        <w:rPr>
          <w:rFonts w:ascii="Times New Roman" w:hAnsi="Times New Roman" w:eastAsia="仿宋_GB2312" w:cs="Times New Roman"/>
          <w:sz w:val="30"/>
          <w:szCs w:val="30"/>
          <w:highlight w:val="none"/>
        </w:rPr>
      </w:pPr>
      <w:r>
        <w:rPr>
          <w:rFonts w:ascii="Times New Roman" w:hAnsi="Times New Roman" w:eastAsia="仿宋_GB2312" w:cs="Times New Roman"/>
          <w:sz w:val="30"/>
          <w:szCs w:val="30"/>
          <w:highlight w:val="none"/>
        </w:rPr>
        <w:t>《基金合同更新公告》在符合中国证监会规定的媒介及本所网站上进行披露，基金管理人核对网站披露内容是否符合预期。</w:t>
      </w:r>
    </w:p>
    <w:p w14:paraId="2232728E">
      <w:pPr>
        <w:widowControl/>
        <w:numPr>
          <w:ilvl w:val="255"/>
          <w:numId w:val="0"/>
        </w:numPr>
        <w:spacing w:line="560" w:lineRule="exact"/>
        <w:ind w:firstLine="602" w:firstLineChars="200"/>
        <w:jc w:val="left"/>
        <w:outlineLvl w:val="2"/>
        <w:rPr>
          <w:rFonts w:ascii="Times New Roman" w:hAnsi="Times New Roman" w:eastAsia="楷体_GB2312" w:cs="Times New Roman"/>
          <w:b/>
          <w:bCs/>
          <w:kern w:val="0"/>
          <w:sz w:val="30"/>
          <w:szCs w:val="30"/>
          <w:highlight w:val="none"/>
        </w:rPr>
      </w:pPr>
      <w:bookmarkStart w:id="741" w:name="_Toc2466"/>
      <w:bookmarkStart w:id="742" w:name="_Toc20127"/>
      <w:bookmarkStart w:id="743" w:name="_Toc24889"/>
      <w:bookmarkStart w:id="744" w:name="_Toc21747"/>
      <w:bookmarkStart w:id="745" w:name="_Toc15629"/>
      <w:r>
        <w:rPr>
          <w:rFonts w:ascii="Times New Roman" w:hAnsi="Times New Roman" w:eastAsia="楷体_GB2312" w:cs="Times New Roman"/>
          <w:b/>
          <w:bCs/>
          <w:kern w:val="0"/>
          <w:sz w:val="30"/>
          <w:szCs w:val="30"/>
          <w:highlight w:val="none"/>
        </w:rPr>
        <w:t>（四）披露交易实施情况报告书</w:t>
      </w:r>
      <w:bookmarkEnd w:id="741"/>
      <w:bookmarkEnd w:id="742"/>
      <w:bookmarkEnd w:id="743"/>
      <w:bookmarkEnd w:id="744"/>
      <w:bookmarkEnd w:id="745"/>
    </w:p>
    <w:p w14:paraId="0461648B">
      <w:pPr>
        <w:widowControl/>
        <w:numPr>
          <w:ilvl w:val="255"/>
          <w:numId w:val="0"/>
        </w:numPr>
        <w:spacing w:line="560" w:lineRule="exact"/>
        <w:ind w:firstLine="640"/>
        <w:rPr>
          <w:rFonts w:ascii="Times New Roman" w:hAnsi="Times New Roman" w:eastAsia="仿宋_GB2312" w:cs="Times New Roman"/>
          <w:sz w:val="30"/>
          <w:szCs w:val="30"/>
          <w:highlight w:val="none"/>
        </w:rPr>
      </w:pPr>
      <w:r>
        <w:rPr>
          <w:rFonts w:ascii="Times New Roman" w:hAnsi="Times New Roman" w:eastAsia="仿宋_GB2312" w:cs="Times New Roman"/>
          <w:sz w:val="30"/>
          <w:szCs w:val="30"/>
          <w:highlight w:val="none"/>
        </w:rPr>
        <w:t>拟购入</w:t>
      </w:r>
      <w:r>
        <w:rPr>
          <w:rFonts w:hint="eastAsia" w:ascii="Times New Roman" w:hAnsi="Times New Roman" w:eastAsia="仿宋_GB2312" w:cs="Times New Roman"/>
          <w:sz w:val="30"/>
          <w:szCs w:val="30"/>
          <w:highlight w:val="none"/>
        </w:rPr>
        <w:t>不动产</w:t>
      </w:r>
      <w:r>
        <w:rPr>
          <w:rFonts w:ascii="Times New Roman" w:hAnsi="Times New Roman" w:eastAsia="仿宋_GB2312" w:cs="Times New Roman"/>
          <w:sz w:val="30"/>
          <w:szCs w:val="30"/>
          <w:highlight w:val="none"/>
        </w:rPr>
        <w:t>项目完成相关变更注册程序并经基金份额持有人大会表决通过后，基金管理人应当及时实施交易方案，并编制交易实施情况报告书，于实施完毕之日起2个工作日内通过本所业务管理系统平台提交</w:t>
      </w:r>
      <w:r>
        <w:rPr>
          <w:rFonts w:hint="eastAsia" w:ascii="Times New Roman" w:hAnsi="Times New Roman" w:eastAsia="仿宋_GB2312" w:cs="Times New Roman"/>
          <w:sz w:val="30"/>
          <w:szCs w:val="30"/>
          <w:highlight w:val="none"/>
        </w:rPr>
        <w:t>不动产</w:t>
      </w:r>
      <w:r>
        <w:rPr>
          <w:rFonts w:ascii="Times New Roman" w:hAnsi="Times New Roman" w:eastAsia="仿宋_GB2312" w:cs="Times New Roman"/>
          <w:sz w:val="30"/>
          <w:szCs w:val="30"/>
          <w:highlight w:val="none"/>
        </w:rPr>
        <w:t>项目交易实施情况报告书信息披露申请，并于次日对外披露。</w:t>
      </w:r>
    </w:p>
    <w:p w14:paraId="275AC964">
      <w:pPr>
        <w:widowControl/>
        <w:spacing w:line="560" w:lineRule="exact"/>
        <w:ind w:firstLine="602" w:firstLineChars="200"/>
        <w:jc w:val="left"/>
        <w:outlineLvl w:val="2"/>
        <w:rPr>
          <w:rFonts w:ascii="Times New Roman" w:hAnsi="Times New Roman" w:cs="Times New Roman"/>
          <w:color w:val="000000"/>
          <w:sz w:val="30"/>
          <w:szCs w:val="30"/>
          <w:highlight w:val="none"/>
        </w:rPr>
      </w:pPr>
      <w:bookmarkStart w:id="746" w:name="_Toc3796"/>
      <w:bookmarkStart w:id="747" w:name="_Toc6861"/>
      <w:bookmarkStart w:id="748" w:name="_Toc22128"/>
      <w:bookmarkStart w:id="749" w:name="_Toc5981"/>
      <w:bookmarkStart w:id="750" w:name="_Toc28695"/>
      <w:bookmarkStart w:id="751" w:name="_Toc23155"/>
      <w:bookmarkStart w:id="752" w:name="_Toc23919"/>
      <w:bookmarkStart w:id="753" w:name="_Toc27470"/>
      <w:bookmarkStart w:id="754" w:name="_Toc25859"/>
      <w:bookmarkStart w:id="755" w:name="_Toc12817"/>
      <w:r>
        <w:rPr>
          <w:rFonts w:ascii="Times New Roman" w:hAnsi="Times New Roman" w:eastAsia="楷体_GB2312" w:cs="Times New Roman"/>
          <w:b/>
          <w:bCs/>
          <w:kern w:val="0"/>
          <w:sz w:val="30"/>
          <w:szCs w:val="30"/>
          <w:highlight w:val="none"/>
        </w:rPr>
        <w:t>（五）披露发行情况报告书及战略投资者核查文件</w:t>
      </w:r>
      <w:bookmarkEnd w:id="746"/>
      <w:bookmarkEnd w:id="747"/>
      <w:bookmarkEnd w:id="748"/>
      <w:bookmarkEnd w:id="749"/>
      <w:bookmarkEnd w:id="750"/>
      <w:r>
        <w:rPr>
          <w:rFonts w:ascii="Times New Roman" w:hAnsi="Times New Roman" w:eastAsia="楷体_GB2312" w:cs="Times New Roman"/>
          <w:b/>
          <w:bCs/>
          <w:kern w:val="0"/>
          <w:sz w:val="30"/>
          <w:szCs w:val="30"/>
          <w:highlight w:val="none"/>
        </w:rPr>
        <w:tab/>
      </w:r>
      <w:bookmarkEnd w:id="751"/>
      <w:bookmarkEnd w:id="752"/>
      <w:bookmarkEnd w:id="753"/>
      <w:bookmarkEnd w:id="754"/>
      <w:bookmarkEnd w:id="755"/>
    </w:p>
    <w:p w14:paraId="60ECD133">
      <w:pPr>
        <w:widowControl/>
        <w:numPr>
          <w:ilvl w:val="0"/>
          <w:numId w:val="1"/>
        </w:numPr>
        <w:spacing w:line="560" w:lineRule="exact"/>
        <w:ind w:left="197" w:firstLine="643"/>
        <w:jc w:val="left"/>
        <w:rPr>
          <w:rFonts w:ascii="Times New Roman" w:hAnsi="Times New Roman" w:eastAsia="仿宋_GB2312" w:cs="Times New Roman"/>
          <w:b/>
          <w:sz w:val="30"/>
          <w:szCs w:val="30"/>
          <w:highlight w:val="none"/>
        </w:rPr>
      </w:pPr>
      <w:r>
        <w:rPr>
          <w:rFonts w:ascii="Times New Roman" w:hAnsi="Times New Roman" w:eastAsia="仿宋_GB2312" w:cs="Times New Roman"/>
          <w:b/>
          <w:sz w:val="30"/>
          <w:szCs w:val="30"/>
          <w:highlight w:val="none"/>
        </w:rPr>
        <w:t>Y+1日内</w:t>
      </w:r>
    </w:p>
    <w:p w14:paraId="7822837D">
      <w:pPr>
        <w:spacing w:line="560" w:lineRule="exact"/>
        <w:ind w:firstLine="600" w:firstLineChars="200"/>
        <w:rPr>
          <w:rFonts w:ascii="Times New Roman" w:hAnsi="Times New Roman" w:eastAsia="仿宋_GB2312" w:cs="Times New Roman"/>
          <w:sz w:val="30"/>
          <w:szCs w:val="30"/>
          <w:highlight w:val="none"/>
        </w:rPr>
      </w:pPr>
      <w:r>
        <w:rPr>
          <w:rFonts w:ascii="Times New Roman" w:hAnsi="Times New Roman" w:eastAsia="仿宋_GB2312" w:cs="Times New Roman"/>
          <w:sz w:val="30"/>
          <w:szCs w:val="30"/>
          <w:highlight w:val="none"/>
        </w:rPr>
        <w:t>基金管理人应于Y至Y+1日内，通过本所业务管理系统平台提交信息披露申请，披露定向扩募发行情况报告书，同时将验资报告等文件作为附件报备。经本所审核通过后，最晚于Y+2日在符合中国证监会规定的媒介及本所网站上进行披露。</w:t>
      </w:r>
    </w:p>
    <w:p w14:paraId="5F1B5D2D">
      <w:pPr>
        <w:widowControl/>
        <w:numPr>
          <w:ilvl w:val="255"/>
          <w:numId w:val="0"/>
        </w:numPr>
        <w:spacing w:line="560" w:lineRule="exact"/>
        <w:ind w:firstLine="640"/>
        <w:jc w:val="left"/>
        <w:outlineLvl w:val="1"/>
        <w:rPr>
          <w:rFonts w:ascii="Times New Roman" w:hAnsi="Times New Roman" w:eastAsia="黑体" w:cs="Times New Roman"/>
          <w:b/>
          <w:bCs w:val="0"/>
          <w:sz w:val="30"/>
          <w:szCs w:val="30"/>
          <w:highlight w:val="none"/>
        </w:rPr>
      </w:pPr>
      <w:bookmarkStart w:id="756" w:name="_Toc16090"/>
      <w:bookmarkStart w:id="757" w:name="_Toc22442"/>
      <w:bookmarkStart w:id="758" w:name="_Toc22643"/>
      <w:bookmarkStart w:id="759" w:name="_Toc18326"/>
      <w:bookmarkStart w:id="760" w:name="_Toc28788"/>
      <w:bookmarkStart w:id="761" w:name="_Toc11485"/>
      <w:bookmarkStart w:id="762" w:name="_Toc10182"/>
      <w:bookmarkStart w:id="763" w:name="_Toc31510"/>
      <w:bookmarkStart w:id="764" w:name="_Toc1160"/>
      <w:bookmarkStart w:id="765" w:name="_Toc16132"/>
      <w:r>
        <w:rPr>
          <w:rFonts w:hint="eastAsia" w:ascii="Times New Roman" w:hAnsi="Times New Roman" w:eastAsia="黑体" w:cs="Times New Roman"/>
          <w:b/>
          <w:bCs w:val="0"/>
          <w:sz w:val="30"/>
          <w:szCs w:val="30"/>
          <w:highlight w:val="none"/>
        </w:rPr>
        <w:t>二</w:t>
      </w:r>
      <w:r>
        <w:rPr>
          <w:rFonts w:ascii="Times New Roman" w:hAnsi="Times New Roman" w:eastAsia="黑体" w:cs="Times New Roman"/>
          <w:b/>
          <w:bCs w:val="0"/>
          <w:sz w:val="30"/>
          <w:szCs w:val="30"/>
          <w:highlight w:val="none"/>
        </w:rPr>
        <w:t>、登记、限售及锁定</w:t>
      </w:r>
      <w:bookmarkEnd w:id="756"/>
      <w:bookmarkEnd w:id="757"/>
      <w:bookmarkEnd w:id="758"/>
      <w:bookmarkEnd w:id="759"/>
      <w:bookmarkEnd w:id="760"/>
    </w:p>
    <w:p w14:paraId="37D27079">
      <w:pPr>
        <w:widowControl/>
        <w:spacing w:line="560" w:lineRule="exact"/>
        <w:ind w:firstLine="602" w:firstLineChars="200"/>
        <w:jc w:val="left"/>
        <w:outlineLvl w:val="2"/>
        <w:rPr>
          <w:rFonts w:ascii="Times New Roman" w:hAnsi="Times New Roman" w:eastAsia="楷体_GB2312" w:cs="Times New Roman"/>
          <w:b/>
          <w:bCs/>
          <w:kern w:val="0"/>
          <w:sz w:val="30"/>
          <w:szCs w:val="30"/>
          <w:highlight w:val="none"/>
        </w:rPr>
      </w:pPr>
      <w:bookmarkStart w:id="766" w:name="_Toc4575"/>
      <w:bookmarkStart w:id="767" w:name="_Toc31144"/>
      <w:bookmarkStart w:id="768" w:name="_Toc8975"/>
      <w:bookmarkStart w:id="769" w:name="_Toc5375"/>
      <w:bookmarkStart w:id="770" w:name="_Toc7187"/>
      <w:r>
        <w:rPr>
          <w:rFonts w:ascii="Times New Roman" w:hAnsi="Times New Roman" w:eastAsia="楷体_GB2312" w:cs="Times New Roman"/>
          <w:b/>
          <w:bCs/>
          <w:kern w:val="0"/>
          <w:sz w:val="30"/>
          <w:szCs w:val="30"/>
          <w:highlight w:val="none"/>
        </w:rPr>
        <w:t>（一）向中国结算申请强增</w:t>
      </w:r>
      <w:bookmarkEnd w:id="766"/>
      <w:bookmarkEnd w:id="767"/>
      <w:bookmarkEnd w:id="768"/>
      <w:bookmarkEnd w:id="769"/>
      <w:bookmarkEnd w:id="770"/>
    </w:p>
    <w:p w14:paraId="1F31A5BB">
      <w:pPr>
        <w:spacing w:line="560" w:lineRule="exact"/>
        <w:ind w:firstLine="600" w:firstLineChars="200"/>
        <w:rPr>
          <w:rFonts w:ascii="Times New Roman" w:hAnsi="Times New Roman" w:eastAsia="仿宋_GB2312" w:cs="Times New Roman"/>
          <w:sz w:val="30"/>
          <w:szCs w:val="30"/>
          <w:highlight w:val="none"/>
        </w:rPr>
      </w:pPr>
      <w:r>
        <w:rPr>
          <w:rFonts w:ascii="Times New Roman" w:hAnsi="Times New Roman" w:eastAsia="仿宋_GB2312" w:cs="Times New Roman"/>
          <w:sz w:val="30"/>
          <w:szCs w:val="30"/>
          <w:highlight w:val="none"/>
        </w:rPr>
        <w:t>每个强增申请日，基金管理人需向中国结算总部基金业务部申请，通过份额强制调整文件（“83文件”）向中国结算TA系统申请强增份额。若强增申请日当日强增存在失败情形，则次日基金管理人按照前述流程，继续申请强增份额，直至完成全部强增申请。</w:t>
      </w:r>
    </w:p>
    <w:p w14:paraId="4EAFAD42">
      <w:pPr>
        <w:spacing w:line="560" w:lineRule="exact"/>
        <w:ind w:firstLine="600" w:firstLineChars="200"/>
        <w:rPr>
          <w:rFonts w:ascii="Times New Roman" w:hAnsi="Times New Roman" w:eastAsia="仿宋_GB2312" w:cs="Times New Roman"/>
          <w:sz w:val="30"/>
          <w:szCs w:val="30"/>
          <w:highlight w:val="none"/>
        </w:rPr>
      </w:pPr>
      <w:r>
        <w:rPr>
          <w:rFonts w:ascii="Times New Roman" w:hAnsi="Times New Roman" w:eastAsia="仿宋_GB2312" w:cs="Times New Roman"/>
          <w:sz w:val="30"/>
          <w:szCs w:val="30"/>
          <w:highlight w:val="none"/>
        </w:rPr>
        <w:t>上市前，扩募所得场内份额流通类型为非流通，场外份额不能办理转托管或基金通平台做市份额转出、做市转让等业务。</w:t>
      </w:r>
    </w:p>
    <w:p w14:paraId="44968AE7">
      <w:pPr>
        <w:widowControl/>
        <w:spacing w:line="560" w:lineRule="exact"/>
        <w:ind w:firstLine="640"/>
        <w:jc w:val="left"/>
        <w:outlineLvl w:val="2"/>
        <w:rPr>
          <w:rFonts w:ascii="Times New Roman" w:hAnsi="Times New Roman" w:eastAsia="仿宋_GB2312" w:cs="Times New Roman"/>
          <w:sz w:val="30"/>
          <w:szCs w:val="30"/>
          <w:highlight w:val="none"/>
        </w:rPr>
      </w:pPr>
      <w:bookmarkStart w:id="771" w:name="_Toc1713"/>
      <w:bookmarkStart w:id="772" w:name="_Toc19682"/>
      <w:bookmarkStart w:id="773" w:name="_Toc19581"/>
      <w:bookmarkStart w:id="774" w:name="_Toc31398"/>
      <w:bookmarkStart w:id="775" w:name="_Toc24536"/>
      <w:r>
        <w:rPr>
          <w:rFonts w:ascii="Times New Roman" w:hAnsi="Times New Roman" w:eastAsia="楷体_GB2312" w:cs="Times New Roman"/>
          <w:b/>
          <w:bCs/>
          <w:kern w:val="0"/>
          <w:sz w:val="30"/>
          <w:szCs w:val="30"/>
          <w:highlight w:val="none"/>
        </w:rPr>
        <w:t>（二）限售锁定期管理</w:t>
      </w:r>
      <w:bookmarkEnd w:id="771"/>
      <w:bookmarkEnd w:id="772"/>
      <w:bookmarkEnd w:id="773"/>
      <w:bookmarkEnd w:id="774"/>
      <w:bookmarkEnd w:id="775"/>
    </w:p>
    <w:bookmarkEnd w:id="761"/>
    <w:bookmarkEnd w:id="762"/>
    <w:bookmarkEnd w:id="763"/>
    <w:bookmarkEnd w:id="764"/>
    <w:bookmarkEnd w:id="765"/>
    <w:p w14:paraId="5E5B9629">
      <w:pPr>
        <w:widowControl/>
        <w:numPr>
          <w:ilvl w:val="255"/>
          <w:numId w:val="0"/>
        </w:numPr>
        <w:spacing w:line="560" w:lineRule="exact"/>
        <w:ind w:firstLine="640"/>
        <w:rPr>
          <w:rFonts w:ascii="Times New Roman" w:hAnsi="Times New Roman" w:eastAsia="仿宋_GB2312" w:cs="Times New Roman"/>
          <w:sz w:val="30"/>
          <w:szCs w:val="30"/>
          <w:highlight w:val="none"/>
        </w:rPr>
      </w:pPr>
      <w:bookmarkStart w:id="776" w:name="_Toc17369"/>
      <w:bookmarkStart w:id="777" w:name="_Toc26248"/>
      <w:bookmarkStart w:id="778" w:name="_Toc29452"/>
      <w:bookmarkStart w:id="779" w:name="_Toc32352"/>
      <w:bookmarkStart w:id="780" w:name="_Toc16663"/>
      <w:r>
        <w:rPr>
          <w:rFonts w:ascii="Times New Roman" w:hAnsi="Times New Roman" w:eastAsia="仿宋_GB2312" w:cs="Times New Roman"/>
          <w:sz w:val="30"/>
          <w:szCs w:val="30"/>
          <w:highlight w:val="none"/>
        </w:rPr>
        <w:t>基金份额持有人大会决议提前确定全部发售对象的，新购入</w:t>
      </w:r>
      <w:r>
        <w:rPr>
          <w:rFonts w:hint="eastAsia" w:ascii="Times New Roman" w:hAnsi="Times New Roman" w:eastAsia="仿宋_GB2312" w:cs="Times New Roman"/>
          <w:sz w:val="30"/>
          <w:szCs w:val="30"/>
          <w:highlight w:val="none"/>
        </w:rPr>
        <w:t>不动产</w:t>
      </w:r>
      <w:r>
        <w:rPr>
          <w:rFonts w:ascii="Times New Roman" w:hAnsi="Times New Roman" w:eastAsia="仿宋_GB2312" w:cs="Times New Roman"/>
          <w:sz w:val="30"/>
          <w:szCs w:val="30"/>
          <w:highlight w:val="none"/>
        </w:rPr>
        <w:t>项目的原始权益人或其同一控制下的关联方持有的20%及以内份额，其扩募份额自上市之日起60个月不能转让，超过20%的份额自上市之日起36个月不能转让，且全部份额限售期间内不允许质押；持有份额超过20%的第一大</w:t>
      </w:r>
      <w:r>
        <w:rPr>
          <w:rFonts w:hint="eastAsia" w:ascii="Times New Roman" w:hAnsi="Times New Roman" w:eastAsia="仿宋_GB2312" w:cs="Times New Roman"/>
          <w:sz w:val="30"/>
          <w:szCs w:val="30"/>
          <w:highlight w:val="none"/>
        </w:rPr>
        <w:t>不动产</w:t>
      </w:r>
      <w:r>
        <w:rPr>
          <w:rFonts w:ascii="Times New Roman" w:hAnsi="Times New Roman" w:eastAsia="仿宋_GB2312" w:cs="Times New Roman"/>
          <w:sz w:val="30"/>
          <w:szCs w:val="30"/>
          <w:highlight w:val="none"/>
        </w:rPr>
        <w:t>基金持有人或通过认购本次发售份额成为持有份额超过20%的第一大</w:t>
      </w:r>
      <w:r>
        <w:rPr>
          <w:rFonts w:hint="eastAsia" w:ascii="Times New Roman" w:hAnsi="Times New Roman" w:eastAsia="仿宋_GB2312" w:cs="Times New Roman"/>
          <w:sz w:val="30"/>
          <w:szCs w:val="30"/>
          <w:highlight w:val="none"/>
        </w:rPr>
        <w:t>不动产</w:t>
      </w:r>
      <w:r>
        <w:rPr>
          <w:rFonts w:ascii="Times New Roman" w:hAnsi="Times New Roman" w:eastAsia="仿宋_GB2312" w:cs="Times New Roman"/>
          <w:sz w:val="30"/>
          <w:szCs w:val="30"/>
          <w:highlight w:val="none"/>
        </w:rPr>
        <w:t>基金持有人的投资者，其扩募份额自上市之日起18个月不能转让。</w:t>
      </w:r>
      <w:bookmarkEnd w:id="776"/>
      <w:bookmarkEnd w:id="777"/>
      <w:bookmarkEnd w:id="778"/>
      <w:bookmarkEnd w:id="779"/>
      <w:bookmarkEnd w:id="780"/>
    </w:p>
    <w:p w14:paraId="7A9C7F5A">
      <w:pPr>
        <w:widowControl/>
        <w:spacing w:line="560" w:lineRule="exact"/>
        <w:ind w:firstLine="600" w:firstLineChars="200"/>
        <w:rPr>
          <w:rFonts w:ascii="Times New Roman" w:hAnsi="Times New Roman" w:eastAsia="仿宋_GB2312" w:cs="Times New Roman"/>
          <w:sz w:val="30"/>
          <w:szCs w:val="30"/>
          <w:highlight w:val="none"/>
        </w:rPr>
      </w:pPr>
      <w:r>
        <w:rPr>
          <w:rFonts w:ascii="Times New Roman" w:hAnsi="Times New Roman" w:eastAsia="仿宋_GB2312" w:cs="Times New Roman"/>
          <w:sz w:val="30"/>
          <w:szCs w:val="30"/>
          <w:highlight w:val="none"/>
        </w:rPr>
        <w:t>非提前确定全部发售对象的，通过竞价确定的投资者自上市之日起6个月不能转让，基金份额持有人大会提前确定的部分发售对象限售期参照提前确定全部发售对象的限售规则。</w:t>
      </w:r>
    </w:p>
    <w:p w14:paraId="60CEA571">
      <w:pPr>
        <w:widowControl/>
        <w:spacing w:line="560" w:lineRule="exact"/>
        <w:ind w:firstLine="600" w:firstLineChars="200"/>
        <w:rPr>
          <w:rFonts w:ascii="Times New Roman" w:hAnsi="Times New Roman" w:eastAsia="仿宋_GB2312" w:cs="Times New Roman"/>
          <w:sz w:val="30"/>
          <w:szCs w:val="30"/>
          <w:highlight w:val="none"/>
        </w:rPr>
      </w:pPr>
      <w:r>
        <w:rPr>
          <w:rFonts w:ascii="Times New Roman" w:hAnsi="Times New Roman" w:eastAsia="仿宋_GB2312" w:cs="Times New Roman"/>
          <w:sz w:val="30"/>
          <w:szCs w:val="30"/>
          <w:highlight w:val="none"/>
        </w:rPr>
        <w:t>扩募份额解限/解锁参照《2号指南》第二章内容办理。</w:t>
      </w:r>
    </w:p>
    <w:p w14:paraId="72ADC2BB">
      <w:pPr>
        <w:spacing w:line="560" w:lineRule="exact"/>
        <w:ind w:firstLine="602" w:firstLineChars="200"/>
        <w:outlineLvl w:val="1"/>
        <w:rPr>
          <w:rFonts w:ascii="Times New Roman" w:hAnsi="Times New Roman" w:eastAsia="黑体" w:cs="Times New Roman"/>
          <w:b/>
          <w:bCs w:val="0"/>
          <w:sz w:val="30"/>
          <w:szCs w:val="30"/>
          <w:highlight w:val="none"/>
        </w:rPr>
      </w:pPr>
      <w:bookmarkStart w:id="781" w:name="_Toc20026"/>
      <w:bookmarkStart w:id="782" w:name="_Toc19757"/>
      <w:bookmarkStart w:id="783" w:name="_Toc7106"/>
      <w:bookmarkStart w:id="784" w:name="_Toc7878"/>
      <w:bookmarkStart w:id="785" w:name="_Toc4806"/>
      <w:bookmarkStart w:id="786" w:name="_Toc21420"/>
      <w:bookmarkStart w:id="787" w:name="_Toc17231"/>
      <w:bookmarkStart w:id="788" w:name="_Toc19022"/>
      <w:bookmarkStart w:id="789" w:name="_Toc15559"/>
      <w:bookmarkStart w:id="790" w:name="_Toc13390"/>
      <w:r>
        <w:rPr>
          <w:rFonts w:hint="eastAsia" w:ascii="Times New Roman" w:hAnsi="Times New Roman" w:eastAsia="黑体" w:cs="Times New Roman"/>
          <w:b/>
          <w:bCs w:val="0"/>
          <w:sz w:val="30"/>
          <w:szCs w:val="30"/>
          <w:highlight w:val="none"/>
        </w:rPr>
        <w:t>三</w:t>
      </w:r>
      <w:r>
        <w:rPr>
          <w:rFonts w:ascii="Times New Roman" w:hAnsi="Times New Roman" w:eastAsia="黑体" w:cs="Times New Roman"/>
          <w:b/>
          <w:bCs w:val="0"/>
          <w:sz w:val="30"/>
          <w:szCs w:val="30"/>
          <w:highlight w:val="none"/>
        </w:rPr>
        <w:t>、发行结果公告</w:t>
      </w:r>
      <w:bookmarkEnd w:id="781"/>
      <w:bookmarkEnd w:id="782"/>
      <w:bookmarkEnd w:id="783"/>
      <w:bookmarkEnd w:id="784"/>
      <w:bookmarkEnd w:id="785"/>
      <w:bookmarkEnd w:id="786"/>
      <w:bookmarkEnd w:id="787"/>
      <w:bookmarkEnd w:id="788"/>
      <w:bookmarkEnd w:id="789"/>
      <w:bookmarkEnd w:id="790"/>
    </w:p>
    <w:p w14:paraId="0F14623E">
      <w:pPr>
        <w:autoSpaceDE w:val="0"/>
        <w:spacing w:line="560" w:lineRule="exact"/>
        <w:ind w:firstLine="640"/>
        <w:rPr>
          <w:rFonts w:ascii="Times New Roman" w:hAnsi="Times New Roman" w:eastAsia="仿宋_GB2312" w:cs="Times New Roman"/>
          <w:bCs/>
          <w:sz w:val="30"/>
          <w:szCs w:val="30"/>
          <w:highlight w:val="none"/>
        </w:rPr>
      </w:pPr>
      <w:r>
        <w:rPr>
          <w:rFonts w:ascii="Times New Roman" w:hAnsi="Times New Roman" w:eastAsia="仿宋_GB2312" w:cs="Times New Roman"/>
          <w:bCs/>
          <w:sz w:val="30"/>
          <w:szCs w:val="30"/>
          <w:highlight w:val="none"/>
        </w:rPr>
        <w:t>基金管理人应及时披露发行结果公告。</w:t>
      </w:r>
    </w:p>
    <w:p w14:paraId="1C09A3FD">
      <w:pPr>
        <w:autoSpaceDE w:val="0"/>
        <w:spacing w:line="560" w:lineRule="exact"/>
        <w:ind w:firstLine="640"/>
        <w:rPr>
          <w:rFonts w:ascii="Times New Roman" w:hAnsi="Times New Roman" w:eastAsia="仿宋_GB2312" w:cs="Times New Roman"/>
          <w:bCs/>
          <w:sz w:val="30"/>
          <w:szCs w:val="30"/>
          <w:highlight w:val="none"/>
        </w:rPr>
      </w:pPr>
      <w:r>
        <w:rPr>
          <w:rFonts w:ascii="Times New Roman" w:hAnsi="Times New Roman" w:eastAsia="仿宋_GB2312" w:cs="Times New Roman"/>
          <w:bCs/>
          <w:sz w:val="30"/>
          <w:szCs w:val="30"/>
          <w:highlight w:val="none"/>
        </w:rPr>
        <w:t>基金扩募发售期限届满，出现下列情形之一的，</w:t>
      </w:r>
      <w:r>
        <w:rPr>
          <w:rFonts w:hint="eastAsia" w:ascii="Times New Roman" w:hAnsi="Times New Roman" w:eastAsia="仿宋_GB2312" w:cs="Times New Roman"/>
          <w:bCs/>
          <w:sz w:val="30"/>
          <w:szCs w:val="30"/>
          <w:highlight w:val="none"/>
        </w:rPr>
        <w:t>不动产</w:t>
      </w:r>
      <w:r>
        <w:rPr>
          <w:rFonts w:ascii="Times New Roman" w:hAnsi="Times New Roman" w:eastAsia="仿宋_GB2312" w:cs="Times New Roman"/>
          <w:bCs/>
          <w:sz w:val="30"/>
          <w:szCs w:val="30"/>
          <w:highlight w:val="none"/>
        </w:rPr>
        <w:t>基金扩募发售失败：</w:t>
      </w:r>
    </w:p>
    <w:p w14:paraId="38E4F4FB">
      <w:pPr>
        <w:autoSpaceDE w:val="0"/>
        <w:spacing w:line="560" w:lineRule="exact"/>
        <w:ind w:firstLine="640"/>
        <w:rPr>
          <w:rFonts w:ascii="Times New Roman" w:hAnsi="Times New Roman" w:eastAsia="仿宋_GB2312" w:cs="Times New Roman"/>
          <w:bCs/>
          <w:sz w:val="30"/>
          <w:szCs w:val="30"/>
          <w:highlight w:val="none"/>
        </w:rPr>
      </w:pPr>
      <w:r>
        <w:rPr>
          <w:rFonts w:ascii="Times New Roman" w:hAnsi="Times New Roman" w:eastAsia="仿宋_GB2312" w:cs="Times New Roman"/>
          <w:bCs/>
          <w:sz w:val="30"/>
          <w:szCs w:val="30"/>
          <w:highlight w:val="none"/>
        </w:rPr>
        <w:t xml:space="preserve">1.基金扩募份额总额未达到基金份额持有人大会表决通过规模的80%； </w:t>
      </w:r>
    </w:p>
    <w:p w14:paraId="42971361">
      <w:pPr>
        <w:autoSpaceDE w:val="0"/>
        <w:spacing w:line="560" w:lineRule="exact"/>
        <w:ind w:firstLine="640"/>
        <w:rPr>
          <w:rFonts w:ascii="Times New Roman" w:hAnsi="Times New Roman" w:eastAsia="仿宋_GB2312" w:cs="Times New Roman"/>
          <w:bCs/>
          <w:sz w:val="30"/>
          <w:szCs w:val="30"/>
          <w:highlight w:val="none"/>
        </w:rPr>
      </w:pPr>
      <w:r>
        <w:rPr>
          <w:rFonts w:ascii="Times New Roman" w:hAnsi="Times New Roman" w:eastAsia="仿宋_GB2312" w:cs="Times New Roman"/>
          <w:bCs/>
          <w:sz w:val="30"/>
          <w:szCs w:val="30"/>
          <w:highlight w:val="none"/>
        </w:rPr>
        <w:t>2.</w:t>
      </w:r>
      <w:r>
        <w:rPr>
          <w:rFonts w:hint="eastAsia" w:ascii="Times New Roman" w:hAnsi="Times New Roman" w:eastAsia="仿宋_GB2312" w:cs="Times New Roman"/>
          <w:bCs/>
          <w:sz w:val="30"/>
          <w:szCs w:val="30"/>
          <w:highlight w:val="none"/>
        </w:rPr>
        <w:t>拟</w:t>
      </w:r>
      <w:r>
        <w:rPr>
          <w:rFonts w:ascii="Times New Roman" w:hAnsi="Times New Roman" w:eastAsia="仿宋_GB2312" w:cs="Times New Roman"/>
          <w:bCs/>
          <w:sz w:val="30"/>
          <w:szCs w:val="30"/>
          <w:highlight w:val="none"/>
        </w:rPr>
        <w:t>购入</w:t>
      </w:r>
      <w:r>
        <w:rPr>
          <w:rFonts w:hint="eastAsia" w:ascii="Times New Roman" w:hAnsi="Times New Roman" w:eastAsia="仿宋_GB2312" w:cs="Times New Roman"/>
          <w:bCs/>
          <w:sz w:val="30"/>
          <w:szCs w:val="30"/>
          <w:highlight w:val="none"/>
        </w:rPr>
        <w:t>不动产</w:t>
      </w:r>
      <w:r>
        <w:rPr>
          <w:rFonts w:ascii="Times New Roman" w:hAnsi="Times New Roman" w:eastAsia="仿宋_GB2312" w:cs="Times New Roman"/>
          <w:bCs/>
          <w:sz w:val="30"/>
          <w:szCs w:val="30"/>
          <w:highlight w:val="none"/>
        </w:rPr>
        <w:t>项目的原始权益人或者其同一控制下的关联方等未按</w:t>
      </w:r>
      <w:r>
        <w:rPr>
          <w:rFonts w:hint="eastAsia" w:ascii="Times New Roman" w:hAnsi="Times New Roman" w:eastAsia="仿宋_GB2312" w:cs="Times New Roman"/>
          <w:bCs/>
          <w:sz w:val="30"/>
          <w:szCs w:val="30"/>
          <w:highlight w:val="none"/>
        </w:rPr>
        <w:t>照</w:t>
      </w:r>
      <w:r>
        <w:rPr>
          <w:rFonts w:ascii="Times New Roman" w:hAnsi="Times New Roman" w:eastAsia="仿宋_GB2312" w:cs="Times New Roman"/>
          <w:bCs/>
          <w:sz w:val="30"/>
          <w:szCs w:val="30"/>
          <w:highlight w:val="none"/>
        </w:rPr>
        <w:t>规定参与战略配售；</w:t>
      </w:r>
    </w:p>
    <w:p w14:paraId="38CF540B">
      <w:pPr>
        <w:spacing w:line="560" w:lineRule="exact"/>
        <w:ind w:firstLine="640"/>
        <w:rPr>
          <w:rFonts w:ascii="Times New Roman" w:hAnsi="Times New Roman" w:eastAsia="仿宋_GB2312" w:cs="Times New Roman"/>
          <w:bCs/>
          <w:sz w:val="30"/>
          <w:szCs w:val="30"/>
          <w:highlight w:val="none"/>
        </w:rPr>
      </w:pPr>
      <w:r>
        <w:rPr>
          <w:rFonts w:ascii="Times New Roman" w:hAnsi="Times New Roman" w:eastAsia="仿宋_GB2312" w:cs="Times New Roman"/>
          <w:bCs/>
          <w:sz w:val="30"/>
          <w:szCs w:val="30"/>
          <w:highlight w:val="none"/>
        </w:rPr>
        <w:t>3.导致基金扩募发售失败的其他情形。</w:t>
      </w:r>
    </w:p>
    <w:p w14:paraId="04D801BE">
      <w:pPr>
        <w:spacing w:line="560" w:lineRule="exact"/>
        <w:ind w:firstLine="640"/>
        <w:rPr>
          <w:rFonts w:ascii="Times New Roman" w:hAnsi="Times New Roman" w:eastAsia="仿宋_GB2312" w:cs="Times New Roman"/>
          <w:bCs/>
          <w:sz w:val="30"/>
          <w:szCs w:val="30"/>
          <w:highlight w:val="none"/>
        </w:rPr>
      </w:pPr>
      <w:r>
        <w:rPr>
          <w:rFonts w:ascii="Times New Roman" w:hAnsi="Times New Roman" w:eastAsia="仿宋_GB2312" w:cs="Times New Roman"/>
          <w:bCs/>
          <w:sz w:val="30"/>
          <w:szCs w:val="30"/>
          <w:highlight w:val="none"/>
        </w:rPr>
        <w:t>基金扩募发售失败的，基金管理人披露发行失败公告，应在募集期限届满后30日内返还投资</w:t>
      </w:r>
      <w:r>
        <w:rPr>
          <w:rFonts w:hint="eastAsia" w:ascii="Times New Roman" w:hAnsi="Times New Roman" w:eastAsia="仿宋_GB2312" w:cs="Times New Roman"/>
          <w:bCs/>
          <w:sz w:val="30"/>
          <w:szCs w:val="30"/>
          <w:highlight w:val="none"/>
        </w:rPr>
        <w:t>者</w:t>
      </w:r>
      <w:r>
        <w:rPr>
          <w:rFonts w:ascii="Times New Roman" w:hAnsi="Times New Roman" w:eastAsia="仿宋_GB2312" w:cs="Times New Roman"/>
          <w:bCs/>
          <w:sz w:val="30"/>
          <w:szCs w:val="30"/>
          <w:highlight w:val="none"/>
        </w:rPr>
        <w:t>已交</w:t>
      </w:r>
      <w:r>
        <w:rPr>
          <w:rFonts w:hint="eastAsia" w:ascii="Times New Roman" w:hAnsi="Times New Roman" w:eastAsia="仿宋_GB2312" w:cs="Times New Roman"/>
          <w:bCs/>
          <w:sz w:val="30"/>
          <w:szCs w:val="30"/>
          <w:highlight w:val="none"/>
        </w:rPr>
        <w:t>付</w:t>
      </w:r>
      <w:r>
        <w:rPr>
          <w:rFonts w:ascii="Times New Roman" w:hAnsi="Times New Roman" w:eastAsia="仿宋_GB2312" w:cs="Times New Roman"/>
          <w:bCs/>
          <w:sz w:val="30"/>
          <w:szCs w:val="30"/>
          <w:highlight w:val="none"/>
        </w:rPr>
        <w:t>的款项，并加计银行同期存款利息。</w:t>
      </w:r>
    </w:p>
    <w:p w14:paraId="6DC77E08">
      <w:pPr>
        <w:keepNext/>
        <w:adjustRightInd w:val="0"/>
        <w:snapToGrid w:val="0"/>
        <w:spacing w:line="560" w:lineRule="exact"/>
        <w:jc w:val="center"/>
        <w:outlineLvl w:val="0"/>
        <w:rPr>
          <w:rFonts w:ascii="Times New Roman" w:hAnsi="Times New Roman" w:eastAsia="黑体" w:cs="Times New Roman"/>
          <w:sz w:val="30"/>
          <w:szCs w:val="30"/>
          <w:highlight w:val="none"/>
        </w:rPr>
      </w:pPr>
      <w:bookmarkStart w:id="791" w:name="_Toc15093"/>
      <w:bookmarkStart w:id="792" w:name="_Toc32567"/>
      <w:bookmarkStart w:id="793" w:name="_Toc25506"/>
      <w:bookmarkStart w:id="794" w:name="_Toc30979"/>
      <w:bookmarkStart w:id="795" w:name="_Toc464"/>
      <w:bookmarkStart w:id="796" w:name="_Toc10369"/>
      <w:bookmarkStart w:id="797" w:name="_Toc19327"/>
      <w:bookmarkStart w:id="798" w:name="_Toc12645"/>
      <w:bookmarkStart w:id="799" w:name="_Toc25129"/>
      <w:bookmarkStart w:id="800" w:name="_Toc19084"/>
      <w:bookmarkStart w:id="801" w:name="_Toc19395"/>
      <w:bookmarkStart w:id="802" w:name="_Toc27932"/>
    </w:p>
    <w:p w14:paraId="193AF8F6">
      <w:pPr>
        <w:keepNext/>
        <w:adjustRightInd w:val="0"/>
        <w:snapToGrid w:val="0"/>
        <w:spacing w:line="560" w:lineRule="exact"/>
        <w:jc w:val="center"/>
        <w:outlineLvl w:val="0"/>
        <w:rPr>
          <w:rFonts w:ascii="Times New Roman" w:hAnsi="Times New Roman" w:eastAsia="黑体" w:cs="Times New Roman"/>
          <w:b/>
          <w:bCs/>
          <w:sz w:val="30"/>
          <w:szCs w:val="30"/>
          <w:highlight w:val="none"/>
        </w:rPr>
      </w:pPr>
      <w:bookmarkStart w:id="803" w:name="_Toc8399"/>
      <w:r>
        <w:rPr>
          <w:rFonts w:ascii="Times New Roman" w:hAnsi="Times New Roman" w:eastAsia="黑体" w:cs="Times New Roman"/>
          <w:b/>
          <w:bCs/>
          <w:sz w:val="30"/>
          <w:szCs w:val="30"/>
          <w:highlight w:val="none"/>
        </w:rPr>
        <w:t>第五章 扩募份额上市</w:t>
      </w:r>
      <w:bookmarkEnd w:id="791"/>
      <w:bookmarkEnd w:id="792"/>
      <w:bookmarkEnd w:id="793"/>
      <w:bookmarkEnd w:id="794"/>
      <w:bookmarkEnd w:id="795"/>
      <w:bookmarkEnd w:id="796"/>
      <w:bookmarkEnd w:id="797"/>
      <w:bookmarkEnd w:id="798"/>
      <w:bookmarkEnd w:id="799"/>
      <w:bookmarkEnd w:id="800"/>
      <w:bookmarkEnd w:id="801"/>
      <w:bookmarkEnd w:id="802"/>
      <w:bookmarkEnd w:id="803"/>
    </w:p>
    <w:p w14:paraId="066DB92E">
      <w:pPr>
        <w:adjustRightInd w:val="0"/>
        <w:snapToGrid w:val="0"/>
        <w:spacing w:line="560" w:lineRule="exact"/>
        <w:ind w:firstLine="600" w:firstLineChars="200"/>
        <w:jc w:val="left"/>
        <w:rPr>
          <w:rFonts w:ascii="Times New Roman" w:hAnsi="Times New Roman" w:eastAsia="仿宋_GB2312" w:cs="Times New Roman"/>
          <w:sz w:val="30"/>
          <w:szCs w:val="30"/>
          <w:highlight w:val="none"/>
        </w:rPr>
      </w:pPr>
    </w:p>
    <w:p w14:paraId="3A65DBF3">
      <w:pPr>
        <w:pStyle w:val="3"/>
        <w:keepLines w:val="0"/>
        <w:spacing w:before="0" w:after="0" w:line="560" w:lineRule="exact"/>
        <w:ind w:firstLine="602" w:firstLineChars="200"/>
        <w:rPr>
          <w:rFonts w:ascii="Times New Roman" w:hAnsi="Times New Roman" w:eastAsia="黑体" w:cs="Times New Roman"/>
          <w:b/>
          <w:bCs w:val="0"/>
          <w:sz w:val="30"/>
          <w:szCs w:val="30"/>
          <w:highlight w:val="none"/>
        </w:rPr>
      </w:pPr>
      <w:bookmarkStart w:id="804" w:name="_Toc26756"/>
      <w:bookmarkStart w:id="805" w:name="_Toc5155"/>
      <w:bookmarkStart w:id="806" w:name="_Toc10354"/>
      <w:bookmarkStart w:id="807" w:name="_Toc1896"/>
      <w:bookmarkStart w:id="808" w:name="_Toc29396"/>
      <w:bookmarkStart w:id="809" w:name="_Toc10760"/>
      <w:bookmarkStart w:id="810" w:name="_Toc29379"/>
      <w:bookmarkStart w:id="811" w:name="_Toc25670"/>
      <w:bookmarkStart w:id="812" w:name="_Toc5209"/>
      <w:bookmarkStart w:id="813" w:name="_Toc28003"/>
      <w:bookmarkStart w:id="814" w:name="_Toc1978"/>
      <w:bookmarkStart w:id="815" w:name="_Toc24711"/>
      <w:bookmarkStart w:id="816" w:name="_Toc18676"/>
      <w:r>
        <w:rPr>
          <w:rFonts w:ascii="Times New Roman" w:hAnsi="Times New Roman" w:eastAsia="黑体" w:cs="Times New Roman"/>
          <w:b/>
          <w:bCs w:val="0"/>
          <w:sz w:val="30"/>
          <w:szCs w:val="30"/>
          <w:highlight w:val="none"/>
        </w:rPr>
        <w:t>一、提交扩募份额上市申请并公告</w:t>
      </w:r>
      <w:bookmarkEnd w:id="804"/>
      <w:bookmarkEnd w:id="805"/>
      <w:bookmarkEnd w:id="806"/>
      <w:bookmarkEnd w:id="807"/>
      <w:bookmarkEnd w:id="808"/>
      <w:bookmarkEnd w:id="809"/>
      <w:bookmarkEnd w:id="810"/>
      <w:bookmarkEnd w:id="811"/>
      <w:bookmarkEnd w:id="812"/>
      <w:bookmarkEnd w:id="813"/>
      <w:bookmarkEnd w:id="814"/>
      <w:bookmarkEnd w:id="815"/>
      <w:bookmarkEnd w:id="816"/>
    </w:p>
    <w:p w14:paraId="70B3C2A1">
      <w:pPr>
        <w:widowControl/>
        <w:spacing w:line="560" w:lineRule="exact"/>
        <w:ind w:firstLine="602" w:firstLineChars="200"/>
        <w:jc w:val="left"/>
        <w:rPr>
          <w:rFonts w:ascii="Times New Roman" w:hAnsi="Times New Roman" w:eastAsia="仿宋_GB2312" w:cs="Times New Roman"/>
          <w:sz w:val="30"/>
          <w:szCs w:val="30"/>
          <w:highlight w:val="none"/>
        </w:rPr>
      </w:pPr>
      <w:r>
        <w:rPr>
          <w:rFonts w:ascii="Times New Roman" w:hAnsi="Times New Roman" w:eastAsia="仿宋_GB2312" w:cs="Times New Roman"/>
          <w:b/>
          <w:sz w:val="30"/>
          <w:szCs w:val="30"/>
          <w:highlight w:val="none"/>
        </w:rPr>
        <w:t>名称释义：L日—上市首日</w:t>
      </w:r>
    </w:p>
    <w:p w14:paraId="3B3E9406">
      <w:pPr>
        <w:adjustRightInd w:val="0"/>
        <w:snapToGrid w:val="0"/>
        <w:spacing w:line="560" w:lineRule="exact"/>
        <w:ind w:firstLine="600" w:firstLineChars="200"/>
        <w:rPr>
          <w:rFonts w:ascii="Times New Roman" w:hAnsi="Times New Roman" w:eastAsia="仿宋_GB2312" w:cs="Times New Roman"/>
          <w:sz w:val="30"/>
          <w:szCs w:val="30"/>
          <w:highlight w:val="none"/>
        </w:rPr>
      </w:pPr>
      <w:r>
        <w:rPr>
          <w:rFonts w:ascii="Times New Roman" w:hAnsi="Times New Roman" w:eastAsia="仿宋_GB2312" w:cs="Times New Roman"/>
          <w:sz w:val="30"/>
          <w:szCs w:val="30"/>
          <w:highlight w:val="none"/>
        </w:rPr>
        <w:t>根据《</w:t>
      </w:r>
      <w:r>
        <w:rPr>
          <w:rFonts w:hint="eastAsia" w:ascii="Times New Roman" w:hAnsi="Times New Roman" w:eastAsia="仿宋_GB2312" w:cs="Times New Roman"/>
          <w:sz w:val="30"/>
          <w:szCs w:val="30"/>
          <w:highlight w:val="none"/>
        </w:rPr>
        <w:t>扩募及</w:t>
      </w:r>
      <w:r>
        <w:rPr>
          <w:rFonts w:ascii="Times New Roman" w:hAnsi="Times New Roman" w:eastAsia="仿宋_GB2312" w:cs="Times New Roman"/>
          <w:sz w:val="30"/>
          <w:szCs w:val="30"/>
          <w:highlight w:val="none"/>
        </w:rPr>
        <w:t>新购入</w:t>
      </w:r>
      <w:r>
        <w:rPr>
          <w:rFonts w:hint="eastAsia" w:ascii="Times New Roman" w:hAnsi="Times New Roman" w:eastAsia="仿宋_GB2312" w:cs="Times New Roman"/>
          <w:sz w:val="30"/>
          <w:szCs w:val="30"/>
          <w:highlight w:val="none"/>
        </w:rPr>
        <w:t>不动产</w:t>
      </w:r>
      <w:r>
        <w:rPr>
          <w:rFonts w:ascii="Times New Roman" w:hAnsi="Times New Roman" w:eastAsia="仿宋_GB2312" w:cs="Times New Roman"/>
          <w:sz w:val="30"/>
          <w:szCs w:val="30"/>
          <w:highlight w:val="none"/>
        </w:rPr>
        <w:t>指引》第二十八条相关要求,扩募发售完成后基金管理人应向本所申请扩募份额上市。</w:t>
      </w:r>
    </w:p>
    <w:p w14:paraId="6AC175A1">
      <w:pPr>
        <w:spacing w:line="560" w:lineRule="exact"/>
        <w:ind w:firstLine="602" w:firstLineChars="200"/>
        <w:outlineLvl w:val="2"/>
        <w:rPr>
          <w:rFonts w:ascii="Times New Roman" w:hAnsi="Times New Roman" w:eastAsia="楷体_GB2312" w:cs="Times New Roman"/>
          <w:b/>
          <w:bCs/>
          <w:kern w:val="0"/>
          <w:sz w:val="30"/>
          <w:szCs w:val="30"/>
          <w:highlight w:val="none"/>
        </w:rPr>
      </w:pPr>
      <w:bookmarkStart w:id="817" w:name="_Toc27462"/>
      <w:bookmarkStart w:id="818" w:name="_Toc27418"/>
      <w:bookmarkStart w:id="819" w:name="_Toc23382"/>
      <w:bookmarkStart w:id="820" w:name="_Toc5435"/>
      <w:bookmarkStart w:id="821" w:name="_Toc20179"/>
      <w:bookmarkStart w:id="822" w:name="_Toc10862"/>
      <w:bookmarkStart w:id="823" w:name="_Toc15328"/>
      <w:bookmarkStart w:id="824" w:name="_Toc25182"/>
      <w:bookmarkStart w:id="825" w:name="_Toc15723"/>
      <w:bookmarkStart w:id="826" w:name="_Toc14876"/>
      <w:bookmarkStart w:id="827" w:name="_Toc25650"/>
      <w:bookmarkStart w:id="828" w:name="_Toc30808"/>
      <w:r>
        <w:rPr>
          <w:rFonts w:ascii="Times New Roman" w:hAnsi="Times New Roman" w:eastAsia="楷体_GB2312" w:cs="Times New Roman"/>
          <w:b/>
          <w:bCs/>
          <w:kern w:val="0"/>
          <w:sz w:val="30"/>
          <w:szCs w:val="30"/>
          <w:highlight w:val="none"/>
        </w:rPr>
        <w:t>（一）上市申请</w:t>
      </w:r>
      <w:bookmarkEnd w:id="817"/>
      <w:bookmarkEnd w:id="818"/>
      <w:bookmarkEnd w:id="819"/>
      <w:bookmarkEnd w:id="820"/>
      <w:bookmarkEnd w:id="821"/>
      <w:bookmarkEnd w:id="822"/>
      <w:bookmarkEnd w:id="823"/>
      <w:bookmarkEnd w:id="824"/>
      <w:bookmarkEnd w:id="825"/>
      <w:bookmarkEnd w:id="826"/>
      <w:bookmarkEnd w:id="827"/>
      <w:bookmarkEnd w:id="828"/>
    </w:p>
    <w:p w14:paraId="1ACA9E52">
      <w:pPr>
        <w:widowControl/>
        <w:numPr>
          <w:ilvl w:val="0"/>
          <w:numId w:val="1"/>
        </w:numPr>
        <w:spacing w:line="560" w:lineRule="exact"/>
        <w:ind w:left="197" w:firstLine="643"/>
        <w:rPr>
          <w:rFonts w:ascii="Times New Roman" w:hAnsi="Times New Roman" w:eastAsia="仿宋_GB2312" w:cs="Times New Roman"/>
          <w:b/>
          <w:sz w:val="30"/>
          <w:szCs w:val="30"/>
          <w:highlight w:val="none"/>
        </w:rPr>
      </w:pPr>
      <w:r>
        <w:rPr>
          <w:rFonts w:ascii="Times New Roman" w:hAnsi="Times New Roman" w:eastAsia="仿宋_GB2312" w:cs="Times New Roman"/>
          <w:b/>
          <w:sz w:val="30"/>
          <w:szCs w:val="30"/>
          <w:highlight w:val="none"/>
        </w:rPr>
        <w:t>L-5日</w:t>
      </w:r>
    </w:p>
    <w:p w14:paraId="6A287ACA">
      <w:pPr>
        <w:adjustRightInd w:val="0"/>
        <w:snapToGrid w:val="0"/>
        <w:spacing w:line="560" w:lineRule="exact"/>
        <w:ind w:firstLine="600" w:firstLineChars="200"/>
        <w:rPr>
          <w:rFonts w:ascii="Times New Roman" w:hAnsi="Times New Roman" w:eastAsia="仿宋_GB2312" w:cs="Times New Roman"/>
          <w:sz w:val="30"/>
          <w:szCs w:val="30"/>
          <w:highlight w:val="none"/>
        </w:rPr>
      </w:pPr>
      <w:r>
        <w:rPr>
          <w:rFonts w:ascii="Times New Roman" w:hAnsi="Times New Roman" w:eastAsia="仿宋_GB2312" w:cs="Times New Roman"/>
          <w:sz w:val="30"/>
          <w:szCs w:val="30"/>
          <w:highlight w:val="none"/>
        </w:rPr>
        <w:t>基金管理人通过本所业务管理系统平台提交扩募份额上市申请材料，包括：</w:t>
      </w:r>
    </w:p>
    <w:p w14:paraId="2DFB90C5">
      <w:pPr>
        <w:adjustRightInd w:val="0"/>
        <w:snapToGrid w:val="0"/>
        <w:spacing w:line="560" w:lineRule="exact"/>
        <w:ind w:firstLine="600" w:firstLineChars="200"/>
        <w:rPr>
          <w:rFonts w:ascii="Times New Roman" w:hAnsi="Times New Roman" w:eastAsia="仿宋_GB2312" w:cs="Times New Roman"/>
          <w:sz w:val="30"/>
          <w:szCs w:val="30"/>
          <w:highlight w:val="none"/>
        </w:rPr>
      </w:pPr>
      <w:r>
        <w:rPr>
          <w:rFonts w:ascii="Times New Roman" w:hAnsi="Times New Roman" w:eastAsia="仿宋_GB2312" w:cs="Times New Roman"/>
          <w:sz w:val="30"/>
          <w:szCs w:val="30"/>
          <w:highlight w:val="none"/>
        </w:rPr>
        <w:t>1.扩募份额上市申请书（附件1-</w:t>
      </w:r>
      <w:r>
        <w:rPr>
          <w:rFonts w:hint="eastAsia" w:ascii="Times New Roman" w:hAnsi="Times New Roman" w:eastAsia="仿宋_GB2312" w:cs="Times New Roman"/>
          <w:sz w:val="30"/>
          <w:szCs w:val="30"/>
          <w:highlight w:val="none"/>
        </w:rPr>
        <w:t>5</w:t>
      </w:r>
      <w:r>
        <w:rPr>
          <w:rFonts w:ascii="Times New Roman" w:hAnsi="Times New Roman" w:eastAsia="仿宋_GB2312" w:cs="Times New Roman"/>
          <w:sz w:val="30"/>
          <w:szCs w:val="30"/>
          <w:highlight w:val="none"/>
        </w:rPr>
        <w:t>）；</w:t>
      </w:r>
    </w:p>
    <w:p w14:paraId="26ED92EF">
      <w:pPr>
        <w:adjustRightInd w:val="0"/>
        <w:snapToGrid w:val="0"/>
        <w:spacing w:line="560" w:lineRule="exact"/>
        <w:ind w:firstLine="600" w:firstLineChars="200"/>
        <w:rPr>
          <w:rFonts w:ascii="Times New Roman" w:hAnsi="Times New Roman" w:eastAsia="仿宋_GB2312" w:cs="Times New Roman"/>
          <w:sz w:val="30"/>
          <w:szCs w:val="30"/>
          <w:highlight w:val="none"/>
        </w:rPr>
      </w:pPr>
      <w:r>
        <w:rPr>
          <w:rFonts w:ascii="Times New Roman" w:hAnsi="Times New Roman" w:eastAsia="仿宋_GB2312" w:cs="Times New Roman"/>
          <w:sz w:val="30"/>
          <w:szCs w:val="30"/>
          <w:highlight w:val="none"/>
        </w:rPr>
        <w:t>2.扩募份额上市交易公告书（必备要素见附件2-1</w:t>
      </w:r>
      <w:r>
        <w:rPr>
          <w:rFonts w:hint="eastAsia" w:ascii="Times New Roman" w:hAnsi="Times New Roman" w:eastAsia="仿宋_GB2312" w:cs="Times New Roman"/>
          <w:sz w:val="30"/>
          <w:szCs w:val="30"/>
          <w:highlight w:val="none"/>
        </w:rPr>
        <w:t>5</w:t>
      </w:r>
      <w:r>
        <w:rPr>
          <w:rFonts w:ascii="Times New Roman" w:hAnsi="Times New Roman" w:eastAsia="仿宋_GB2312" w:cs="Times New Roman"/>
          <w:sz w:val="30"/>
          <w:szCs w:val="30"/>
          <w:highlight w:val="none"/>
        </w:rPr>
        <w:t>）；</w:t>
      </w:r>
    </w:p>
    <w:p w14:paraId="032AAB9A">
      <w:pPr>
        <w:adjustRightInd w:val="0"/>
        <w:snapToGrid w:val="0"/>
        <w:spacing w:line="560" w:lineRule="exact"/>
        <w:ind w:firstLine="600" w:firstLineChars="200"/>
        <w:rPr>
          <w:rFonts w:ascii="Times New Roman" w:hAnsi="Times New Roman" w:eastAsia="仿宋_GB2312" w:cs="Times New Roman"/>
          <w:sz w:val="30"/>
          <w:szCs w:val="30"/>
          <w:highlight w:val="none"/>
        </w:rPr>
      </w:pPr>
      <w:r>
        <w:rPr>
          <w:rFonts w:ascii="Times New Roman" w:hAnsi="Times New Roman" w:eastAsia="仿宋_GB2312" w:cs="Times New Roman"/>
          <w:sz w:val="30"/>
          <w:szCs w:val="30"/>
          <w:highlight w:val="none"/>
        </w:rPr>
        <w:t>3.验资报告、已生效的</w:t>
      </w:r>
      <w:r>
        <w:rPr>
          <w:rFonts w:hint="eastAsia" w:ascii="Times New Roman" w:hAnsi="Times New Roman" w:eastAsia="仿宋_GB2312" w:cs="Times New Roman"/>
          <w:sz w:val="30"/>
          <w:szCs w:val="30"/>
          <w:highlight w:val="none"/>
        </w:rPr>
        <w:t>不动产</w:t>
      </w:r>
      <w:r>
        <w:rPr>
          <w:rFonts w:ascii="Times New Roman" w:hAnsi="Times New Roman" w:eastAsia="仿宋_GB2312" w:cs="Times New Roman"/>
          <w:sz w:val="30"/>
          <w:szCs w:val="30"/>
          <w:highlight w:val="none"/>
        </w:rPr>
        <w:t>基金认购</w:t>
      </w:r>
      <w:r>
        <w:rPr>
          <w:rFonts w:hint="eastAsia" w:ascii="Times New Roman" w:hAnsi="Times New Roman" w:eastAsia="仿宋_GB2312" w:cs="Times New Roman"/>
          <w:sz w:val="30"/>
          <w:szCs w:val="30"/>
          <w:highlight w:val="none"/>
        </w:rPr>
        <w:t>不动产</w:t>
      </w:r>
      <w:r>
        <w:rPr>
          <w:rFonts w:ascii="Times New Roman" w:hAnsi="Times New Roman" w:eastAsia="仿宋_GB2312" w:cs="Times New Roman"/>
          <w:sz w:val="30"/>
          <w:szCs w:val="30"/>
          <w:highlight w:val="none"/>
        </w:rPr>
        <w:t>资产支持证券的认购协议（如有）；</w:t>
      </w:r>
    </w:p>
    <w:p w14:paraId="1705DF15">
      <w:pPr>
        <w:adjustRightInd w:val="0"/>
        <w:snapToGrid w:val="0"/>
        <w:spacing w:line="560" w:lineRule="exact"/>
        <w:ind w:firstLine="600" w:firstLineChars="200"/>
        <w:rPr>
          <w:rFonts w:ascii="Times New Roman" w:hAnsi="Times New Roman" w:eastAsia="仿宋_GB2312" w:cs="Times New Roman"/>
          <w:sz w:val="30"/>
          <w:szCs w:val="30"/>
          <w:highlight w:val="none"/>
        </w:rPr>
      </w:pPr>
      <w:r>
        <w:rPr>
          <w:rFonts w:ascii="Times New Roman" w:hAnsi="Times New Roman" w:eastAsia="仿宋_GB2312" w:cs="Times New Roman"/>
          <w:sz w:val="30"/>
          <w:szCs w:val="30"/>
          <w:highlight w:val="none"/>
        </w:rPr>
        <w:t>4.</w:t>
      </w:r>
      <w:r>
        <w:rPr>
          <w:rFonts w:hint="eastAsia" w:ascii="Times New Roman" w:hAnsi="Times New Roman" w:eastAsia="仿宋_GB2312" w:cs="Times New Roman"/>
          <w:sz w:val="30"/>
          <w:szCs w:val="30"/>
          <w:highlight w:val="none"/>
        </w:rPr>
        <w:t>不动产</w:t>
      </w:r>
      <w:r>
        <w:rPr>
          <w:rFonts w:ascii="Times New Roman" w:hAnsi="Times New Roman" w:eastAsia="仿宋_GB2312" w:cs="Times New Roman"/>
          <w:sz w:val="30"/>
          <w:szCs w:val="30"/>
          <w:highlight w:val="none"/>
        </w:rPr>
        <w:t>资产支持</w:t>
      </w:r>
      <w:r>
        <w:rPr>
          <w:rFonts w:hint="eastAsia" w:ascii="Times New Roman" w:hAnsi="Times New Roman" w:eastAsia="仿宋_GB2312" w:cs="Times New Roman"/>
          <w:sz w:val="30"/>
          <w:szCs w:val="30"/>
          <w:highlight w:val="none"/>
        </w:rPr>
        <w:t>专项计划</w:t>
      </w:r>
      <w:r>
        <w:rPr>
          <w:rFonts w:ascii="Times New Roman" w:hAnsi="Times New Roman" w:eastAsia="仿宋_GB2312" w:cs="Times New Roman"/>
          <w:sz w:val="30"/>
          <w:szCs w:val="30"/>
          <w:highlight w:val="none"/>
        </w:rPr>
        <w:t>成立公告（如有）；</w:t>
      </w:r>
    </w:p>
    <w:p w14:paraId="574BDB95">
      <w:pPr>
        <w:adjustRightInd w:val="0"/>
        <w:snapToGrid w:val="0"/>
        <w:spacing w:line="560" w:lineRule="exact"/>
        <w:ind w:firstLine="600" w:firstLineChars="200"/>
        <w:rPr>
          <w:rFonts w:ascii="Times New Roman" w:hAnsi="Times New Roman" w:eastAsia="仿宋_GB2312" w:cs="Times New Roman"/>
          <w:sz w:val="30"/>
          <w:szCs w:val="30"/>
          <w:highlight w:val="none"/>
        </w:rPr>
      </w:pPr>
      <w:r>
        <w:rPr>
          <w:rFonts w:ascii="Times New Roman" w:hAnsi="Times New Roman" w:eastAsia="仿宋_GB2312" w:cs="Times New Roman"/>
          <w:sz w:val="30"/>
          <w:szCs w:val="30"/>
          <w:highlight w:val="none"/>
        </w:rPr>
        <w:t>5.已生效的基础资产买卖协议（如有）；</w:t>
      </w:r>
    </w:p>
    <w:p w14:paraId="1433C164">
      <w:pPr>
        <w:adjustRightInd w:val="0"/>
        <w:snapToGrid w:val="0"/>
        <w:spacing w:line="560" w:lineRule="exact"/>
        <w:ind w:firstLine="600" w:firstLineChars="200"/>
        <w:rPr>
          <w:rFonts w:ascii="Times New Roman" w:hAnsi="Times New Roman" w:eastAsia="仿宋_GB2312" w:cs="Times New Roman"/>
          <w:sz w:val="30"/>
          <w:szCs w:val="30"/>
          <w:highlight w:val="none"/>
        </w:rPr>
      </w:pPr>
      <w:r>
        <w:rPr>
          <w:rFonts w:ascii="Times New Roman" w:hAnsi="Times New Roman" w:eastAsia="仿宋_GB2312" w:cs="Times New Roman"/>
          <w:sz w:val="30"/>
          <w:szCs w:val="30"/>
          <w:highlight w:val="none"/>
        </w:rPr>
        <w:t>6.本所要求的其他文件。</w:t>
      </w:r>
    </w:p>
    <w:p w14:paraId="208EE023">
      <w:pPr>
        <w:keepNext/>
        <w:adjustRightInd w:val="0"/>
        <w:snapToGrid w:val="0"/>
        <w:spacing w:line="560" w:lineRule="exact"/>
        <w:ind w:firstLine="600" w:firstLineChars="200"/>
        <w:rPr>
          <w:rFonts w:ascii="Times New Roman" w:hAnsi="Times New Roman" w:eastAsia="楷体_GB2312" w:cs="Times New Roman"/>
          <w:b/>
          <w:bCs/>
          <w:kern w:val="0"/>
          <w:sz w:val="30"/>
          <w:szCs w:val="30"/>
          <w:highlight w:val="none"/>
        </w:rPr>
      </w:pPr>
      <w:r>
        <w:rPr>
          <w:rFonts w:ascii="Times New Roman" w:hAnsi="Times New Roman" w:eastAsia="仿宋_GB2312" w:cs="Times New Roman"/>
          <w:sz w:val="30"/>
          <w:szCs w:val="30"/>
          <w:highlight w:val="none"/>
        </w:rPr>
        <w:t>本所对扩募份额上市申请进行初步审核，如无异议，则流程正常进行；如对上市申请有异议，通知基金管理人修正、补充材料。</w:t>
      </w:r>
      <w:bookmarkStart w:id="829" w:name="_Toc7836"/>
    </w:p>
    <w:p w14:paraId="24396B25">
      <w:pPr>
        <w:numPr>
          <w:ilvl w:val="255"/>
          <w:numId w:val="0"/>
        </w:numPr>
        <w:spacing w:line="560" w:lineRule="exact"/>
        <w:ind w:firstLine="602" w:firstLineChars="200"/>
        <w:outlineLvl w:val="2"/>
        <w:rPr>
          <w:rFonts w:ascii="Times New Roman" w:hAnsi="Times New Roman" w:eastAsia="楷体_GB2312" w:cs="Times New Roman"/>
          <w:b/>
          <w:bCs/>
          <w:kern w:val="0"/>
          <w:sz w:val="30"/>
          <w:szCs w:val="30"/>
          <w:highlight w:val="none"/>
        </w:rPr>
      </w:pPr>
      <w:bookmarkStart w:id="830" w:name="_Toc17879"/>
      <w:bookmarkStart w:id="831" w:name="_Toc5046"/>
      <w:bookmarkStart w:id="832" w:name="_Toc8387"/>
      <w:bookmarkStart w:id="833" w:name="_Toc6438"/>
      <w:bookmarkStart w:id="834" w:name="_Toc14752"/>
      <w:bookmarkStart w:id="835" w:name="_Toc21057"/>
      <w:bookmarkStart w:id="836" w:name="_Toc24148"/>
      <w:bookmarkStart w:id="837" w:name="_Toc8715"/>
      <w:bookmarkStart w:id="838" w:name="_Toc10379"/>
      <w:bookmarkStart w:id="839" w:name="_Toc5578"/>
      <w:r>
        <w:rPr>
          <w:rFonts w:ascii="Times New Roman" w:hAnsi="Times New Roman" w:eastAsia="楷体_GB2312" w:cs="Times New Roman"/>
          <w:b/>
          <w:bCs/>
          <w:kern w:val="0"/>
          <w:sz w:val="30"/>
          <w:szCs w:val="30"/>
          <w:highlight w:val="none"/>
        </w:rPr>
        <w:t>（二）上市日期确定</w:t>
      </w:r>
      <w:bookmarkEnd w:id="830"/>
      <w:bookmarkEnd w:id="831"/>
      <w:bookmarkEnd w:id="832"/>
      <w:bookmarkEnd w:id="833"/>
      <w:bookmarkEnd w:id="834"/>
      <w:bookmarkEnd w:id="835"/>
      <w:bookmarkEnd w:id="836"/>
      <w:bookmarkEnd w:id="837"/>
      <w:bookmarkEnd w:id="838"/>
      <w:bookmarkEnd w:id="839"/>
    </w:p>
    <w:p w14:paraId="49D02868">
      <w:pPr>
        <w:widowControl/>
        <w:numPr>
          <w:ilvl w:val="0"/>
          <w:numId w:val="1"/>
        </w:numPr>
        <w:spacing w:line="560" w:lineRule="exact"/>
        <w:ind w:left="197" w:firstLine="643"/>
        <w:rPr>
          <w:rFonts w:ascii="Times New Roman" w:hAnsi="Times New Roman" w:eastAsia="仿宋_GB2312" w:cs="Times New Roman"/>
          <w:b/>
          <w:sz w:val="30"/>
          <w:szCs w:val="30"/>
          <w:highlight w:val="none"/>
        </w:rPr>
      </w:pPr>
      <w:r>
        <w:rPr>
          <w:rFonts w:ascii="Times New Roman" w:hAnsi="Times New Roman" w:eastAsia="仿宋_GB2312" w:cs="Times New Roman"/>
          <w:b/>
          <w:sz w:val="30"/>
          <w:szCs w:val="30"/>
          <w:highlight w:val="none"/>
        </w:rPr>
        <w:t xml:space="preserve">L-4日（含）前 </w:t>
      </w:r>
    </w:p>
    <w:p w14:paraId="51AAFFF0">
      <w:pPr>
        <w:spacing w:line="560" w:lineRule="exact"/>
        <w:ind w:firstLine="600" w:firstLineChars="200"/>
        <w:rPr>
          <w:rFonts w:ascii="Times New Roman" w:hAnsi="Times New Roman" w:eastAsia="仿宋_GB2312" w:cs="Times New Roman"/>
          <w:sz w:val="30"/>
          <w:szCs w:val="30"/>
          <w:highlight w:val="none"/>
        </w:rPr>
      </w:pPr>
      <w:r>
        <w:rPr>
          <w:rFonts w:ascii="Times New Roman" w:hAnsi="Times New Roman" w:eastAsia="仿宋_GB2312" w:cs="Times New Roman"/>
          <w:sz w:val="30"/>
          <w:szCs w:val="30"/>
          <w:highlight w:val="none"/>
        </w:rPr>
        <w:t>经本所初步审核后，基金管理人对拟定的上市日期进行确认：</w:t>
      </w:r>
    </w:p>
    <w:p w14:paraId="28297215">
      <w:pPr>
        <w:spacing w:line="560" w:lineRule="exact"/>
        <w:ind w:firstLine="600" w:firstLineChars="200"/>
        <w:rPr>
          <w:rFonts w:ascii="Times New Roman" w:hAnsi="Times New Roman" w:eastAsia="仿宋_GB2312" w:cs="Times New Roman"/>
          <w:sz w:val="30"/>
          <w:szCs w:val="30"/>
          <w:highlight w:val="none"/>
        </w:rPr>
      </w:pPr>
      <w:r>
        <w:rPr>
          <w:rFonts w:ascii="Times New Roman" w:hAnsi="Times New Roman" w:eastAsia="仿宋_GB2312" w:cs="Times New Roman"/>
          <w:sz w:val="30"/>
          <w:szCs w:val="30"/>
          <w:highlight w:val="none"/>
        </w:rPr>
        <w:t>1.如确定拟定上市日期为正式上市日期，则在提交上市公告及要求文件后，上市业务申请办结；</w:t>
      </w:r>
    </w:p>
    <w:p w14:paraId="590A4593">
      <w:pPr>
        <w:spacing w:line="560" w:lineRule="exact"/>
        <w:ind w:firstLine="600" w:firstLineChars="200"/>
        <w:rPr>
          <w:rFonts w:ascii="Times New Roman" w:hAnsi="Times New Roman" w:eastAsia="仿宋_GB2312" w:cs="Times New Roman"/>
          <w:sz w:val="30"/>
          <w:szCs w:val="30"/>
          <w:highlight w:val="none"/>
        </w:rPr>
      </w:pPr>
      <w:r>
        <w:rPr>
          <w:rFonts w:ascii="Times New Roman" w:hAnsi="Times New Roman" w:eastAsia="仿宋_GB2312" w:cs="Times New Roman"/>
          <w:sz w:val="30"/>
          <w:szCs w:val="30"/>
          <w:highlight w:val="none"/>
        </w:rPr>
        <w:t>2.如此时需变更拟定的上市日期，但其他相关信息无变动，则基金管理人可修改上市日期，并重新提交日期变更后的上市公告文件，经本所再次审核通过后，上市业务申请办结。</w:t>
      </w:r>
    </w:p>
    <w:p w14:paraId="7A1C1036">
      <w:pPr>
        <w:numPr>
          <w:ilvl w:val="255"/>
          <w:numId w:val="0"/>
        </w:numPr>
        <w:spacing w:line="560" w:lineRule="exact"/>
        <w:ind w:firstLine="602" w:firstLineChars="200"/>
        <w:outlineLvl w:val="2"/>
        <w:rPr>
          <w:rFonts w:ascii="Times New Roman" w:hAnsi="Times New Roman" w:eastAsia="楷体_GB2312" w:cs="Times New Roman"/>
          <w:b/>
          <w:bCs/>
          <w:kern w:val="0"/>
          <w:sz w:val="30"/>
          <w:szCs w:val="30"/>
          <w:highlight w:val="none"/>
        </w:rPr>
      </w:pPr>
      <w:bookmarkStart w:id="840" w:name="_Toc14398"/>
      <w:bookmarkStart w:id="841" w:name="_Toc5048"/>
      <w:bookmarkStart w:id="842" w:name="_Toc25818"/>
      <w:bookmarkStart w:id="843" w:name="_Toc21761"/>
      <w:bookmarkStart w:id="844" w:name="_Toc11465"/>
      <w:r>
        <w:rPr>
          <w:rFonts w:ascii="Times New Roman" w:hAnsi="Times New Roman" w:eastAsia="楷体_GB2312" w:cs="Times New Roman"/>
          <w:b/>
          <w:bCs/>
          <w:kern w:val="0"/>
          <w:sz w:val="30"/>
          <w:szCs w:val="30"/>
          <w:highlight w:val="none"/>
        </w:rPr>
        <w:t>（三）上市公告</w:t>
      </w:r>
      <w:bookmarkEnd w:id="840"/>
      <w:bookmarkEnd w:id="841"/>
      <w:bookmarkEnd w:id="842"/>
      <w:bookmarkEnd w:id="843"/>
      <w:bookmarkEnd w:id="844"/>
    </w:p>
    <w:p w14:paraId="21A6D278">
      <w:pPr>
        <w:widowControl/>
        <w:numPr>
          <w:ilvl w:val="0"/>
          <w:numId w:val="1"/>
        </w:numPr>
        <w:spacing w:line="560" w:lineRule="exact"/>
        <w:ind w:left="197" w:firstLine="643"/>
        <w:rPr>
          <w:rFonts w:ascii="Times New Roman" w:hAnsi="Times New Roman" w:eastAsia="仿宋_GB2312" w:cs="Times New Roman"/>
          <w:b/>
          <w:sz w:val="30"/>
          <w:szCs w:val="30"/>
          <w:highlight w:val="none"/>
        </w:rPr>
      </w:pPr>
      <w:r>
        <w:rPr>
          <w:rFonts w:ascii="Times New Roman" w:hAnsi="Times New Roman" w:eastAsia="仿宋_GB2312" w:cs="Times New Roman"/>
          <w:b/>
          <w:sz w:val="30"/>
          <w:szCs w:val="30"/>
          <w:highlight w:val="none"/>
        </w:rPr>
        <w:t xml:space="preserve">L-3日（含）前 </w:t>
      </w:r>
    </w:p>
    <w:p w14:paraId="17E4F9F9">
      <w:pPr>
        <w:keepNext/>
        <w:spacing w:line="560" w:lineRule="exact"/>
        <w:ind w:firstLine="600" w:firstLineChars="200"/>
        <w:rPr>
          <w:rFonts w:ascii="Times New Roman" w:hAnsi="Times New Roman" w:eastAsia="仿宋_GB2312" w:cs="Times New Roman"/>
          <w:sz w:val="30"/>
          <w:szCs w:val="30"/>
          <w:highlight w:val="none"/>
        </w:rPr>
      </w:pPr>
      <w:r>
        <w:rPr>
          <w:rFonts w:ascii="Times New Roman" w:hAnsi="Times New Roman" w:eastAsia="仿宋_GB2312" w:cs="Times New Roman"/>
          <w:sz w:val="30"/>
          <w:szCs w:val="30"/>
          <w:highlight w:val="none"/>
        </w:rPr>
        <w:t>基金管理人披露扩募份额上市公告。</w:t>
      </w:r>
    </w:p>
    <w:p w14:paraId="465677A9">
      <w:pPr>
        <w:pStyle w:val="3"/>
        <w:spacing w:before="0" w:after="0" w:line="560" w:lineRule="exact"/>
        <w:ind w:firstLine="602" w:firstLineChars="200"/>
        <w:rPr>
          <w:rFonts w:ascii="Times New Roman" w:hAnsi="Times New Roman" w:eastAsia="黑体" w:cs="Times New Roman"/>
          <w:b/>
          <w:bCs w:val="0"/>
          <w:sz w:val="30"/>
          <w:szCs w:val="30"/>
          <w:highlight w:val="none"/>
        </w:rPr>
      </w:pPr>
      <w:bookmarkStart w:id="845" w:name="_Toc27588"/>
      <w:bookmarkStart w:id="846" w:name="_Toc488"/>
      <w:bookmarkStart w:id="847" w:name="_Toc26121"/>
      <w:bookmarkStart w:id="848" w:name="_Toc11345"/>
      <w:bookmarkStart w:id="849" w:name="_Toc13792"/>
      <w:bookmarkStart w:id="850" w:name="_Toc25096"/>
      <w:bookmarkStart w:id="851" w:name="_Toc26602"/>
      <w:bookmarkStart w:id="852" w:name="_Toc31053"/>
      <w:bookmarkStart w:id="853" w:name="_Toc15371"/>
      <w:bookmarkStart w:id="854" w:name="_Toc9410"/>
      <w:bookmarkStart w:id="855" w:name="_Toc18658"/>
      <w:r>
        <w:rPr>
          <w:rFonts w:ascii="Times New Roman" w:hAnsi="Times New Roman" w:eastAsia="黑体" w:cs="Times New Roman"/>
          <w:b/>
          <w:bCs w:val="0"/>
          <w:sz w:val="30"/>
          <w:szCs w:val="30"/>
          <w:highlight w:val="none"/>
        </w:rPr>
        <w:t>二、向中国结算发送上市日期</w:t>
      </w:r>
      <w:bookmarkEnd w:id="845"/>
      <w:bookmarkEnd w:id="846"/>
      <w:bookmarkEnd w:id="847"/>
      <w:bookmarkEnd w:id="848"/>
      <w:bookmarkEnd w:id="849"/>
      <w:bookmarkEnd w:id="850"/>
      <w:bookmarkEnd w:id="851"/>
      <w:bookmarkEnd w:id="852"/>
      <w:bookmarkEnd w:id="853"/>
      <w:bookmarkEnd w:id="854"/>
      <w:bookmarkEnd w:id="855"/>
    </w:p>
    <w:p w14:paraId="7E395CB1">
      <w:pPr>
        <w:widowControl/>
        <w:numPr>
          <w:ilvl w:val="0"/>
          <w:numId w:val="1"/>
        </w:numPr>
        <w:spacing w:line="560" w:lineRule="exact"/>
        <w:ind w:left="197" w:firstLine="643"/>
        <w:rPr>
          <w:rFonts w:ascii="Times New Roman" w:hAnsi="Times New Roman" w:eastAsia="仿宋_GB2312" w:cs="Times New Roman"/>
          <w:b/>
          <w:sz w:val="30"/>
          <w:szCs w:val="30"/>
          <w:highlight w:val="none"/>
        </w:rPr>
      </w:pPr>
      <w:r>
        <w:rPr>
          <w:rFonts w:ascii="Times New Roman" w:hAnsi="Times New Roman" w:eastAsia="仿宋_GB2312" w:cs="Times New Roman"/>
          <w:b/>
          <w:sz w:val="30"/>
          <w:szCs w:val="30"/>
          <w:highlight w:val="none"/>
        </w:rPr>
        <w:t>L-2日（含）前</w:t>
      </w:r>
    </w:p>
    <w:p w14:paraId="79A5EB62">
      <w:pPr>
        <w:keepNext/>
        <w:spacing w:line="560" w:lineRule="exact"/>
        <w:ind w:firstLine="600" w:firstLineChars="200"/>
        <w:rPr>
          <w:rFonts w:ascii="Times New Roman" w:hAnsi="Times New Roman" w:eastAsia="楷体_GB2312" w:cs="Times New Roman"/>
          <w:b/>
          <w:bCs/>
          <w:kern w:val="0"/>
          <w:sz w:val="30"/>
          <w:szCs w:val="30"/>
          <w:highlight w:val="none"/>
        </w:rPr>
      </w:pPr>
      <w:r>
        <w:rPr>
          <w:rFonts w:ascii="Times New Roman" w:hAnsi="Times New Roman" w:eastAsia="仿宋_GB2312" w:cs="Times New Roman"/>
          <w:sz w:val="30"/>
          <w:szCs w:val="30"/>
          <w:highlight w:val="none"/>
        </w:rPr>
        <w:t>本所向中国结算发送上市日期，基金管理人向中国结算提交上市日期维护申请。</w:t>
      </w:r>
    </w:p>
    <w:p w14:paraId="6D43FCD2">
      <w:pPr>
        <w:pStyle w:val="3"/>
        <w:keepLines w:val="0"/>
        <w:spacing w:before="0" w:after="0" w:line="560" w:lineRule="exact"/>
        <w:ind w:firstLine="602" w:firstLineChars="200"/>
        <w:rPr>
          <w:rFonts w:ascii="Times New Roman" w:hAnsi="Times New Roman" w:eastAsia="黑体" w:cs="Times New Roman"/>
          <w:b/>
          <w:bCs w:val="0"/>
          <w:sz w:val="30"/>
          <w:szCs w:val="30"/>
          <w:highlight w:val="none"/>
        </w:rPr>
      </w:pPr>
      <w:bookmarkStart w:id="856" w:name="_Toc7143"/>
      <w:bookmarkStart w:id="857" w:name="_Toc14436"/>
      <w:bookmarkStart w:id="858" w:name="_Toc16059"/>
      <w:bookmarkStart w:id="859" w:name="_Toc25564"/>
      <w:bookmarkStart w:id="860" w:name="_Toc13645"/>
      <w:bookmarkStart w:id="861" w:name="_Toc30769"/>
      <w:bookmarkStart w:id="862" w:name="_Toc21920"/>
      <w:bookmarkStart w:id="863" w:name="_Toc26249"/>
      <w:bookmarkStart w:id="864" w:name="_Toc11224"/>
      <w:bookmarkStart w:id="865" w:name="_Toc28599"/>
      <w:bookmarkStart w:id="866" w:name="_Toc13600"/>
      <w:r>
        <w:rPr>
          <w:rFonts w:ascii="Times New Roman" w:hAnsi="Times New Roman" w:eastAsia="黑体" w:cs="Times New Roman"/>
          <w:b/>
          <w:bCs w:val="0"/>
          <w:sz w:val="30"/>
          <w:szCs w:val="30"/>
          <w:highlight w:val="none"/>
        </w:rPr>
        <w:t>三、披露上市交易提示性公告</w:t>
      </w:r>
      <w:bookmarkEnd w:id="829"/>
      <w:bookmarkEnd w:id="856"/>
      <w:bookmarkEnd w:id="857"/>
      <w:bookmarkEnd w:id="858"/>
      <w:bookmarkEnd w:id="859"/>
      <w:bookmarkEnd w:id="860"/>
      <w:bookmarkEnd w:id="861"/>
      <w:bookmarkEnd w:id="862"/>
      <w:bookmarkEnd w:id="863"/>
      <w:bookmarkEnd w:id="864"/>
      <w:bookmarkEnd w:id="865"/>
      <w:bookmarkEnd w:id="866"/>
    </w:p>
    <w:p w14:paraId="6446E59E">
      <w:pPr>
        <w:widowControl/>
        <w:numPr>
          <w:ilvl w:val="0"/>
          <w:numId w:val="1"/>
        </w:numPr>
        <w:spacing w:line="560" w:lineRule="exact"/>
        <w:ind w:left="197" w:firstLine="643"/>
        <w:rPr>
          <w:rFonts w:ascii="Times New Roman" w:hAnsi="Times New Roman" w:eastAsia="仿宋_GB2312" w:cs="Times New Roman"/>
          <w:b/>
          <w:sz w:val="30"/>
          <w:szCs w:val="30"/>
          <w:highlight w:val="none"/>
        </w:rPr>
      </w:pPr>
      <w:r>
        <w:rPr>
          <w:rFonts w:ascii="Times New Roman" w:hAnsi="Times New Roman" w:eastAsia="仿宋_GB2312" w:cs="Times New Roman"/>
          <w:b/>
          <w:sz w:val="30"/>
          <w:szCs w:val="30"/>
          <w:highlight w:val="none"/>
        </w:rPr>
        <w:t>L-1日</w:t>
      </w:r>
    </w:p>
    <w:p w14:paraId="0EE3DCCE">
      <w:pPr>
        <w:spacing w:line="560" w:lineRule="exact"/>
        <w:ind w:firstLine="600" w:firstLineChars="200"/>
        <w:rPr>
          <w:rFonts w:ascii="Times New Roman" w:hAnsi="Times New Roman" w:eastAsia="仿宋_GB2312" w:cs="Times New Roman"/>
          <w:sz w:val="30"/>
          <w:szCs w:val="30"/>
          <w:highlight w:val="none"/>
        </w:rPr>
      </w:pPr>
      <w:r>
        <w:rPr>
          <w:rFonts w:ascii="Times New Roman" w:hAnsi="Times New Roman" w:eastAsia="仿宋_GB2312" w:cs="Times New Roman"/>
          <w:sz w:val="30"/>
          <w:szCs w:val="30"/>
          <w:highlight w:val="none"/>
        </w:rPr>
        <w:t>基金管理人通过本所业务管理系统平台提交上市交易提示性公告信息披露申请，参照《2号指南》第二章内容，通过本所业务管理系统平台填报投资者及其一致行动人信息。</w:t>
      </w:r>
    </w:p>
    <w:p w14:paraId="569A8EB8">
      <w:pPr>
        <w:pStyle w:val="3"/>
        <w:spacing w:before="0" w:after="0" w:line="560" w:lineRule="exact"/>
        <w:ind w:firstLine="602" w:firstLineChars="200"/>
        <w:rPr>
          <w:rFonts w:ascii="Times New Roman" w:hAnsi="Times New Roman" w:eastAsia="黑体" w:cs="Times New Roman"/>
          <w:b/>
          <w:bCs w:val="0"/>
          <w:sz w:val="30"/>
          <w:szCs w:val="30"/>
          <w:highlight w:val="none"/>
        </w:rPr>
      </w:pPr>
      <w:bookmarkStart w:id="867" w:name="_Toc5629"/>
      <w:bookmarkStart w:id="868" w:name="_Toc608"/>
      <w:bookmarkStart w:id="869" w:name="_Toc26460"/>
      <w:bookmarkStart w:id="870" w:name="_Toc12066"/>
      <w:bookmarkStart w:id="871" w:name="_Toc31703"/>
      <w:bookmarkStart w:id="872" w:name="_Toc23225"/>
      <w:bookmarkStart w:id="873" w:name="_Toc5270"/>
      <w:bookmarkStart w:id="874" w:name="_Toc30805"/>
      <w:bookmarkStart w:id="875" w:name="_Toc8388"/>
      <w:bookmarkStart w:id="876" w:name="_Toc3750"/>
      <w:bookmarkStart w:id="877" w:name="_Toc28536"/>
      <w:r>
        <w:rPr>
          <w:rFonts w:ascii="Times New Roman" w:hAnsi="Times New Roman" w:eastAsia="黑体" w:cs="Times New Roman"/>
          <w:b/>
          <w:bCs w:val="0"/>
          <w:sz w:val="30"/>
          <w:szCs w:val="30"/>
          <w:highlight w:val="none"/>
        </w:rPr>
        <w:t>四、扩募份额上市</w:t>
      </w:r>
      <w:bookmarkEnd w:id="867"/>
      <w:bookmarkEnd w:id="868"/>
      <w:bookmarkEnd w:id="869"/>
      <w:bookmarkEnd w:id="870"/>
      <w:bookmarkEnd w:id="871"/>
      <w:bookmarkEnd w:id="872"/>
      <w:bookmarkEnd w:id="873"/>
      <w:bookmarkEnd w:id="874"/>
      <w:bookmarkEnd w:id="875"/>
      <w:bookmarkEnd w:id="876"/>
      <w:bookmarkEnd w:id="877"/>
    </w:p>
    <w:p w14:paraId="0262186B">
      <w:pPr>
        <w:widowControl/>
        <w:numPr>
          <w:ilvl w:val="0"/>
          <w:numId w:val="1"/>
        </w:numPr>
        <w:spacing w:line="560" w:lineRule="exact"/>
        <w:ind w:left="197" w:firstLine="643"/>
        <w:rPr>
          <w:rFonts w:ascii="Times New Roman" w:hAnsi="Times New Roman" w:eastAsia="仿宋_GB2312" w:cs="Times New Roman"/>
          <w:b/>
          <w:sz w:val="30"/>
          <w:szCs w:val="30"/>
          <w:highlight w:val="none"/>
        </w:rPr>
      </w:pPr>
      <w:r>
        <w:rPr>
          <w:rFonts w:ascii="Times New Roman" w:hAnsi="Times New Roman" w:eastAsia="仿宋_GB2312" w:cs="Times New Roman"/>
          <w:b/>
          <w:sz w:val="30"/>
          <w:szCs w:val="30"/>
          <w:highlight w:val="none"/>
        </w:rPr>
        <w:t>L日</w:t>
      </w:r>
    </w:p>
    <w:p w14:paraId="084F5FBF">
      <w:pPr>
        <w:spacing w:line="560" w:lineRule="exact"/>
        <w:ind w:firstLine="600" w:firstLineChars="200"/>
        <w:rPr>
          <w:rFonts w:ascii="Times New Roman" w:hAnsi="Times New Roman" w:eastAsia="仿宋_GB2312" w:cs="Times New Roman"/>
          <w:sz w:val="30"/>
          <w:szCs w:val="30"/>
          <w:highlight w:val="none"/>
        </w:rPr>
      </w:pPr>
      <w:r>
        <w:rPr>
          <w:rFonts w:ascii="Times New Roman" w:hAnsi="Times New Roman" w:eastAsia="仿宋_GB2312" w:cs="Times New Roman"/>
          <w:sz w:val="30"/>
          <w:szCs w:val="30"/>
          <w:highlight w:val="none"/>
        </w:rPr>
        <w:t>扩募份额完成上市。</w:t>
      </w:r>
    </w:p>
    <w:p w14:paraId="6818CF92">
      <w:pPr>
        <w:spacing w:line="560" w:lineRule="exact"/>
        <w:ind w:firstLine="600" w:firstLineChars="200"/>
        <w:rPr>
          <w:rFonts w:ascii="Times New Roman" w:hAnsi="Times New Roman" w:eastAsia="仿宋_GB2312" w:cs="Times New Roman"/>
          <w:sz w:val="30"/>
          <w:szCs w:val="30"/>
          <w:highlight w:val="none"/>
        </w:rPr>
      </w:pPr>
      <w:r>
        <w:rPr>
          <w:rFonts w:ascii="Times New Roman" w:hAnsi="Times New Roman" w:eastAsia="仿宋_GB2312" w:cs="Times New Roman"/>
          <w:sz w:val="30"/>
          <w:szCs w:val="30"/>
          <w:highlight w:val="none"/>
        </w:rPr>
        <w:t>上市日起，投资者扩募所得的场外未锁定份额可以办理转托管和基金通平台做市份额转出、做市转让等业务。</w:t>
      </w:r>
    </w:p>
    <w:p w14:paraId="1ADFF2D1">
      <w:pPr>
        <w:keepNext/>
        <w:adjustRightInd w:val="0"/>
        <w:snapToGrid w:val="0"/>
        <w:spacing w:line="560" w:lineRule="exact"/>
        <w:jc w:val="center"/>
        <w:outlineLvl w:val="0"/>
        <w:rPr>
          <w:rFonts w:ascii="Times New Roman" w:hAnsi="Times New Roman" w:eastAsia="黑体" w:cs="Times New Roman"/>
          <w:sz w:val="30"/>
          <w:szCs w:val="30"/>
          <w:highlight w:val="none"/>
        </w:rPr>
      </w:pPr>
      <w:bookmarkStart w:id="878" w:name="_Toc22435"/>
      <w:bookmarkStart w:id="879" w:name="_Toc8373"/>
      <w:bookmarkStart w:id="880" w:name="_Toc11029"/>
      <w:bookmarkStart w:id="881" w:name="_Toc25782"/>
      <w:bookmarkStart w:id="882" w:name="_Toc6155"/>
      <w:bookmarkStart w:id="883" w:name="_Toc14563"/>
      <w:bookmarkStart w:id="884" w:name="_Toc6362"/>
      <w:bookmarkStart w:id="885" w:name="_Toc26982"/>
      <w:bookmarkStart w:id="886" w:name="_Toc14885"/>
      <w:bookmarkStart w:id="887" w:name="_Toc21464"/>
      <w:bookmarkStart w:id="888" w:name="_Toc9048"/>
      <w:bookmarkStart w:id="889" w:name="_Toc4152"/>
    </w:p>
    <w:p w14:paraId="31331F21">
      <w:pPr>
        <w:keepNext w:val="0"/>
        <w:adjustRightInd/>
        <w:snapToGrid/>
        <w:spacing w:line="240" w:lineRule="auto"/>
        <w:jc w:val="left"/>
        <w:outlineLvl w:val="9"/>
        <w:rPr>
          <w:rFonts w:ascii="Times New Roman" w:hAnsi="Times New Roman" w:eastAsia="黑体" w:cs="Times New Roman"/>
          <w:sz w:val="30"/>
          <w:szCs w:val="30"/>
          <w:highlight w:val="none"/>
        </w:rPr>
      </w:pPr>
      <w:bookmarkStart w:id="890" w:name="_Toc10998"/>
      <w:r>
        <w:rPr>
          <w:rFonts w:ascii="Times New Roman" w:hAnsi="Times New Roman" w:eastAsia="黑体" w:cs="Times New Roman"/>
          <w:sz w:val="30"/>
          <w:szCs w:val="30"/>
          <w:highlight w:val="none"/>
        </w:rPr>
        <w:br w:type="page"/>
      </w:r>
    </w:p>
    <w:p w14:paraId="1C72FDDD">
      <w:pPr>
        <w:keepNext/>
        <w:adjustRightInd w:val="0"/>
        <w:snapToGrid w:val="0"/>
        <w:spacing w:line="560" w:lineRule="exact"/>
        <w:jc w:val="center"/>
        <w:outlineLvl w:val="0"/>
        <w:rPr>
          <w:rFonts w:ascii="Times New Roman" w:hAnsi="Times New Roman" w:eastAsia="黑体" w:cs="Times New Roman"/>
          <w:b/>
          <w:bCs/>
          <w:sz w:val="30"/>
          <w:szCs w:val="30"/>
          <w:highlight w:val="none"/>
        </w:rPr>
      </w:pPr>
      <w:r>
        <w:rPr>
          <w:rFonts w:ascii="Times New Roman" w:hAnsi="Times New Roman" w:eastAsia="黑体" w:cs="Times New Roman"/>
          <w:b/>
          <w:bCs/>
          <w:sz w:val="30"/>
          <w:szCs w:val="30"/>
          <w:highlight w:val="none"/>
        </w:rPr>
        <w:t>第六章 模板及附件</w:t>
      </w:r>
      <w:bookmarkEnd w:id="878"/>
      <w:bookmarkEnd w:id="879"/>
      <w:bookmarkEnd w:id="880"/>
      <w:bookmarkEnd w:id="881"/>
      <w:bookmarkEnd w:id="882"/>
      <w:bookmarkEnd w:id="883"/>
      <w:bookmarkEnd w:id="884"/>
      <w:bookmarkEnd w:id="885"/>
      <w:bookmarkEnd w:id="886"/>
      <w:bookmarkEnd w:id="887"/>
      <w:bookmarkEnd w:id="888"/>
      <w:bookmarkEnd w:id="889"/>
      <w:bookmarkEnd w:id="890"/>
    </w:p>
    <w:p w14:paraId="0281DB22">
      <w:pPr>
        <w:spacing w:line="560" w:lineRule="exact"/>
        <w:ind w:firstLine="600" w:firstLineChars="200"/>
        <w:rPr>
          <w:rFonts w:ascii="Times New Roman" w:hAnsi="Times New Roman" w:eastAsia="仿宋_GB2312" w:cs="Times New Roman"/>
          <w:sz w:val="30"/>
          <w:szCs w:val="30"/>
          <w:highlight w:val="none"/>
        </w:rPr>
      </w:pPr>
      <w:bookmarkStart w:id="891" w:name="_Toc10635"/>
      <w:bookmarkStart w:id="892" w:name="_Toc26041"/>
      <w:bookmarkStart w:id="893" w:name="_Toc15210"/>
    </w:p>
    <w:p w14:paraId="5F93864B">
      <w:pPr>
        <w:pStyle w:val="3"/>
        <w:spacing w:line="560" w:lineRule="exact"/>
        <w:rPr>
          <w:rFonts w:ascii="Times New Roman" w:hAnsi="Times New Roman" w:eastAsia="仿宋_GB2312" w:cs="Times New Roman"/>
          <w:b/>
          <w:bCs w:val="0"/>
          <w:sz w:val="24"/>
          <w:highlight w:val="none"/>
        </w:rPr>
      </w:pPr>
      <w:bookmarkStart w:id="894" w:name="_Toc4131"/>
      <w:bookmarkStart w:id="895" w:name="_Toc70604243"/>
      <w:bookmarkStart w:id="896" w:name="_Toc30330"/>
      <w:bookmarkStart w:id="897" w:name="_Toc1950"/>
      <w:bookmarkStart w:id="898" w:name="_Toc30567"/>
      <w:bookmarkStart w:id="899" w:name="_Toc16478"/>
      <w:bookmarkStart w:id="900" w:name="_Toc18342"/>
      <w:bookmarkStart w:id="901" w:name="_Toc31107"/>
      <w:bookmarkStart w:id="902" w:name="_Toc2241"/>
      <w:bookmarkStart w:id="903" w:name="_Toc32310"/>
      <w:bookmarkStart w:id="904" w:name="_Toc7173"/>
      <w:r>
        <w:rPr>
          <w:rFonts w:ascii="Times New Roman" w:hAnsi="Times New Roman" w:eastAsia="黑体" w:cs="Times New Roman"/>
          <w:b/>
          <w:bCs w:val="0"/>
          <w:sz w:val="30"/>
          <w:szCs w:val="30"/>
          <w:highlight w:val="none"/>
        </w:rPr>
        <w:t>一、业务文件模板</w:t>
      </w:r>
      <w:bookmarkEnd w:id="894"/>
      <w:bookmarkEnd w:id="895"/>
      <w:bookmarkEnd w:id="896"/>
      <w:bookmarkEnd w:id="897"/>
      <w:bookmarkEnd w:id="898"/>
      <w:bookmarkEnd w:id="899"/>
      <w:bookmarkStart w:id="905" w:name="_Toc70604252"/>
      <w:bookmarkStart w:id="906" w:name="_Toc29610"/>
      <w:bookmarkStart w:id="907" w:name="_Toc23857"/>
      <w:bookmarkStart w:id="908" w:name="_Toc3451"/>
      <w:bookmarkStart w:id="909" w:name="_Toc3333"/>
      <w:bookmarkStart w:id="910" w:name="OLE_LINK5"/>
    </w:p>
    <w:p w14:paraId="601EA801">
      <w:pPr>
        <w:spacing w:line="560" w:lineRule="exact"/>
        <w:outlineLvl w:val="2"/>
        <w:rPr>
          <w:rFonts w:ascii="Times New Roman" w:hAnsi="Times New Roman" w:eastAsia="仿宋_GB2312" w:cs="Times New Roman"/>
          <w:b/>
          <w:sz w:val="24"/>
          <w:highlight w:val="none"/>
        </w:rPr>
      </w:pPr>
      <w:bookmarkStart w:id="911" w:name="_Toc6185"/>
      <w:r>
        <w:rPr>
          <w:rFonts w:ascii="Times New Roman" w:hAnsi="Times New Roman" w:eastAsia="仿宋_GB2312" w:cs="Times New Roman"/>
          <w:b/>
          <w:sz w:val="24"/>
          <w:highlight w:val="none"/>
        </w:rPr>
        <w:t>附件1-1：</w:t>
      </w:r>
      <w:bookmarkEnd w:id="905"/>
      <w:r>
        <w:rPr>
          <w:rFonts w:ascii="Times New Roman" w:hAnsi="Times New Roman" w:eastAsia="仿宋_GB2312" w:cs="Times New Roman"/>
          <w:b/>
          <w:sz w:val="24"/>
          <w:highlight w:val="none"/>
        </w:rPr>
        <w:t>关于REITs扩募发售上市业务自查和承诺反馈表</w:t>
      </w:r>
      <w:bookmarkEnd w:id="906"/>
      <w:bookmarkEnd w:id="907"/>
      <w:bookmarkEnd w:id="908"/>
      <w:bookmarkEnd w:id="909"/>
      <w:bookmarkEnd w:id="911"/>
    </w:p>
    <w:bookmarkEnd w:id="910"/>
    <w:p w14:paraId="1320249A">
      <w:pPr>
        <w:widowControl/>
        <w:spacing w:line="560" w:lineRule="exact"/>
        <w:jc w:val="left"/>
        <w:rPr>
          <w:rFonts w:ascii="Times New Roman" w:hAnsi="Times New Roman" w:eastAsia="仿宋_GB2312" w:cs="Times New Roman"/>
          <w:color w:val="000000"/>
          <w:kern w:val="0"/>
          <w:sz w:val="24"/>
          <w:szCs w:val="24"/>
          <w:highlight w:val="none"/>
        </w:rPr>
      </w:pPr>
    </w:p>
    <w:p w14:paraId="5328F38C">
      <w:pPr>
        <w:spacing w:line="560" w:lineRule="exact"/>
        <w:jc w:val="center"/>
        <w:rPr>
          <w:rFonts w:ascii="Times New Roman" w:hAnsi="Times New Roman" w:eastAsia="仿宋_GB2312" w:cs="Times New Roman"/>
          <w:b/>
          <w:sz w:val="24"/>
          <w:highlight w:val="none"/>
        </w:rPr>
      </w:pPr>
      <w:r>
        <w:rPr>
          <w:rFonts w:ascii="Times New Roman" w:hAnsi="Times New Roman" w:eastAsia="仿宋_GB2312" w:cs="Times New Roman"/>
          <w:b/>
          <w:sz w:val="24"/>
          <w:highlight w:val="none"/>
        </w:rPr>
        <w:t>XX公司关于</w:t>
      </w:r>
      <w:r>
        <w:rPr>
          <w:rFonts w:ascii="Times New Roman" w:hAnsi="Times New Roman" w:eastAsia="仿宋_GB2312" w:cs="Times New Roman"/>
          <w:b/>
          <w:sz w:val="24"/>
          <w:highlight w:val="none"/>
          <w:u w:val="single"/>
        </w:rPr>
        <w:t>（REITs全称）</w:t>
      </w:r>
      <w:r>
        <w:rPr>
          <w:rFonts w:ascii="Times New Roman" w:hAnsi="Times New Roman" w:eastAsia="仿宋_GB2312" w:cs="Times New Roman"/>
          <w:b/>
          <w:sz w:val="24"/>
          <w:highlight w:val="none"/>
        </w:rPr>
        <w:t>扩募发售上市业务自查和承诺反馈表</w:t>
      </w:r>
    </w:p>
    <w:p w14:paraId="65142643">
      <w:pPr>
        <w:jc w:val="center"/>
        <w:rPr>
          <w:rFonts w:ascii="Times New Roman" w:hAnsi="Times New Roman" w:eastAsia="仿宋_GB2312" w:cs="Times New Roman"/>
          <w:b/>
          <w:sz w:val="24"/>
          <w:highlight w:val="none"/>
        </w:rPr>
      </w:pPr>
    </w:p>
    <w:tbl>
      <w:tblPr>
        <w:tblStyle w:val="19"/>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92"/>
        <w:gridCol w:w="7230"/>
      </w:tblGrid>
      <w:tr w14:paraId="0EC6CA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9" w:hRule="atLeast"/>
        </w:trPr>
        <w:tc>
          <w:tcPr>
            <w:tcW w:w="758" w:type="pct"/>
            <w:tcBorders>
              <w:top w:val="single" w:color="auto" w:sz="4" w:space="0"/>
              <w:right w:val="single" w:color="auto" w:sz="4" w:space="0"/>
            </w:tcBorders>
            <w:vAlign w:val="center"/>
          </w:tcPr>
          <w:p w14:paraId="510CC177">
            <w:pPr>
              <w:widowControl/>
              <w:jc w:val="left"/>
              <w:rPr>
                <w:rFonts w:ascii="Times New Roman" w:hAnsi="Times New Roman" w:eastAsia="仿宋_GB2312" w:cs="Times New Roman"/>
                <w:color w:val="000000"/>
                <w:kern w:val="0"/>
                <w:sz w:val="24"/>
                <w:szCs w:val="24"/>
                <w:highlight w:val="none"/>
              </w:rPr>
            </w:pPr>
            <w:r>
              <w:rPr>
                <w:rFonts w:ascii="Times New Roman" w:hAnsi="Times New Roman" w:eastAsia="仿宋_GB2312" w:cs="Times New Roman"/>
                <w:color w:val="000000"/>
                <w:kern w:val="0"/>
                <w:sz w:val="24"/>
                <w:szCs w:val="24"/>
                <w:highlight w:val="none"/>
              </w:rPr>
              <w:t>发行人</w:t>
            </w:r>
          </w:p>
        </w:tc>
        <w:tc>
          <w:tcPr>
            <w:tcW w:w="4242" w:type="pct"/>
            <w:tcBorders>
              <w:top w:val="single" w:color="auto" w:sz="4" w:space="0"/>
              <w:left w:val="single" w:color="auto" w:sz="4" w:space="0"/>
              <w:right w:val="single" w:color="auto" w:sz="4" w:space="0"/>
            </w:tcBorders>
          </w:tcPr>
          <w:p w14:paraId="7166C5FF">
            <w:pPr>
              <w:widowControl/>
              <w:rPr>
                <w:rFonts w:ascii="Times New Roman" w:hAnsi="Times New Roman" w:eastAsia="仿宋_GB2312" w:cs="Times New Roman"/>
                <w:color w:val="000000"/>
                <w:kern w:val="0"/>
                <w:sz w:val="24"/>
                <w:szCs w:val="24"/>
                <w:highlight w:val="none"/>
              </w:rPr>
            </w:pPr>
          </w:p>
        </w:tc>
      </w:tr>
      <w:tr w14:paraId="21FE6C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47" w:hRule="atLeast"/>
        </w:trPr>
        <w:tc>
          <w:tcPr>
            <w:tcW w:w="758" w:type="pct"/>
            <w:tcBorders>
              <w:top w:val="single" w:color="auto" w:sz="4" w:space="0"/>
              <w:right w:val="single" w:color="auto" w:sz="4" w:space="0"/>
            </w:tcBorders>
            <w:vAlign w:val="center"/>
          </w:tcPr>
          <w:p w14:paraId="7B5A8FEF">
            <w:pPr>
              <w:widowControl/>
              <w:jc w:val="left"/>
              <w:rPr>
                <w:rFonts w:ascii="Times New Roman" w:hAnsi="Times New Roman" w:eastAsia="仿宋_GB2312" w:cs="Times New Roman"/>
                <w:color w:val="000000"/>
                <w:kern w:val="0"/>
                <w:sz w:val="24"/>
                <w:szCs w:val="24"/>
                <w:highlight w:val="none"/>
              </w:rPr>
            </w:pPr>
            <w:r>
              <w:rPr>
                <w:rFonts w:ascii="Times New Roman" w:hAnsi="Times New Roman" w:eastAsia="仿宋_GB2312" w:cs="Times New Roman"/>
                <w:color w:val="000000"/>
                <w:kern w:val="0"/>
                <w:sz w:val="24"/>
                <w:szCs w:val="24"/>
                <w:highlight w:val="none"/>
              </w:rPr>
              <w:t>自查情况</w:t>
            </w:r>
          </w:p>
        </w:tc>
        <w:tc>
          <w:tcPr>
            <w:tcW w:w="4242" w:type="pct"/>
            <w:tcBorders>
              <w:top w:val="single" w:color="auto" w:sz="4" w:space="0"/>
              <w:left w:val="single" w:color="auto" w:sz="4" w:space="0"/>
              <w:right w:val="single" w:color="auto" w:sz="4" w:space="0"/>
            </w:tcBorders>
          </w:tcPr>
          <w:p w14:paraId="5C50C766">
            <w:pPr>
              <w:widowControl/>
              <w:rPr>
                <w:rFonts w:ascii="Times New Roman" w:hAnsi="Times New Roman" w:eastAsia="仿宋_GB2312" w:cs="Times New Roman"/>
                <w:color w:val="000000"/>
                <w:kern w:val="0"/>
                <w:sz w:val="24"/>
                <w:szCs w:val="24"/>
                <w:highlight w:val="none"/>
              </w:rPr>
            </w:pPr>
          </w:p>
        </w:tc>
      </w:tr>
      <w:tr w14:paraId="53C905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62" w:hRule="atLeast"/>
        </w:trPr>
        <w:tc>
          <w:tcPr>
            <w:tcW w:w="758" w:type="pct"/>
            <w:vAlign w:val="center"/>
          </w:tcPr>
          <w:p w14:paraId="38913E73">
            <w:pPr>
              <w:widowControl/>
              <w:jc w:val="left"/>
              <w:rPr>
                <w:rFonts w:ascii="Times New Roman" w:hAnsi="Times New Roman" w:eastAsia="仿宋_GB2312" w:cs="Times New Roman"/>
                <w:color w:val="000000"/>
                <w:kern w:val="0"/>
                <w:sz w:val="24"/>
                <w:szCs w:val="24"/>
                <w:highlight w:val="none"/>
              </w:rPr>
            </w:pPr>
            <w:r>
              <w:rPr>
                <w:rFonts w:ascii="Times New Roman" w:hAnsi="Times New Roman" w:eastAsia="仿宋_GB2312" w:cs="Times New Roman"/>
                <w:color w:val="000000"/>
                <w:kern w:val="0"/>
                <w:sz w:val="24"/>
                <w:szCs w:val="24"/>
                <w:highlight w:val="none"/>
              </w:rPr>
              <w:t>承诺说明</w:t>
            </w:r>
          </w:p>
        </w:tc>
        <w:tc>
          <w:tcPr>
            <w:tcW w:w="4242" w:type="pct"/>
            <w:vAlign w:val="center"/>
          </w:tcPr>
          <w:p w14:paraId="3715A0DD">
            <w:pPr>
              <w:widowControl/>
              <w:jc w:val="left"/>
              <w:rPr>
                <w:rFonts w:ascii="Times New Roman" w:hAnsi="Times New Roman" w:eastAsia="仿宋_GB2312" w:cs="Times New Roman"/>
                <w:color w:val="000000"/>
                <w:kern w:val="0"/>
                <w:sz w:val="24"/>
                <w:szCs w:val="24"/>
                <w:highlight w:val="none"/>
              </w:rPr>
            </w:pPr>
            <w:r>
              <w:rPr>
                <w:rFonts w:ascii="Times New Roman" w:hAnsi="Times New Roman" w:eastAsia="仿宋_GB2312" w:cs="Times New Roman"/>
                <w:color w:val="000000"/>
                <w:kern w:val="0"/>
                <w:sz w:val="24"/>
                <w:szCs w:val="24"/>
                <w:highlight w:val="none"/>
              </w:rPr>
              <w:t>本公司承诺将严格遵守上海证券交易所公开募集</w:t>
            </w:r>
            <w:r>
              <w:rPr>
                <w:rFonts w:hint="eastAsia" w:ascii="Times New Roman" w:hAnsi="Times New Roman" w:eastAsia="仿宋_GB2312" w:cs="Times New Roman"/>
                <w:color w:val="000000"/>
                <w:kern w:val="0"/>
                <w:sz w:val="24"/>
                <w:szCs w:val="24"/>
                <w:highlight w:val="none"/>
              </w:rPr>
              <w:t>不动产投资信托</w:t>
            </w:r>
            <w:r>
              <w:rPr>
                <w:rFonts w:ascii="Times New Roman" w:hAnsi="Times New Roman" w:eastAsia="仿宋_GB2312" w:cs="Times New Roman"/>
                <w:color w:val="000000"/>
                <w:kern w:val="0"/>
                <w:sz w:val="24"/>
                <w:szCs w:val="24"/>
                <w:highlight w:val="none"/>
              </w:rPr>
              <w:t>基金（REITs）扩募发售和上市相关规则，做好</w:t>
            </w:r>
            <w:r>
              <w:rPr>
                <w:rFonts w:ascii="Times New Roman" w:hAnsi="Times New Roman" w:eastAsia="仿宋_GB2312" w:cs="Times New Roman"/>
                <w:color w:val="000000"/>
                <w:kern w:val="0"/>
                <w:sz w:val="24"/>
                <w:szCs w:val="24"/>
                <w:highlight w:val="none"/>
                <w:u w:val="single"/>
              </w:rPr>
              <w:t>（REITs全称）</w:t>
            </w:r>
            <w:r>
              <w:rPr>
                <w:rFonts w:ascii="Times New Roman" w:hAnsi="Times New Roman" w:eastAsia="仿宋_GB2312" w:cs="Times New Roman"/>
                <w:color w:val="000000"/>
                <w:kern w:val="0"/>
                <w:sz w:val="24"/>
                <w:szCs w:val="24"/>
                <w:highlight w:val="none"/>
              </w:rPr>
              <w:t>扩募发售上市业务各项工作，严格防范各个环节风险点，采取有针对性的风控措施。如因本公司原因发生重大失误，对市场造成重大影响，本公司将承担相应的法律责任。</w:t>
            </w:r>
          </w:p>
        </w:tc>
      </w:tr>
      <w:tr w14:paraId="42DEE7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29" w:hRule="atLeast"/>
        </w:trPr>
        <w:tc>
          <w:tcPr>
            <w:tcW w:w="5000" w:type="pct"/>
            <w:gridSpan w:val="2"/>
            <w:vAlign w:val="center"/>
          </w:tcPr>
          <w:p w14:paraId="61D25646">
            <w:pPr>
              <w:widowControl/>
              <w:jc w:val="left"/>
              <w:rPr>
                <w:rFonts w:ascii="Times New Roman" w:hAnsi="Times New Roman" w:eastAsia="仿宋_GB2312" w:cs="Times New Roman"/>
                <w:color w:val="000000"/>
                <w:kern w:val="0"/>
                <w:sz w:val="24"/>
                <w:szCs w:val="24"/>
                <w:highlight w:val="none"/>
              </w:rPr>
            </w:pPr>
            <w:r>
              <w:rPr>
                <w:rFonts w:ascii="Times New Roman" w:hAnsi="Times New Roman" w:eastAsia="仿宋_GB2312" w:cs="Times New Roman"/>
                <w:color w:val="000000"/>
                <w:kern w:val="0"/>
                <w:sz w:val="24"/>
                <w:szCs w:val="24"/>
                <w:highlight w:val="none"/>
              </w:rPr>
              <w:t xml:space="preserve">       </w:t>
            </w:r>
          </w:p>
          <w:p w14:paraId="5D44A3E1">
            <w:pPr>
              <w:widowControl/>
              <w:ind w:right="780"/>
              <w:jc w:val="left"/>
              <w:rPr>
                <w:rFonts w:ascii="Times New Roman" w:hAnsi="Times New Roman" w:eastAsia="仿宋_GB2312" w:cs="Times New Roman"/>
                <w:color w:val="000000"/>
                <w:kern w:val="0"/>
                <w:sz w:val="24"/>
                <w:szCs w:val="24"/>
                <w:highlight w:val="none"/>
              </w:rPr>
            </w:pPr>
            <w:r>
              <w:rPr>
                <w:rFonts w:ascii="Times New Roman" w:hAnsi="Times New Roman" w:eastAsia="仿宋_GB2312" w:cs="Times New Roman"/>
                <w:color w:val="000000"/>
                <w:kern w:val="0"/>
                <w:sz w:val="24"/>
                <w:szCs w:val="24"/>
                <w:highlight w:val="none"/>
              </w:rPr>
              <w:t xml:space="preserve">        扩募发售上市业务负责人：         联系电话（手机）：</w:t>
            </w:r>
          </w:p>
          <w:p w14:paraId="2D4FD085">
            <w:pPr>
              <w:widowControl/>
              <w:ind w:right="780" w:firstLine="960" w:firstLineChars="400"/>
              <w:jc w:val="left"/>
              <w:rPr>
                <w:rFonts w:ascii="Times New Roman" w:hAnsi="Times New Roman" w:eastAsia="仿宋_GB2312" w:cs="Times New Roman"/>
                <w:color w:val="000000"/>
                <w:kern w:val="0"/>
                <w:sz w:val="24"/>
                <w:szCs w:val="24"/>
                <w:highlight w:val="none"/>
              </w:rPr>
            </w:pPr>
            <w:r>
              <w:rPr>
                <w:rFonts w:ascii="Times New Roman" w:hAnsi="Times New Roman" w:eastAsia="仿宋_GB2312" w:cs="Times New Roman"/>
                <w:color w:val="000000"/>
                <w:kern w:val="0"/>
                <w:sz w:val="24"/>
                <w:szCs w:val="24"/>
                <w:highlight w:val="none"/>
              </w:rPr>
              <w:t>具体业务经办人：                 联系电话（手机）：</w:t>
            </w:r>
          </w:p>
          <w:p w14:paraId="69FF59BA">
            <w:pPr>
              <w:widowControl/>
              <w:ind w:right="780" w:firstLine="6600" w:firstLineChars="2750"/>
              <w:jc w:val="left"/>
              <w:rPr>
                <w:rFonts w:ascii="Times New Roman" w:hAnsi="Times New Roman" w:eastAsia="仿宋_GB2312" w:cs="Times New Roman"/>
                <w:color w:val="000000"/>
                <w:kern w:val="0"/>
                <w:sz w:val="24"/>
                <w:szCs w:val="24"/>
                <w:highlight w:val="none"/>
              </w:rPr>
            </w:pPr>
          </w:p>
          <w:p w14:paraId="0422257E">
            <w:pPr>
              <w:widowControl/>
              <w:ind w:right="780" w:firstLine="6600" w:firstLineChars="2750"/>
              <w:jc w:val="right"/>
              <w:rPr>
                <w:rFonts w:ascii="Times New Roman" w:hAnsi="Times New Roman" w:eastAsia="仿宋_GB2312" w:cs="Times New Roman"/>
                <w:color w:val="000000"/>
                <w:kern w:val="0"/>
                <w:sz w:val="24"/>
                <w:szCs w:val="24"/>
                <w:highlight w:val="none"/>
              </w:rPr>
            </w:pPr>
            <w:r>
              <w:rPr>
                <w:rFonts w:ascii="Times New Roman" w:hAnsi="Times New Roman" w:eastAsia="仿宋_GB2312" w:cs="Times New Roman"/>
                <w:color w:val="000000"/>
                <w:kern w:val="0"/>
                <w:sz w:val="24"/>
                <w:szCs w:val="24"/>
                <w:highlight w:val="none"/>
              </w:rPr>
              <w:t>**公司（印章）</w:t>
            </w:r>
          </w:p>
          <w:p w14:paraId="2D04FBFC">
            <w:pPr>
              <w:widowControl/>
              <w:ind w:right="900"/>
              <w:jc w:val="left"/>
              <w:rPr>
                <w:rFonts w:ascii="Times New Roman" w:hAnsi="Times New Roman" w:eastAsia="仿宋_GB2312" w:cs="Times New Roman"/>
                <w:color w:val="000000"/>
                <w:kern w:val="0"/>
                <w:sz w:val="24"/>
                <w:szCs w:val="24"/>
                <w:highlight w:val="none"/>
              </w:rPr>
            </w:pPr>
          </w:p>
          <w:p w14:paraId="3343C8A4">
            <w:pPr>
              <w:widowControl/>
              <w:tabs>
                <w:tab w:val="left" w:pos="7513"/>
              </w:tabs>
              <w:ind w:right="793"/>
              <w:jc w:val="right"/>
              <w:rPr>
                <w:rFonts w:ascii="Times New Roman" w:hAnsi="Times New Roman" w:eastAsia="仿宋_GB2312" w:cs="Times New Roman"/>
                <w:color w:val="000000"/>
                <w:kern w:val="0"/>
                <w:sz w:val="24"/>
                <w:szCs w:val="24"/>
                <w:highlight w:val="none"/>
              </w:rPr>
            </w:pPr>
            <w:r>
              <w:rPr>
                <w:rFonts w:ascii="Times New Roman" w:hAnsi="Times New Roman" w:eastAsia="仿宋_GB2312" w:cs="Times New Roman"/>
                <w:color w:val="000000"/>
                <w:kern w:val="0"/>
                <w:sz w:val="24"/>
                <w:szCs w:val="24"/>
                <w:highlight w:val="none"/>
              </w:rPr>
              <w:t>**年**月**日</w:t>
            </w:r>
          </w:p>
          <w:p w14:paraId="4A750A1A">
            <w:pPr>
              <w:widowControl/>
              <w:ind w:right="1020"/>
              <w:jc w:val="left"/>
              <w:rPr>
                <w:rFonts w:ascii="Times New Roman" w:hAnsi="Times New Roman" w:eastAsia="仿宋_GB2312" w:cs="Times New Roman"/>
                <w:color w:val="000000"/>
                <w:kern w:val="0"/>
                <w:sz w:val="24"/>
                <w:szCs w:val="24"/>
                <w:highlight w:val="none"/>
              </w:rPr>
            </w:pPr>
            <w:r>
              <w:rPr>
                <w:rFonts w:ascii="Times New Roman" w:hAnsi="Times New Roman" w:eastAsia="仿宋_GB2312" w:cs="Times New Roman"/>
                <w:color w:val="000000"/>
                <w:kern w:val="0"/>
                <w:sz w:val="24"/>
                <w:szCs w:val="24"/>
                <w:highlight w:val="none"/>
              </w:rPr>
              <w:t xml:space="preserve">                                                       </w:t>
            </w:r>
          </w:p>
          <w:p w14:paraId="07116F13">
            <w:pPr>
              <w:widowControl/>
              <w:ind w:right="1020"/>
              <w:jc w:val="left"/>
              <w:rPr>
                <w:rFonts w:ascii="Times New Roman" w:hAnsi="Times New Roman" w:eastAsia="仿宋_GB2312" w:cs="Times New Roman"/>
                <w:color w:val="000000"/>
                <w:kern w:val="0"/>
                <w:sz w:val="24"/>
                <w:szCs w:val="24"/>
                <w:highlight w:val="none"/>
              </w:rPr>
            </w:pPr>
            <w:r>
              <w:rPr>
                <w:rFonts w:ascii="Times New Roman" w:hAnsi="Times New Roman" w:eastAsia="仿宋_GB2312" w:cs="Times New Roman"/>
                <w:color w:val="000000"/>
                <w:kern w:val="0"/>
                <w:sz w:val="24"/>
                <w:szCs w:val="24"/>
                <w:highlight w:val="none"/>
              </w:rPr>
              <w:t xml:space="preserve">                                                                                                                                                                                                                                                                                                                                                                                             </w:t>
            </w:r>
          </w:p>
        </w:tc>
      </w:tr>
    </w:tbl>
    <w:p w14:paraId="7C5FF012">
      <w:pPr>
        <w:rPr>
          <w:rFonts w:ascii="Times New Roman" w:hAnsi="Times New Roman" w:cs="Times New Roman"/>
          <w:b/>
          <w:sz w:val="24"/>
          <w:highlight w:val="none"/>
        </w:rPr>
      </w:pPr>
    </w:p>
    <w:p w14:paraId="0789CF57">
      <w:pPr>
        <w:widowControl/>
        <w:jc w:val="left"/>
        <w:rPr>
          <w:rFonts w:ascii="Times New Roman" w:hAnsi="Times New Roman" w:eastAsia="黑体" w:cs="Times New Roman"/>
          <w:b/>
          <w:sz w:val="32"/>
          <w:szCs w:val="32"/>
          <w:highlight w:val="none"/>
        </w:rPr>
      </w:pPr>
    </w:p>
    <w:p w14:paraId="4CE3E631">
      <w:pPr>
        <w:widowControl/>
        <w:jc w:val="left"/>
        <w:rPr>
          <w:rFonts w:ascii="Times New Roman" w:hAnsi="Times New Roman" w:eastAsia="黑体" w:cs="Times New Roman"/>
          <w:b/>
          <w:sz w:val="32"/>
          <w:szCs w:val="32"/>
          <w:highlight w:val="none"/>
        </w:rPr>
      </w:pPr>
      <w:r>
        <w:rPr>
          <w:rFonts w:ascii="Times New Roman" w:hAnsi="Times New Roman" w:eastAsia="黑体" w:cs="Times New Roman"/>
          <w:b/>
          <w:sz w:val="32"/>
          <w:szCs w:val="32"/>
          <w:highlight w:val="none"/>
        </w:rPr>
        <w:br w:type="page"/>
      </w:r>
    </w:p>
    <w:p w14:paraId="5E02B85F">
      <w:pPr>
        <w:spacing w:line="360" w:lineRule="auto"/>
        <w:outlineLvl w:val="2"/>
        <w:rPr>
          <w:rFonts w:ascii="Times New Roman" w:hAnsi="Times New Roman" w:eastAsia="仿宋_GB2312" w:cs="Times New Roman"/>
          <w:b/>
          <w:sz w:val="24"/>
          <w:highlight w:val="none"/>
        </w:rPr>
      </w:pPr>
      <w:bookmarkStart w:id="912" w:name="_Toc11675"/>
      <w:bookmarkStart w:id="913" w:name="_Toc14128"/>
      <w:bookmarkStart w:id="914" w:name="_Toc860"/>
      <w:bookmarkStart w:id="915" w:name="_Toc11687"/>
      <w:bookmarkStart w:id="916" w:name="_Toc22881"/>
      <w:r>
        <w:rPr>
          <w:rFonts w:ascii="Times New Roman" w:hAnsi="Times New Roman" w:eastAsia="仿宋_GB2312" w:cs="Times New Roman"/>
          <w:b/>
          <w:sz w:val="24"/>
          <w:highlight w:val="none"/>
        </w:rPr>
        <w:t>附件1-2：报备文件与对外披露文件一致的承诺函</w:t>
      </w:r>
      <w:bookmarkEnd w:id="912"/>
      <w:bookmarkEnd w:id="913"/>
      <w:bookmarkEnd w:id="914"/>
      <w:bookmarkEnd w:id="915"/>
      <w:bookmarkEnd w:id="916"/>
    </w:p>
    <w:p w14:paraId="2967F4CC">
      <w:pPr>
        <w:spacing w:before="156" w:beforeLines="50" w:line="312" w:lineRule="auto"/>
        <w:rPr>
          <w:rFonts w:ascii="Times New Roman" w:hAnsi="Times New Roman" w:eastAsia="仿宋_GB2312" w:cs="Times New Roman"/>
          <w:sz w:val="24"/>
          <w:szCs w:val="24"/>
          <w:highlight w:val="none"/>
        </w:rPr>
      </w:pPr>
    </w:p>
    <w:p w14:paraId="1426F940">
      <w:pPr>
        <w:spacing w:before="156" w:beforeLines="50" w:line="312" w:lineRule="auto"/>
        <w:rPr>
          <w:rFonts w:ascii="Times New Roman" w:hAnsi="Times New Roman" w:eastAsia="仿宋_GB2312" w:cs="Times New Roman"/>
          <w:sz w:val="24"/>
          <w:szCs w:val="24"/>
          <w:highlight w:val="none"/>
          <w:u w:val="single"/>
        </w:rPr>
      </w:pPr>
      <w:r>
        <w:rPr>
          <w:rFonts w:ascii="Times New Roman" w:hAnsi="Times New Roman" w:eastAsia="仿宋_GB2312" w:cs="Times New Roman"/>
          <w:sz w:val="24"/>
          <w:szCs w:val="24"/>
          <w:highlight w:val="none"/>
        </w:rPr>
        <w:t>基金管理人/财务顾问（如有）名称：</w:t>
      </w:r>
      <w:r>
        <w:rPr>
          <w:rFonts w:ascii="Times New Roman" w:hAnsi="Times New Roman" w:eastAsia="仿宋_GB2312" w:cs="Times New Roman"/>
          <w:sz w:val="24"/>
          <w:szCs w:val="24"/>
          <w:highlight w:val="none"/>
          <w:u w:val="single"/>
        </w:rPr>
        <w:t xml:space="preserve">                          </w:t>
      </w:r>
    </w:p>
    <w:p w14:paraId="3634B623">
      <w:pPr>
        <w:spacing w:line="312" w:lineRule="auto"/>
        <w:ind w:firstLine="480" w:firstLineChars="200"/>
        <w:rPr>
          <w:rFonts w:ascii="Times New Roman" w:hAnsi="Times New Roman" w:eastAsia="仿宋_GB2312" w:cs="Times New Roman"/>
          <w:sz w:val="24"/>
          <w:szCs w:val="24"/>
          <w:highlight w:val="none"/>
        </w:rPr>
      </w:pPr>
      <w:r>
        <w:rPr>
          <w:rFonts w:ascii="Times New Roman" w:hAnsi="Times New Roman" w:eastAsia="仿宋_GB2312" w:cs="Times New Roman"/>
          <w:color w:val="000000"/>
          <w:kern w:val="0"/>
          <w:sz w:val="24"/>
          <w:szCs w:val="24"/>
          <w:highlight w:val="none"/>
          <w:u w:val="single"/>
        </w:rPr>
        <w:t>针对（REITs全称）本次</w:t>
      </w:r>
      <w:r>
        <w:rPr>
          <w:rFonts w:ascii="Times New Roman" w:hAnsi="Times New Roman" w:eastAsia="仿宋_GB2312" w:cs="Times New Roman"/>
          <w:color w:val="000000"/>
          <w:kern w:val="0"/>
          <w:sz w:val="24"/>
          <w:szCs w:val="24"/>
          <w:highlight w:val="none"/>
        </w:rPr>
        <w:t>扩募发售上市业务各项工作</w:t>
      </w:r>
      <w:r>
        <w:rPr>
          <w:rFonts w:ascii="Times New Roman" w:hAnsi="Times New Roman" w:eastAsia="仿宋_GB2312" w:cs="Times New Roman"/>
          <w:sz w:val="24"/>
          <w:szCs w:val="24"/>
          <w:highlight w:val="none"/>
        </w:rPr>
        <w:t>，本基金管理人/财务顾问（如有）承诺：</w:t>
      </w:r>
    </w:p>
    <w:p w14:paraId="1F3C24CC">
      <w:pPr>
        <w:spacing w:line="312" w:lineRule="auto"/>
        <w:ind w:firstLine="480" w:firstLineChars="200"/>
        <w:rPr>
          <w:rFonts w:ascii="Times New Roman" w:hAnsi="Times New Roman" w:eastAsia="仿宋_GB2312" w:cs="Times New Roman"/>
          <w:sz w:val="24"/>
          <w:szCs w:val="24"/>
          <w:highlight w:val="none"/>
        </w:rPr>
      </w:pPr>
      <w:r>
        <w:rPr>
          <w:rFonts w:ascii="Times New Roman" w:hAnsi="Times New Roman" w:eastAsia="仿宋_GB2312" w:cs="Times New Roman"/>
          <w:color w:val="000000"/>
          <w:kern w:val="0"/>
          <w:sz w:val="24"/>
          <w:szCs w:val="24"/>
          <w:highlight w:val="none"/>
          <w:u w:val="single"/>
        </w:rPr>
        <w:t>本次</w:t>
      </w:r>
      <w:r>
        <w:rPr>
          <w:rFonts w:ascii="Times New Roman" w:hAnsi="Times New Roman" w:eastAsia="仿宋_GB2312" w:cs="Times New Roman"/>
          <w:color w:val="000000"/>
          <w:kern w:val="0"/>
          <w:sz w:val="24"/>
          <w:szCs w:val="24"/>
          <w:highlight w:val="none"/>
        </w:rPr>
        <w:t>扩募</w:t>
      </w:r>
      <w:r>
        <w:rPr>
          <w:rFonts w:ascii="Times New Roman" w:hAnsi="Times New Roman" w:eastAsia="仿宋_GB2312" w:cs="Times New Roman"/>
          <w:sz w:val="24"/>
          <w:szCs w:val="24"/>
          <w:highlight w:val="none"/>
        </w:rPr>
        <w:t>发售上市期间向上海证券交易所报送的文件与向投资者提供的纸质文件和电子文件内容一致，与经上海证券交易所审核、对外披露的公告内容一致。全套申请材料不存在虚假记载、误导性陈述或重大遗漏，基金管理人/财务顾问（如有）对材料的真实性、准确性和完整性承担相应法律责任。</w:t>
      </w:r>
    </w:p>
    <w:p w14:paraId="615C75E8">
      <w:pPr>
        <w:spacing w:line="312" w:lineRule="auto"/>
        <w:ind w:right="720"/>
        <w:jc w:val="right"/>
        <w:rPr>
          <w:rFonts w:ascii="Times New Roman" w:hAnsi="Times New Roman" w:eastAsia="仿宋_GB2312" w:cs="Times New Roman"/>
          <w:sz w:val="24"/>
          <w:szCs w:val="24"/>
          <w:highlight w:val="none"/>
        </w:rPr>
      </w:pPr>
    </w:p>
    <w:p w14:paraId="33243048">
      <w:pPr>
        <w:spacing w:line="312" w:lineRule="auto"/>
        <w:ind w:right="720"/>
        <w:jc w:val="right"/>
        <w:rPr>
          <w:rFonts w:ascii="Times New Roman" w:hAnsi="Times New Roman" w:eastAsia="仿宋_GB2312" w:cs="Times New Roman"/>
          <w:sz w:val="24"/>
          <w:szCs w:val="24"/>
          <w:highlight w:val="none"/>
        </w:rPr>
      </w:pPr>
      <w:r>
        <w:rPr>
          <w:rFonts w:ascii="Times New Roman" w:hAnsi="Times New Roman" w:eastAsia="仿宋_GB2312" w:cs="Times New Roman"/>
          <w:sz w:val="24"/>
          <w:szCs w:val="24"/>
          <w:highlight w:val="none"/>
        </w:rPr>
        <w:t xml:space="preserve">承诺机构盖章：           </w:t>
      </w:r>
    </w:p>
    <w:p w14:paraId="0E5CFC52">
      <w:pPr>
        <w:wordWrap w:val="0"/>
        <w:spacing w:line="312" w:lineRule="auto"/>
        <w:jc w:val="right"/>
        <w:rPr>
          <w:rFonts w:ascii="Times New Roman" w:hAnsi="Times New Roman" w:eastAsia="仿宋_GB2312" w:cs="Times New Roman"/>
          <w:sz w:val="24"/>
          <w:szCs w:val="24"/>
          <w:highlight w:val="none"/>
        </w:rPr>
      </w:pPr>
      <w:r>
        <w:rPr>
          <w:rFonts w:ascii="Times New Roman" w:hAnsi="Times New Roman" w:eastAsia="仿宋_GB2312" w:cs="Times New Roman"/>
          <w:sz w:val="24"/>
          <w:szCs w:val="24"/>
          <w:highlight w:val="none"/>
        </w:rPr>
        <w:t>年   月  日</w:t>
      </w:r>
    </w:p>
    <w:p w14:paraId="2048982E">
      <w:pPr>
        <w:widowControl/>
        <w:jc w:val="left"/>
        <w:rPr>
          <w:rFonts w:ascii="Times New Roman" w:hAnsi="Times New Roman" w:eastAsia="黑体" w:cs="Times New Roman"/>
          <w:b/>
          <w:sz w:val="32"/>
          <w:szCs w:val="32"/>
          <w:highlight w:val="none"/>
        </w:rPr>
      </w:pPr>
    </w:p>
    <w:p w14:paraId="1C02CDA4">
      <w:pPr>
        <w:widowControl/>
        <w:jc w:val="left"/>
        <w:rPr>
          <w:rFonts w:ascii="Times New Roman" w:hAnsi="Times New Roman" w:eastAsia="黑体" w:cs="Times New Roman"/>
          <w:b/>
          <w:sz w:val="32"/>
          <w:szCs w:val="32"/>
          <w:highlight w:val="none"/>
        </w:rPr>
      </w:pPr>
    </w:p>
    <w:p w14:paraId="3297D782">
      <w:pPr>
        <w:widowControl/>
        <w:jc w:val="left"/>
        <w:rPr>
          <w:rFonts w:ascii="Times New Roman" w:hAnsi="Times New Roman" w:eastAsia="黑体" w:cs="Times New Roman"/>
          <w:b/>
          <w:sz w:val="32"/>
          <w:szCs w:val="32"/>
          <w:highlight w:val="none"/>
        </w:rPr>
      </w:pPr>
    </w:p>
    <w:p w14:paraId="06336248">
      <w:pPr>
        <w:widowControl/>
        <w:jc w:val="left"/>
        <w:rPr>
          <w:rFonts w:ascii="Times New Roman" w:hAnsi="Times New Roman" w:eastAsia="黑体" w:cs="Times New Roman"/>
          <w:sz w:val="32"/>
          <w:szCs w:val="32"/>
          <w:highlight w:val="none"/>
        </w:rPr>
      </w:pPr>
      <w:r>
        <w:rPr>
          <w:rFonts w:ascii="Times New Roman" w:hAnsi="Times New Roman" w:eastAsia="黑体" w:cs="Times New Roman"/>
          <w:b/>
          <w:sz w:val="32"/>
          <w:szCs w:val="32"/>
          <w:highlight w:val="none"/>
        </w:rPr>
        <w:br w:type="page"/>
      </w:r>
    </w:p>
    <w:p w14:paraId="7C4E25A4">
      <w:pPr>
        <w:spacing w:line="360" w:lineRule="auto"/>
        <w:outlineLvl w:val="2"/>
        <w:rPr>
          <w:rFonts w:ascii="Times New Roman" w:hAnsi="Times New Roman" w:eastAsia="仿宋_GB2312" w:cs="Times New Roman"/>
          <w:bCs/>
          <w:sz w:val="24"/>
          <w:highlight w:val="none"/>
        </w:rPr>
      </w:pPr>
      <w:bookmarkStart w:id="917" w:name="_Toc20222"/>
      <w:bookmarkStart w:id="918" w:name="_Toc29642"/>
      <w:bookmarkStart w:id="919" w:name="_Toc17902"/>
      <w:bookmarkStart w:id="920" w:name="_Toc2711"/>
      <w:bookmarkStart w:id="921" w:name="_Toc23448"/>
      <w:r>
        <w:rPr>
          <w:rFonts w:ascii="Times New Roman" w:hAnsi="Times New Roman" w:eastAsia="仿宋_GB2312" w:cs="Times New Roman"/>
          <w:b/>
          <w:sz w:val="24"/>
          <w:highlight w:val="none"/>
        </w:rPr>
        <w:t>附件1-3：REITs新增场内份额限售申请</w:t>
      </w:r>
      <w:bookmarkEnd w:id="917"/>
      <w:bookmarkEnd w:id="918"/>
      <w:bookmarkEnd w:id="919"/>
      <w:bookmarkEnd w:id="920"/>
      <w:bookmarkEnd w:id="921"/>
    </w:p>
    <w:p w14:paraId="5D06FB57">
      <w:pPr>
        <w:rPr>
          <w:rFonts w:ascii="Times New Roman" w:hAnsi="Times New Roman" w:eastAsia="仿宋" w:cs="Times New Roman"/>
          <w:szCs w:val="24"/>
          <w:highlight w:val="none"/>
        </w:rPr>
      </w:pPr>
    </w:p>
    <w:p w14:paraId="6FE50EB2">
      <w:pPr>
        <w:spacing w:line="360" w:lineRule="auto"/>
        <w:rPr>
          <w:rFonts w:ascii="Times New Roman" w:hAnsi="Times New Roman" w:eastAsia="仿宋_GB2312" w:cs="Times New Roman"/>
          <w:b/>
          <w:sz w:val="24"/>
          <w:szCs w:val="24"/>
          <w:highlight w:val="none"/>
        </w:rPr>
      </w:pPr>
      <w:r>
        <w:rPr>
          <w:rFonts w:ascii="Times New Roman" w:hAnsi="Times New Roman" w:eastAsia="仿宋_GB2312" w:cs="Times New Roman"/>
          <w:b/>
          <w:sz w:val="24"/>
          <w:szCs w:val="24"/>
          <w:highlight w:val="none"/>
        </w:rPr>
        <w:t>上海证券交易所：</w:t>
      </w:r>
    </w:p>
    <w:p w14:paraId="4171B78D">
      <w:pPr>
        <w:spacing w:line="360" w:lineRule="atLeast"/>
        <w:ind w:firstLine="480" w:firstLineChars="200"/>
        <w:rPr>
          <w:rFonts w:ascii="Times New Roman" w:hAnsi="Times New Roman" w:eastAsia="仿宋_GB2312" w:cs="Times New Roman"/>
          <w:sz w:val="24"/>
          <w:szCs w:val="24"/>
          <w:highlight w:val="none"/>
        </w:rPr>
      </w:pPr>
      <w:r>
        <w:rPr>
          <w:rFonts w:ascii="Times New Roman" w:hAnsi="Times New Roman" w:eastAsia="仿宋_GB2312" w:cs="Times New Roman"/>
          <w:sz w:val="24"/>
          <w:szCs w:val="24"/>
          <w:highlight w:val="none"/>
        </w:rPr>
        <w:t>根据《公开募集</w:t>
      </w:r>
      <w:r>
        <w:rPr>
          <w:rFonts w:hint="eastAsia" w:ascii="Times New Roman" w:hAnsi="Times New Roman" w:eastAsia="仿宋_GB2312" w:cs="Times New Roman"/>
          <w:sz w:val="24"/>
          <w:szCs w:val="24"/>
          <w:highlight w:val="none"/>
        </w:rPr>
        <w:t>不动产投资信托</w:t>
      </w:r>
      <w:r>
        <w:rPr>
          <w:rFonts w:ascii="Times New Roman" w:hAnsi="Times New Roman" w:eastAsia="仿宋_GB2312" w:cs="Times New Roman"/>
          <w:sz w:val="24"/>
          <w:szCs w:val="24"/>
          <w:highlight w:val="none"/>
        </w:rPr>
        <w:t>基金指引（试行）》、《</w:t>
      </w:r>
      <w:r>
        <w:rPr>
          <w:rFonts w:hint="eastAsia" w:ascii="Times New Roman" w:hAnsi="Times New Roman" w:eastAsia="仿宋_GB2312" w:cs="Times New Roman"/>
          <w:sz w:val="24"/>
          <w:szCs w:val="24"/>
          <w:highlight w:val="none"/>
        </w:rPr>
        <w:t>扩募及</w:t>
      </w:r>
      <w:r>
        <w:rPr>
          <w:rFonts w:ascii="Times New Roman" w:hAnsi="Times New Roman" w:eastAsia="仿宋_GB2312" w:cs="Times New Roman"/>
          <w:sz w:val="24"/>
          <w:szCs w:val="24"/>
          <w:highlight w:val="none"/>
        </w:rPr>
        <w:t>新购入</w:t>
      </w:r>
      <w:r>
        <w:rPr>
          <w:rFonts w:hint="eastAsia" w:ascii="Times New Roman" w:hAnsi="Times New Roman" w:eastAsia="仿宋_GB2312" w:cs="Times New Roman"/>
          <w:sz w:val="24"/>
          <w:szCs w:val="24"/>
          <w:highlight w:val="none"/>
        </w:rPr>
        <w:t>不动产</w:t>
      </w:r>
      <w:r>
        <w:rPr>
          <w:rFonts w:ascii="Times New Roman" w:hAnsi="Times New Roman" w:eastAsia="仿宋_GB2312" w:cs="Times New Roman"/>
          <w:sz w:val="24"/>
          <w:szCs w:val="24"/>
          <w:highlight w:val="none"/>
        </w:rPr>
        <w:t>指引》要求，</w:t>
      </w:r>
      <w:r>
        <w:rPr>
          <w:rFonts w:hint="eastAsia" w:ascii="Times New Roman" w:hAnsi="Times New Roman" w:eastAsia="仿宋_GB2312" w:cs="Times New Roman"/>
          <w:sz w:val="24"/>
          <w:szCs w:val="24"/>
          <w:highlight w:val="none"/>
        </w:rPr>
        <w:t>不动产</w:t>
      </w:r>
      <w:r>
        <w:rPr>
          <w:rFonts w:ascii="Times New Roman" w:hAnsi="Times New Roman" w:eastAsia="仿宋_GB2312" w:cs="Times New Roman"/>
          <w:sz w:val="24"/>
          <w:szCs w:val="24"/>
          <w:highlight w:val="none"/>
        </w:rPr>
        <w:t>基金向不特定对象扩募新增份额存在限售期。现申请对XX</w:t>
      </w:r>
      <w:r>
        <w:rPr>
          <w:rFonts w:hint="eastAsia" w:ascii="Times New Roman" w:hAnsi="Times New Roman" w:eastAsia="仿宋_GB2312" w:cs="Times New Roman"/>
          <w:sz w:val="24"/>
          <w:szCs w:val="24"/>
          <w:highlight w:val="none"/>
        </w:rPr>
        <w:t>投资信托</w:t>
      </w:r>
      <w:r>
        <w:rPr>
          <w:rFonts w:ascii="Times New Roman" w:hAnsi="Times New Roman" w:eastAsia="仿宋_GB2312" w:cs="Times New Roman"/>
          <w:sz w:val="24"/>
          <w:szCs w:val="24"/>
          <w:highlight w:val="none"/>
        </w:rPr>
        <w:t>基金（证券代码：     证券简称：    ）部分场内份额进行限售，限售信息详见《REITs场内份额限售申请表》。</w:t>
      </w:r>
    </w:p>
    <w:p w14:paraId="429B83D9">
      <w:pPr>
        <w:spacing w:line="360" w:lineRule="atLeast"/>
        <w:ind w:firstLine="480" w:firstLineChars="200"/>
        <w:jc w:val="left"/>
        <w:rPr>
          <w:rFonts w:ascii="Times New Roman" w:hAnsi="Times New Roman" w:eastAsia="仿宋_GB2312" w:cs="Times New Roman"/>
          <w:sz w:val="24"/>
          <w:szCs w:val="24"/>
          <w:highlight w:val="none"/>
        </w:rPr>
      </w:pPr>
    </w:p>
    <w:p w14:paraId="631DFDB0">
      <w:pPr>
        <w:wordWrap w:val="0"/>
        <w:spacing w:line="360" w:lineRule="atLeast"/>
        <w:ind w:firstLine="480" w:firstLineChars="200"/>
        <w:jc w:val="right"/>
        <w:rPr>
          <w:rFonts w:ascii="Times New Roman" w:hAnsi="Times New Roman" w:eastAsia="仿宋_GB2312" w:cs="Times New Roman"/>
          <w:sz w:val="24"/>
          <w:szCs w:val="24"/>
          <w:highlight w:val="none"/>
        </w:rPr>
      </w:pPr>
      <w:r>
        <w:rPr>
          <w:rFonts w:ascii="Times New Roman" w:hAnsi="Times New Roman" w:eastAsia="仿宋_GB2312" w:cs="Times New Roman"/>
          <w:sz w:val="24"/>
          <w:szCs w:val="24"/>
          <w:highlight w:val="none"/>
        </w:rPr>
        <w:t xml:space="preserve">XX基金公司 </w:t>
      </w:r>
    </w:p>
    <w:p w14:paraId="109A2B52">
      <w:pPr>
        <w:wordWrap w:val="0"/>
        <w:spacing w:line="360" w:lineRule="atLeast"/>
        <w:ind w:firstLine="480" w:firstLineChars="200"/>
        <w:jc w:val="right"/>
        <w:rPr>
          <w:rFonts w:ascii="Times New Roman" w:hAnsi="Times New Roman" w:eastAsia="仿宋_GB2312" w:cs="Times New Roman"/>
          <w:sz w:val="24"/>
          <w:szCs w:val="24"/>
          <w:highlight w:val="none"/>
        </w:rPr>
      </w:pPr>
      <w:r>
        <w:rPr>
          <w:rFonts w:ascii="Times New Roman" w:hAnsi="Times New Roman" w:eastAsia="仿宋_GB2312" w:cs="Times New Roman"/>
          <w:sz w:val="24"/>
          <w:szCs w:val="24"/>
          <w:highlight w:val="none"/>
        </w:rPr>
        <w:t xml:space="preserve">   年  月  日</w:t>
      </w:r>
    </w:p>
    <w:p w14:paraId="057CAF3A">
      <w:pPr>
        <w:spacing w:line="360" w:lineRule="atLeast"/>
        <w:ind w:firstLine="480" w:firstLineChars="200"/>
        <w:jc w:val="right"/>
        <w:rPr>
          <w:rFonts w:ascii="Times New Roman" w:hAnsi="Times New Roman" w:eastAsia="仿宋_GB2312" w:cs="Times New Roman"/>
          <w:sz w:val="24"/>
          <w:szCs w:val="24"/>
          <w:highlight w:val="none"/>
        </w:rPr>
      </w:pPr>
    </w:p>
    <w:p w14:paraId="1B5AEDA8">
      <w:pPr>
        <w:spacing w:line="360" w:lineRule="atLeast"/>
        <w:ind w:firstLine="480" w:firstLineChars="200"/>
        <w:jc w:val="right"/>
        <w:rPr>
          <w:rFonts w:ascii="Times New Roman" w:hAnsi="Times New Roman" w:eastAsia="仿宋_GB2312" w:cs="Times New Roman"/>
          <w:sz w:val="24"/>
          <w:szCs w:val="24"/>
          <w:highlight w:val="none"/>
        </w:rPr>
      </w:pPr>
    </w:p>
    <w:p w14:paraId="0A5C189B">
      <w:pPr>
        <w:spacing w:line="360" w:lineRule="auto"/>
        <w:jc w:val="center"/>
        <w:rPr>
          <w:rFonts w:ascii="Times New Roman" w:hAnsi="Times New Roman" w:eastAsia="仿宋_GB2312" w:cs="Times New Roman"/>
          <w:bCs/>
          <w:sz w:val="24"/>
          <w:szCs w:val="24"/>
          <w:highlight w:val="none"/>
        </w:rPr>
      </w:pPr>
      <w:r>
        <w:rPr>
          <w:rFonts w:ascii="Times New Roman" w:hAnsi="Times New Roman" w:eastAsia="仿宋_GB2312" w:cs="Times New Roman"/>
          <w:bCs/>
          <w:sz w:val="24"/>
          <w:szCs w:val="24"/>
          <w:highlight w:val="none"/>
        </w:rPr>
        <w:t>《REITs场内份额限售申请表》</w:t>
      </w:r>
    </w:p>
    <w:p w14:paraId="0A28AC3B">
      <w:pPr>
        <w:widowControl/>
        <w:jc w:val="left"/>
        <w:rPr>
          <w:rFonts w:ascii="Times New Roman" w:hAnsi="Times New Roman" w:eastAsia="仿宋_GB2312" w:cs="Times New Roman"/>
          <w:sz w:val="24"/>
          <w:szCs w:val="24"/>
          <w:highlight w:val="none"/>
        </w:rPr>
      </w:pPr>
      <w:r>
        <w:rPr>
          <w:rFonts w:ascii="Times New Roman" w:hAnsi="Times New Roman" w:eastAsia="仿宋_GB2312" w:cs="Times New Roman"/>
          <w:sz w:val="24"/>
          <w:szCs w:val="24"/>
          <w:highlight w:val="none"/>
        </w:rPr>
        <w:t>证券代码：  证券简称：</w:t>
      </w:r>
    </w:p>
    <w:tbl>
      <w:tblPr>
        <w:tblStyle w:val="19"/>
        <w:tblW w:w="4998"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944"/>
        <w:gridCol w:w="738"/>
        <w:gridCol w:w="791"/>
        <w:gridCol w:w="777"/>
        <w:gridCol w:w="1091"/>
        <w:gridCol w:w="2967"/>
        <w:gridCol w:w="1211"/>
      </w:tblGrid>
      <w:tr w14:paraId="45673B4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54" w:type="pct"/>
            <w:vAlign w:val="center"/>
          </w:tcPr>
          <w:p w14:paraId="55641692">
            <w:pPr>
              <w:widowControl/>
              <w:jc w:val="center"/>
              <w:rPr>
                <w:rFonts w:ascii="Times New Roman" w:hAnsi="Times New Roman" w:eastAsia="仿宋_GB2312" w:cs="Times New Roman"/>
                <w:sz w:val="24"/>
                <w:szCs w:val="24"/>
                <w:highlight w:val="none"/>
              </w:rPr>
            </w:pPr>
            <w:r>
              <w:rPr>
                <w:rFonts w:ascii="Times New Roman" w:hAnsi="Times New Roman" w:eastAsia="仿宋_GB2312" w:cs="Times New Roman"/>
                <w:sz w:val="24"/>
                <w:szCs w:val="24"/>
                <w:highlight w:val="none"/>
              </w:rPr>
              <w:t>序号</w:t>
            </w:r>
          </w:p>
        </w:tc>
        <w:tc>
          <w:tcPr>
            <w:tcW w:w="433" w:type="pct"/>
            <w:vAlign w:val="center"/>
          </w:tcPr>
          <w:p w14:paraId="7BC2AF49">
            <w:pPr>
              <w:widowControl/>
              <w:jc w:val="center"/>
              <w:rPr>
                <w:rFonts w:ascii="Times New Roman" w:hAnsi="Times New Roman" w:eastAsia="仿宋_GB2312" w:cs="Times New Roman"/>
                <w:sz w:val="24"/>
                <w:szCs w:val="24"/>
                <w:highlight w:val="none"/>
              </w:rPr>
            </w:pPr>
            <w:r>
              <w:rPr>
                <w:rFonts w:ascii="Times New Roman" w:hAnsi="Times New Roman" w:eastAsia="仿宋_GB2312" w:cs="Times New Roman"/>
                <w:sz w:val="24"/>
                <w:szCs w:val="24"/>
                <w:highlight w:val="none"/>
              </w:rPr>
              <w:t>证券代码</w:t>
            </w:r>
          </w:p>
        </w:tc>
        <w:tc>
          <w:tcPr>
            <w:tcW w:w="464" w:type="pct"/>
            <w:vAlign w:val="center"/>
          </w:tcPr>
          <w:p w14:paraId="76CB71F6">
            <w:pPr>
              <w:widowControl/>
              <w:jc w:val="center"/>
              <w:rPr>
                <w:rFonts w:ascii="Times New Roman" w:hAnsi="Times New Roman" w:eastAsia="仿宋_GB2312" w:cs="Times New Roman"/>
                <w:sz w:val="24"/>
                <w:szCs w:val="24"/>
                <w:highlight w:val="none"/>
              </w:rPr>
            </w:pPr>
            <w:r>
              <w:rPr>
                <w:rFonts w:ascii="Times New Roman" w:hAnsi="Times New Roman" w:eastAsia="仿宋_GB2312" w:cs="Times New Roman"/>
                <w:sz w:val="24"/>
                <w:szCs w:val="24"/>
                <w:highlight w:val="none"/>
              </w:rPr>
              <w:t>证券简称</w:t>
            </w:r>
          </w:p>
        </w:tc>
        <w:tc>
          <w:tcPr>
            <w:tcW w:w="456" w:type="pct"/>
            <w:vAlign w:val="center"/>
          </w:tcPr>
          <w:p w14:paraId="75DFE0AD">
            <w:pPr>
              <w:widowControl/>
              <w:jc w:val="center"/>
              <w:rPr>
                <w:rFonts w:ascii="Times New Roman" w:hAnsi="Times New Roman" w:eastAsia="仿宋_GB2312" w:cs="Times New Roman"/>
                <w:sz w:val="24"/>
                <w:szCs w:val="24"/>
                <w:highlight w:val="none"/>
              </w:rPr>
            </w:pPr>
            <w:r>
              <w:rPr>
                <w:rFonts w:ascii="Times New Roman" w:hAnsi="Times New Roman" w:eastAsia="仿宋_GB2312" w:cs="Times New Roman"/>
                <w:sz w:val="24"/>
                <w:szCs w:val="24"/>
                <w:highlight w:val="none"/>
              </w:rPr>
              <w:t>证券账户</w:t>
            </w:r>
          </w:p>
        </w:tc>
        <w:tc>
          <w:tcPr>
            <w:tcW w:w="640" w:type="pct"/>
            <w:vAlign w:val="center"/>
          </w:tcPr>
          <w:p w14:paraId="28BB45DC">
            <w:pPr>
              <w:widowControl/>
              <w:jc w:val="center"/>
              <w:rPr>
                <w:rFonts w:ascii="Times New Roman" w:hAnsi="Times New Roman" w:eastAsia="仿宋_GB2312" w:cs="Times New Roman"/>
                <w:sz w:val="24"/>
                <w:szCs w:val="24"/>
                <w:highlight w:val="none"/>
              </w:rPr>
            </w:pPr>
            <w:r>
              <w:rPr>
                <w:rFonts w:ascii="Times New Roman" w:hAnsi="Times New Roman" w:eastAsia="仿宋_GB2312" w:cs="Times New Roman"/>
                <w:sz w:val="24"/>
                <w:szCs w:val="24"/>
                <w:highlight w:val="none"/>
              </w:rPr>
              <w:t>限售份额总量</w:t>
            </w:r>
          </w:p>
        </w:tc>
        <w:tc>
          <w:tcPr>
            <w:tcW w:w="1741" w:type="pct"/>
            <w:vAlign w:val="center"/>
          </w:tcPr>
          <w:p w14:paraId="3373C9E3">
            <w:pPr>
              <w:widowControl/>
              <w:jc w:val="center"/>
              <w:rPr>
                <w:rFonts w:ascii="Times New Roman" w:hAnsi="Times New Roman" w:eastAsia="仿宋_GB2312" w:cs="Times New Roman"/>
                <w:sz w:val="24"/>
                <w:szCs w:val="24"/>
                <w:highlight w:val="none"/>
              </w:rPr>
            </w:pPr>
            <w:r>
              <w:rPr>
                <w:rFonts w:ascii="Times New Roman" w:hAnsi="Times New Roman" w:eastAsia="仿宋_GB2312" w:cs="Times New Roman"/>
                <w:sz w:val="24"/>
                <w:szCs w:val="24"/>
                <w:highlight w:val="none"/>
              </w:rPr>
              <w:t>限售类型</w:t>
            </w:r>
          </w:p>
        </w:tc>
        <w:tc>
          <w:tcPr>
            <w:tcW w:w="710" w:type="pct"/>
            <w:vAlign w:val="center"/>
          </w:tcPr>
          <w:p w14:paraId="7C14CF72">
            <w:pPr>
              <w:widowControl/>
              <w:jc w:val="center"/>
              <w:rPr>
                <w:rFonts w:ascii="Times New Roman" w:hAnsi="Times New Roman" w:eastAsia="仿宋_GB2312" w:cs="Times New Roman"/>
                <w:sz w:val="24"/>
                <w:szCs w:val="24"/>
                <w:highlight w:val="none"/>
              </w:rPr>
            </w:pPr>
            <w:r>
              <w:rPr>
                <w:rFonts w:ascii="Times New Roman" w:hAnsi="Times New Roman" w:eastAsia="仿宋_GB2312" w:cs="Times New Roman"/>
                <w:sz w:val="24"/>
                <w:szCs w:val="24"/>
                <w:highlight w:val="none"/>
              </w:rPr>
              <w:t>限售期（月）</w:t>
            </w:r>
          </w:p>
        </w:tc>
      </w:tr>
      <w:tr w14:paraId="62F10E9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54" w:type="pct"/>
            <w:vAlign w:val="center"/>
          </w:tcPr>
          <w:p w14:paraId="2459FE2B">
            <w:pPr>
              <w:widowControl/>
              <w:jc w:val="center"/>
              <w:rPr>
                <w:rFonts w:ascii="Times New Roman" w:hAnsi="Times New Roman" w:eastAsia="仿宋_GB2312" w:cs="Times New Roman"/>
                <w:sz w:val="24"/>
                <w:szCs w:val="24"/>
                <w:highlight w:val="none"/>
              </w:rPr>
            </w:pPr>
            <w:r>
              <w:rPr>
                <w:rFonts w:ascii="Times New Roman" w:hAnsi="Times New Roman" w:eastAsia="仿宋_GB2312" w:cs="Times New Roman"/>
                <w:sz w:val="24"/>
                <w:szCs w:val="24"/>
                <w:highlight w:val="none"/>
              </w:rPr>
              <w:t>1</w:t>
            </w:r>
          </w:p>
        </w:tc>
        <w:tc>
          <w:tcPr>
            <w:tcW w:w="433" w:type="pct"/>
            <w:vAlign w:val="center"/>
          </w:tcPr>
          <w:p w14:paraId="2B787643">
            <w:pPr>
              <w:widowControl/>
              <w:jc w:val="center"/>
              <w:rPr>
                <w:rFonts w:ascii="Times New Roman" w:hAnsi="Times New Roman" w:eastAsia="仿宋_GB2312" w:cs="Times New Roman"/>
                <w:sz w:val="24"/>
                <w:szCs w:val="24"/>
                <w:highlight w:val="none"/>
              </w:rPr>
            </w:pPr>
          </w:p>
        </w:tc>
        <w:tc>
          <w:tcPr>
            <w:tcW w:w="464" w:type="pct"/>
            <w:vAlign w:val="center"/>
          </w:tcPr>
          <w:p w14:paraId="475DBC7C">
            <w:pPr>
              <w:widowControl/>
              <w:jc w:val="center"/>
              <w:rPr>
                <w:rFonts w:ascii="Times New Roman" w:hAnsi="Times New Roman" w:eastAsia="仿宋_GB2312" w:cs="Times New Roman"/>
                <w:sz w:val="24"/>
                <w:szCs w:val="24"/>
                <w:highlight w:val="none"/>
              </w:rPr>
            </w:pPr>
          </w:p>
        </w:tc>
        <w:tc>
          <w:tcPr>
            <w:tcW w:w="456" w:type="pct"/>
            <w:vAlign w:val="center"/>
          </w:tcPr>
          <w:p w14:paraId="7214BA35">
            <w:pPr>
              <w:widowControl/>
              <w:jc w:val="center"/>
              <w:rPr>
                <w:rFonts w:ascii="Times New Roman" w:hAnsi="Times New Roman" w:eastAsia="仿宋_GB2312" w:cs="Times New Roman"/>
                <w:sz w:val="24"/>
                <w:szCs w:val="24"/>
                <w:highlight w:val="none"/>
              </w:rPr>
            </w:pPr>
          </w:p>
        </w:tc>
        <w:tc>
          <w:tcPr>
            <w:tcW w:w="640" w:type="pct"/>
            <w:vAlign w:val="center"/>
          </w:tcPr>
          <w:p w14:paraId="2038894E">
            <w:pPr>
              <w:widowControl/>
              <w:jc w:val="center"/>
              <w:rPr>
                <w:rFonts w:ascii="Times New Roman" w:hAnsi="Times New Roman" w:eastAsia="仿宋_GB2312" w:cs="Times New Roman"/>
                <w:sz w:val="24"/>
                <w:szCs w:val="24"/>
                <w:highlight w:val="none"/>
              </w:rPr>
            </w:pPr>
          </w:p>
        </w:tc>
        <w:tc>
          <w:tcPr>
            <w:tcW w:w="1741" w:type="pct"/>
            <w:vAlign w:val="center"/>
          </w:tcPr>
          <w:p w14:paraId="33F8272A">
            <w:pPr>
              <w:widowControl/>
              <w:jc w:val="center"/>
              <w:rPr>
                <w:rFonts w:ascii="Times New Roman" w:hAnsi="Times New Roman" w:eastAsia="仿宋_GB2312" w:cs="Times New Roman"/>
                <w:sz w:val="24"/>
                <w:szCs w:val="24"/>
                <w:highlight w:val="none"/>
              </w:rPr>
            </w:pPr>
            <w:r>
              <w:rPr>
                <w:rFonts w:ascii="Times New Roman" w:hAnsi="Times New Roman" w:eastAsia="仿宋_GB2312" w:cs="Times New Roman"/>
                <w:sz w:val="24"/>
                <w:szCs w:val="24"/>
                <w:highlight w:val="none"/>
              </w:rPr>
              <w:t>原始权益人及其同一控制下关联方战略配售限售</w:t>
            </w:r>
          </w:p>
        </w:tc>
        <w:tc>
          <w:tcPr>
            <w:tcW w:w="710" w:type="pct"/>
            <w:vAlign w:val="center"/>
          </w:tcPr>
          <w:p w14:paraId="52034814">
            <w:pPr>
              <w:widowControl/>
              <w:jc w:val="center"/>
              <w:rPr>
                <w:rFonts w:ascii="Times New Roman" w:hAnsi="Times New Roman" w:eastAsia="仿宋_GB2312" w:cs="Times New Roman"/>
                <w:sz w:val="24"/>
                <w:szCs w:val="24"/>
                <w:highlight w:val="none"/>
              </w:rPr>
            </w:pPr>
          </w:p>
        </w:tc>
      </w:tr>
    </w:tbl>
    <w:p w14:paraId="1EAF1654">
      <w:pPr>
        <w:widowControl/>
        <w:jc w:val="left"/>
        <w:rPr>
          <w:rFonts w:ascii="Times New Roman" w:hAnsi="Times New Roman" w:eastAsia="仿宋_GB2312" w:cs="Times New Roman"/>
          <w:sz w:val="24"/>
          <w:szCs w:val="24"/>
          <w:highlight w:val="none"/>
          <w:u w:val="single"/>
        </w:rPr>
      </w:pPr>
      <w:r>
        <w:rPr>
          <w:rFonts w:ascii="Times New Roman" w:hAnsi="Times New Roman" w:eastAsia="仿宋_GB2312" w:cs="Times New Roman"/>
          <w:sz w:val="24"/>
          <w:szCs w:val="24"/>
          <w:highlight w:val="none"/>
          <w:u w:val="single"/>
        </w:rPr>
        <w:t>总计记录数：股份数量：</w:t>
      </w:r>
    </w:p>
    <w:p w14:paraId="3DF84538">
      <w:pPr>
        <w:widowControl/>
        <w:jc w:val="left"/>
        <w:rPr>
          <w:rFonts w:ascii="Times New Roman" w:hAnsi="Times New Roman" w:eastAsia="仿宋_GB2312" w:cs="Times New Roman"/>
          <w:sz w:val="24"/>
          <w:szCs w:val="24"/>
          <w:highlight w:val="none"/>
        </w:rPr>
      </w:pPr>
    </w:p>
    <w:p w14:paraId="788451BA">
      <w:pPr>
        <w:widowControl/>
        <w:jc w:val="left"/>
        <w:rPr>
          <w:rFonts w:ascii="Times New Roman" w:hAnsi="Times New Roman" w:eastAsia="仿宋_GB2312" w:cs="Times New Roman"/>
          <w:sz w:val="24"/>
          <w:szCs w:val="24"/>
          <w:highlight w:val="none"/>
        </w:rPr>
      </w:pPr>
      <w:r>
        <w:rPr>
          <w:rFonts w:ascii="Times New Roman" w:hAnsi="Times New Roman" w:eastAsia="仿宋_GB2312" w:cs="Times New Roman"/>
          <w:sz w:val="24"/>
          <w:szCs w:val="24"/>
          <w:highlight w:val="none"/>
        </w:rPr>
        <w:t>核查结果反馈：</w:t>
      </w:r>
    </w:p>
    <w:p w14:paraId="07404B5A">
      <w:pPr>
        <w:autoSpaceDE w:val="0"/>
        <w:autoSpaceDN w:val="0"/>
        <w:adjustRightInd w:val="0"/>
        <w:jc w:val="left"/>
        <w:rPr>
          <w:rFonts w:ascii="Times New Roman" w:hAnsi="Times New Roman" w:eastAsia="仿宋_GB2312" w:cs="Times New Roman"/>
          <w:kern w:val="0"/>
          <w:sz w:val="24"/>
          <w:szCs w:val="24"/>
          <w:highlight w:val="none"/>
        </w:rPr>
      </w:pPr>
      <w:r>
        <w:rPr>
          <w:rFonts w:ascii="Times New Roman" w:hAnsi="Times New Roman" w:eastAsia="仿宋_GB2312" w:cs="Times New Roman"/>
          <w:kern w:val="0"/>
          <w:sz w:val="24"/>
          <w:szCs w:val="24"/>
          <w:highlight w:val="none"/>
        </w:rPr>
        <w:t>□经核查，数据准确无误。</w:t>
      </w:r>
    </w:p>
    <w:p w14:paraId="48977C0F">
      <w:pPr>
        <w:autoSpaceDE w:val="0"/>
        <w:autoSpaceDN w:val="0"/>
        <w:adjustRightInd w:val="0"/>
        <w:jc w:val="right"/>
        <w:rPr>
          <w:rFonts w:ascii="Times New Roman" w:hAnsi="Times New Roman" w:eastAsia="仿宋_GB2312" w:cs="Times New Roman"/>
          <w:kern w:val="0"/>
          <w:sz w:val="24"/>
          <w:szCs w:val="24"/>
          <w:highlight w:val="none"/>
        </w:rPr>
      </w:pPr>
    </w:p>
    <w:p w14:paraId="767F2669">
      <w:pPr>
        <w:autoSpaceDE w:val="0"/>
        <w:autoSpaceDN w:val="0"/>
        <w:adjustRightInd w:val="0"/>
        <w:jc w:val="right"/>
        <w:rPr>
          <w:rFonts w:ascii="Times New Roman" w:hAnsi="Times New Roman" w:eastAsia="仿宋_GB2312" w:cs="Times New Roman"/>
          <w:kern w:val="0"/>
          <w:sz w:val="24"/>
          <w:szCs w:val="24"/>
          <w:highlight w:val="none"/>
        </w:rPr>
      </w:pPr>
      <w:r>
        <w:rPr>
          <w:rFonts w:ascii="Times New Roman" w:hAnsi="Times New Roman" w:eastAsia="仿宋_GB2312" w:cs="Times New Roman"/>
          <w:kern w:val="0"/>
          <w:sz w:val="24"/>
          <w:szCs w:val="24"/>
          <w:highlight w:val="none"/>
        </w:rPr>
        <w:t>公章</w:t>
      </w:r>
    </w:p>
    <w:p w14:paraId="06F1779E">
      <w:pPr>
        <w:autoSpaceDE w:val="0"/>
        <w:autoSpaceDN w:val="0"/>
        <w:adjustRightInd w:val="0"/>
        <w:jc w:val="right"/>
        <w:rPr>
          <w:rFonts w:ascii="Times New Roman" w:hAnsi="Times New Roman" w:eastAsia="仿宋_GB2312" w:cs="Times New Roman"/>
          <w:kern w:val="0"/>
          <w:sz w:val="24"/>
          <w:szCs w:val="24"/>
          <w:highlight w:val="none"/>
        </w:rPr>
      </w:pPr>
      <w:r>
        <w:rPr>
          <w:rFonts w:ascii="Times New Roman" w:hAnsi="Times New Roman" w:eastAsia="仿宋_GB2312" w:cs="Times New Roman"/>
          <w:kern w:val="0"/>
          <w:sz w:val="24"/>
          <w:szCs w:val="24"/>
          <w:highlight w:val="none"/>
        </w:rPr>
        <w:t xml:space="preserve">  年  月  日</w:t>
      </w:r>
    </w:p>
    <w:p w14:paraId="16158E8A">
      <w:pPr>
        <w:rPr>
          <w:rFonts w:ascii="Times New Roman" w:hAnsi="Times New Roman" w:eastAsia="仿宋" w:cs="Times New Roman"/>
          <w:sz w:val="26"/>
          <w:szCs w:val="26"/>
          <w:highlight w:val="none"/>
        </w:rPr>
      </w:pPr>
      <w:r>
        <w:rPr>
          <w:rFonts w:ascii="Times New Roman" w:hAnsi="Times New Roman" w:eastAsia="仿宋" w:cs="Times New Roman"/>
          <w:sz w:val="26"/>
          <w:szCs w:val="26"/>
          <w:highlight w:val="none"/>
        </w:rPr>
        <w:br w:type="page"/>
      </w:r>
    </w:p>
    <w:p w14:paraId="540A0E50">
      <w:pPr>
        <w:spacing w:line="360" w:lineRule="auto"/>
        <w:outlineLvl w:val="2"/>
        <w:rPr>
          <w:rFonts w:ascii="Times New Roman" w:hAnsi="Times New Roman" w:eastAsia="仿宋_GB2312" w:cs="Times New Roman"/>
          <w:bCs/>
          <w:sz w:val="24"/>
          <w:highlight w:val="none"/>
        </w:rPr>
      </w:pPr>
      <w:bookmarkStart w:id="922" w:name="_Toc23840"/>
      <w:bookmarkStart w:id="923" w:name="_Toc13802"/>
      <w:bookmarkStart w:id="924" w:name="_Toc14914"/>
      <w:bookmarkStart w:id="925" w:name="_Toc28018"/>
      <w:bookmarkStart w:id="926" w:name="_Toc20374"/>
      <w:r>
        <w:rPr>
          <w:rFonts w:ascii="Times New Roman" w:hAnsi="Times New Roman" w:eastAsia="仿宋_GB2312" w:cs="Times New Roman"/>
          <w:b/>
          <w:sz w:val="24"/>
          <w:highlight w:val="none"/>
        </w:rPr>
        <w:t>附件1-4：REITs场外份额锁定申请表</w:t>
      </w:r>
      <w:bookmarkEnd w:id="922"/>
      <w:bookmarkEnd w:id="923"/>
      <w:bookmarkEnd w:id="924"/>
      <w:bookmarkEnd w:id="925"/>
      <w:bookmarkEnd w:id="926"/>
    </w:p>
    <w:p w14:paraId="20D3E629">
      <w:pPr>
        <w:widowControl/>
        <w:adjustRightInd w:val="0"/>
        <w:snapToGrid w:val="0"/>
        <w:spacing w:after="200"/>
        <w:rPr>
          <w:rFonts w:ascii="Times New Roman" w:hAnsi="Times New Roman" w:eastAsia="仿宋" w:cs="Times New Roman"/>
          <w:b/>
          <w:sz w:val="32"/>
          <w:szCs w:val="32"/>
          <w:highlight w:val="none"/>
        </w:rPr>
      </w:pPr>
    </w:p>
    <w:tbl>
      <w:tblPr>
        <w:tblStyle w:val="19"/>
        <w:tblW w:w="990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
      <w:tblGrid>
        <w:gridCol w:w="637"/>
        <w:gridCol w:w="709"/>
        <w:gridCol w:w="811"/>
        <w:gridCol w:w="696"/>
        <w:gridCol w:w="586"/>
        <w:gridCol w:w="927"/>
        <w:gridCol w:w="1217"/>
        <w:gridCol w:w="782"/>
        <w:gridCol w:w="1125"/>
        <w:gridCol w:w="1186"/>
        <w:gridCol w:w="1232"/>
      </w:tblGrid>
      <w:tr w14:paraId="6E3872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cantSplit/>
          <w:trHeight w:val="293" w:hRule="atLeast"/>
          <w:jc w:val="center"/>
        </w:trPr>
        <w:tc>
          <w:tcPr>
            <w:tcW w:w="637" w:type="dxa"/>
            <w:shd w:val="solid" w:color="C0C0C0" w:fill="auto"/>
            <w:vAlign w:val="center"/>
          </w:tcPr>
          <w:p w14:paraId="7C31773A">
            <w:pPr>
              <w:widowControl/>
              <w:jc w:val="center"/>
              <w:rPr>
                <w:rFonts w:ascii="Times New Roman" w:hAnsi="Times New Roman" w:eastAsia="仿宋_GB2312" w:cs="Times New Roman"/>
                <w:sz w:val="24"/>
                <w:szCs w:val="24"/>
                <w:highlight w:val="none"/>
              </w:rPr>
            </w:pPr>
            <w:r>
              <w:rPr>
                <w:rFonts w:ascii="Times New Roman" w:hAnsi="Times New Roman" w:eastAsia="仿宋_GB2312" w:cs="Times New Roman"/>
                <w:sz w:val="24"/>
                <w:szCs w:val="24"/>
                <w:highlight w:val="none"/>
              </w:rPr>
              <w:t>序号</w:t>
            </w:r>
          </w:p>
        </w:tc>
        <w:tc>
          <w:tcPr>
            <w:tcW w:w="709" w:type="dxa"/>
            <w:shd w:val="solid" w:color="C0C0C0" w:fill="auto"/>
            <w:vAlign w:val="center"/>
          </w:tcPr>
          <w:p w14:paraId="10B7DF17">
            <w:pPr>
              <w:widowControl/>
              <w:jc w:val="center"/>
              <w:rPr>
                <w:rFonts w:ascii="Times New Roman" w:hAnsi="Times New Roman" w:eastAsia="仿宋_GB2312" w:cs="Times New Roman"/>
                <w:sz w:val="24"/>
                <w:szCs w:val="24"/>
                <w:highlight w:val="none"/>
              </w:rPr>
            </w:pPr>
            <w:r>
              <w:rPr>
                <w:rFonts w:ascii="Times New Roman" w:hAnsi="Times New Roman" w:eastAsia="仿宋_GB2312" w:cs="Times New Roman"/>
                <w:sz w:val="24"/>
                <w:szCs w:val="24"/>
                <w:highlight w:val="none"/>
              </w:rPr>
              <w:t>基金代码</w:t>
            </w:r>
          </w:p>
        </w:tc>
        <w:tc>
          <w:tcPr>
            <w:tcW w:w="811" w:type="dxa"/>
            <w:shd w:val="solid" w:color="C0C0C0" w:fill="auto"/>
            <w:vAlign w:val="center"/>
          </w:tcPr>
          <w:p w14:paraId="78F621EF">
            <w:pPr>
              <w:widowControl/>
              <w:jc w:val="center"/>
              <w:rPr>
                <w:rFonts w:ascii="Times New Roman" w:hAnsi="Times New Roman" w:eastAsia="仿宋_GB2312" w:cs="Times New Roman"/>
                <w:sz w:val="24"/>
                <w:szCs w:val="24"/>
                <w:highlight w:val="none"/>
              </w:rPr>
            </w:pPr>
            <w:r>
              <w:rPr>
                <w:rFonts w:ascii="Times New Roman" w:hAnsi="Times New Roman" w:eastAsia="仿宋_GB2312" w:cs="Times New Roman"/>
                <w:sz w:val="24"/>
                <w:szCs w:val="24"/>
                <w:highlight w:val="none"/>
              </w:rPr>
              <w:t>代理人代码</w:t>
            </w:r>
          </w:p>
        </w:tc>
        <w:tc>
          <w:tcPr>
            <w:tcW w:w="696" w:type="dxa"/>
            <w:shd w:val="solid" w:color="C0C0C0" w:fill="auto"/>
            <w:vAlign w:val="center"/>
          </w:tcPr>
          <w:p w14:paraId="1580D0F4">
            <w:pPr>
              <w:widowControl/>
              <w:jc w:val="center"/>
              <w:rPr>
                <w:rFonts w:ascii="Times New Roman" w:hAnsi="Times New Roman" w:eastAsia="仿宋_GB2312" w:cs="Times New Roman"/>
                <w:sz w:val="24"/>
                <w:szCs w:val="24"/>
                <w:highlight w:val="none"/>
              </w:rPr>
            </w:pPr>
            <w:r>
              <w:rPr>
                <w:rFonts w:ascii="Times New Roman" w:hAnsi="Times New Roman" w:eastAsia="仿宋_GB2312" w:cs="Times New Roman"/>
                <w:sz w:val="24"/>
                <w:szCs w:val="24"/>
                <w:highlight w:val="none"/>
              </w:rPr>
              <w:t>份额类别</w:t>
            </w:r>
          </w:p>
        </w:tc>
        <w:tc>
          <w:tcPr>
            <w:tcW w:w="586" w:type="dxa"/>
            <w:shd w:val="solid" w:color="C0C0C0" w:fill="auto"/>
            <w:vAlign w:val="center"/>
          </w:tcPr>
          <w:p w14:paraId="09DCCF53">
            <w:pPr>
              <w:widowControl/>
              <w:jc w:val="center"/>
              <w:rPr>
                <w:rFonts w:ascii="Times New Roman" w:hAnsi="Times New Roman" w:eastAsia="仿宋_GB2312" w:cs="Times New Roman"/>
                <w:sz w:val="24"/>
                <w:szCs w:val="24"/>
                <w:highlight w:val="none"/>
              </w:rPr>
            </w:pPr>
            <w:r>
              <w:rPr>
                <w:rFonts w:ascii="Times New Roman" w:hAnsi="Times New Roman" w:eastAsia="仿宋_GB2312" w:cs="Times New Roman"/>
                <w:sz w:val="24"/>
                <w:szCs w:val="24"/>
                <w:highlight w:val="none"/>
              </w:rPr>
              <w:t>基金账户</w:t>
            </w:r>
          </w:p>
        </w:tc>
        <w:tc>
          <w:tcPr>
            <w:tcW w:w="927" w:type="dxa"/>
            <w:shd w:val="solid" w:color="C0C0C0" w:fill="auto"/>
            <w:vAlign w:val="center"/>
          </w:tcPr>
          <w:p w14:paraId="770A5CD8">
            <w:pPr>
              <w:widowControl/>
              <w:jc w:val="center"/>
              <w:rPr>
                <w:rFonts w:ascii="Times New Roman" w:hAnsi="Times New Roman" w:eastAsia="仿宋_GB2312" w:cs="Times New Roman"/>
                <w:sz w:val="24"/>
                <w:szCs w:val="24"/>
                <w:highlight w:val="none"/>
              </w:rPr>
            </w:pPr>
            <w:r>
              <w:rPr>
                <w:rFonts w:ascii="Times New Roman" w:hAnsi="Times New Roman" w:eastAsia="仿宋_GB2312" w:cs="Times New Roman"/>
                <w:sz w:val="24"/>
                <w:szCs w:val="24"/>
                <w:highlight w:val="none"/>
              </w:rPr>
              <w:t>交易账户</w:t>
            </w:r>
          </w:p>
        </w:tc>
        <w:tc>
          <w:tcPr>
            <w:tcW w:w="1217" w:type="dxa"/>
            <w:shd w:val="solid" w:color="C0C0C0" w:fill="auto"/>
            <w:vAlign w:val="center"/>
          </w:tcPr>
          <w:p w14:paraId="6398C56D">
            <w:pPr>
              <w:widowControl/>
              <w:jc w:val="center"/>
              <w:rPr>
                <w:rFonts w:ascii="Times New Roman" w:hAnsi="Times New Roman" w:eastAsia="仿宋_GB2312" w:cs="Times New Roman"/>
                <w:sz w:val="24"/>
                <w:szCs w:val="24"/>
                <w:highlight w:val="none"/>
              </w:rPr>
            </w:pPr>
            <w:r>
              <w:rPr>
                <w:rFonts w:ascii="Times New Roman" w:hAnsi="Times New Roman" w:eastAsia="仿宋_GB2312" w:cs="Times New Roman"/>
                <w:sz w:val="24"/>
                <w:szCs w:val="24"/>
                <w:highlight w:val="none"/>
              </w:rPr>
              <w:t>申请锁定份额</w:t>
            </w:r>
          </w:p>
        </w:tc>
        <w:tc>
          <w:tcPr>
            <w:tcW w:w="782" w:type="dxa"/>
            <w:shd w:val="solid" w:color="C0C0C0" w:fill="auto"/>
            <w:vAlign w:val="center"/>
          </w:tcPr>
          <w:p w14:paraId="76DAC348">
            <w:pPr>
              <w:widowControl/>
              <w:jc w:val="center"/>
              <w:rPr>
                <w:rFonts w:ascii="Times New Roman" w:hAnsi="Times New Roman" w:eastAsia="仿宋_GB2312" w:cs="Times New Roman"/>
                <w:sz w:val="24"/>
                <w:szCs w:val="24"/>
                <w:highlight w:val="none"/>
              </w:rPr>
            </w:pPr>
            <w:r>
              <w:rPr>
                <w:rFonts w:ascii="Times New Roman" w:hAnsi="Times New Roman" w:eastAsia="仿宋_GB2312" w:cs="Times New Roman"/>
                <w:sz w:val="24"/>
                <w:szCs w:val="24"/>
                <w:highlight w:val="none"/>
              </w:rPr>
              <w:t>份额注册日期</w:t>
            </w:r>
          </w:p>
        </w:tc>
        <w:tc>
          <w:tcPr>
            <w:tcW w:w="1125" w:type="dxa"/>
            <w:shd w:val="solid" w:color="C0C0C0" w:fill="auto"/>
            <w:vAlign w:val="center"/>
          </w:tcPr>
          <w:p w14:paraId="41829572">
            <w:pPr>
              <w:widowControl/>
              <w:jc w:val="center"/>
              <w:rPr>
                <w:rFonts w:ascii="Times New Roman" w:hAnsi="Times New Roman" w:eastAsia="仿宋_GB2312" w:cs="Times New Roman"/>
                <w:sz w:val="24"/>
                <w:szCs w:val="24"/>
                <w:highlight w:val="none"/>
              </w:rPr>
            </w:pPr>
            <w:r>
              <w:rPr>
                <w:rFonts w:ascii="Times New Roman" w:hAnsi="Times New Roman" w:eastAsia="仿宋_GB2312" w:cs="Times New Roman"/>
                <w:sz w:val="24"/>
                <w:szCs w:val="24"/>
                <w:highlight w:val="none"/>
              </w:rPr>
              <w:t>锁定生效日</w:t>
            </w:r>
          </w:p>
        </w:tc>
        <w:tc>
          <w:tcPr>
            <w:tcW w:w="1186" w:type="dxa"/>
            <w:shd w:val="solid" w:color="C0C0C0" w:fill="auto"/>
            <w:vAlign w:val="center"/>
          </w:tcPr>
          <w:p w14:paraId="49AC0CA8">
            <w:pPr>
              <w:widowControl/>
              <w:jc w:val="center"/>
              <w:rPr>
                <w:rFonts w:ascii="Times New Roman" w:hAnsi="Times New Roman" w:eastAsia="仿宋_GB2312" w:cs="Times New Roman"/>
                <w:sz w:val="24"/>
                <w:szCs w:val="24"/>
                <w:highlight w:val="none"/>
              </w:rPr>
            </w:pPr>
            <w:r>
              <w:rPr>
                <w:rFonts w:ascii="Times New Roman" w:hAnsi="Times New Roman" w:eastAsia="仿宋_GB2312" w:cs="Times New Roman"/>
                <w:sz w:val="24"/>
                <w:szCs w:val="24"/>
                <w:highlight w:val="none"/>
              </w:rPr>
              <w:t>解锁生效日</w:t>
            </w:r>
          </w:p>
        </w:tc>
        <w:tc>
          <w:tcPr>
            <w:tcW w:w="1232" w:type="dxa"/>
            <w:shd w:val="solid" w:color="C0C0C0" w:fill="auto"/>
            <w:vAlign w:val="center"/>
          </w:tcPr>
          <w:p w14:paraId="686E657E">
            <w:pPr>
              <w:widowControl/>
              <w:jc w:val="center"/>
              <w:rPr>
                <w:rFonts w:ascii="Times New Roman" w:hAnsi="Times New Roman" w:eastAsia="仿宋_GB2312" w:cs="Times New Roman"/>
                <w:sz w:val="24"/>
                <w:szCs w:val="24"/>
                <w:highlight w:val="none"/>
              </w:rPr>
            </w:pPr>
            <w:r>
              <w:rPr>
                <w:rFonts w:ascii="Times New Roman" w:hAnsi="Times New Roman" w:eastAsia="仿宋_GB2312" w:cs="Times New Roman"/>
                <w:sz w:val="24"/>
                <w:szCs w:val="24"/>
                <w:highlight w:val="none"/>
              </w:rPr>
              <w:t>锁定结果</w:t>
            </w:r>
          </w:p>
        </w:tc>
      </w:tr>
      <w:tr w14:paraId="76B5D7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cantSplit/>
          <w:trHeight w:val="293" w:hRule="atLeast"/>
          <w:jc w:val="center"/>
        </w:trPr>
        <w:tc>
          <w:tcPr>
            <w:tcW w:w="637" w:type="dxa"/>
            <w:vAlign w:val="center"/>
          </w:tcPr>
          <w:p w14:paraId="06804B24">
            <w:pPr>
              <w:widowControl/>
              <w:autoSpaceDE w:val="0"/>
              <w:autoSpaceDN w:val="0"/>
              <w:adjustRightInd w:val="0"/>
              <w:snapToGrid w:val="0"/>
              <w:spacing w:after="200"/>
              <w:jc w:val="center"/>
              <w:rPr>
                <w:rFonts w:ascii="Times New Roman" w:hAnsi="Times New Roman" w:eastAsia="仿宋_GB2312" w:cs="Times New Roman"/>
                <w:kern w:val="0"/>
                <w:sz w:val="24"/>
                <w:szCs w:val="24"/>
                <w:highlight w:val="none"/>
              </w:rPr>
            </w:pPr>
            <w:r>
              <w:rPr>
                <w:rFonts w:ascii="Times New Roman" w:hAnsi="Times New Roman" w:eastAsia="仿宋_GB2312" w:cs="Times New Roman"/>
                <w:kern w:val="0"/>
                <w:sz w:val="24"/>
                <w:szCs w:val="24"/>
                <w:highlight w:val="none"/>
              </w:rPr>
              <w:t>1</w:t>
            </w:r>
          </w:p>
        </w:tc>
        <w:tc>
          <w:tcPr>
            <w:tcW w:w="709" w:type="dxa"/>
            <w:vAlign w:val="center"/>
          </w:tcPr>
          <w:p w14:paraId="02CF590E">
            <w:pPr>
              <w:widowControl/>
              <w:autoSpaceDE w:val="0"/>
              <w:autoSpaceDN w:val="0"/>
              <w:adjustRightInd w:val="0"/>
              <w:snapToGrid w:val="0"/>
              <w:spacing w:after="200"/>
              <w:jc w:val="center"/>
              <w:rPr>
                <w:rFonts w:ascii="Times New Roman" w:hAnsi="Times New Roman" w:eastAsia="仿宋_GB2312" w:cs="Times New Roman"/>
                <w:kern w:val="0"/>
                <w:sz w:val="24"/>
                <w:szCs w:val="24"/>
                <w:highlight w:val="none"/>
              </w:rPr>
            </w:pPr>
          </w:p>
        </w:tc>
        <w:tc>
          <w:tcPr>
            <w:tcW w:w="811" w:type="dxa"/>
            <w:vAlign w:val="center"/>
          </w:tcPr>
          <w:p w14:paraId="679831AB">
            <w:pPr>
              <w:widowControl/>
              <w:autoSpaceDE w:val="0"/>
              <w:autoSpaceDN w:val="0"/>
              <w:adjustRightInd w:val="0"/>
              <w:snapToGrid w:val="0"/>
              <w:spacing w:after="200"/>
              <w:jc w:val="center"/>
              <w:rPr>
                <w:rFonts w:ascii="Times New Roman" w:hAnsi="Times New Roman" w:eastAsia="仿宋_GB2312" w:cs="Times New Roman"/>
                <w:kern w:val="0"/>
                <w:sz w:val="24"/>
                <w:szCs w:val="24"/>
                <w:highlight w:val="none"/>
              </w:rPr>
            </w:pPr>
          </w:p>
        </w:tc>
        <w:tc>
          <w:tcPr>
            <w:tcW w:w="696" w:type="dxa"/>
            <w:vAlign w:val="center"/>
          </w:tcPr>
          <w:p w14:paraId="54B6672E">
            <w:pPr>
              <w:widowControl/>
              <w:autoSpaceDE w:val="0"/>
              <w:autoSpaceDN w:val="0"/>
              <w:adjustRightInd w:val="0"/>
              <w:snapToGrid w:val="0"/>
              <w:spacing w:after="200"/>
              <w:jc w:val="center"/>
              <w:rPr>
                <w:rFonts w:ascii="Times New Roman" w:hAnsi="Times New Roman" w:eastAsia="仿宋_GB2312" w:cs="Times New Roman"/>
                <w:kern w:val="0"/>
                <w:sz w:val="24"/>
                <w:szCs w:val="24"/>
                <w:highlight w:val="none"/>
              </w:rPr>
            </w:pPr>
            <w:r>
              <w:rPr>
                <w:rFonts w:ascii="Times New Roman" w:hAnsi="Times New Roman" w:eastAsia="仿宋_GB2312" w:cs="Times New Roman"/>
                <w:kern w:val="0"/>
                <w:sz w:val="24"/>
                <w:szCs w:val="24"/>
                <w:highlight w:val="none"/>
              </w:rPr>
              <w:t>前收费</w:t>
            </w:r>
          </w:p>
        </w:tc>
        <w:tc>
          <w:tcPr>
            <w:tcW w:w="586" w:type="dxa"/>
            <w:vAlign w:val="center"/>
          </w:tcPr>
          <w:p w14:paraId="74A13C6E">
            <w:pPr>
              <w:widowControl/>
              <w:autoSpaceDE w:val="0"/>
              <w:autoSpaceDN w:val="0"/>
              <w:adjustRightInd w:val="0"/>
              <w:snapToGrid w:val="0"/>
              <w:spacing w:after="200"/>
              <w:jc w:val="center"/>
              <w:rPr>
                <w:rFonts w:ascii="Times New Roman" w:hAnsi="Times New Roman" w:eastAsia="仿宋_GB2312" w:cs="Times New Roman"/>
                <w:kern w:val="0"/>
                <w:sz w:val="24"/>
                <w:szCs w:val="24"/>
                <w:highlight w:val="none"/>
              </w:rPr>
            </w:pPr>
          </w:p>
        </w:tc>
        <w:tc>
          <w:tcPr>
            <w:tcW w:w="927" w:type="dxa"/>
            <w:vAlign w:val="center"/>
          </w:tcPr>
          <w:p w14:paraId="6898374D">
            <w:pPr>
              <w:widowControl/>
              <w:autoSpaceDE w:val="0"/>
              <w:autoSpaceDN w:val="0"/>
              <w:adjustRightInd w:val="0"/>
              <w:snapToGrid w:val="0"/>
              <w:spacing w:after="200"/>
              <w:jc w:val="center"/>
              <w:rPr>
                <w:rFonts w:ascii="Times New Roman" w:hAnsi="Times New Roman" w:eastAsia="仿宋_GB2312" w:cs="Times New Roman"/>
                <w:kern w:val="0"/>
                <w:sz w:val="24"/>
                <w:szCs w:val="24"/>
                <w:highlight w:val="none"/>
              </w:rPr>
            </w:pPr>
          </w:p>
        </w:tc>
        <w:tc>
          <w:tcPr>
            <w:tcW w:w="1217" w:type="dxa"/>
            <w:vAlign w:val="center"/>
          </w:tcPr>
          <w:p w14:paraId="328E822E">
            <w:pPr>
              <w:widowControl/>
              <w:autoSpaceDE w:val="0"/>
              <w:autoSpaceDN w:val="0"/>
              <w:adjustRightInd w:val="0"/>
              <w:snapToGrid w:val="0"/>
              <w:spacing w:after="200"/>
              <w:jc w:val="center"/>
              <w:rPr>
                <w:rFonts w:ascii="Times New Roman" w:hAnsi="Times New Roman" w:eastAsia="仿宋_GB2312" w:cs="Times New Roman"/>
                <w:kern w:val="0"/>
                <w:sz w:val="24"/>
                <w:szCs w:val="24"/>
                <w:highlight w:val="none"/>
              </w:rPr>
            </w:pPr>
          </w:p>
        </w:tc>
        <w:tc>
          <w:tcPr>
            <w:tcW w:w="782" w:type="dxa"/>
            <w:vAlign w:val="center"/>
          </w:tcPr>
          <w:p w14:paraId="2024E632">
            <w:pPr>
              <w:widowControl/>
              <w:autoSpaceDE w:val="0"/>
              <w:autoSpaceDN w:val="0"/>
              <w:adjustRightInd w:val="0"/>
              <w:snapToGrid w:val="0"/>
              <w:spacing w:after="200"/>
              <w:jc w:val="center"/>
              <w:rPr>
                <w:rFonts w:ascii="Times New Roman" w:hAnsi="Times New Roman" w:eastAsia="仿宋_GB2312" w:cs="Times New Roman"/>
                <w:kern w:val="0"/>
                <w:sz w:val="24"/>
                <w:szCs w:val="24"/>
                <w:highlight w:val="none"/>
              </w:rPr>
            </w:pPr>
          </w:p>
        </w:tc>
        <w:tc>
          <w:tcPr>
            <w:tcW w:w="1125" w:type="dxa"/>
            <w:vAlign w:val="center"/>
          </w:tcPr>
          <w:p w14:paraId="429FCA94">
            <w:pPr>
              <w:widowControl/>
              <w:autoSpaceDE w:val="0"/>
              <w:autoSpaceDN w:val="0"/>
              <w:adjustRightInd w:val="0"/>
              <w:snapToGrid w:val="0"/>
              <w:spacing w:after="200"/>
              <w:jc w:val="center"/>
              <w:rPr>
                <w:rFonts w:ascii="Times New Roman" w:hAnsi="Times New Roman" w:eastAsia="仿宋_GB2312" w:cs="Times New Roman"/>
                <w:kern w:val="0"/>
                <w:sz w:val="24"/>
                <w:szCs w:val="24"/>
                <w:highlight w:val="none"/>
              </w:rPr>
            </w:pPr>
            <w:r>
              <w:rPr>
                <w:rFonts w:ascii="Times New Roman" w:hAnsi="Times New Roman" w:eastAsia="仿宋_GB2312" w:cs="Times New Roman"/>
                <w:kern w:val="0"/>
                <w:sz w:val="24"/>
                <w:szCs w:val="24"/>
                <w:highlight w:val="none"/>
              </w:rPr>
              <w:t>yyyy-mm-dd</w:t>
            </w:r>
          </w:p>
        </w:tc>
        <w:tc>
          <w:tcPr>
            <w:tcW w:w="1186" w:type="dxa"/>
            <w:vAlign w:val="center"/>
          </w:tcPr>
          <w:p w14:paraId="072B755F">
            <w:pPr>
              <w:widowControl/>
              <w:autoSpaceDE w:val="0"/>
              <w:autoSpaceDN w:val="0"/>
              <w:adjustRightInd w:val="0"/>
              <w:snapToGrid w:val="0"/>
              <w:spacing w:after="200"/>
              <w:jc w:val="center"/>
              <w:rPr>
                <w:rFonts w:ascii="Times New Roman" w:hAnsi="Times New Roman" w:eastAsia="仿宋_GB2312" w:cs="Times New Roman"/>
                <w:kern w:val="0"/>
                <w:sz w:val="24"/>
                <w:szCs w:val="24"/>
                <w:highlight w:val="none"/>
              </w:rPr>
            </w:pPr>
            <w:r>
              <w:rPr>
                <w:rFonts w:ascii="Times New Roman" w:hAnsi="Times New Roman" w:eastAsia="仿宋_GB2312" w:cs="Times New Roman"/>
                <w:kern w:val="0"/>
                <w:sz w:val="24"/>
                <w:szCs w:val="24"/>
                <w:highlight w:val="none"/>
              </w:rPr>
              <w:t>yyyy-mm-dd</w:t>
            </w:r>
          </w:p>
        </w:tc>
        <w:tc>
          <w:tcPr>
            <w:tcW w:w="1232" w:type="dxa"/>
            <w:vAlign w:val="center"/>
          </w:tcPr>
          <w:p w14:paraId="29427CAE">
            <w:pPr>
              <w:widowControl/>
              <w:autoSpaceDE w:val="0"/>
              <w:autoSpaceDN w:val="0"/>
              <w:adjustRightInd w:val="0"/>
              <w:snapToGrid w:val="0"/>
              <w:spacing w:after="200"/>
              <w:jc w:val="center"/>
              <w:rPr>
                <w:rFonts w:ascii="Times New Roman" w:hAnsi="Times New Roman" w:eastAsia="仿宋_GB2312" w:cs="Times New Roman"/>
                <w:kern w:val="0"/>
                <w:sz w:val="24"/>
                <w:szCs w:val="24"/>
                <w:highlight w:val="none"/>
              </w:rPr>
            </w:pPr>
          </w:p>
        </w:tc>
      </w:tr>
      <w:tr w14:paraId="075672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cantSplit/>
          <w:trHeight w:val="293" w:hRule="atLeast"/>
          <w:jc w:val="center"/>
        </w:trPr>
        <w:tc>
          <w:tcPr>
            <w:tcW w:w="637" w:type="dxa"/>
            <w:vAlign w:val="center"/>
          </w:tcPr>
          <w:p w14:paraId="39159376">
            <w:pPr>
              <w:widowControl/>
              <w:autoSpaceDE w:val="0"/>
              <w:autoSpaceDN w:val="0"/>
              <w:adjustRightInd w:val="0"/>
              <w:snapToGrid w:val="0"/>
              <w:spacing w:after="200"/>
              <w:jc w:val="center"/>
              <w:rPr>
                <w:rFonts w:ascii="Times New Roman" w:hAnsi="Times New Roman" w:eastAsia="仿宋_GB2312" w:cs="Times New Roman"/>
                <w:kern w:val="0"/>
                <w:sz w:val="24"/>
                <w:szCs w:val="24"/>
                <w:highlight w:val="none"/>
              </w:rPr>
            </w:pPr>
            <w:r>
              <w:rPr>
                <w:rFonts w:ascii="Times New Roman" w:hAnsi="Times New Roman" w:eastAsia="仿宋_GB2312" w:cs="Times New Roman"/>
                <w:kern w:val="0"/>
                <w:sz w:val="24"/>
                <w:szCs w:val="24"/>
                <w:highlight w:val="none"/>
              </w:rPr>
              <w:t>2</w:t>
            </w:r>
          </w:p>
        </w:tc>
        <w:tc>
          <w:tcPr>
            <w:tcW w:w="709" w:type="dxa"/>
            <w:vAlign w:val="center"/>
          </w:tcPr>
          <w:p w14:paraId="0BC6F840">
            <w:pPr>
              <w:widowControl/>
              <w:autoSpaceDE w:val="0"/>
              <w:autoSpaceDN w:val="0"/>
              <w:adjustRightInd w:val="0"/>
              <w:snapToGrid w:val="0"/>
              <w:spacing w:after="200"/>
              <w:jc w:val="center"/>
              <w:rPr>
                <w:rFonts w:ascii="Times New Roman" w:hAnsi="Times New Roman" w:eastAsia="仿宋_GB2312" w:cs="Times New Roman"/>
                <w:kern w:val="0"/>
                <w:sz w:val="24"/>
                <w:szCs w:val="24"/>
                <w:highlight w:val="none"/>
              </w:rPr>
            </w:pPr>
          </w:p>
        </w:tc>
        <w:tc>
          <w:tcPr>
            <w:tcW w:w="811" w:type="dxa"/>
            <w:vAlign w:val="center"/>
          </w:tcPr>
          <w:p w14:paraId="6B2E75AE">
            <w:pPr>
              <w:widowControl/>
              <w:autoSpaceDE w:val="0"/>
              <w:autoSpaceDN w:val="0"/>
              <w:adjustRightInd w:val="0"/>
              <w:snapToGrid w:val="0"/>
              <w:spacing w:after="200"/>
              <w:jc w:val="center"/>
              <w:rPr>
                <w:rFonts w:ascii="Times New Roman" w:hAnsi="Times New Roman" w:eastAsia="仿宋_GB2312" w:cs="Times New Roman"/>
                <w:kern w:val="0"/>
                <w:sz w:val="24"/>
                <w:szCs w:val="24"/>
                <w:highlight w:val="none"/>
              </w:rPr>
            </w:pPr>
          </w:p>
        </w:tc>
        <w:tc>
          <w:tcPr>
            <w:tcW w:w="696" w:type="dxa"/>
            <w:vAlign w:val="center"/>
          </w:tcPr>
          <w:p w14:paraId="70658A85">
            <w:pPr>
              <w:widowControl/>
              <w:autoSpaceDE w:val="0"/>
              <w:autoSpaceDN w:val="0"/>
              <w:adjustRightInd w:val="0"/>
              <w:snapToGrid w:val="0"/>
              <w:spacing w:after="200"/>
              <w:jc w:val="center"/>
              <w:rPr>
                <w:rFonts w:ascii="Times New Roman" w:hAnsi="Times New Roman" w:eastAsia="仿宋_GB2312" w:cs="Times New Roman"/>
                <w:kern w:val="0"/>
                <w:sz w:val="24"/>
                <w:szCs w:val="24"/>
                <w:highlight w:val="none"/>
              </w:rPr>
            </w:pPr>
            <w:r>
              <w:rPr>
                <w:rFonts w:ascii="Times New Roman" w:hAnsi="Times New Roman" w:eastAsia="仿宋_GB2312" w:cs="Times New Roman"/>
                <w:kern w:val="0"/>
                <w:sz w:val="24"/>
                <w:szCs w:val="24"/>
                <w:highlight w:val="none"/>
              </w:rPr>
              <w:t>后收费</w:t>
            </w:r>
          </w:p>
        </w:tc>
        <w:tc>
          <w:tcPr>
            <w:tcW w:w="586" w:type="dxa"/>
            <w:vAlign w:val="center"/>
          </w:tcPr>
          <w:p w14:paraId="02800954">
            <w:pPr>
              <w:widowControl/>
              <w:autoSpaceDE w:val="0"/>
              <w:autoSpaceDN w:val="0"/>
              <w:adjustRightInd w:val="0"/>
              <w:snapToGrid w:val="0"/>
              <w:spacing w:after="200"/>
              <w:jc w:val="center"/>
              <w:rPr>
                <w:rFonts w:ascii="Times New Roman" w:hAnsi="Times New Roman" w:eastAsia="仿宋_GB2312" w:cs="Times New Roman"/>
                <w:kern w:val="0"/>
                <w:sz w:val="24"/>
                <w:szCs w:val="24"/>
                <w:highlight w:val="none"/>
              </w:rPr>
            </w:pPr>
          </w:p>
        </w:tc>
        <w:tc>
          <w:tcPr>
            <w:tcW w:w="927" w:type="dxa"/>
            <w:vAlign w:val="center"/>
          </w:tcPr>
          <w:p w14:paraId="04F29C7B">
            <w:pPr>
              <w:widowControl/>
              <w:autoSpaceDE w:val="0"/>
              <w:autoSpaceDN w:val="0"/>
              <w:adjustRightInd w:val="0"/>
              <w:snapToGrid w:val="0"/>
              <w:spacing w:after="200"/>
              <w:jc w:val="center"/>
              <w:rPr>
                <w:rFonts w:ascii="Times New Roman" w:hAnsi="Times New Roman" w:eastAsia="仿宋_GB2312" w:cs="Times New Roman"/>
                <w:kern w:val="0"/>
                <w:sz w:val="24"/>
                <w:szCs w:val="24"/>
                <w:highlight w:val="none"/>
              </w:rPr>
            </w:pPr>
          </w:p>
        </w:tc>
        <w:tc>
          <w:tcPr>
            <w:tcW w:w="1217" w:type="dxa"/>
            <w:vAlign w:val="center"/>
          </w:tcPr>
          <w:p w14:paraId="6A69E0AB">
            <w:pPr>
              <w:widowControl/>
              <w:autoSpaceDE w:val="0"/>
              <w:autoSpaceDN w:val="0"/>
              <w:adjustRightInd w:val="0"/>
              <w:snapToGrid w:val="0"/>
              <w:spacing w:after="200"/>
              <w:jc w:val="center"/>
              <w:rPr>
                <w:rFonts w:ascii="Times New Roman" w:hAnsi="Times New Roman" w:eastAsia="仿宋_GB2312" w:cs="Times New Roman"/>
                <w:kern w:val="0"/>
                <w:sz w:val="24"/>
                <w:szCs w:val="24"/>
                <w:highlight w:val="none"/>
              </w:rPr>
            </w:pPr>
          </w:p>
        </w:tc>
        <w:tc>
          <w:tcPr>
            <w:tcW w:w="782" w:type="dxa"/>
            <w:vAlign w:val="center"/>
          </w:tcPr>
          <w:p w14:paraId="7ADCE39D">
            <w:pPr>
              <w:widowControl/>
              <w:autoSpaceDE w:val="0"/>
              <w:autoSpaceDN w:val="0"/>
              <w:adjustRightInd w:val="0"/>
              <w:snapToGrid w:val="0"/>
              <w:spacing w:after="200"/>
              <w:jc w:val="center"/>
              <w:rPr>
                <w:rFonts w:ascii="Times New Roman" w:hAnsi="Times New Roman" w:eastAsia="仿宋_GB2312" w:cs="Times New Roman"/>
                <w:kern w:val="0"/>
                <w:sz w:val="24"/>
                <w:szCs w:val="24"/>
                <w:highlight w:val="none"/>
              </w:rPr>
            </w:pPr>
          </w:p>
        </w:tc>
        <w:tc>
          <w:tcPr>
            <w:tcW w:w="1125" w:type="dxa"/>
            <w:vAlign w:val="center"/>
          </w:tcPr>
          <w:p w14:paraId="0714F759">
            <w:pPr>
              <w:widowControl/>
              <w:autoSpaceDE w:val="0"/>
              <w:autoSpaceDN w:val="0"/>
              <w:adjustRightInd w:val="0"/>
              <w:snapToGrid w:val="0"/>
              <w:spacing w:after="200"/>
              <w:jc w:val="center"/>
              <w:rPr>
                <w:rFonts w:ascii="Times New Roman" w:hAnsi="Times New Roman" w:eastAsia="仿宋_GB2312" w:cs="Times New Roman"/>
                <w:kern w:val="0"/>
                <w:sz w:val="24"/>
                <w:szCs w:val="24"/>
                <w:highlight w:val="none"/>
              </w:rPr>
            </w:pPr>
          </w:p>
        </w:tc>
        <w:tc>
          <w:tcPr>
            <w:tcW w:w="1186" w:type="dxa"/>
            <w:vAlign w:val="center"/>
          </w:tcPr>
          <w:p w14:paraId="4A61C7CE">
            <w:pPr>
              <w:widowControl/>
              <w:autoSpaceDE w:val="0"/>
              <w:autoSpaceDN w:val="0"/>
              <w:adjustRightInd w:val="0"/>
              <w:snapToGrid w:val="0"/>
              <w:spacing w:after="200"/>
              <w:jc w:val="center"/>
              <w:rPr>
                <w:rFonts w:ascii="Times New Roman" w:hAnsi="Times New Roman" w:eastAsia="仿宋_GB2312" w:cs="Times New Roman"/>
                <w:kern w:val="0"/>
                <w:sz w:val="24"/>
                <w:szCs w:val="24"/>
                <w:highlight w:val="none"/>
              </w:rPr>
            </w:pPr>
          </w:p>
        </w:tc>
        <w:tc>
          <w:tcPr>
            <w:tcW w:w="1232" w:type="dxa"/>
            <w:vAlign w:val="center"/>
          </w:tcPr>
          <w:p w14:paraId="243B05B3">
            <w:pPr>
              <w:widowControl/>
              <w:autoSpaceDE w:val="0"/>
              <w:autoSpaceDN w:val="0"/>
              <w:adjustRightInd w:val="0"/>
              <w:snapToGrid w:val="0"/>
              <w:spacing w:after="200"/>
              <w:jc w:val="center"/>
              <w:rPr>
                <w:rFonts w:ascii="Times New Roman" w:hAnsi="Times New Roman" w:eastAsia="仿宋_GB2312" w:cs="Times New Roman"/>
                <w:kern w:val="0"/>
                <w:sz w:val="24"/>
                <w:szCs w:val="24"/>
                <w:highlight w:val="none"/>
              </w:rPr>
            </w:pPr>
          </w:p>
        </w:tc>
      </w:tr>
      <w:tr w14:paraId="43D4D1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293" w:hRule="atLeast"/>
          <w:jc w:val="center"/>
        </w:trPr>
        <w:tc>
          <w:tcPr>
            <w:tcW w:w="637" w:type="dxa"/>
            <w:vAlign w:val="center"/>
          </w:tcPr>
          <w:p w14:paraId="1A6153C2">
            <w:pPr>
              <w:widowControl/>
              <w:autoSpaceDE w:val="0"/>
              <w:autoSpaceDN w:val="0"/>
              <w:adjustRightInd w:val="0"/>
              <w:snapToGrid w:val="0"/>
              <w:spacing w:after="200"/>
              <w:jc w:val="center"/>
              <w:rPr>
                <w:rFonts w:ascii="Times New Roman" w:hAnsi="Times New Roman" w:eastAsia="仿宋_GB2312" w:cs="Times New Roman"/>
                <w:kern w:val="0"/>
                <w:sz w:val="24"/>
                <w:szCs w:val="24"/>
                <w:highlight w:val="none"/>
              </w:rPr>
            </w:pPr>
            <w:r>
              <w:rPr>
                <w:rFonts w:ascii="Times New Roman" w:hAnsi="Times New Roman" w:eastAsia="仿宋_GB2312" w:cs="Times New Roman"/>
                <w:kern w:val="0"/>
                <w:sz w:val="24"/>
                <w:szCs w:val="24"/>
                <w:highlight w:val="none"/>
              </w:rPr>
              <w:t>3</w:t>
            </w:r>
          </w:p>
        </w:tc>
        <w:tc>
          <w:tcPr>
            <w:tcW w:w="709" w:type="dxa"/>
            <w:vAlign w:val="center"/>
          </w:tcPr>
          <w:p w14:paraId="22D6EB75">
            <w:pPr>
              <w:widowControl/>
              <w:autoSpaceDE w:val="0"/>
              <w:autoSpaceDN w:val="0"/>
              <w:adjustRightInd w:val="0"/>
              <w:snapToGrid w:val="0"/>
              <w:spacing w:after="200"/>
              <w:jc w:val="center"/>
              <w:rPr>
                <w:rFonts w:ascii="Times New Roman" w:hAnsi="Times New Roman" w:eastAsia="仿宋_GB2312" w:cs="Times New Roman"/>
                <w:kern w:val="0"/>
                <w:sz w:val="24"/>
                <w:szCs w:val="24"/>
                <w:highlight w:val="none"/>
              </w:rPr>
            </w:pPr>
          </w:p>
        </w:tc>
        <w:tc>
          <w:tcPr>
            <w:tcW w:w="811" w:type="dxa"/>
            <w:vAlign w:val="center"/>
          </w:tcPr>
          <w:p w14:paraId="2A13A0E7">
            <w:pPr>
              <w:widowControl/>
              <w:autoSpaceDE w:val="0"/>
              <w:autoSpaceDN w:val="0"/>
              <w:adjustRightInd w:val="0"/>
              <w:snapToGrid w:val="0"/>
              <w:spacing w:after="200"/>
              <w:jc w:val="center"/>
              <w:rPr>
                <w:rFonts w:ascii="Times New Roman" w:hAnsi="Times New Roman" w:eastAsia="仿宋_GB2312" w:cs="Times New Roman"/>
                <w:kern w:val="0"/>
                <w:sz w:val="24"/>
                <w:szCs w:val="24"/>
                <w:highlight w:val="none"/>
              </w:rPr>
            </w:pPr>
          </w:p>
        </w:tc>
        <w:tc>
          <w:tcPr>
            <w:tcW w:w="696" w:type="dxa"/>
            <w:vAlign w:val="center"/>
          </w:tcPr>
          <w:p w14:paraId="4E1076A3">
            <w:pPr>
              <w:widowControl/>
              <w:autoSpaceDE w:val="0"/>
              <w:autoSpaceDN w:val="0"/>
              <w:adjustRightInd w:val="0"/>
              <w:snapToGrid w:val="0"/>
              <w:spacing w:after="200"/>
              <w:jc w:val="center"/>
              <w:rPr>
                <w:rFonts w:ascii="Times New Roman" w:hAnsi="Times New Roman" w:eastAsia="仿宋_GB2312" w:cs="Times New Roman"/>
                <w:kern w:val="0"/>
                <w:sz w:val="24"/>
                <w:szCs w:val="24"/>
                <w:highlight w:val="none"/>
              </w:rPr>
            </w:pPr>
          </w:p>
        </w:tc>
        <w:tc>
          <w:tcPr>
            <w:tcW w:w="586" w:type="dxa"/>
            <w:vAlign w:val="center"/>
          </w:tcPr>
          <w:p w14:paraId="68A4384F">
            <w:pPr>
              <w:widowControl/>
              <w:autoSpaceDE w:val="0"/>
              <w:autoSpaceDN w:val="0"/>
              <w:adjustRightInd w:val="0"/>
              <w:snapToGrid w:val="0"/>
              <w:spacing w:after="200"/>
              <w:jc w:val="center"/>
              <w:rPr>
                <w:rFonts w:ascii="Times New Roman" w:hAnsi="Times New Roman" w:eastAsia="仿宋_GB2312" w:cs="Times New Roman"/>
                <w:kern w:val="0"/>
                <w:sz w:val="24"/>
                <w:szCs w:val="24"/>
                <w:highlight w:val="none"/>
              </w:rPr>
            </w:pPr>
          </w:p>
        </w:tc>
        <w:tc>
          <w:tcPr>
            <w:tcW w:w="927" w:type="dxa"/>
            <w:vAlign w:val="center"/>
          </w:tcPr>
          <w:p w14:paraId="7F111A84">
            <w:pPr>
              <w:widowControl/>
              <w:autoSpaceDE w:val="0"/>
              <w:autoSpaceDN w:val="0"/>
              <w:adjustRightInd w:val="0"/>
              <w:snapToGrid w:val="0"/>
              <w:spacing w:after="200"/>
              <w:jc w:val="center"/>
              <w:rPr>
                <w:rFonts w:ascii="Times New Roman" w:hAnsi="Times New Roman" w:eastAsia="仿宋_GB2312" w:cs="Times New Roman"/>
                <w:kern w:val="0"/>
                <w:sz w:val="24"/>
                <w:szCs w:val="24"/>
                <w:highlight w:val="none"/>
              </w:rPr>
            </w:pPr>
          </w:p>
        </w:tc>
        <w:tc>
          <w:tcPr>
            <w:tcW w:w="1217" w:type="dxa"/>
            <w:vAlign w:val="center"/>
          </w:tcPr>
          <w:p w14:paraId="4E3348C4">
            <w:pPr>
              <w:widowControl/>
              <w:autoSpaceDE w:val="0"/>
              <w:autoSpaceDN w:val="0"/>
              <w:adjustRightInd w:val="0"/>
              <w:snapToGrid w:val="0"/>
              <w:spacing w:after="200"/>
              <w:jc w:val="center"/>
              <w:rPr>
                <w:rFonts w:ascii="Times New Roman" w:hAnsi="Times New Roman" w:eastAsia="仿宋_GB2312" w:cs="Times New Roman"/>
                <w:kern w:val="0"/>
                <w:sz w:val="24"/>
                <w:szCs w:val="24"/>
                <w:highlight w:val="none"/>
              </w:rPr>
            </w:pPr>
          </w:p>
        </w:tc>
        <w:tc>
          <w:tcPr>
            <w:tcW w:w="782" w:type="dxa"/>
            <w:vAlign w:val="center"/>
          </w:tcPr>
          <w:p w14:paraId="207B6923">
            <w:pPr>
              <w:widowControl/>
              <w:autoSpaceDE w:val="0"/>
              <w:autoSpaceDN w:val="0"/>
              <w:adjustRightInd w:val="0"/>
              <w:snapToGrid w:val="0"/>
              <w:spacing w:after="200"/>
              <w:jc w:val="center"/>
              <w:rPr>
                <w:rFonts w:ascii="Times New Roman" w:hAnsi="Times New Roman" w:eastAsia="仿宋_GB2312" w:cs="Times New Roman"/>
                <w:kern w:val="0"/>
                <w:sz w:val="24"/>
                <w:szCs w:val="24"/>
                <w:highlight w:val="none"/>
              </w:rPr>
            </w:pPr>
          </w:p>
        </w:tc>
        <w:tc>
          <w:tcPr>
            <w:tcW w:w="1125" w:type="dxa"/>
            <w:vAlign w:val="center"/>
          </w:tcPr>
          <w:p w14:paraId="397D26B4">
            <w:pPr>
              <w:widowControl/>
              <w:autoSpaceDE w:val="0"/>
              <w:autoSpaceDN w:val="0"/>
              <w:adjustRightInd w:val="0"/>
              <w:snapToGrid w:val="0"/>
              <w:spacing w:after="200"/>
              <w:jc w:val="center"/>
              <w:rPr>
                <w:rFonts w:ascii="Times New Roman" w:hAnsi="Times New Roman" w:eastAsia="仿宋_GB2312" w:cs="Times New Roman"/>
                <w:kern w:val="0"/>
                <w:sz w:val="24"/>
                <w:szCs w:val="24"/>
                <w:highlight w:val="none"/>
              </w:rPr>
            </w:pPr>
          </w:p>
        </w:tc>
        <w:tc>
          <w:tcPr>
            <w:tcW w:w="1186" w:type="dxa"/>
            <w:vAlign w:val="center"/>
          </w:tcPr>
          <w:p w14:paraId="114289B5">
            <w:pPr>
              <w:widowControl/>
              <w:autoSpaceDE w:val="0"/>
              <w:autoSpaceDN w:val="0"/>
              <w:adjustRightInd w:val="0"/>
              <w:snapToGrid w:val="0"/>
              <w:spacing w:after="200"/>
              <w:jc w:val="center"/>
              <w:rPr>
                <w:rFonts w:ascii="Times New Roman" w:hAnsi="Times New Roman" w:eastAsia="仿宋_GB2312" w:cs="Times New Roman"/>
                <w:kern w:val="0"/>
                <w:sz w:val="24"/>
                <w:szCs w:val="24"/>
                <w:highlight w:val="none"/>
              </w:rPr>
            </w:pPr>
          </w:p>
        </w:tc>
        <w:tc>
          <w:tcPr>
            <w:tcW w:w="1232" w:type="dxa"/>
            <w:vAlign w:val="center"/>
          </w:tcPr>
          <w:p w14:paraId="40A98EB7">
            <w:pPr>
              <w:widowControl/>
              <w:autoSpaceDE w:val="0"/>
              <w:autoSpaceDN w:val="0"/>
              <w:adjustRightInd w:val="0"/>
              <w:snapToGrid w:val="0"/>
              <w:spacing w:after="200"/>
              <w:jc w:val="center"/>
              <w:rPr>
                <w:rFonts w:ascii="Times New Roman" w:hAnsi="Times New Roman" w:eastAsia="仿宋_GB2312" w:cs="Times New Roman"/>
                <w:kern w:val="0"/>
                <w:sz w:val="24"/>
                <w:szCs w:val="24"/>
                <w:highlight w:val="none"/>
              </w:rPr>
            </w:pPr>
          </w:p>
        </w:tc>
      </w:tr>
    </w:tbl>
    <w:p w14:paraId="56771A15">
      <w:pPr>
        <w:snapToGrid w:val="0"/>
        <w:spacing w:line="360" w:lineRule="atLeast"/>
        <w:rPr>
          <w:rFonts w:ascii="Times New Roman" w:hAnsi="Times New Roman" w:eastAsia="仿宋_GB2312" w:cs="Times New Roman"/>
          <w:sz w:val="24"/>
          <w:szCs w:val="24"/>
          <w:highlight w:val="none"/>
        </w:rPr>
      </w:pPr>
      <w:r>
        <w:rPr>
          <w:rFonts w:ascii="Times New Roman" w:hAnsi="Times New Roman" w:eastAsia="仿宋_GB2312" w:cs="Times New Roman"/>
          <w:b/>
          <w:kern w:val="0"/>
          <w:sz w:val="24"/>
          <w:szCs w:val="24"/>
          <w:highlight w:val="none"/>
        </w:rPr>
        <w:t>请协助办理。</w:t>
      </w:r>
      <w:r>
        <w:rPr>
          <w:rFonts w:ascii="Times New Roman" w:hAnsi="Times New Roman" w:eastAsia="仿宋_GB2312" w:cs="Times New Roman"/>
          <w:kern w:val="0"/>
          <w:sz w:val="24"/>
          <w:szCs w:val="24"/>
          <w:highlight w:val="none"/>
        </w:rPr>
        <w:br w:type="textWrapping"/>
      </w:r>
      <w:r>
        <w:rPr>
          <w:rFonts w:ascii="Times New Roman" w:hAnsi="Times New Roman" w:eastAsia="仿宋_GB2312" w:cs="Times New Roman"/>
          <w:sz w:val="24"/>
          <w:szCs w:val="24"/>
          <w:highlight w:val="none"/>
        </w:rPr>
        <w:t>注意事项：</w:t>
      </w:r>
    </w:p>
    <w:p w14:paraId="32308301">
      <w:pPr>
        <w:snapToGrid w:val="0"/>
        <w:spacing w:line="360" w:lineRule="atLeast"/>
        <w:ind w:firstLine="480" w:firstLineChars="200"/>
        <w:rPr>
          <w:rFonts w:ascii="Times New Roman" w:hAnsi="Times New Roman" w:eastAsia="仿宋_GB2312" w:cs="Times New Roman"/>
          <w:sz w:val="24"/>
          <w:szCs w:val="24"/>
          <w:highlight w:val="none"/>
        </w:rPr>
      </w:pPr>
      <w:r>
        <w:rPr>
          <w:rFonts w:ascii="Times New Roman" w:hAnsi="Times New Roman" w:eastAsia="仿宋_GB2312" w:cs="Times New Roman"/>
          <w:sz w:val="24"/>
          <w:szCs w:val="24"/>
          <w:highlight w:val="none"/>
        </w:rPr>
        <w:t>1、对于REITs向不特定对象扩募，此通知单需于向不特定对象扩募份额强增确认日前提交至上海证券交易所，锁定生效日为向不特定对象扩募份额强增确认日次一交易日。</w:t>
      </w:r>
    </w:p>
    <w:p w14:paraId="0A1E7C02">
      <w:pPr>
        <w:spacing w:line="360" w:lineRule="atLeast"/>
        <w:ind w:firstLine="480" w:firstLineChars="200"/>
        <w:rPr>
          <w:rFonts w:ascii="Times New Roman" w:hAnsi="Times New Roman" w:eastAsia="仿宋_GB2312" w:cs="Times New Roman"/>
          <w:sz w:val="24"/>
          <w:szCs w:val="24"/>
          <w:highlight w:val="none"/>
        </w:rPr>
      </w:pPr>
      <w:r>
        <w:rPr>
          <w:rFonts w:ascii="Times New Roman" w:hAnsi="Times New Roman" w:eastAsia="仿宋_GB2312" w:cs="Times New Roman"/>
          <w:sz w:val="24"/>
          <w:szCs w:val="24"/>
          <w:highlight w:val="none"/>
        </w:rPr>
        <w:t>2、基金账户为场外12位基金账户；代理人代码为场外代理人代码；份额类别为“前收费”或“后收费”。</w:t>
      </w:r>
    </w:p>
    <w:p w14:paraId="4E880682">
      <w:pPr>
        <w:spacing w:line="360" w:lineRule="atLeast"/>
        <w:ind w:firstLine="480" w:firstLineChars="200"/>
        <w:rPr>
          <w:rFonts w:ascii="Times New Roman" w:hAnsi="Times New Roman" w:eastAsia="仿宋_GB2312" w:cs="Times New Roman"/>
          <w:sz w:val="24"/>
          <w:szCs w:val="24"/>
          <w:highlight w:val="none"/>
        </w:rPr>
      </w:pPr>
      <w:r>
        <w:rPr>
          <w:rFonts w:ascii="Times New Roman" w:hAnsi="Times New Roman" w:eastAsia="仿宋_GB2312" w:cs="Times New Roman"/>
          <w:sz w:val="24"/>
          <w:szCs w:val="24"/>
          <w:highlight w:val="none"/>
        </w:rPr>
        <w:t>3、交易账户为投资人在场外基金销售人处开立的交易账户。若基金账户下任何交易账户份额均可锁定（不指定交易账户），交易账户填“不指定交易账户”。</w:t>
      </w:r>
    </w:p>
    <w:p w14:paraId="536E8264">
      <w:pPr>
        <w:spacing w:line="360" w:lineRule="atLeast"/>
        <w:ind w:firstLine="480" w:firstLineChars="200"/>
        <w:rPr>
          <w:rFonts w:ascii="Times New Roman" w:hAnsi="Times New Roman" w:eastAsia="仿宋_GB2312" w:cs="Times New Roman"/>
          <w:sz w:val="24"/>
          <w:szCs w:val="24"/>
          <w:highlight w:val="none"/>
        </w:rPr>
      </w:pPr>
      <w:r>
        <w:rPr>
          <w:rFonts w:ascii="Times New Roman" w:hAnsi="Times New Roman" w:eastAsia="仿宋_GB2312" w:cs="Times New Roman"/>
          <w:sz w:val="24"/>
          <w:szCs w:val="24"/>
          <w:highlight w:val="none"/>
        </w:rPr>
        <w:t>4、如需锁定指定的份额明细，需填写份额注册日期。若任何份额明细均可锁定，份额注册日期填“不指定”。</w:t>
      </w:r>
    </w:p>
    <w:p w14:paraId="518D1603">
      <w:pPr>
        <w:spacing w:line="360" w:lineRule="atLeast"/>
        <w:ind w:firstLine="480" w:firstLineChars="200"/>
        <w:rPr>
          <w:rFonts w:ascii="Times New Roman" w:hAnsi="Times New Roman" w:eastAsia="仿宋_GB2312" w:cs="Times New Roman"/>
          <w:sz w:val="24"/>
          <w:szCs w:val="24"/>
          <w:highlight w:val="none"/>
        </w:rPr>
      </w:pPr>
      <w:r>
        <w:rPr>
          <w:rFonts w:ascii="Times New Roman" w:hAnsi="Times New Roman" w:eastAsia="仿宋_GB2312" w:cs="Times New Roman"/>
          <w:sz w:val="24"/>
          <w:szCs w:val="24"/>
          <w:highlight w:val="none"/>
        </w:rPr>
        <w:t>5、中国结算总部基金业务部核验基金账户投资人名称、证件类型、证件号码，根据基金代码、代理人代码、份额类别、基金账户、交易账户、份额注册日期查询确定可锁定份额。可锁定份额大于等于申请锁定份额时，中国结算总部基金业务部在可锁定份额内锁定申请锁定份额；可锁定份额小于申请锁定份额时，锁定失败（不能锁定任何份额）。</w:t>
      </w:r>
    </w:p>
    <w:p w14:paraId="2C924935">
      <w:pPr>
        <w:spacing w:line="360" w:lineRule="atLeast"/>
        <w:ind w:firstLine="480" w:firstLineChars="200"/>
        <w:rPr>
          <w:rFonts w:ascii="Times New Roman" w:hAnsi="Times New Roman" w:eastAsia="仿宋_GB2312" w:cs="Times New Roman"/>
          <w:sz w:val="24"/>
          <w:szCs w:val="24"/>
          <w:highlight w:val="none"/>
        </w:rPr>
      </w:pPr>
      <w:r>
        <w:rPr>
          <w:rFonts w:ascii="Times New Roman" w:hAnsi="Times New Roman" w:eastAsia="仿宋_GB2312" w:cs="Times New Roman"/>
          <w:sz w:val="24"/>
          <w:szCs w:val="24"/>
          <w:highlight w:val="none"/>
        </w:rPr>
        <w:t>6、解锁生效日可填具体日期，填写后将于该日期自动解锁，解锁生效日当日投资者申报的份额减少类业务将被正常处理。解锁生效日不确定或不自动解锁的填写“不自动解锁”。原则上应填写“不自动解锁”。</w:t>
      </w:r>
    </w:p>
    <w:p w14:paraId="030F411C">
      <w:pPr>
        <w:spacing w:line="360" w:lineRule="atLeast"/>
        <w:ind w:firstLine="480" w:firstLineChars="200"/>
        <w:rPr>
          <w:rFonts w:ascii="Times New Roman" w:hAnsi="Times New Roman" w:eastAsia="仿宋_GB2312" w:cs="Times New Roman"/>
          <w:sz w:val="24"/>
          <w:szCs w:val="24"/>
          <w:highlight w:val="none"/>
        </w:rPr>
      </w:pPr>
      <w:r>
        <w:rPr>
          <w:rFonts w:ascii="Times New Roman" w:hAnsi="Times New Roman" w:eastAsia="仿宋_GB2312" w:cs="Times New Roman"/>
          <w:sz w:val="24"/>
          <w:szCs w:val="24"/>
          <w:highlight w:val="none"/>
        </w:rPr>
        <w:t>7、对于完成锁定的份额明细，锁定生效日当日投资者申报的份额减少类业务将判失败。</w:t>
      </w:r>
    </w:p>
    <w:p w14:paraId="7B419441">
      <w:pPr>
        <w:widowControl/>
        <w:autoSpaceDE w:val="0"/>
        <w:autoSpaceDN w:val="0"/>
        <w:adjustRightInd w:val="0"/>
        <w:snapToGrid w:val="0"/>
        <w:spacing w:after="200"/>
        <w:jc w:val="left"/>
        <w:rPr>
          <w:rFonts w:ascii="Times New Roman" w:hAnsi="Times New Roman" w:eastAsia="仿宋_GB2312" w:cs="Times New Roman"/>
          <w:kern w:val="0"/>
          <w:sz w:val="24"/>
          <w:szCs w:val="24"/>
          <w:highlight w:val="none"/>
        </w:rPr>
      </w:pPr>
    </w:p>
    <w:p w14:paraId="1DE16D97">
      <w:pPr>
        <w:widowControl/>
        <w:autoSpaceDE w:val="0"/>
        <w:autoSpaceDN w:val="0"/>
        <w:adjustRightInd w:val="0"/>
        <w:snapToGrid w:val="0"/>
        <w:spacing w:after="200"/>
        <w:jc w:val="left"/>
        <w:rPr>
          <w:rFonts w:ascii="Times New Roman" w:hAnsi="Times New Roman" w:eastAsia="仿宋_GB2312" w:cs="Times New Roman"/>
          <w:kern w:val="0"/>
          <w:sz w:val="24"/>
          <w:szCs w:val="24"/>
          <w:highlight w:val="none"/>
        </w:rPr>
      </w:pPr>
      <w:r>
        <w:rPr>
          <w:rFonts w:ascii="Times New Roman" w:hAnsi="Times New Roman" w:eastAsia="仿宋_GB2312" w:cs="Times New Roman"/>
          <w:kern w:val="0"/>
          <w:sz w:val="24"/>
          <w:szCs w:val="24"/>
          <w:highlight w:val="none"/>
        </w:rPr>
        <w:t xml:space="preserve">经办人：           联系电话： </w:t>
      </w:r>
    </w:p>
    <w:p w14:paraId="6C35FA84">
      <w:pPr>
        <w:widowControl/>
        <w:autoSpaceDE w:val="0"/>
        <w:autoSpaceDN w:val="0"/>
        <w:adjustRightInd w:val="0"/>
        <w:snapToGrid w:val="0"/>
        <w:spacing w:after="200"/>
        <w:jc w:val="right"/>
        <w:rPr>
          <w:rFonts w:ascii="Times New Roman" w:hAnsi="Times New Roman" w:eastAsia="仿宋_GB2312" w:cs="Times New Roman"/>
          <w:kern w:val="0"/>
          <w:sz w:val="24"/>
          <w:szCs w:val="24"/>
          <w:highlight w:val="none"/>
        </w:rPr>
      </w:pPr>
      <w:r>
        <w:rPr>
          <w:rFonts w:ascii="Times New Roman" w:hAnsi="Times New Roman" w:eastAsia="仿宋_GB2312" w:cs="Times New Roman"/>
          <w:kern w:val="0"/>
          <w:sz w:val="24"/>
          <w:szCs w:val="24"/>
          <w:highlight w:val="none"/>
        </w:rPr>
        <w:t>XX基金管理公司（盖章）</w:t>
      </w:r>
    </w:p>
    <w:p w14:paraId="6DD890C9">
      <w:pPr>
        <w:ind w:firstLine="480" w:firstLineChars="200"/>
        <w:jc w:val="right"/>
        <w:rPr>
          <w:rFonts w:ascii="Times New Roman" w:hAnsi="Times New Roman" w:eastAsia="仿宋_GB2312" w:cs="Times New Roman"/>
          <w:sz w:val="24"/>
          <w:szCs w:val="24"/>
          <w:highlight w:val="none"/>
        </w:rPr>
      </w:pPr>
      <w:r>
        <w:rPr>
          <w:rFonts w:ascii="Times New Roman" w:hAnsi="Times New Roman" w:eastAsia="仿宋_GB2312" w:cs="Times New Roman"/>
          <w:kern w:val="0"/>
          <w:sz w:val="24"/>
          <w:szCs w:val="24"/>
          <w:highlight w:val="none"/>
        </w:rPr>
        <w:t xml:space="preserve">       年     月    </w:t>
      </w:r>
    </w:p>
    <w:p w14:paraId="28377285">
      <w:pPr>
        <w:widowControl/>
        <w:jc w:val="left"/>
        <w:rPr>
          <w:rStyle w:val="30"/>
          <w:highlight w:val="none"/>
        </w:rPr>
      </w:pPr>
      <w:r>
        <w:rPr>
          <w:rStyle w:val="30"/>
          <w:highlight w:val="none"/>
        </w:rPr>
        <w:br w:type="page"/>
      </w:r>
    </w:p>
    <w:p w14:paraId="723129C3">
      <w:pPr>
        <w:spacing w:line="360" w:lineRule="auto"/>
        <w:outlineLvl w:val="2"/>
        <w:rPr>
          <w:rFonts w:ascii="Times New Roman" w:hAnsi="Times New Roman" w:eastAsia="仿宋_GB2312" w:cs="Times New Roman"/>
          <w:bCs/>
          <w:sz w:val="24"/>
          <w:highlight w:val="none"/>
        </w:rPr>
      </w:pPr>
      <w:bookmarkStart w:id="927" w:name="_Toc14922"/>
      <w:bookmarkStart w:id="928" w:name="_Toc24297"/>
      <w:bookmarkStart w:id="929" w:name="_Toc16423"/>
      <w:bookmarkStart w:id="930" w:name="_Toc3787"/>
      <w:bookmarkStart w:id="931" w:name="_Toc31754"/>
      <w:r>
        <w:rPr>
          <w:rFonts w:ascii="Times New Roman" w:hAnsi="Times New Roman" w:eastAsia="仿宋_GB2312" w:cs="Times New Roman"/>
          <w:b/>
          <w:sz w:val="24"/>
          <w:highlight w:val="none"/>
        </w:rPr>
        <w:t>附件1-5：扩募份额上市申请书</w:t>
      </w:r>
      <w:bookmarkEnd w:id="927"/>
      <w:bookmarkEnd w:id="928"/>
      <w:bookmarkEnd w:id="929"/>
      <w:bookmarkEnd w:id="930"/>
      <w:bookmarkEnd w:id="931"/>
    </w:p>
    <w:p w14:paraId="631C08B0">
      <w:pPr>
        <w:pBdr>
          <w:bottom w:val="single" w:color="auto" w:sz="6" w:space="1"/>
        </w:pBdr>
        <w:jc w:val="center"/>
        <w:rPr>
          <w:rFonts w:ascii="Times New Roman" w:hAnsi="Times New Roman" w:eastAsia="仿宋" w:cs="Times New Roman"/>
          <w:b/>
          <w:sz w:val="30"/>
          <w:szCs w:val="30"/>
          <w:highlight w:val="none"/>
        </w:rPr>
      </w:pPr>
    </w:p>
    <w:p w14:paraId="458622AD">
      <w:pPr>
        <w:pBdr>
          <w:bottom w:val="single" w:color="auto" w:sz="6" w:space="1"/>
        </w:pBdr>
        <w:jc w:val="center"/>
        <w:rPr>
          <w:rFonts w:ascii="Times New Roman" w:hAnsi="Times New Roman" w:eastAsia="仿宋_GB2312" w:cs="Times New Roman"/>
          <w:b/>
          <w:sz w:val="28"/>
          <w:szCs w:val="21"/>
          <w:highlight w:val="none"/>
        </w:rPr>
      </w:pPr>
      <w:r>
        <w:rPr>
          <w:rFonts w:ascii="Times New Roman" w:hAnsi="Times New Roman" w:eastAsia="仿宋_GB2312" w:cs="Times New Roman"/>
          <w:b/>
          <w:sz w:val="28"/>
          <w:szCs w:val="21"/>
          <w:highlight w:val="none"/>
        </w:rPr>
        <w:t>XX基金管理公司</w:t>
      </w:r>
    </w:p>
    <w:p w14:paraId="45ED1F6A">
      <w:pPr>
        <w:jc w:val="center"/>
        <w:rPr>
          <w:rFonts w:ascii="Times New Roman" w:hAnsi="Times New Roman" w:eastAsia="仿宋_GB2312" w:cs="Times New Roman"/>
          <w:b/>
          <w:sz w:val="28"/>
          <w:szCs w:val="21"/>
          <w:highlight w:val="none"/>
        </w:rPr>
      </w:pPr>
      <w:r>
        <w:rPr>
          <w:rFonts w:ascii="Times New Roman" w:hAnsi="Times New Roman" w:eastAsia="仿宋_GB2312" w:cs="Times New Roman"/>
          <w:b/>
          <w:sz w:val="28"/>
          <w:szCs w:val="21"/>
          <w:highlight w:val="none"/>
        </w:rPr>
        <w:t>扩募份额上市申请书</w:t>
      </w:r>
    </w:p>
    <w:p w14:paraId="34DAF3CF">
      <w:pPr>
        <w:rPr>
          <w:rFonts w:ascii="Times New Roman" w:hAnsi="Times New Roman" w:eastAsia="仿宋_GB2312" w:cs="Times New Roman"/>
          <w:szCs w:val="21"/>
          <w:highlight w:val="none"/>
        </w:rPr>
      </w:pPr>
    </w:p>
    <w:p w14:paraId="4EC81EEB">
      <w:pPr>
        <w:spacing w:line="440" w:lineRule="exact"/>
        <w:rPr>
          <w:rFonts w:ascii="Times New Roman" w:hAnsi="Times New Roman" w:eastAsia="仿宋_GB2312" w:cs="Times New Roman"/>
          <w:sz w:val="24"/>
          <w:szCs w:val="24"/>
          <w:highlight w:val="none"/>
        </w:rPr>
      </w:pPr>
      <w:r>
        <w:rPr>
          <w:rFonts w:ascii="Times New Roman" w:hAnsi="Times New Roman" w:eastAsia="仿宋_GB2312" w:cs="Times New Roman"/>
          <w:sz w:val="24"/>
          <w:szCs w:val="24"/>
          <w:highlight w:val="none"/>
        </w:rPr>
        <w:t>上海证券交易所：</w:t>
      </w:r>
    </w:p>
    <w:p w14:paraId="6E570B97">
      <w:pPr>
        <w:snapToGrid w:val="0"/>
        <w:spacing w:line="440" w:lineRule="exact"/>
        <w:ind w:firstLine="570"/>
        <w:rPr>
          <w:rFonts w:ascii="Times New Roman" w:hAnsi="Times New Roman" w:eastAsia="仿宋_GB2312" w:cs="Times New Roman"/>
          <w:sz w:val="24"/>
          <w:szCs w:val="24"/>
          <w:highlight w:val="none"/>
        </w:rPr>
      </w:pPr>
      <w:r>
        <w:rPr>
          <w:rFonts w:ascii="Times New Roman" w:hAnsi="Times New Roman" w:eastAsia="仿宋_GB2312" w:cs="Times New Roman"/>
          <w:kern w:val="0"/>
          <w:sz w:val="24"/>
          <w:szCs w:val="24"/>
          <w:highlight w:val="none"/>
        </w:rPr>
        <w:t>XX</w:t>
      </w:r>
      <w:r>
        <w:rPr>
          <w:rFonts w:hint="eastAsia" w:ascii="Times New Roman" w:hAnsi="Times New Roman" w:eastAsia="仿宋_GB2312" w:cs="Times New Roman"/>
          <w:sz w:val="24"/>
          <w:szCs w:val="24"/>
          <w:highlight w:val="none"/>
        </w:rPr>
        <w:t>投资信托</w:t>
      </w:r>
      <w:r>
        <w:rPr>
          <w:rFonts w:ascii="Times New Roman" w:hAnsi="Times New Roman" w:eastAsia="仿宋_GB2312" w:cs="Times New Roman"/>
          <w:sz w:val="24"/>
          <w:szCs w:val="24"/>
          <w:highlight w:val="none"/>
        </w:rPr>
        <w:t>基金已完成扩募</w:t>
      </w:r>
      <w:r>
        <w:rPr>
          <w:rFonts w:ascii="Times New Roman" w:hAnsi="Times New Roman" w:eastAsia="仿宋_GB2312" w:cs="Times New Roman"/>
          <w:kern w:val="0"/>
          <w:sz w:val="24"/>
          <w:szCs w:val="24"/>
          <w:highlight w:val="none"/>
        </w:rPr>
        <w:t>，本次募集XX元，涉及XX户投资者，</w:t>
      </w:r>
      <w:r>
        <w:rPr>
          <w:rFonts w:ascii="Times New Roman" w:hAnsi="Times New Roman" w:eastAsia="仿宋_GB2312" w:cs="Times New Roman"/>
          <w:sz w:val="24"/>
          <w:szCs w:val="24"/>
          <w:highlight w:val="none"/>
        </w:rPr>
        <w:t>申请XX投资信托基金扩募份额于</w:t>
      </w:r>
      <w:r>
        <w:rPr>
          <w:rFonts w:ascii="Times New Roman" w:hAnsi="Times New Roman" w:eastAsia="仿宋_GB2312" w:cs="Times New Roman"/>
          <w:kern w:val="0"/>
          <w:sz w:val="24"/>
          <w:szCs w:val="24"/>
          <w:highlight w:val="none"/>
        </w:rPr>
        <w:t>XX</w:t>
      </w:r>
      <w:r>
        <w:rPr>
          <w:rFonts w:ascii="Times New Roman" w:hAnsi="Times New Roman" w:eastAsia="仿宋_GB2312" w:cs="Times New Roman"/>
          <w:sz w:val="24"/>
          <w:szCs w:val="24"/>
          <w:highlight w:val="none"/>
        </w:rPr>
        <w:t>年</w:t>
      </w:r>
      <w:r>
        <w:rPr>
          <w:rFonts w:ascii="Times New Roman" w:hAnsi="Times New Roman" w:eastAsia="仿宋_GB2312" w:cs="Times New Roman"/>
          <w:kern w:val="0"/>
          <w:sz w:val="24"/>
          <w:szCs w:val="24"/>
          <w:highlight w:val="none"/>
        </w:rPr>
        <w:t>XX</w:t>
      </w:r>
      <w:r>
        <w:rPr>
          <w:rFonts w:ascii="Times New Roman" w:hAnsi="Times New Roman" w:eastAsia="仿宋_GB2312" w:cs="Times New Roman"/>
          <w:sz w:val="24"/>
          <w:szCs w:val="24"/>
          <w:highlight w:val="none"/>
        </w:rPr>
        <w:t>月</w:t>
      </w:r>
      <w:r>
        <w:rPr>
          <w:rFonts w:ascii="Times New Roman" w:hAnsi="Times New Roman" w:eastAsia="仿宋_GB2312" w:cs="Times New Roman"/>
          <w:kern w:val="0"/>
          <w:sz w:val="24"/>
          <w:szCs w:val="24"/>
          <w:highlight w:val="none"/>
        </w:rPr>
        <w:t>XX</w:t>
      </w:r>
      <w:r>
        <w:rPr>
          <w:rFonts w:ascii="Times New Roman" w:hAnsi="Times New Roman" w:eastAsia="仿宋_GB2312" w:cs="Times New Roman"/>
          <w:sz w:val="24"/>
          <w:szCs w:val="24"/>
          <w:highlight w:val="none"/>
        </w:rPr>
        <w:t>日开始上市交易。</w:t>
      </w:r>
    </w:p>
    <w:p w14:paraId="1C64811D">
      <w:pPr>
        <w:spacing w:line="440" w:lineRule="exact"/>
        <w:ind w:firstLine="480" w:firstLineChars="200"/>
        <w:rPr>
          <w:rFonts w:ascii="Times New Roman" w:hAnsi="Times New Roman" w:eastAsia="仿宋_GB2312" w:cs="Times New Roman"/>
          <w:sz w:val="24"/>
          <w:szCs w:val="24"/>
          <w:highlight w:val="none"/>
        </w:rPr>
      </w:pPr>
      <w:r>
        <w:rPr>
          <w:rFonts w:ascii="Times New Roman" w:hAnsi="Times New Roman" w:eastAsia="仿宋_GB2312" w:cs="Times New Roman"/>
          <w:sz w:val="24"/>
          <w:szCs w:val="24"/>
          <w:highlight w:val="none"/>
        </w:rPr>
        <w:t>现将有关情况汇报如下：</w:t>
      </w:r>
    </w:p>
    <w:p w14:paraId="56BA06AE">
      <w:pPr>
        <w:spacing w:line="440" w:lineRule="exact"/>
        <w:ind w:firstLine="482" w:firstLineChars="200"/>
        <w:rPr>
          <w:rFonts w:ascii="Times New Roman" w:hAnsi="Times New Roman" w:eastAsia="仿宋_GB2312" w:cs="Times New Roman"/>
          <w:b/>
          <w:sz w:val="24"/>
          <w:szCs w:val="24"/>
          <w:highlight w:val="none"/>
        </w:rPr>
      </w:pPr>
      <w:r>
        <w:rPr>
          <w:rFonts w:ascii="Times New Roman" w:hAnsi="Times New Roman" w:eastAsia="仿宋_GB2312" w:cs="Times New Roman"/>
          <w:b/>
          <w:sz w:val="24"/>
          <w:szCs w:val="24"/>
          <w:highlight w:val="none"/>
        </w:rPr>
        <w:t>一、基金概况</w:t>
      </w:r>
    </w:p>
    <w:tbl>
      <w:tblPr>
        <w:tblStyle w:val="19"/>
        <w:tblW w:w="951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15"/>
        <w:gridCol w:w="559"/>
        <w:gridCol w:w="1554"/>
        <w:gridCol w:w="1677"/>
        <w:gridCol w:w="1855"/>
        <w:gridCol w:w="1656"/>
      </w:tblGrid>
      <w:tr w14:paraId="4FD05F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15" w:type="dxa"/>
          </w:tcPr>
          <w:p w14:paraId="399F368D">
            <w:pPr>
              <w:spacing w:line="440" w:lineRule="exact"/>
              <w:rPr>
                <w:rFonts w:ascii="Times New Roman" w:hAnsi="Times New Roman" w:eastAsia="仿宋_GB2312" w:cs="Times New Roman"/>
                <w:sz w:val="22"/>
                <w:highlight w:val="none"/>
              </w:rPr>
            </w:pPr>
            <w:r>
              <w:rPr>
                <w:rFonts w:ascii="Times New Roman" w:hAnsi="Times New Roman" w:eastAsia="仿宋_GB2312" w:cs="Times New Roman"/>
                <w:sz w:val="22"/>
                <w:highlight w:val="none"/>
              </w:rPr>
              <w:t>中文名称</w:t>
            </w:r>
          </w:p>
        </w:tc>
        <w:tc>
          <w:tcPr>
            <w:tcW w:w="3790" w:type="dxa"/>
            <w:gridSpan w:val="3"/>
          </w:tcPr>
          <w:p w14:paraId="2BFC83EF">
            <w:pPr>
              <w:spacing w:line="440" w:lineRule="exact"/>
              <w:jc w:val="center"/>
              <w:rPr>
                <w:rFonts w:ascii="Times New Roman" w:hAnsi="Times New Roman" w:eastAsia="仿宋_GB2312" w:cs="Times New Roman"/>
                <w:sz w:val="22"/>
                <w:highlight w:val="none"/>
              </w:rPr>
            </w:pPr>
            <w:r>
              <w:rPr>
                <w:rFonts w:ascii="Times New Roman" w:hAnsi="Times New Roman" w:eastAsia="仿宋_GB2312" w:cs="Times New Roman"/>
                <w:sz w:val="22"/>
                <w:highlight w:val="none"/>
              </w:rPr>
              <w:t>XX投资信托基金</w:t>
            </w:r>
          </w:p>
        </w:tc>
        <w:tc>
          <w:tcPr>
            <w:tcW w:w="1855" w:type="dxa"/>
          </w:tcPr>
          <w:p w14:paraId="115E30F5">
            <w:pPr>
              <w:spacing w:line="440" w:lineRule="exact"/>
              <w:rPr>
                <w:rFonts w:ascii="Times New Roman" w:hAnsi="Times New Roman" w:eastAsia="仿宋_GB2312" w:cs="Times New Roman"/>
                <w:sz w:val="22"/>
                <w:highlight w:val="none"/>
              </w:rPr>
            </w:pPr>
            <w:r>
              <w:rPr>
                <w:rFonts w:ascii="Times New Roman" w:hAnsi="Times New Roman" w:eastAsia="仿宋_GB2312" w:cs="Times New Roman"/>
                <w:sz w:val="22"/>
                <w:highlight w:val="none"/>
              </w:rPr>
              <w:t>基金类别</w:t>
            </w:r>
          </w:p>
        </w:tc>
        <w:tc>
          <w:tcPr>
            <w:tcW w:w="1656" w:type="dxa"/>
          </w:tcPr>
          <w:p w14:paraId="6588E544">
            <w:pPr>
              <w:spacing w:line="440" w:lineRule="exact"/>
              <w:jc w:val="center"/>
              <w:rPr>
                <w:rFonts w:ascii="Times New Roman" w:hAnsi="Times New Roman" w:eastAsia="仿宋_GB2312" w:cs="Times New Roman"/>
                <w:sz w:val="22"/>
                <w:highlight w:val="none"/>
              </w:rPr>
            </w:pPr>
            <w:r>
              <w:rPr>
                <w:rFonts w:hint="eastAsia" w:ascii="Times New Roman" w:hAnsi="Times New Roman" w:eastAsia="仿宋_GB2312" w:cs="Times New Roman"/>
                <w:sz w:val="22"/>
                <w:highlight w:val="none"/>
              </w:rPr>
              <w:t>不动产</w:t>
            </w:r>
            <w:r>
              <w:rPr>
                <w:rFonts w:ascii="Times New Roman" w:hAnsi="Times New Roman" w:eastAsia="仿宋_GB2312" w:cs="Times New Roman"/>
                <w:sz w:val="22"/>
                <w:highlight w:val="none"/>
              </w:rPr>
              <w:t>基金</w:t>
            </w:r>
          </w:p>
        </w:tc>
      </w:tr>
      <w:tr w14:paraId="094A44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15" w:type="dxa"/>
          </w:tcPr>
          <w:p w14:paraId="07F576B5">
            <w:pPr>
              <w:spacing w:line="440" w:lineRule="exact"/>
              <w:rPr>
                <w:rFonts w:ascii="Times New Roman" w:hAnsi="Times New Roman" w:eastAsia="仿宋_GB2312" w:cs="Times New Roman"/>
                <w:sz w:val="22"/>
                <w:highlight w:val="none"/>
              </w:rPr>
            </w:pPr>
            <w:r>
              <w:rPr>
                <w:rFonts w:ascii="Times New Roman" w:hAnsi="Times New Roman" w:eastAsia="仿宋_GB2312" w:cs="Times New Roman"/>
                <w:sz w:val="22"/>
                <w:highlight w:val="none"/>
              </w:rPr>
              <w:t>扩募份额拟上市日期</w:t>
            </w:r>
          </w:p>
        </w:tc>
        <w:tc>
          <w:tcPr>
            <w:tcW w:w="3790" w:type="dxa"/>
            <w:gridSpan w:val="3"/>
          </w:tcPr>
          <w:p w14:paraId="6ED7B533">
            <w:pPr>
              <w:spacing w:line="440" w:lineRule="exact"/>
              <w:rPr>
                <w:rFonts w:ascii="Times New Roman" w:hAnsi="Times New Roman" w:eastAsia="仿宋_GB2312" w:cs="Times New Roman"/>
                <w:sz w:val="22"/>
                <w:highlight w:val="none"/>
              </w:rPr>
            </w:pPr>
          </w:p>
        </w:tc>
        <w:tc>
          <w:tcPr>
            <w:tcW w:w="1855" w:type="dxa"/>
          </w:tcPr>
          <w:p w14:paraId="644F4F40">
            <w:pPr>
              <w:spacing w:line="440" w:lineRule="exact"/>
              <w:rPr>
                <w:rFonts w:ascii="Times New Roman" w:hAnsi="Times New Roman" w:eastAsia="仿宋_GB2312" w:cs="Times New Roman"/>
                <w:sz w:val="22"/>
                <w:highlight w:val="none"/>
              </w:rPr>
            </w:pPr>
          </w:p>
        </w:tc>
        <w:tc>
          <w:tcPr>
            <w:tcW w:w="1656" w:type="dxa"/>
          </w:tcPr>
          <w:p w14:paraId="51A02F7A">
            <w:pPr>
              <w:spacing w:line="440" w:lineRule="exact"/>
              <w:rPr>
                <w:rFonts w:ascii="Times New Roman" w:hAnsi="Times New Roman" w:eastAsia="仿宋_GB2312" w:cs="Times New Roman"/>
                <w:sz w:val="22"/>
                <w:highlight w:val="none"/>
              </w:rPr>
            </w:pPr>
          </w:p>
        </w:tc>
      </w:tr>
      <w:tr w14:paraId="26F83F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15" w:type="dxa"/>
          </w:tcPr>
          <w:p w14:paraId="012DBD51">
            <w:pPr>
              <w:spacing w:line="440" w:lineRule="exact"/>
              <w:rPr>
                <w:rFonts w:ascii="Times New Roman" w:hAnsi="Times New Roman" w:eastAsia="仿宋_GB2312" w:cs="Times New Roman"/>
                <w:sz w:val="22"/>
                <w:highlight w:val="none"/>
              </w:rPr>
            </w:pPr>
            <w:r>
              <w:rPr>
                <w:rFonts w:ascii="Times New Roman" w:hAnsi="Times New Roman" w:eastAsia="仿宋_GB2312" w:cs="Times New Roman"/>
                <w:sz w:val="22"/>
                <w:highlight w:val="none"/>
              </w:rPr>
              <w:t>中文简称</w:t>
            </w:r>
          </w:p>
        </w:tc>
        <w:tc>
          <w:tcPr>
            <w:tcW w:w="559" w:type="dxa"/>
          </w:tcPr>
          <w:p w14:paraId="52C486DE">
            <w:pPr>
              <w:spacing w:line="440" w:lineRule="exact"/>
              <w:rPr>
                <w:rFonts w:ascii="Times New Roman" w:hAnsi="Times New Roman" w:eastAsia="仿宋_GB2312" w:cs="Times New Roman"/>
                <w:sz w:val="22"/>
                <w:highlight w:val="none"/>
              </w:rPr>
            </w:pPr>
          </w:p>
        </w:tc>
        <w:tc>
          <w:tcPr>
            <w:tcW w:w="1554" w:type="dxa"/>
          </w:tcPr>
          <w:p w14:paraId="5876E690">
            <w:pPr>
              <w:spacing w:line="440" w:lineRule="exact"/>
              <w:jc w:val="left"/>
              <w:rPr>
                <w:rFonts w:ascii="Times New Roman" w:hAnsi="Times New Roman" w:eastAsia="仿宋_GB2312" w:cs="Times New Roman"/>
                <w:sz w:val="22"/>
                <w:highlight w:val="none"/>
              </w:rPr>
            </w:pPr>
            <w:r>
              <w:rPr>
                <w:rFonts w:ascii="Times New Roman" w:hAnsi="Times New Roman" w:eastAsia="仿宋_GB2312" w:cs="Times New Roman"/>
                <w:sz w:val="22"/>
                <w:highlight w:val="none"/>
              </w:rPr>
              <w:t>英文简称</w:t>
            </w:r>
          </w:p>
        </w:tc>
        <w:tc>
          <w:tcPr>
            <w:tcW w:w="1677" w:type="dxa"/>
          </w:tcPr>
          <w:p w14:paraId="6478078A">
            <w:pPr>
              <w:spacing w:line="440" w:lineRule="exact"/>
              <w:jc w:val="left"/>
              <w:rPr>
                <w:rFonts w:ascii="Times New Roman" w:hAnsi="Times New Roman" w:eastAsia="仿宋_GB2312" w:cs="Times New Roman"/>
                <w:sz w:val="22"/>
                <w:highlight w:val="none"/>
              </w:rPr>
            </w:pPr>
          </w:p>
        </w:tc>
        <w:tc>
          <w:tcPr>
            <w:tcW w:w="1855" w:type="dxa"/>
          </w:tcPr>
          <w:p w14:paraId="6BC6222E">
            <w:pPr>
              <w:spacing w:line="440" w:lineRule="exact"/>
              <w:jc w:val="left"/>
              <w:rPr>
                <w:rFonts w:ascii="Times New Roman" w:hAnsi="Times New Roman" w:eastAsia="仿宋_GB2312" w:cs="Times New Roman"/>
                <w:sz w:val="22"/>
                <w:highlight w:val="none"/>
              </w:rPr>
            </w:pPr>
            <w:r>
              <w:rPr>
                <w:rFonts w:ascii="Times New Roman" w:hAnsi="Times New Roman" w:eastAsia="仿宋_GB2312" w:cs="Times New Roman"/>
                <w:sz w:val="22"/>
                <w:highlight w:val="none"/>
              </w:rPr>
              <w:t>本次扩募前份额</w:t>
            </w:r>
          </w:p>
        </w:tc>
        <w:tc>
          <w:tcPr>
            <w:tcW w:w="1656" w:type="dxa"/>
          </w:tcPr>
          <w:p w14:paraId="2B1A31E1">
            <w:pPr>
              <w:spacing w:line="440" w:lineRule="exact"/>
              <w:rPr>
                <w:rFonts w:ascii="Times New Roman" w:hAnsi="Times New Roman" w:eastAsia="仿宋_GB2312" w:cs="Times New Roman"/>
                <w:sz w:val="22"/>
                <w:highlight w:val="none"/>
              </w:rPr>
            </w:pPr>
          </w:p>
        </w:tc>
      </w:tr>
      <w:tr w14:paraId="1FE741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15" w:type="dxa"/>
          </w:tcPr>
          <w:p w14:paraId="1C9F9B80">
            <w:pPr>
              <w:spacing w:line="440" w:lineRule="exact"/>
              <w:rPr>
                <w:rFonts w:ascii="Times New Roman" w:hAnsi="Times New Roman" w:eastAsia="仿宋_GB2312" w:cs="Times New Roman"/>
                <w:sz w:val="22"/>
                <w:highlight w:val="none"/>
              </w:rPr>
            </w:pPr>
            <w:r>
              <w:rPr>
                <w:rFonts w:ascii="Times New Roman" w:hAnsi="Times New Roman" w:eastAsia="仿宋_GB2312" w:cs="Times New Roman"/>
                <w:sz w:val="22"/>
                <w:highlight w:val="none"/>
              </w:rPr>
              <w:t>基金代码</w:t>
            </w:r>
          </w:p>
        </w:tc>
        <w:tc>
          <w:tcPr>
            <w:tcW w:w="559" w:type="dxa"/>
          </w:tcPr>
          <w:p w14:paraId="321D2CC8">
            <w:pPr>
              <w:spacing w:line="440" w:lineRule="exact"/>
              <w:rPr>
                <w:rFonts w:ascii="Times New Roman" w:hAnsi="Times New Roman" w:eastAsia="仿宋_GB2312" w:cs="Times New Roman"/>
                <w:sz w:val="22"/>
                <w:highlight w:val="none"/>
              </w:rPr>
            </w:pPr>
          </w:p>
        </w:tc>
        <w:tc>
          <w:tcPr>
            <w:tcW w:w="1554" w:type="dxa"/>
          </w:tcPr>
          <w:p w14:paraId="244BBFBD">
            <w:pPr>
              <w:spacing w:line="440" w:lineRule="exact"/>
              <w:jc w:val="left"/>
              <w:rPr>
                <w:rFonts w:ascii="Times New Roman" w:hAnsi="Times New Roman" w:eastAsia="仿宋_GB2312" w:cs="Times New Roman"/>
                <w:sz w:val="22"/>
                <w:highlight w:val="none"/>
              </w:rPr>
            </w:pPr>
            <w:r>
              <w:rPr>
                <w:rFonts w:ascii="Times New Roman" w:hAnsi="Times New Roman" w:eastAsia="仿宋_GB2312" w:cs="Times New Roman"/>
                <w:sz w:val="22"/>
                <w:highlight w:val="none"/>
              </w:rPr>
              <w:t>本次扩募份额</w:t>
            </w:r>
          </w:p>
        </w:tc>
        <w:tc>
          <w:tcPr>
            <w:tcW w:w="1677" w:type="dxa"/>
          </w:tcPr>
          <w:p w14:paraId="0907694A">
            <w:pPr>
              <w:spacing w:line="440" w:lineRule="exact"/>
              <w:jc w:val="left"/>
              <w:rPr>
                <w:rFonts w:ascii="Times New Roman" w:hAnsi="Times New Roman" w:eastAsia="仿宋_GB2312" w:cs="Times New Roman"/>
                <w:sz w:val="22"/>
                <w:highlight w:val="none"/>
              </w:rPr>
            </w:pPr>
          </w:p>
        </w:tc>
        <w:tc>
          <w:tcPr>
            <w:tcW w:w="1855" w:type="dxa"/>
          </w:tcPr>
          <w:p w14:paraId="7C5EF520">
            <w:pPr>
              <w:spacing w:line="440" w:lineRule="exact"/>
              <w:jc w:val="left"/>
              <w:rPr>
                <w:rFonts w:ascii="Times New Roman" w:hAnsi="Times New Roman" w:eastAsia="仿宋_GB2312" w:cs="Times New Roman"/>
                <w:sz w:val="22"/>
                <w:highlight w:val="none"/>
              </w:rPr>
            </w:pPr>
            <w:r>
              <w:rPr>
                <w:rFonts w:ascii="Times New Roman" w:hAnsi="Times New Roman" w:eastAsia="仿宋_GB2312" w:cs="Times New Roman"/>
                <w:sz w:val="22"/>
                <w:highlight w:val="none"/>
              </w:rPr>
              <w:t>本次扩募后份额</w:t>
            </w:r>
          </w:p>
        </w:tc>
        <w:tc>
          <w:tcPr>
            <w:tcW w:w="1656" w:type="dxa"/>
          </w:tcPr>
          <w:p w14:paraId="61EEC422">
            <w:pPr>
              <w:spacing w:line="440" w:lineRule="exact"/>
              <w:rPr>
                <w:rFonts w:ascii="Times New Roman" w:hAnsi="Times New Roman" w:eastAsia="仿宋_GB2312" w:cs="Times New Roman"/>
                <w:sz w:val="22"/>
                <w:highlight w:val="none"/>
              </w:rPr>
            </w:pPr>
          </w:p>
        </w:tc>
      </w:tr>
      <w:tr w14:paraId="1FB490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15" w:type="dxa"/>
          </w:tcPr>
          <w:p w14:paraId="05D2C7E2">
            <w:pPr>
              <w:spacing w:line="440" w:lineRule="exact"/>
              <w:jc w:val="left"/>
              <w:rPr>
                <w:rFonts w:ascii="Times New Roman" w:hAnsi="Times New Roman" w:eastAsia="仿宋_GB2312" w:cs="Times New Roman"/>
                <w:sz w:val="22"/>
                <w:highlight w:val="none"/>
              </w:rPr>
            </w:pPr>
            <w:r>
              <w:rPr>
                <w:rFonts w:ascii="Times New Roman" w:hAnsi="Times New Roman" w:eastAsia="仿宋_GB2312" w:cs="Times New Roman"/>
                <w:sz w:val="22"/>
                <w:highlight w:val="none"/>
              </w:rPr>
              <w:t>合同更新生效日</w:t>
            </w:r>
          </w:p>
        </w:tc>
        <w:tc>
          <w:tcPr>
            <w:tcW w:w="2113" w:type="dxa"/>
            <w:gridSpan w:val="2"/>
          </w:tcPr>
          <w:p w14:paraId="024AEE1D">
            <w:pPr>
              <w:spacing w:line="440" w:lineRule="exact"/>
              <w:jc w:val="left"/>
              <w:rPr>
                <w:rFonts w:ascii="Times New Roman" w:hAnsi="Times New Roman" w:eastAsia="仿宋_GB2312" w:cs="Times New Roman"/>
                <w:sz w:val="22"/>
                <w:highlight w:val="none"/>
              </w:rPr>
            </w:pPr>
          </w:p>
        </w:tc>
        <w:tc>
          <w:tcPr>
            <w:tcW w:w="1677" w:type="dxa"/>
          </w:tcPr>
          <w:p w14:paraId="0F9D8D2E">
            <w:pPr>
              <w:spacing w:line="440" w:lineRule="exact"/>
              <w:jc w:val="left"/>
              <w:rPr>
                <w:rFonts w:ascii="Times New Roman" w:hAnsi="Times New Roman" w:eastAsia="仿宋_GB2312" w:cs="Times New Roman"/>
                <w:sz w:val="22"/>
                <w:highlight w:val="none"/>
              </w:rPr>
            </w:pPr>
            <w:r>
              <w:rPr>
                <w:rFonts w:ascii="Times New Roman" w:hAnsi="Times New Roman" w:eastAsia="仿宋_GB2312" w:cs="Times New Roman"/>
                <w:sz w:val="22"/>
                <w:highlight w:val="none"/>
              </w:rPr>
              <w:t>基金合同期限</w:t>
            </w:r>
          </w:p>
        </w:tc>
        <w:tc>
          <w:tcPr>
            <w:tcW w:w="3511" w:type="dxa"/>
            <w:gridSpan w:val="2"/>
          </w:tcPr>
          <w:p w14:paraId="2A3DCB7F">
            <w:pPr>
              <w:spacing w:line="440" w:lineRule="exact"/>
              <w:rPr>
                <w:rFonts w:ascii="Times New Roman" w:hAnsi="Times New Roman" w:eastAsia="仿宋_GB2312" w:cs="Times New Roman"/>
                <w:sz w:val="22"/>
                <w:highlight w:val="none"/>
              </w:rPr>
            </w:pPr>
          </w:p>
        </w:tc>
      </w:tr>
      <w:tr w14:paraId="2A8310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15" w:type="dxa"/>
          </w:tcPr>
          <w:p w14:paraId="6D29442A">
            <w:pPr>
              <w:spacing w:line="440" w:lineRule="exact"/>
              <w:jc w:val="left"/>
              <w:rPr>
                <w:rFonts w:ascii="Times New Roman" w:hAnsi="Times New Roman" w:eastAsia="仿宋_GB2312" w:cs="Times New Roman"/>
                <w:sz w:val="22"/>
                <w:highlight w:val="none"/>
              </w:rPr>
            </w:pPr>
            <w:r>
              <w:rPr>
                <w:rFonts w:ascii="Times New Roman" w:hAnsi="Times New Roman" w:eastAsia="仿宋_GB2312" w:cs="Times New Roman"/>
                <w:sz w:val="22"/>
                <w:highlight w:val="none"/>
              </w:rPr>
              <w:t>管理人</w:t>
            </w:r>
          </w:p>
        </w:tc>
        <w:tc>
          <w:tcPr>
            <w:tcW w:w="2113" w:type="dxa"/>
            <w:gridSpan w:val="2"/>
          </w:tcPr>
          <w:p w14:paraId="6328FE8F">
            <w:pPr>
              <w:spacing w:line="440" w:lineRule="exact"/>
              <w:jc w:val="left"/>
              <w:rPr>
                <w:rFonts w:ascii="Times New Roman" w:hAnsi="Times New Roman" w:eastAsia="仿宋_GB2312" w:cs="Times New Roman"/>
                <w:sz w:val="22"/>
                <w:highlight w:val="none"/>
              </w:rPr>
            </w:pPr>
          </w:p>
        </w:tc>
        <w:tc>
          <w:tcPr>
            <w:tcW w:w="1677" w:type="dxa"/>
          </w:tcPr>
          <w:p w14:paraId="36BAA52B">
            <w:pPr>
              <w:spacing w:line="440" w:lineRule="exact"/>
              <w:jc w:val="left"/>
              <w:rPr>
                <w:rFonts w:ascii="Times New Roman" w:hAnsi="Times New Roman" w:eastAsia="仿宋_GB2312" w:cs="Times New Roman"/>
                <w:sz w:val="22"/>
                <w:highlight w:val="none"/>
              </w:rPr>
            </w:pPr>
            <w:r>
              <w:rPr>
                <w:rFonts w:ascii="Times New Roman" w:hAnsi="Times New Roman" w:eastAsia="仿宋_GB2312" w:cs="Times New Roman"/>
                <w:sz w:val="22"/>
                <w:highlight w:val="none"/>
              </w:rPr>
              <w:t>托管人</w:t>
            </w:r>
          </w:p>
        </w:tc>
        <w:tc>
          <w:tcPr>
            <w:tcW w:w="3511" w:type="dxa"/>
            <w:gridSpan w:val="2"/>
          </w:tcPr>
          <w:p w14:paraId="315F27B5">
            <w:pPr>
              <w:spacing w:line="440" w:lineRule="exact"/>
              <w:jc w:val="center"/>
              <w:rPr>
                <w:rFonts w:ascii="Times New Roman" w:hAnsi="Times New Roman" w:eastAsia="仿宋_GB2312" w:cs="Times New Roman"/>
                <w:sz w:val="22"/>
                <w:highlight w:val="none"/>
              </w:rPr>
            </w:pPr>
          </w:p>
        </w:tc>
      </w:tr>
    </w:tbl>
    <w:p w14:paraId="01178FD0">
      <w:pPr>
        <w:spacing w:line="440" w:lineRule="exact"/>
        <w:rPr>
          <w:rFonts w:ascii="Times New Roman" w:hAnsi="Times New Roman" w:eastAsia="仿宋_GB2312" w:cs="Times New Roman"/>
          <w:sz w:val="22"/>
          <w:highlight w:val="none"/>
        </w:rPr>
      </w:pPr>
    </w:p>
    <w:p w14:paraId="7FF4D1BC">
      <w:pPr>
        <w:spacing w:line="440" w:lineRule="exact"/>
        <w:ind w:firstLine="482" w:firstLineChars="200"/>
        <w:rPr>
          <w:rFonts w:ascii="Times New Roman" w:hAnsi="Times New Roman" w:eastAsia="仿宋_GB2312" w:cs="Times New Roman"/>
          <w:b/>
          <w:sz w:val="24"/>
          <w:szCs w:val="24"/>
          <w:highlight w:val="none"/>
        </w:rPr>
      </w:pPr>
      <w:r>
        <w:rPr>
          <w:rFonts w:ascii="Times New Roman" w:hAnsi="Times New Roman" w:eastAsia="仿宋_GB2312" w:cs="Times New Roman"/>
          <w:b/>
          <w:sz w:val="24"/>
          <w:szCs w:val="24"/>
          <w:highlight w:val="none"/>
        </w:rPr>
        <w:t>二、募集情况</w:t>
      </w:r>
    </w:p>
    <w:p w14:paraId="6E1F1BD2">
      <w:pPr>
        <w:spacing w:line="440" w:lineRule="exact"/>
        <w:ind w:firstLine="480" w:firstLineChars="200"/>
        <w:rPr>
          <w:rFonts w:ascii="Times New Roman" w:hAnsi="Times New Roman" w:eastAsia="仿宋_GB2312" w:cs="Times New Roman"/>
          <w:sz w:val="24"/>
          <w:szCs w:val="24"/>
          <w:highlight w:val="none"/>
        </w:rPr>
      </w:pPr>
      <w:r>
        <w:rPr>
          <w:rFonts w:ascii="Times New Roman" w:hAnsi="Times New Roman" w:eastAsia="仿宋_GB2312" w:cs="Times New Roman"/>
          <w:sz w:val="24"/>
          <w:szCs w:val="24"/>
          <w:highlight w:val="none"/>
        </w:rPr>
        <w:t>经中国证监会《关于核准XX投资信托基金变更注册的批复》（证监许可[xxxx]xxx号）批准，于XX年XX月XX日开始募集，并于XX年XX月XX日募集结束。经中国证监会《关于XX投资信托基金扩募份额备案确认的函》（机构部函[xxxx]xxx号）同意，于XX</w:t>
      </w:r>
      <w:r>
        <w:rPr>
          <w:rFonts w:ascii="Times New Roman" w:hAnsi="Times New Roman" w:eastAsia="仿宋_GB2312" w:cs="Times New Roman"/>
          <w:kern w:val="0"/>
          <w:sz w:val="24"/>
          <w:szCs w:val="24"/>
          <w:highlight w:val="none"/>
        </w:rPr>
        <w:t>XX</w:t>
      </w:r>
      <w:r>
        <w:rPr>
          <w:rFonts w:ascii="Times New Roman" w:hAnsi="Times New Roman" w:eastAsia="仿宋_GB2312" w:cs="Times New Roman"/>
          <w:sz w:val="24"/>
          <w:szCs w:val="24"/>
          <w:highlight w:val="none"/>
        </w:rPr>
        <w:t>年XX月XX日基金合同更新生效。</w:t>
      </w:r>
    </w:p>
    <w:p w14:paraId="3A7B3CB4">
      <w:pPr>
        <w:tabs>
          <w:tab w:val="left" w:pos="5159"/>
          <w:tab w:val="left" w:pos="6098"/>
        </w:tabs>
        <w:spacing w:line="440" w:lineRule="exact"/>
        <w:ind w:firstLine="480" w:firstLineChars="200"/>
        <w:rPr>
          <w:rFonts w:ascii="Times New Roman" w:hAnsi="Times New Roman" w:eastAsia="仿宋_GB2312" w:cs="Times New Roman"/>
          <w:sz w:val="24"/>
          <w:szCs w:val="24"/>
          <w:highlight w:val="none"/>
        </w:rPr>
      </w:pPr>
      <w:r>
        <w:rPr>
          <w:rFonts w:ascii="Times New Roman" w:hAnsi="Times New Roman" w:eastAsia="仿宋_GB2312" w:cs="Times New Roman"/>
          <w:sz w:val="24"/>
          <w:szCs w:val="24"/>
          <w:highlight w:val="none"/>
        </w:rPr>
        <w:t>经XX会计师事务所《XX验资报告》（验资报告文号）审验， XX投资信托基金本次扩募份额为XX份，有效认购户数为XX户。</w:t>
      </w:r>
      <w:r>
        <w:rPr>
          <w:rFonts w:ascii="Times New Roman" w:hAnsi="Times New Roman" w:eastAsia="仿宋_GB2312" w:cs="Times New Roman"/>
          <w:kern w:val="0"/>
          <w:sz w:val="24"/>
          <w:szCs w:val="24"/>
          <w:highlight w:val="none"/>
        </w:rPr>
        <w:t>本次扩募完成后，总募集金额XX元</w:t>
      </w:r>
      <w:r>
        <w:rPr>
          <w:rFonts w:ascii="Times New Roman" w:hAnsi="Times New Roman" w:eastAsia="仿宋_GB2312" w:cs="Times New Roman"/>
          <w:sz w:val="24"/>
          <w:szCs w:val="24"/>
          <w:highlight w:val="none"/>
        </w:rPr>
        <w:t>。</w:t>
      </w:r>
      <w:r>
        <w:rPr>
          <w:rFonts w:ascii="Times New Roman" w:hAnsi="Times New Roman" w:eastAsia="仿宋_GB2312" w:cs="Times New Roman"/>
          <w:sz w:val="24"/>
          <w:szCs w:val="24"/>
          <w:highlight w:val="none"/>
        </w:rPr>
        <w:tab/>
      </w:r>
      <w:r>
        <w:rPr>
          <w:rFonts w:ascii="Times New Roman" w:hAnsi="Times New Roman" w:eastAsia="仿宋_GB2312" w:cs="Times New Roman"/>
          <w:sz w:val="24"/>
          <w:szCs w:val="24"/>
          <w:highlight w:val="none"/>
        </w:rPr>
        <w:tab/>
      </w:r>
    </w:p>
    <w:p w14:paraId="24D49125">
      <w:pPr>
        <w:snapToGrid w:val="0"/>
        <w:spacing w:line="440" w:lineRule="exact"/>
        <w:rPr>
          <w:rFonts w:ascii="Times New Roman" w:hAnsi="Times New Roman" w:eastAsia="仿宋_GB2312" w:cs="Times New Roman"/>
          <w:sz w:val="24"/>
          <w:szCs w:val="24"/>
          <w:highlight w:val="none"/>
        </w:rPr>
      </w:pPr>
    </w:p>
    <w:p w14:paraId="09D1046C">
      <w:pPr>
        <w:spacing w:line="440" w:lineRule="exact"/>
        <w:ind w:firstLine="482" w:firstLineChars="200"/>
        <w:rPr>
          <w:rFonts w:ascii="Times New Roman" w:hAnsi="Times New Roman" w:eastAsia="仿宋_GB2312" w:cs="Times New Roman"/>
          <w:b/>
          <w:sz w:val="24"/>
          <w:szCs w:val="24"/>
          <w:highlight w:val="none"/>
        </w:rPr>
      </w:pPr>
      <w:r>
        <w:rPr>
          <w:rFonts w:ascii="Times New Roman" w:hAnsi="Times New Roman" w:eastAsia="仿宋_GB2312" w:cs="Times New Roman"/>
          <w:b/>
          <w:sz w:val="24"/>
          <w:szCs w:val="24"/>
          <w:highlight w:val="none"/>
        </w:rPr>
        <w:t>三、持有人结构</w:t>
      </w:r>
    </w:p>
    <w:p w14:paraId="32A35DC1">
      <w:pPr>
        <w:spacing w:line="440" w:lineRule="exact"/>
        <w:ind w:firstLine="480" w:firstLineChars="200"/>
        <w:rPr>
          <w:rFonts w:ascii="Times New Roman" w:hAnsi="Times New Roman" w:eastAsia="仿宋_GB2312" w:cs="Times New Roman"/>
          <w:sz w:val="24"/>
          <w:szCs w:val="24"/>
          <w:highlight w:val="none"/>
        </w:rPr>
      </w:pPr>
      <w:r>
        <w:rPr>
          <w:rFonts w:ascii="Times New Roman" w:hAnsi="Times New Roman" w:eastAsia="仿宋_GB2312" w:cs="Times New Roman"/>
          <w:sz w:val="24"/>
          <w:szCs w:val="24"/>
          <w:highlight w:val="none"/>
        </w:rPr>
        <w:t>截止XX年XX月XX日（上市申请日前一工作日），XXXX基金完成扩募后，持有人结构如下：</w:t>
      </w:r>
    </w:p>
    <w:tbl>
      <w:tblPr>
        <w:tblStyle w:val="19"/>
        <w:tblW w:w="956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68"/>
        <w:gridCol w:w="1065"/>
        <w:gridCol w:w="1275"/>
        <w:gridCol w:w="1269"/>
        <w:gridCol w:w="1065"/>
        <w:gridCol w:w="1290"/>
        <w:gridCol w:w="1167"/>
        <w:gridCol w:w="1066"/>
      </w:tblGrid>
      <w:tr w14:paraId="6D8734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68" w:type="dxa"/>
            <w:vMerge w:val="restart"/>
            <w:vAlign w:val="center"/>
          </w:tcPr>
          <w:p w14:paraId="405089A2">
            <w:pPr>
              <w:spacing w:line="440" w:lineRule="exact"/>
              <w:rPr>
                <w:rFonts w:ascii="Times New Roman" w:hAnsi="Times New Roman" w:eastAsia="仿宋_GB2312" w:cs="Times New Roman"/>
                <w:sz w:val="22"/>
                <w:highlight w:val="none"/>
              </w:rPr>
            </w:pPr>
          </w:p>
        </w:tc>
        <w:tc>
          <w:tcPr>
            <w:tcW w:w="3609" w:type="dxa"/>
            <w:gridSpan w:val="3"/>
            <w:vAlign w:val="center"/>
          </w:tcPr>
          <w:p w14:paraId="6CBCE17E">
            <w:pPr>
              <w:spacing w:line="440" w:lineRule="exact"/>
              <w:jc w:val="center"/>
              <w:rPr>
                <w:rFonts w:ascii="Times New Roman" w:hAnsi="Times New Roman" w:eastAsia="仿宋_GB2312" w:cs="Times New Roman"/>
                <w:sz w:val="22"/>
                <w:highlight w:val="none"/>
              </w:rPr>
            </w:pPr>
            <w:r>
              <w:rPr>
                <w:rFonts w:ascii="Times New Roman" w:hAnsi="Times New Roman" w:eastAsia="仿宋_GB2312" w:cs="Times New Roman"/>
                <w:sz w:val="22"/>
                <w:highlight w:val="none"/>
              </w:rPr>
              <w:t>场外</w:t>
            </w:r>
          </w:p>
        </w:tc>
        <w:tc>
          <w:tcPr>
            <w:tcW w:w="3522" w:type="dxa"/>
            <w:gridSpan w:val="3"/>
            <w:vAlign w:val="center"/>
          </w:tcPr>
          <w:p w14:paraId="25239038">
            <w:pPr>
              <w:spacing w:line="440" w:lineRule="exact"/>
              <w:jc w:val="center"/>
              <w:rPr>
                <w:rFonts w:ascii="Times New Roman" w:hAnsi="Times New Roman" w:eastAsia="仿宋_GB2312" w:cs="Times New Roman"/>
                <w:sz w:val="22"/>
                <w:highlight w:val="none"/>
              </w:rPr>
            </w:pPr>
            <w:r>
              <w:rPr>
                <w:rFonts w:ascii="Times New Roman" w:hAnsi="Times New Roman" w:eastAsia="仿宋_GB2312" w:cs="Times New Roman"/>
                <w:sz w:val="22"/>
                <w:highlight w:val="none"/>
              </w:rPr>
              <w:t>场内</w:t>
            </w:r>
          </w:p>
        </w:tc>
        <w:tc>
          <w:tcPr>
            <w:tcW w:w="1066" w:type="dxa"/>
            <w:vMerge w:val="restart"/>
            <w:vAlign w:val="center"/>
          </w:tcPr>
          <w:p w14:paraId="6060681E">
            <w:pPr>
              <w:spacing w:line="440" w:lineRule="exact"/>
              <w:jc w:val="center"/>
              <w:rPr>
                <w:rFonts w:ascii="Times New Roman" w:hAnsi="Times New Roman" w:eastAsia="仿宋_GB2312" w:cs="Times New Roman"/>
                <w:sz w:val="22"/>
                <w:highlight w:val="none"/>
              </w:rPr>
            </w:pPr>
            <w:r>
              <w:rPr>
                <w:rFonts w:ascii="Times New Roman" w:hAnsi="Times New Roman" w:eastAsia="仿宋_GB2312" w:cs="Times New Roman"/>
                <w:sz w:val="22"/>
                <w:highlight w:val="none"/>
              </w:rPr>
              <w:t>份额小计</w:t>
            </w:r>
          </w:p>
        </w:tc>
      </w:tr>
      <w:tr w14:paraId="027CBE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68" w:type="dxa"/>
            <w:vMerge w:val="continue"/>
            <w:vAlign w:val="center"/>
          </w:tcPr>
          <w:p w14:paraId="76F3C251">
            <w:pPr>
              <w:spacing w:line="440" w:lineRule="exact"/>
              <w:jc w:val="center"/>
              <w:rPr>
                <w:rFonts w:ascii="Times New Roman" w:hAnsi="Times New Roman" w:eastAsia="仿宋_GB2312" w:cs="Times New Roman"/>
                <w:sz w:val="22"/>
                <w:highlight w:val="none"/>
              </w:rPr>
            </w:pPr>
          </w:p>
        </w:tc>
        <w:tc>
          <w:tcPr>
            <w:tcW w:w="1065" w:type="dxa"/>
            <w:vAlign w:val="center"/>
          </w:tcPr>
          <w:p w14:paraId="00729398">
            <w:pPr>
              <w:spacing w:line="440" w:lineRule="exact"/>
              <w:jc w:val="center"/>
              <w:rPr>
                <w:rFonts w:ascii="Times New Roman" w:hAnsi="Times New Roman" w:eastAsia="仿宋_GB2312" w:cs="Times New Roman"/>
                <w:sz w:val="22"/>
                <w:highlight w:val="none"/>
              </w:rPr>
            </w:pPr>
            <w:r>
              <w:rPr>
                <w:rFonts w:ascii="Times New Roman" w:hAnsi="Times New Roman" w:eastAsia="仿宋_GB2312" w:cs="Times New Roman"/>
                <w:sz w:val="22"/>
                <w:highlight w:val="none"/>
              </w:rPr>
              <w:t>持有份数</w:t>
            </w:r>
          </w:p>
        </w:tc>
        <w:tc>
          <w:tcPr>
            <w:tcW w:w="1275" w:type="dxa"/>
            <w:vAlign w:val="center"/>
          </w:tcPr>
          <w:p w14:paraId="4694CC91">
            <w:pPr>
              <w:spacing w:line="440" w:lineRule="exact"/>
              <w:jc w:val="center"/>
              <w:rPr>
                <w:rFonts w:ascii="Times New Roman" w:hAnsi="Times New Roman" w:eastAsia="仿宋_GB2312" w:cs="Times New Roman"/>
                <w:sz w:val="22"/>
                <w:highlight w:val="none"/>
              </w:rPr>
            </w:pPr>
            <w:r>
              <w:rPr>
                <w:rFonts w:ascii="Times New Roman" w:hAnsi="Times New Roman" w:eastAsia="仿宋_GB2312" w:cs="Times New Roman"/>
                <w:sz w:val="22"/>
                <w:highlight w:val="none"/>
              </w:rPr>
              <w:t>持有人总数</w:t>
            </w:r>
          </w:p>
        </w:tc>
        <w:tc>
          <w:tcPr>
            <w:tcW w:w="1269" w:type="dxa"/>
            <w:vAlign w:val="center"/>
          </w:tcPr>
          <w:p w14:paraId="55789FCE">
            <w:pPr>
              <w:spacing w:line="440" w:lineRule="exact"/>
              <w:jc w:val="center"/>
              <w:rPr>
                <w:rFonts w:ascii="Times New Roman" w:hAnsi="Times New Roman" w:eastAsia="仿宋_GB2312" w:cs="Times New Roman"/>
                <w:sz w:val="22"/>
                <w:highlight w:val="none"/>
              </w:rPr>
            </w:pPr>
            <w:r>
              <w:rPr>
                <w:rFonts w:ascii="Times New Roman" w:hAnsi="Times New Roman" w:eastAsia="仿宋_GB2312" w:cs="Times New Roman"/>
                <w:sz w:val="22"/>
                <w:highlight w:val="none"/>
              </w:rPr>
              <w:t>份额比例%</w:t>
            </w:r>
          </w:p>
        </w:tc>
        <w:tc>
          <w:tcPr>
            <w:tcW w:w="1065" w:type="dxa"/>
            <w:vAlign w:val="center"/>
          </w:tcPr>
          <w:p w14:paraId="0F9791EF">
            <w:pPr>
              <w:spacing w:line="440" w:lineRule="exact"/>
              <w:jc w:val="center"/>
              <w:rPr>
                <w:rFonts w:ascii="Times New Roman" w:hAnsi="Times New Roman" w:eastAsia="仿宋_GB2312" w:cs="Times New Roman"/>
                <w:sz w:val="22"/>
                <w:highlight w:val="none"/>
              </w:rPr>
            </w:pPr>
            <w:r>
              <w:rPr>
                <w:rFonts w:ascii="Times New Roman" w:hAnsi="Times New Roman" w:eastAsia="仿宋_GB2312" w:cs="Times New Roman"/>
                <w:sz w:val="22"/>
                <w:highlight w:val="none"/>
              </w:rPr>
              <w:t>持有份数</w:t>
            </w:r>
          </w:p>
        </w:tc>
        <w:tc>
          <w:tcPr>
            <w:tcW w:w="1290" w:type="dxa"/>
            <w:vAlign w:val="center"/>
          </w:tcPr>
          <w:p w14:paraId="44C6271C">
            <w:pPr>
              <w:spacing w:line="440" w:lineRule="exact"/>
              <w:jc w:val="center"/>
              <w:rPr>
                <w:rFonts w:ascii="Times New Roman" w:hAnsi="Times New Roman" w:eastAsia="仿宋_GB2312" w:cs="Times New Roman"/>
                <w:sz w:val="22"/>
                <w:highlight w:val="none"/>
              </w:rPr>
            </w:pPr>
            <w:r>
              <w:rPr>
                <w:rFonts w:ascii="Times New Roman" w:hAnsi="Times New Roman" w:eastAsia="仿宋_GB2312" w:cs="Times New Roman"/>
                <w:sz w:val="22"/>
                <w:highlight w:val="none"/>
              </w:rPr>
              <w:t>持有人总数</w:t>
            </w:r>
          </w:p>
        </w:tc>
        <w:tc>
          <w:tcPr>
            <w:tcW w:w="1167" w:type="dxa"/>
            <w:vAlign w:val="center"/>
          </w:tcPr>
          <w:p w14:paraId="00D73A3D">
            <w:pPr>
              <w:spacing w:line="440" w:lineRule="exact"/>
              <w:jc w:val="center"/>
              <w:rPr>
                <w:rFonts w:ascii="Times New Roman" w:hAnsi="Times New Roman" w:eastAsia="仿宋_GB2312" w:cs="Times New Roman"/>
                <w:sz w:val="22"/>
                <w:highlight w:val="none"/>
              </w:rPr>
            </w:pPr>
            <w:r>
              <w:rPr>
                <w:rFonts w:ascii="Times New Roman" w:hAnsi="Times New Roman" w:eastAsia="仿宋_GB2312" w:cs="Times New Roman"/>
                <w:sz w:val="22"/>
                <w:highlight w:val="none"/>
              </w:rPr>
              <w:t>份额比例%</w:t>
            </w:r>
          </w:p>
        </w:tc>
        <w:tc>
          <w:tcPr>
            <w:tcW w:w="1066" w:type="dxa"/>
            <w:vMerge w:val="continue"/>
            <w:vAlign w:val="center"/>
          </w:tcPr>
          <w:p w14:paraId="5BE1DA33">
            <w:pPr>
              <w:spacing w:line="440" w:lineRule="exact"/>
              <w:jc w:val="center"/>
              <w:rPr>
                <w:rFonts w:ascii="Times New Roman" w:hAnsi="Times New Roman" w:eastAsia="仿宋_GB2312" w:cs="Times New Roman"/>
                <w:sz w:val="22"/>
                <w:highlight w:val="none"/>
              </w:rPr>
            </w:pPr>
          </w:p>
        </w:tc>
      </w:tr>
      <w:tr w14:paraId="35EA9A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68" w:type="dxa"/>
            <w:vAlign w:val="center"/>
          </w:tcPr>
          <w:p w14:paraId="06A62AD8">
            <w:pPr>
              <w:spacing w:line="440" w:lineRule="exact"/>
              <w:rPr>
                <w:rFonts w:ascii="Times New Roman" w:hAnsi="Times New Roman" w:eastAsia="仿宋_GB2312" w:cs="Times New Roman"/>
                <w:sz w:val="22"/>
                <w:highlight w:val="none"/>
              </w:rPr>
            </w:pPr>
            <w:r>
              <w:rPr>
                <w:rFonts w:ascii="Times New Roman" w:hAnsi="Times New Roman" w:eastAsia="仿宋_GB2312" w:cs="Times New Roman"/>
                <w:sz w:val="22"/>
                <w:highlight w:val="none"/>
              </w:rPr>
              <w:t>个人投资者</w:t>
            </w:r>
          </w:p>
        </w:tc>
        <w:tc>
          <w:tcPr>
            <w:tcW w:w="1065" w:type="dxa"/>
            <w:vAlign w:val="center"/>
          </w:tcPr>
          <w:p w14:paraId="2FC6663B">
            <w:pPr>
              <w:spacing w:line="440" w:lineRule="exact"/>
              <w:rPr>
                <w:rFonts w:ascii="Times New Roman" w:hAnsi="Times New Roman" w:eastAsia="仿宋_GB2312" w:cs="Times New Roman"/>
                <w:sz w:val="22"/>
                <w:highlight w:val="none"/>
              </w:rPr>
            </w:pPr>
          </w:p>
        </w:tc>
        <w:tc>
          <w:tcPr>
            <w:tcW w:w="1275" w:type="dxa"/>
            <w:vAlign w:val="center"/>
          </w:tcPr>
          <w:p w14:paraId="694CB406">
            <w:pPr>
              <w:spacing w:line="440" w:lineRule="exact"/>
              <w:rPr>
                <w:rFonts w:ascii="Times New Roman" w:hAnsi="Times New Roman" w:eastAsia="仿宋_GB2312" w:cs="Times New Roman"/>
                <w:sz w:val="22"/>
                <w:highlight w:val="none"/>
              </w:rPr>
            </w:pPr>
          </w:p>
        </w:tc>
        <w:tc>
          <w:tcPr>
            <w:tcW w:w="1269" w:type="dxa"/>
            <w:vAlign w:val="center"/>
          </w:tcPr>
          <w:p w14:paraId="3EA32987">
            <w:pPr>
              <w:spacing w:line="440" w:lineRule="exact"/>
              <w:rPr>
                <w:rFonts w:ascii="Times New Roman" w:hAnsi="Times New Roman" w:eastAsia="仿宋_GB2312" w:cs="Times New Roman"/>
                <w:sz w:val="22"/>
                <w:highlight w:val="none"/>
              </w:rPr>
            </w:pPr>
          </w:p>
        </w:tc>
        <w:tc>
          <w:tcPr>
            <w:tcW w:w="1065" w:type="dxa"/>
            <w:vAlign w:val="center"/>
          </w:tcPr>
          <w:p w14:paraId="147CEC06">
            <w:pPr>
              <w:spacing w:line="440" w:lineRule="exact"/>
              <w:rPr>
                <w:rFonts w:ascii="Times New Roman" w:hAnsi="Times New Roman" w:eastAsia="仿宋_GB2312" w:cs="Times New Roman"/>
                <w:sz w:val="22"/>
                <w:highlight w:val="none"/>
              </w:rPr>
            </w:pPr>
          </w:p>
        </w:tc>
        <w:tc>
          <w:tcPr>
            <w:tcW w:w="1290" w:type="dxa"/>
            <w:vAlign w:val="center"/>
          </w:tcPr>
          <w:p w14:paraId="17775CB4">
            <w:pPr>
              <w:spacing w:line="440" w:lineRule="exact"/>
              <w:rPr>
                <w:rFonts w:ascii="Times New Roman" w:hAnsi="Times New Roman" w:eastAsia="仿宋_GB2312" w:cs="Times New Roman"/>
                <w:sz w:val="22"/>
                <w:highlight w:val="none"/>
              </w:rPr>
            </w:pPr>
          </w:p>
        </w:tc>
        <w:tc>
          <w:tcPr>
            <w:tcW w:w="1167" w:type="dxa"/>
            <w:vAlign w:val="center"/>
          </w:tcPr>
          <w:p w14:paraId="592C138C">
            <w:pPr>
              <w:spacing w:line="440" w:lineRule="exact"/>
              <w:rPr>
                <w:rFonts w:ascii="Times New Roman" w:hAnsi="Times New Roman" w:eastAsia="仿宋_GB2312" w:cs="Times New Roman"/>
                <w:sz w:val="22"/>
                <w:highlight w:val="none"/>
              </w:rPr>
            </w:pPr>
          </w:p>
        </w:tc>
        <w:tc>
          <w:tcPr>
            <w:tcW w:w="1066" w:type="dxa"/>
            <w:vAlign w:val="center"/>
          </w:tcPr>
          <w:p w14:paraId="0AF6B782">
            <w:pPr>
              <w:spacing w:line="440" w:lineRule="exact"/>
              <w:rPr>
                <w:rFonts w:ascii="Times New Roman" w:hAnsi="Times New Roman" w:eastAsia="仿宋_GB2312" w:cs="Times New Roman"/>
                <w:sz w:val="22"/>
                <w:highlight w:val="none"/>
              </w:rPr>
            </w:pPr>
          </w:p>
        </w:tc>
      </w:tr>
      <w:tr w14:paraId="4DDF1A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68" w:type="dxa"/>
            <w:vAlign w:val="center"/>
          </w:tcPr>
          <w:p w14:paraId="0446E98B">
            <w:pPr>
              <w:spacing w:line="440" w:lineRule="exact"/>
              <w:rPr>
                <w:rFonts w:ascii="Times New Roman" w:hAnsi="Times New Roman" w:eastAsia="仿宋_GB2312" w:cs="Times New Roman"/>
                <w:sz w:val="22"/>
                <w:highlight w:val="none"/>
              </w:rPr>
            </w:pPr>
            <w:r>
              <w:rPr>
                <w:rFonts w:ascii="Times New Roman" w:hAnsi="Times New Roman" w:eastAsia="仿宋_GB2312" w:cs="Times New Roman"/>
                <w:sz w:val="22"/>
                <w:highlight w:val="none"/>
              </w:rPr>
              <w:t>机构投资者</w:t>
            </w:r>
          </w:p>
        </w:tc>
        <w:tc>
          <w:tcPr>
            <w:tcW w:w="1065" w:type="dxa"/>
            <w:vAlign w:val="center"/>
          </w:tcPr>
          <w:p w14:paraId="2F7A32BE">
            <w:pPr>
              <w:spacing w:line="440" w:lineRule="exact"/>
              <w:rPr>
                <w:rFonts w:ascii="Times New Roman" w:hAnsi="Times New Roman" w:eastAsia="仿宋_GB2312" w:cs="Times New Roman"/>
                <w:sz w:val="22"/>
                <w:highlight w:val="none"/>
              </w:rPr>
            </w:pPr>
          </w:p>
        </w:tc>
        <w:tc>
          <w:tcPr>
            <w:tcW w:w="1275" w:type="dxa"/>
            <w:vAlign w:val="center"/>
          </w:tcPr>
          <w:p w14:paraId="7DF9742B">
            <w:pPr>
              <w:spacing w:line="440" w:lineRule="exact"/>
              <w:rPr>
                <w:rFonts w:ascii="Times New Roman" w:hAnsi="Times New Roman" w:eastAsia="仿宋_GB2312" w:cs="Times New Roman"/>
                <w:sz w:val="22"/>
                <w:highlight w:val="none"/>
              </w:rPr>
            </w:pPr>
          </w:p>
        </w:tc>
        <w:tc>
          <w:tcPr>
            <w:tcW w:w="1269" w:type="dxa"/>
            <w:vAlign w:val="center"/>
          </w:tcPr>
          <w:p w14:paraId="65EA8AF5">
            <w:pPr>
              <w:spacing w:line="440" w:lineRule="exact"/>
              <w:rPr>
                <w:rFonts w:ascii="Times New Roman" w:hAnsi="Times New Roman" w:eastAsia="仿宋_GB2312" w:cs="Times New Roman"/>
                <w:sz w:val="22"/>
                <w:highlight w:val="none"/>
              </w:rPr>
            </w:pPr>
          </w:p>
        </w:tc>
        <w:tc>
          <w:tcPr>
            <w:tcW w:w="1065" w:type="dxa"/>
            <w:vAlign w:val="center"/>
          </w:tcPr>
          <w:p w14:paraId="71E1C439">
            <w:pPr>
              <w:spacing w:line="440" w:lineRule="exact"/>
              <w:rPr>
                <w:rFonts w:ascii="Times New Roman" w:hAnsi="Times New Roman" w:eastAsia="仿宋_GB2312" w:cs="Times New Roman"/>
                <w:sz w:val="22"/>
                <w:highlight w:val="none"/>
              </w:rPr>
            </w:pPr>
          </w:p>
        </w:tc>
        <w:tc>
          <w:tcPr>
            <w:tcW w:w="1290" w:type="dxa"/>
            <w:vAlign w:val="center"/>
          </w:tcPr>
          <w:p w14:paraId="7D31BC22">
            <w:pPr>
              <w:spacing w:line="440" w:lineRule="exact"/>
              <w:rPr>
                <w:rFonts w:ascii="Times New Roman" w:hAnsi="Times New Roman" w:eastAsia="仿宋_GB2312" w:cs="Times New Roman"/>
                <w:sz w:val="22"/>
                <w:highlight w:val="none"/>
              </w:rPr>
            </w:pPr>
          </w:p>
        </w:tc>
        <w:tc>
          <w:tcPr>
            <w:tcW w:w="1167" w:type="dxa"/>
            <w:vAlign w:val="center"/>
          </w:tcPr>
          <w:p w14:paraId="780B6740">
            <w:pPr>
              <w:spacing w:line="440" w:lineRule="exact"/>
              <w:rPr>
                <w:rFonts w:ascii="Times New Roman" w:hAnsi="Times New Roman" w:eastAsia="仿宋_GB2312" w:cs="Times New Roman"/>
                <w:sz w:val="22"/>
                <w:highlight w:val="none"/>
              </w:rPr>
            </w:pPr>
          </w:p>
        </w:tc>
        <w:tc>
          <w:tcPr>
            <w:tcW w:w="1066" w:type="dxa"/>
            <w:vAlign w:val="center"/>
          </w:tcPr>
          <w:p w14:paraId="6884E8AD">
            <w:pPr>
              <w:spacing w:line="440" w:lineRule="exact"/>
              <w:rPr>
                <w:rFonts w:ascii="Times New Roman" w:hAnsi="Times New Roman" w:eastAsia="仿宋_GB2312" w:cs="Times New Roman"/>
                <w:sz w:val="22"/>
                <w:highlight w:val="none"/>
              </w:rPr>
            </w:pPr>
          </w:p>
        </w:tc>
      </w:tr>
      <w:tr w14:paraId="342585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68" w:type="dxa"/>
            <w:vAlign w:val="center"/>
          </w:tcPr>
          <w:p w14:paraId="0303B370">
            <w:pPr>
              <w:spacing w:line="440" w:lineRule="exact"/>
              <w:rPr>
                <w:rFonts w:ascii="Times New Roman" w:hAnsi="Times New Roman" w:eastAsia="仿宋_GB2312" w:cs="Times New Roman"/>
                <w:sz w:val="22"/>
                <w:highlight w:val="none"/>
              </w:rPr>
            </w:pPr>
            <w:r>
              <w:rPr>
                <w:rFonts w:ascii="Times New Roman" w:hAnsi="Times New Roman" w:eastAsia="仿宋_GB2312" w:cs="Times New Roman"/>
                <w:sz w:val="22"/>
                <w:highlight w:val="none"/>
              </w:rPr>
              <w:t>合计</w:t>
            </w:r>
          </w:p>
        </w:tc>
        <w:tc>
          <w:tcPr>
            <w:tcW w:w="1065" w:type="dxa"/>
            <w:vAlign w:val="center"/>
          </w:tcPr>
          <w:p w14:paraId="40078C01">
            <w:pPr>
              <w:spacing w:line="440" w:lineRule="exact"/>
              <w:rPr>
                <w:rFonts w:ascii="Times New Roman" w:hAnsi="Times New Roman" w:eastAsia="仿宋_GB2312" w:cs="Times New Roman"/>
                <w:sz w:val="22"/>
                <w:highlight w:val="none"/>
              </w:rPr>
            </w:pPr>
          </w:p>
        </w:tc>
        <w:tc>
          <w:tcPr>
            <w:tcW w:w="1275" w:type="dxa"/>
            <w:vAlign w:val="center"/>
          </w:tcPr>
          <w:p w14:paraId="7C92E4AB">
            <w:pPr>
              <w:spacing w:line="440" w:lineRule="exact"/>
              <w:jc w:val="center"/>
              <w:rPr>
                <w:rFonts w:ascii="Times New Roman" w:hAnsi="Times New Roman" w:eastAsia="仿宋_GB2312" w:cs="Times New Roman"/>
                <w:sz w:val="22"/>
                <w:highlight w:val="none"/>
              </w:rPr>
            </w:pPr>
          </w:p>
        </w:tc>
        <w:tc>
          <w:tcPr>
            <w:tcW w:w="1269" w:type="dxa"/>
            <w:vAlign w:val="center"/>
          </w:tcPr>
          <w:p w14:paraId="2A5B70F4">
            <w:pPr>
              <w:spacing w:line="440" w:lineRule="exact"/>
              <w:rPr>
                <w:rFonts w:ascii="Times New Roman" w:hAnsi="Times New Roman" w:eastAsia="仿宋_GB2312" w:cs="Times New Roman"/>
                <w:sz w:val="22"/>
                <w:highlight w:val="none"/>
              </w:rPr>
            </w:pPr>
          </w:p>
        </w:tc>
        <w:tc>
          <w:tcPr>
            <w:tcW w:w="1065" w:type="dxa"/>
            <w:vAlign w:val="center"/>
          </w:tcPr>
          <w:p w14:paraId="11090BCC">
            <w:pPr>
              <w:spacing w:line="440" w:lineRule="exact"/>
              <w:rPr>
                <w:rFonts w:ascii="Times New Roman" w:hAnsi="Times New Roman" w:eastAsia="仿宋_GB2312" w:cs="Times New Roman"/>
                <w:sz w:val="22"/>
                <w:highlight w:val="none"/>
              </w:rPr>
            </w:pPr>
          </w:p>
        </w:tc>
        <w:tc>
          <w:tcPr>
            <w:tcW w:w="1290" w:type="dxa"/>
            <w:vAlign w:val="center"/>
          </w:tcPr>
          <w:p w14:paraId="23164BB5">
            <w:pPr>
              <w:spacing w:line="440" w:lineRule="exact"/>
              <w:jc w:val="center"/>
              <w:rPr>
                <w:rFonts w:ascii="Times New Roman" w:hAnsi="Times New Roman" w:eastAsia="仿宋_GB2312" w:cs="Times New Roman"/>
                <w:sz w:val="22"/>
                <w:highlight w:val="none"/>
              </w:rPr>
            </w:pPr>
          </w:p>
        </w:tc>
        <w:tc>
          <w:tcPr>
            <w:tcW w:w="1167" w:type="dxa"/>
            <w:vAlign w:val="center"/>
          </w:tcPr>
          <w:p w14:paraId="296313E1">
            <w:pPr>
              <w:spacing w:line="440" w:lineRule="exact"/>
              <w:rPr>
                <w:rFonts w:ascii="Times New Roman" w:hAnsi="Times New Roman" w:eastAsia="仿宋_GB2312" w:cs="Times New Roman"/>
                <w:sz w:val="22"/>
                <w:highlight w:val="none"/>
              </w:rPr>
            </w:pPr>
          </w:p>
        </w:tc>
        <w:tc>
          <w:tcPr>
            <w:tcW w:w="1066" w:type="dxa"/>
            <w:vAlign w:val="center"/>
          </w:tcPr>
          <w:p w14:paraId="58FE7042">
            <w:pPr>
              <w:spacing w:line="440" w:lineRule="exact"/>
              <w:jc w:val="center"/>
              <w:rPr>
                <w:rFonts w:ascii="Times New Roman" w:hAnsi="Times New Roman" w:eastAsia="仿宋_GB2312" w:cs="Times New Roman"/>
                <w:sz w:val="22"/>
                <w:highlight w:val="none"/>
              </w:rPr>
            </w:pPr>
          </w:p>
        </w:tc>
      </w:tr>
    </w:tbl>
    <w:p w14:paraId="1E8A9337">
      <w:pPr>
        <w:snapToGrid w:val="0"/>
        <w:spacing w:line="440" w:lineRule="exact"/>
        <w:rPr>
          <w:rFonts w:ascii="Times New Roman" w:hAnsi="Times New Roman" w:eastAsia="仿宋_GB2312" w:cs="Times New Roman"/>
          <w:sz w:val="22"/>
          <w:highlight w:val="none"/>
        </w:rPr>
      </w:pPr>
    </w:p>
    <w:p w14:paraId="453E6FFC">
      <w:pPr>
        <w:spacing w:line="440" w:lineRule="exact"/>
        <w:ind w:firstLine="482" w:firstLineChars="200"/>
        <w:rPr>
          <w:rFonts w:ascii="Times New Roman" w:hAnsi="Times New Roman" w:eastAsia="仿宋_GB2312" w:cs="Times New Roman"/>
          <w:b/>
          <w:sz w:val="24"/>
          <w:szCs w:val="24"/>
          <w:highlight w:val="none"/>
        </w:rPr>
      </w:pPr>
      <w:r>
        <w:rPr>
          <w:rFonts w:ascii="Times New Roman" w:hAnsi="Times New Roman" w:eastAsia="仿宋_GB2312" w:cs="Times New Roman"/>
          <w:b/>
          <w:sz w:val="24"/>
          <w:szCs w:val="24"/>
          <w:highlight w:val="none"/>
        </w:rPr>
        <w:t>四、上市工作安排</w:t>
      </w:r>
    </w:p>
    <w:p w14:paraId="075AE992">
      <w:pPr>
        <w:spacing w:line="440" w:lineRule="exact"/>
        <w:ind w:firstLine="480" w:firstLineChars="200"/>
        <w:rPr>
          <w:rFonts w:ascii="Times New Roman" w:hAnsi="Times New Roman" w:eastAsia="仿宋_GB2312" w:cs="Times New Roman"/>
          <w:sz w:val="24"/>
          <w:szCs w:val="24"/>
          <w:highlight w:val="none"/>
        </w:rPr>
      </w:pPr>
      <w:r>
        <w:rPr>
          <w:rFonts w:ascii="Times New Roman" w:hAnsi="Times New Roman" w:eastAsia="仿宋_GB2312" w:cs="Times New Roman"/>
          <w:sz w:val="24"/>
          <w:szCs w:val="24"/>
          <w:highlight w:val="none"/>
        </w:rPr>
        <w:t>1、XX年XX月XX日（至少在公告日前二个工作日），提交上市申请。</w:t>
      </w:r>
    </w:p>
    <w:p w14:paraId="45BF4368">
      <w:pPr>
        <w:spacing w:line="440" w:lineRule="exact"/>
        <w:ind w:firstLine="480" w:firstLineChars="200"/>
        <w:rPr>
          <w:rFonts w:ascii="Times New Roman" w:hAnsi="Times New Roman" w:eastAsia="仿宋_GB2312" w:cs="Times New Roman"/>
          <w:sz w:val="24"/>
          <w:szCs w:val="24"/>
          <w:highlight w:val="none"/>
        </w:rPr>
      </w:pPr>
      <w:r>
        <w:rPr>
          <w:rFonts w:ascii="Times New Roman" w:hAnsi="Times New Roman" w:eastAsia="仿宋_GB2312" w:cs="Times New Roman"/>
          <w:sz w:val="24"/>
          <w:szCs w:val="24"/>
          <w:highlight w:val="none"/>
        </w:rPr>
        <w:t>2、XX年XX月XX日（上市首日前三个工作日），刊登《上市公告书》。</w:t>
      </w:r>
    </w:p>
    <w:p w14:paraId="5589BD8E">
      <w:pPr>
        <w:spacing w:line="440" w:lineRule="exact"/>
        <w:ind w:firstLine="480" w:firstLineChars="200"/>
        <w:rPr>
          <w:rFonts w:ascii="Times New Roman" w:hAnsi="Times New Roman" w:eastAsia="仿宋_GB2312" w:cs="Times New Roman"/>
          <w:sz w:val="24"/>
          <w:szCs w:val="24"/>
          <w:highlight w:val="none"/>
        </w:rPr>
      </w:pPr>
      <w:r>
        <w:rPr>
          <w:rFonts w:ascii="Times New Roman" w:hAnsi="Times New Roman" w:eastAsia="仿宋_GB2312" w:cs="Times New Roman"/>
          <w:sz w:val="24"/>
          <w:szCs w:val="24"/>
          <w:highlight w:val="none"/>
        </w:rPr>
        <w:t>3、XX年XX月XX日（上市首日），刊登《上市交易提示性公告》。</w:t>
      </w:r>
    </w:p>
    <w:p w14:paraId="2039C316">
      <w:pPr>
        <w:spacing w:line="440" w:lineRule="exact"/>
        <w:ind w:firstLine="482" w:firstLineChars="200"/>
        <w:rPr>
          <w:rFonts w:ascii="Times New Roman" w:hAnsi="Times New Roman" w:eastAsia="仿宋_GB2312" w:cs="Times New Roman"/>
          <w:b/>
          <w:sz w:val="24"/>
          <w:szCs w:val="24"/>
          <w:highlight w:val="none"/>
        </w:rPr>
      </w:pPr>
    </w:p>
    <w:p w14:paraId="62FDD5F1">
      <w:pPr>
        <w:spacing w:line="440" w:lineRule="exact"/>
        <w:ind w:firstLine="480" w:firstLineChars="200"/>
        <w:rPr>
          <w:rFonts w:ascii="Times New Roman" w:hAnsi="Times New Roman" w:eastAsia="仿宋_GB2312" w:cs="Times New Roman"/>
          <w:sz w:val="24"/>
          <w:szCs w:val="24"/>
          <w:highlight w:val="none"/>
        </w:rPr>
      </w:pPr>
      <w:r>
        <w:rPr>
          <w:rFonts w:ascii="Times New Roman" w:hAnsi="Times New Roman" w:eastAsia="仿宋_GB2312" w:cs="Times New Roman"/>
          <w:sz w:val="24"/>
          <w:szCs w:val="24"/>
          <w:highlight w:val="none"/>
        </w:rPr>
        <w:t>特此申请，请审查批准。</w:t>
      </w:r>
    </w:p>
    <w:p w14:paraId="3F056C2C">
      <w:pPr>
        <w:spacing w:line="440" w:lineRule="exact"/>
        <w:ind w:firstLine="480" w:firstLineChars="200"/>
        <w:rPr>
          <w:rFonts w:ascii="Times New Roman" w:hAnsi="Times New Roman" w:eastAsia="仿宋_GB2312" w:cs="Times New Roman"/>
          <w:sz w:val="24"/>
          <w:szCs w:val="24"/>
          <w:highlight w:val="none"/>
        </w:rPr>
      </w:pPr>
    </w:p>
    <w:p w14:paraId="4E13A3DB">
      <w:pPr>
        <w:spacing w:line="440" w:lineRule="exact"/>
        <w:jc w:val="right"/>
        <w:rPr>
          <w:rFonts w:ascii="Times New Roman" w:hAnsi="Times New Roman" w:eastAsia="仿宋_GB2312" w:cs="Times New Roman"/>
          <w:sz w:val="24"/>
          <w:szCs w:val="24"/>
          <w:highlight w:val="none"/>
        </w:rPr>
      </w:pPr>
      <w:r>
        <w:rPr>
          <w:rFonts w:ascii="Times New Roman" w:hAnsi="Times New Roman" w:eastAsia="仿宋_GB2312" w:cs="Times New Roman"/>
          <w:sz w:val="24"/>
          <w:szCs w:val="24"/>
          <w:highlight w:val="none"/>
        </w:rPr>
        <w:t>XX基金管理公司（盖章）</w:t>
      </w:r>
    </w:p>
    <w:p w14:paraId="6281FA86">
      <w:pPr>
        <w:spacing w:line="440" w:lineRule="exact"/>
        <w:jc w:val="right"/>
        <w:rPr>
          <w:rFonts w:ascii="Times New Roman" w:hAnsi="Times New Roman" w:eastAsia="仿宋_GB2312" w:cs="Times New Roman"/>
          <w:sz w:val="24"/>
          <w:szCs w:val="24"/>
          <w:highlight w:val="none"/>
        </w:rPr>
      </w:pPr>
      <w:r>
        <w:rPr>
          <w:rFonts w:ascii="Times New Roman" w:hAnsi="Times New Roman" w:eastAsia="仿宋_GB2312" w:cs="Times New Roman"/>
          <w:sz w:val="24"/>
          <w:szCs w:val="24"/>
          <w:highlight w:val="none"/>
        </w:rPr>
        <w:t>XXXX年XX月XX日</w:t>
      </w:r>
    </w:p>
    <w:p w14:paraId="2F74CB16">
      <w:pPr>
        <w:spacing w:line="440" w:lineRule="exact"/>
        <w:ind w:firstLine="6050" w:firstLineChars="2750"/>
        <w:rPr>
          <w:rStyle w:val="30"/>
          <w:rFonts w:eastAsia="仿宋"/>
          <w:b w:val="0"/>
          <w:bCs w:val="0"/>
          <w:sz w:val="22"/>
          <w:szCs w:val="21"/>
          <w:highlight w:val="none"/>
        </w:rPr>
      </w:pPr>
    </w:p>
    <w:p w14:paraId="2E9FCDC1">
      <w:pPr>
        <w:widowControl/>
        <w:jc w:val="left"/>
        <w:rPr>
          <w:rFonts w:ascii="Times New Roman" w:hAnsi="Times New Roman" w:eastAsia="黑体" w:cs="Times New Roman"/>
          <w:sz w:val="32"/>
          <w:szCs w:val="32"/>
          <w:highlight w:val="none"/>
        </w:rPr>
      </w:pPr>
      <w:r>
        <w:rPr>
          <w:rFonts w:ascii="Times New Roman" w:hAnsi="Times New Roman" w:eastAsia="黑体" w:cs="Times New Roman"/>
          <w:b/>
          <w:bCs/>
          <w:highlight w:val="none"/>
        </w:rPr>
        <w:br w:type="page"/>
      </w:r>
    </w:p>
    <w:p w14:paraId="43A538E2">
      <w:pPr>
        <w:spacing w:line="360" w:lineRule="auto"/>
        <w:outlineLvl w:val="1"/>
        <w:rPr>
          <w:rFonts w:ascii="Times New Roman" w:hAnsi="Times New Roman" w:eastAsia="黑体" w:cs="Times New Roman"/>
          <w:b/>
          <w:sz w:val="30"/>
          <w:szCs w:val="30"/>
          <w:highlight w:val="none"/>
        </w:rPr>
      </w:pPr>
      <w:bookmarkStart w:id="932" w:name="_Toc7746"/>
      <w:bookmarkStart w:id="933" w:name="_Toc29886"/>
      <w:bookmarkStart w:id="934" w:name="_Toc575"/>
      <w:bookmarkStart w:id="935" w:name="_Toc11909"/>
      <w:bookmarkStart w:id="936" w:name="_Toc8906"/>
      <w:r>
        <w:rPr>
          <w:rFonts w:ascii="Times New Roman" w:hAnsi="Times New Roman" w:eastAsia="黑体" w:cs="Times New Roman"/>
          <w:b/>
          <w:sz w:val="30"/>
          <w:szCs w:val="30"/>
          <w:highlight w:val="none"/>
        </w:rPr>
        <w:t>二、</w:t>
      </w:r>
      <w:bookmarkStart w:id="937" w:name="_Toc70604261"/>
      <w:r>
        <w:rPr>
          <w:rFonts w:ascii="Times New Roman" w:hAnsi="Times New Roman" w:eastAsia="黑体" w:cs="Times New Roman"/>
          <w:b/>
          <w:sz w:val="30"/>
          <w:szCs w:val="30"/>
          <w:highlight w:val="none"/>
        </w:rPr>
        <w:t>公告文件类别及要素</w:t>
      </w:r>
      <w:bookmarkEnd w:id="932"/>
      <w:bookmarkEnd w:id="933"/>
      <w:bookmarkEnd w:id="934"/>
      <w:bookmarkEnd w:id="935"/>
      <w:bookmarkEnd w:id="936"/>
      <w:bookmarkEnd w:id="937"/>
    </w:p>
    <w:p w14:paraId="348412CA">
      <w:pPr>
        <w:spacing w:line="360" w:lineRule="auto"/>
        <w:outlineLvl w:val="2"/>
        <w:rPr>
          <w:rFonts w:ascii="Times New Roman" w:hAnsi="Times New Roman" w:eastAsia="仿宋_GB2312" w:cs="Times New Roman"/>
          <w:bCs/>
          <w:sz w:val="24"/>
          <w:highlight w:val="none"/>
        </w:rPr>
      </w:pPr>
      <w:bookmarkStart w:id="938" w:name="_Toc4796"/>
      <w:bookmarkStart w:id="939" w:name="_Toc18165"/>
      <w:bookmarkStart w:id="940" w:name="_Toc10944"/>
      <w:bookmarkStart w:id="941" w:name="_Toc24984"/>
      <w:bookmarkStart w:id="942" w:name="_Toc17859"/>
      <w:r>
        <w:rPr>
          <w:rFonts w:ascii="Times New Roman" w:hAnsi="Times New Roman" w:eastAsia="仿宋_GB2312" w:cs="Times New Roman"/>
          <w:b/>
          <w:sz w:val="24"/>
          <w:highlight w:val="none"/>
        </w:rPr>
        <w:t>附件2-1：向不特定对象扩募信息披露公告类别</w:t>
      </w:r>
      <w:bookmarkEnd w:id="938"/>
      <w:bookmarkEnd w:id="939"/>
      <w:bookmarkEnd w:id="940"/>
      <w:bookmarkEnd w:id="941"/>
      <w:bookmarkEnd w:id="942"/>
    </w:p>
    <w:tbl>
      <w:tblPr>
        <w:tblStyle w:val="19"/>
        <w:tblW w:w="5000" w:type="pct"/>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
      <w:tblGrid>
        <w:gridCol w:w="818"/>
        <w:gridCol w:w="3931"/>
        <w:gridCol w:w="3773"/>
      </w:tblGrid>
      <w:tr w14:paraId="2D0F417A">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23" w:hRule="atLeast"/>
          <w:jc w:val="center"/>
        </w:trPr>
        <w:tc>
          <w:tcPr>
            <w:tcW w:w="479" w:type="pct"/>
            <w:vAlign w:val="center"/>
          </w:tcPr>
          <w:p w14:paraId="49D19D4F">
            <w:pPr>
              <w:widowControl/>
              <w:jc w:val="center"/>
              <w:rPr>
                <w:rFonts w:ascii="Times New Roman" w:hAnsi="Times New Roman" w:eastAsia="仿宋_GB2312" w:cs="Times New Roman"/>
                <w:b/>
                <w:bCs/>
                <w:kern w:val="0"/>
                <w:sz w:val="24"/>
                <w:szCs w:val="24"/>
                <w:highlight w:val="none"/>
              </w:rPr>
            </w:pPr>
            <w:r>
              <w:rPr>
                <w:rFonts w:ascii="Times New Roman" w:hAnsi="Times New Roman" w:eastAsia="仿宋_GB2312" w:cs="Times New Roman"/>
                <w:b/>
                <w:bCs/>
                <w:kern w:val="0"/>
                <w:sz w:val="24"/>
                <w:szCs w:val="24"/>
                <w:highlight w:val="none"/>
              </w:rPr>
              <w:t>序号</w:t>
            </w:r>
          </w:p>
        </w:tc>
        <w:tc>
          <w:tcPr>
            <w:tcW w:w="2306" w:type="pct"/>
            <w:vAlign w:val="center"/>
          </w:tcPr>
          <w:p w14:paraId="098CB5F2">
            <w:pPr>
              <w:widowControl/>
              <w:jc w:val="center"/>
              <w:rPr>
                <w:rFonts w:ascii="Times New Roman" w:hAnsi="Times New Roman" w:eastAsia="仿宋_GB2312" w:cs="Times New Roman"/>
                <w:b/>
                <w:bCs/>
                <w:kern w:val="0"/>
                <w:sz w:val="24"/>
                <w:szCs w:val="24"/>
                <w:highlight w:val="none"/>
              </w:rPr>
            </w:pPr>
            <w:r>
              <w:rPr>
                <w:rFonts w:ascii="Times New Roman" w:hAnsi="Times New Roman" w:eastAsia="仿宋_GB2312" w:cs="Times New Roman"/>
                <w:b/>
                <w:bCs/>
                <w:kern w:val="0"/>
                <w:sz w:val="24"/>
                <w:szCs w:val="24"/>
                <w:highlight w:val="none"/>
              </w:rPr>
              <w:t>公告类别</w:t>
            </w:r>
          </w:p>
        </w:tc>
        <w:tc>
          <w:tcPr>
            <w:tcW w:w="2214" w:type="pct"/>
            <w:vAlign w:val="center"/>
          </w:tcPr>
          <w:p w14:paraId="762CBB02">
            <w:pPr>
              <w:widowControl/>
              <w:jc w:val="center"/>
              <w:rPr>
                <w:rFonts w:ascii="Times New Roman" w:hAnsi="Times New Roman" w:eastAsia="仿宋_GB2312" w:cs="Times New Roman"/>
                <w:b/>
                <w:bCs/>
                <w:kern w:val="0"/>
                <w:sz w:val="24"/>
                <w:szCs w:val="24"/>
                <w:highlight w:val="none"/>
              </w:rPr>
            </w:pPr>
            <w:r>
              <w:rPr>
                <w:rFonts w:ascii="Times New Roman" w:hAnsi="Times New Roman" w:eastAsia="仿宋_GB2312" w:cs="Times New Roman"/>
                <w:b/>
                <w:bCs/>
                <w:kern w:val="0"/>
                <w:sz w:val="24"/>
                <w:szCs w:val="24"/>
                <w:highlight w:val="none"/>
              </w:rPr>
              <w:t>公告内容</w:t>
            </w:r>
          </w:p>
        </w:tc>
      </w:tr>
      <w:tr w14:paraId="3D6B8F83">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05" w:hRule="atLeast"/>
          <w:jc w:val="center"/>
        </w:trPr>
        <w:tc>
          <w:tcPr>
            <w:tcW w:w="479" w:type="pct"/>
            <w:noWrap/>
            <w:vAlign w:val="center"/>
          </w:tcPr>
          <w:p w14:paraId="3D4FA1A3">
            <w:pPr>
              <w:widowControl/>
              <w:jc w:val="center"/>
              <w:rPr>
                <w:rFonts w:ascii="Times New Roman" w:hAnsi="Times New Roman" w:eastAsia="仿宋_GB2312" w:cs="Times New Roman"/>
                <w:kern w:val="0"/>
                <w:sz w:val="24"/>
                <w:szCs w:val="24"/>
                <w:highlight w:val="none"/>
              </w:rPr>
            </w:pPr>
            <w:r>
              <w:rPr>
                <w:rFonts w:ascii="Times New Roman" w:hAnsi="Times New Roman" w:eastAsia="仿宋_GB2312" w:cs="Times New Roman"/>
                <w:kern w:val="0"/>
                <w:sz w:val="24"/>
                <w:szCs w:val="24"/>
                <w:highlight w:val="none"/>
              </w:rPr>
              <w:t>1</w:t>
            </w:r>
          </w:p>
        </w:tc>
        <w:tc>
          <w:tcPr>
            <w:tcW w:w="2306" w:type="pct"/>
            <w:noWrap/>
            <w:vAlign w:val="center"/>
          </w:tcPr>
          <w:p w14:paraId="32F8CC86">
            <w:pPr>
              <w:widowControl/>
              <w:rPr>
                <w:rFonts w:ascii="Times New Roman" w:hAnsi="Times New Roman" w:eastAsia="仿宋_GB2312" w:cs="Times New Roman"/>
                <w:kern w:val="0"/>
                <w:sz w:val="24"/>
                <w:szCs w:val="24"/>
                <w:highlight w:val="none"/>
              </w:rPr>
            </w:pPr>
            <w:r>
              <w:rPr>
                <w:rFonts w:ascii="Times New Roman" w:hAnsi="Times New Roman" w:eastAsia="仿宋_GB2312" w:cs="Times New Roman"/>
                <w:kern w:val="0"/>
                <w:sz w:val="24"/>
                <w:szCs w:val="24"/>
                <w:highlight w:val="none"/>
              </w:rPr>
              <w:t>项目购入或出售（REITs）</w:t>
            </w:r>
          </w:p>
        </w:tc>
        <w:tc>
          <w:tcPr>
            <w:tcW w:w="2214" w:type="pct"/>
            <w:vAlign w:val="center"/>
          </w:tcPr>
          <w:p w14:paraId="0DCAF026">
            <w:pPr>
              <w:widowControl/>
              <w:rPr>
                <w:rFonts w:ascii="Times New Roman" w:hAnsi="Times New Roman" w:eastAsia="仿宋_GB2312" w:cs="Times New Roman"/>
                <w:kern w:val="0"/>
                <w:sz w:val="24"/>
                <w:szCs w:val="24"/>
                <w:highlight w:val="none"/>
              </w:rPr>
            </w:pPr>
            <w:r>
              <w:rPr>
                <w:rFonts w:ascii="Times New Roman" w:hAnsi="Times New Roman" w:eastAsia="仿宋_GB2312" w:cs="Times New Roman"/>
                <w:kern w:val="0"/>
                <w:sz w:val="24"/>
                <w:szCs w:val="24"/>
                <w:highlight w:val="none"/>
              </w:rPr>
              <w:t>拟购入</w:t>
            </w:r>
            <w:r>
              <w:rPr>
                <w:rFonts w:hint="eastAsia" w:ascii="Times New Roman" w:hAnsi="Times New Roman" w:eastAsia="仿宋_GB2312" w:cs="Times New Roman"/>
                <w:kern w:val="0"/>
                <w:sz w:val="24"/>
                <w:szCs w:val="24"/>
                <w:highlight w:val="none"/>
              </w:rPr>
              <w:t>不动产</w:t>
            </w:r>
            <w:r>
              <w:rPr>
                <w:rFonts w:ascii="Times New Roman" w:hAnsi="Times New Roman" w:eastAsia="仿宋_GB2312" w:cs="Times New Roman"/>
                <w:kern w:val="0"/>
                <w:sz w:val="24"/>
                <w:szCs w:val="24"/>
                <w:highlight w:val="none"/>
              </w:rPr>
              <w:t>项目的决定公告、产品变更草案、扩募方案（如有）</w:t>
            </w:r>
          </w:p>
        </w:tc>
      </w:tr>
      <w:tr w14:paraId="1CD85F12">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05" w:hRule="atLeast"/>
          <w:jc w:val="center"/>
        </w:trPr>
        <w:tc>
          <w:tcPr>
            <w:tcW w:w="479" w:type="pct"/>
            <w:noWrap/>
            <w:vAlign w:val="center"/>
          </w:tcPr>
          <w:p w14:paraId="626D66C9">
            <w:pPr>
              <w:widowControl/>
              <w:jc w:val="center"/>
              <w:rPr>
                <w:rFonts w:ascii="Times New Roman" w:hAnsi="Times New Roman" w:eastAsia="仿宋_GB2312" w:cs="Times New Roman"/>
                <w:kern w:val="0"/>
                <w:sz w:val="24"/>
                <w:szCs w:val="24"/>
                <w:highlight w:val="none"/>
              </w:rPr>
            </w:pPr>
            <w:r>
              <w:rPr>
                <w:rFonts w:ascii="Times New Roman" w:hAnsi="Times New Roman" w:eastAsia="仿宋_GB2312" w:cs="Times New Roman"/>
                <w:kern w:val="0"/>
                <w:sz w:val="24"/>
                <w:szCs w:val="24"/>
                <w:highlight w:val="none"/>
              </w:rPr>
              <w:t>2</w:t>
            </w:r>
          </w:p>
        </w:tc>
        <w:tc>
          <w:tcPr>
            <w:tcW w:w="2306" w:type="pct"/>
            <w:noWrap/>
            <w:vAlign w:val="center"/>
          </w:tcPr>
          <w:p w14:paraId="1A0D10D4">
            <w:pPr>
              <w:widowControl/>
              <w:rPr>
                <w:rFonts w:ascii="Times New Roman" w:hAnsi="Times New Roman" w:eastAsia="仿宋_GB2312" w:cs="Times New Roman"/>
                <w:kern w:val="0"/>
                <w:sz w:val="24"/>
                <w:szCs w:val="24"/>
                <w:highlight w:val="none"/>
              </w:rPr>
            </w:pPr>
            <w:r>
              <w:rPr>
                <w:rFonts w:hint="eastAsia" w:ascii="Times New Roman" w:hAnsi="Times New Roman" w:eastAsia="仿宋_GB2312" w:cs="Times New Roman"/>
                <w:kern w:val="0"/>
                <w:sz w:val="24"/>
                <w:szCs w:val="24"/>
                <w:highlight w:val="none"/>
              </w:rPr>
              <w:t>不动产</w:t>
            </w:r>
            <w:r>
              <w:rPr>
                <w:rFonts w:ascii="Times New Roman" w:hAnsi="Times New Roman" w:eastAsia="仿宋_GB2312" w:cs="Times New Roman"/>
                <w:kern w:val="0"/>
                <w:sz w:val="24"/>
                <w:szCs w:val="24"/>
                <w:highlight w:val="none"/>
              </w:rPr>
              <w:t>项目购入或出售进展情况（REITs）</w:t>
            </w:r>
          </w:p>
        </w:tc>
        <w:tc>
          <w:tcPr>
            <w:tcW w:w="2214" w:type="pct"/>
            <w:vAlign w:val="center"/>
          </w:tcPr>
          <w:p w14:paraId="024B4666">
            <w:pPr>
              <w:widowControl/>
              <w:rPr>
                <w:rFonts w:ascii="Times New Roman" w:hAnsi="Times New Roman" w:eastAsia="仿宋_GB2312" w:cs="Times New Roman"/>
                <w:kern w:val="0"/>
                <w:sz w:val="24"/>
                <w:szCs w:val="24"/>
                <w:highlight w:val="none"/>
              </w:rPr>
            </w:pPr>
            <w:r>
              <w:rPr>
                <w:rFonts w:ascii="Times New Roman" w:hAnsi="Times New Roman" w:eastAsia="仿宋_GB2312" w:cs="Times New Roman"/>
                <w:kern w:val="0"/>
                <w:sz w:val="24"/>
                <w:szCs w:val="24"/>
                <w:highlight w:val="none"/>
              </w:rPr>
              <w:t>拟购入</w:t>
            </w:r>
            <w:r>
              <w:rPr>
                <w:rFonts w:hint="eastAsia" w:ascii="Times New Roman" w:hAnsi="Times New Roman" w:eastAsia="仿宋_GB2312" w:cs="Times New Roman"/>
                <w:kern w:val="0"/>
                <w:sz w:val="24"/>
                <w:szCs w:val="24"/>
                <w:highlight w:val="none"/>
              </w:rPr>
              <w:t>不动产</w:t>
            </w:r>
            <w:r>
              <w:rPr>
                <w:rFonts w:ascii="Times New Roman" w:hAnsi="Times New Roman" w:eastAsia="仿宋_GB2312" w:cs="Times New Roman"/>
                <w:kern w:val="0"/>
                <w:sz w:val="24"/>
                <w:szCs w:val="24"/>
                <w:highlight w:val="none"/>
              </w:rPr>
              <w:t>项目的进展情况公告</w:t>
            </w:r>
          </w:p>
        </w:tc>
      </w:tr>
      <w:tr w14:paraId="5D3044DB">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05" w:hRule="atLeast"/>
          <w:jc w:val="center"/>
        </w:trPr>
        <w:tc>
          <w:tcPr>
            <w:tcW w:w="479" w:type="pct"/>
            <w:noWrap/>
            <w:vAlign w:val="center"/>
          </w:tcPr>
          <w:p w14:paraId="33C3E8DE">
            <w:pPr>
              <w:widowControl/>
              <w:jc w:val="center"/>
              <w:rPr>
                <w:rFonts w:ascii="Times New Roman" w:hAnsi="Times New Roman" w:eastAsia="仿宋_GB2312" w:cs="Times New Roman"/>
                <w:kern w:val="0"/>
                <w:sz w:val="24"/>
                <w:szCs w:val="24"/>
                <w:highlight w:val="none"/>
              </w:rPr>
            </w:pPr>
            <w:r>
              <w:rPr>
                <w:rFonts w:ascii="Times New Roman" w:hAnsi="Times New Roman" w:eastAsia="仿宋_GB2312" w:cs="Times New Roman"/>
                <w:kern w:val="0"/>
                <w:sz w:val="24"/>
                <w:szCs w:val="24"/>
                <w:highlight w:val="none"/>
              </w:rPr>
              <w:t>3</w:t>
            </w:r>
          </w:p>
        </w:tc>
        <w:tc>
          <w:tcPr>
            <w:tcW w:w="2306" w:type="pct"/>
            <w:noWrap/>
            <w:vAlign w:val="center"/>
          </w:tcPr>
          <w:p w14:paraId="7DC96762">
            <w:pPr>
              <w:widowControl/>
              <w:rPr>
                <w:rFonts w:ascii="Times New Roman" w:hAnsi="Times New Roman" w:eastAsia="仿宋_GB2312" w:cs="Times New Roman"/>
                <w:kern w:val="0"/>
                <w:sz w:val="24"/>
                <w:szCs w:val="24"/>
                <w:highlight w:val="none"/>
              </w:rPr>
            </w:pPr>
            <w:r>
              <w:rPr>
                <w:rFonts w:hint="eastAsia" w:ascii="Times New Roman" w:hAnsi="Times New Roman" w:eastAsia="仿宋_GB2312" w:cs="Times New Roman"/>
                <w:kern w:val="0"/>
                <w:sz w:val="24"/>
                <w:szCs w:val="24"/>
                <w:highlight w:val="none"/>
              </w:rPr>
              <w:t>不动产</w:t>
            </w:r>
            <w:r>
              <w:rPr>
                <w:rFonts w:ascii="Times New Roman" w:hAnsi="Times New Roman" w:eastAsia="仿宋_GB2312" w:cs="Times New Roman"/>
                <w:kern w:val="0"/>
                <w:sz w:val="24"/>
                <w:szCs w:val="24"/>
                <w:highlight w:val="none"/>
              </w:rPr>
              <w:t>项目交易实施情况报告书（REITs）</w:t>
            </w:r>
          </w:p>
        </w:tc>
        <w:tc>
          <w:tcPr>
            <w:tcW w:w="2214" w:type="pct"/>
            <w:vAlign w:val="center"/>
          </w:tcPr>
          <w:p w14:paraId="32901988">
            <w:pPr>
              <w:widowControl/>
              <w:rPr>
                <w:rFonts w:ascii="Times New Roman" w:hAnsi="Times New Roman" w:eastAsia="仿宋_GB2312" w:cs="Times New Roman"/>
                <w:kern w:val="0"/>
                <w:sz w:val="24"/>
                <w:szCs w:val="24"/>
                <w:highlight w:val="none"/>
              </w:rPr>
            </w:pPr>
            <w:r>
              <w:rPr>
                <w:rFonts w:hint="eastAsia" w:ascii="Times New Roman" w:hAnsi="Times New Roman" w:eastAsia="仿宋_GB2312" w:cs="Times New Roman"/>
                <w:kern w:val="0"/>
                <w:sz w:val="24"/>
                <w:szCs w:val="24"/>
                <w:highlight w:val="none"/>
              </w:rPr>
              <w:t>不动产</w:t>
            </w:r>
            <w:r>
              <w:rPr>
                <w:rFonts w:ascii="Times New Roman" w:hAnsi="Times New Roman" w:eastAsia="仿宋_GB2312" w:cs="Times New Roman"/>
                <w:kern w:val="0"/>
                <w:sz w:val="24"/>
                <w:szCs w:val="24"/>
                <w:highlight w:val="none"/>
              </w:rPr>
              <w:t>项目交易实施情况报告书</w:t>
            </w:r>
          </w:p>
        </w:tc>
      </w:tr>
      <w:tr w14:paraId="44EF4B0B">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05" w:hRule="atLeast"/>
          <w:jc w:val="center"/>
        </w:trPr>
        <w:tc>
          <w:tcPr>
            <w:tcW w:w="479" w:type="pct"/>
            <w:noWrap/>
            <w:vAlign w:val="center"/>
          </w:tcPr>
          <w:p w14:paraId="1FCE6638">
            <w:pPr>
              <w:widowControl/>
              <w:jc w:val="center"/>
              <w:rPr>
                <w:rFonts w:ascii="Times New Roman" w:hAnsi="Times New Roman" w:eastAsia="仿宋_GB2312" w:cs="Times New Roman"/>
                <w:kern w:val="0"/>
                <w:sz w:val="24"/>
                <w:szCs w:val="24"/>
                <w:highlight w:val="none"/>
              </w:rPr>
            </w:pPr>
            <w:r>
              <w:rPr>
                <w:rFonts w:ascii="Times New Roman" w:hAnsi="Times New Roman" w:eastAsia="仿宋_GB2312" w:cs="Times New Roman"/>
                <w:kern w:val="0"/>
                <w:sz w:val="24"/>
                <w:szCs w:val="24"/>
                <w:highlight w:val="none"/>
              </w:rPr>
              <w:t>4</w:t>
            </w:r>
          </w:p>
        </w:tc>
        <w:tc>
          <w:tcPr>
            <w:tcW w:w="2306" w:type="pct"/>
            <w:noWrap/>
            <w:vAlign w:val="center"/>
          </w:tcPr>
          <w:p w14:paraId="4C3431F5">
            <w:pPr>
              <w:widowControl/>
              <w:rPr>
                <w:rFonts w:ascii="Times New Roman" w:hAnsi="Times New Roman" w:eastAsia="仿宋_GB2312" w:cs="Times New Roman"/>
                <w:kern w:val="0"/>
                <w:sz w:val="24"/>
                <w:szCs w:val="24"/>
                <w:highlight w:val="none"/>
              </w:rPr>
            </w:pPr>
            <w:r>
              <w:rPr>
                <w:rFonts w:hint="eastAsia" w:ascii="Times New Roman" w:hAnsi="Times New Roman" w:eastAsia="仿宋_GB2312" w:cs="Times New Roman"/>
                <w:kern w:val="0"/>
                <w:sz w:val="24"/>
                <w:szCs w:val="24"/>
                <w:highlight w:val="none"/>
              </w:rPr>
              <w:t>不动产</w:t>
            </w:r>
            <w:r>
              <w:rPr>
                <w:rFonts w:ascii="Times New Roman" w:hAnsi="Times New Roman" w:eastAsia="仿宋_GB2312" w:cs="Times New Roman"/>
                <w:kern w:val="0"/>
                <w:sz w:val="24"/>
                <w:szCs w:val="24"/>
                <w:highlight w:val="none"/>
              </w:rPr>
              <w:t>项目交易重大事项（REITs）</w:t>
            </w:r>
          </w:p>
        </w:tc>
        <w:tc>
          <w:tcPr>
            <w:tcW w:w="2214" w:type="pct"/>
            <w:vAlign w:val="center"/>
          </w:tcPr>
          <w:p w14:paraId="096D6604">
            <w:pPr>
              <w:widowControl/>
              <w:rPr>
                <w:rFonts w:ascii="Times New Roman" w:hAnsi="Times New Roman" w:eastAsia="仿宋_GB2312" w:cs="Times New Roman"/>
                <w:kern w:val="0"/>
                <w:sz w:val="24"/>
                <w:szCs w:val="24"/>
                <w:highlight w:val="none"/>
              </w:rPr>
            </w:pPr>
            <w:r>
              <w:rPr>
                <w:rFonts w:hint="eastAsia" w:ascii="Times New Roman" w:hAnsi="Times New Roman" w:eastAsia="仿宋_GB2312" w:cs="Times New Roman"/>
                <w:kern w:val="0"/>
                <w:sz w:val="24"/>
                <w:szCs w:val="24"/>
                <w:highlight w:val="none"/>
              </w:rPr>
              <w:t>不动产</w:t>
            </w:r>
            <w:r>
              <w:rPr>
                <w:rFonts w:ascii="Times New Roman" w:hAnsi="Times New Roman" w:eastAsia="仿宋_GB2312" w:cs="Times New Roman"/>
                <w:kern w:val="0"/>
                <w:sz w:val="24"/>
                <w:szCs w:val="24"/>
                <w:highlight w:val="none"/>
              </w:rPr>
              <w:t>项目交易重大事项公告</w:t>
            </w:r>
          </w:p>
        </w:tc>
      </w:tr>
      <w:tr w14:paraId="5CE0F2C6">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05" w:hRule="atLeast"/>
          <w:jc w:val="center"/>
        </w:trPr>
        <w:tc>
          <w:tcPr>
            <w:tcW w:w="479" w:type="pct"/>
            <w:noWrap/>
            <w:vAlign w:val="center"/>
          </w:tcPr>
          <w:p w14:paraId="2B1EC98D">
            <w:pPr>
              <w:widowControl/>
              <w:jc w:val="center"/>
              <w:rPr>
                <w:rFonts w:ascii="Times New Roman" w:hAnsi="Times New Roman" w:eastAsia="仿宋_GB2312" w:cs="Times New Roman"/>
                <w:kern w:val="0"/>
                <w:sz w:val="24"/>
                <w:szCs w:val="24"/>
                <w:highlight w:val="none"/>
              </w:rPr>
            </w:pPr>
            <w:r>
              <w:rPr>
                <w:rFonts w:ascii="Times New Roman" w:hAnsi="Times New Roman" w:eastAsia="仿宋_GB2312" w:cs="Times New Roman"/>
                <w:kern w:val="0"/>
                <w:sz w:val="24"/>
                <w:szCs w:val="24"/>
                <w:highlight w:val="none"/>
              </w:rPr>
              <w:t>5</w:t>
            </w:r>
          </w:p>
        </w:tc>
        <w:tc>
          <w:tcPr>
            <w:tcW w:w="2306" w:type="pct"/>
            <w:noWrap/>
            <w:vAlign w:val="center"/>
          </w:tcPr>
          <w:p w14:paraId="5726F6EB">
            <w:pPr>
              <w:widowControl/>
              <w:rPr>
                <w:rFonts w:ascii="Times New Roman" w:hAnsi="Times New Roman" w:eastAsia="仿宋_GB2312" w:cs="Times New Roman"/>
                <w:kern w:val="0"/>
                <w:sz w:val="24"/>
                <w:szCs w:val="24"/>
                <w:highlight w:val="none"/>
              </w:rPr>
            </w:pPr>
            <w:r>
              <w:rPr>
                <w:rFonts w:ascii="Times New Roman" w:hAnsi="Times New Roman" w:eastAsia="仿宋_GB2312" w:cs="Times New Roman"/>
                <w:kern w:val="0"/>
                <w:sz w:val="24"/>
                <w:szCs w:val="24"/>
                <w:highlight w:val="none"/>
              </w:rPr>
              <w:t>终止新购入</w:t>
            </w:r>
            <w:r>
              <w:rPr>
                <w:rFonts w:hint="eastAsia" w:ascii="Times New Roman" w:hAnsi="Times New Roman" w:eastAsia="仿宋_GB2312" w:cs="Times New Roman"/>
                <w:kern w:val="0"/>
                <w:sz w:val="24"/>
                <w:szCs w:val="24"/>
                <w:highlight w:val="none"/>
              </w:rPr>
              <w:t>不动产</w:t>
            </w:r>
            <w:r>
              <w:rPr>
                <w:rFonts w:ascii="Times New Roman" w:hAnsi="Times New Roman" w:eastAsia="仿宋_GB2312" w:cs="Times New Roman"/>
                <w:kern w:val="0"/>
                <w:sz w:val="24"/>
                <w:szCs w:val="24"/>
                <w:highlight w:val="none"/>
              </w:rPr>
              <w:t>项目（REITs）</w:t>
            </w:r>
          </w:p>
        </w:tc>
        <w:tc>
          <w:tcPr>
            <w:tcW w:w="2214" w:type="pct"/>
            <w:vAlign w:val="center"/>
          </w:tcPr>
          <w:p w14:paraId="0CDB8744">
            <w:pPr>
              <w:widowControl/>
              <w:rPr>
                <w:rFonts w:ascii="Times New Roman" w:hAnsi="Times New Roman" w:eastAsia="仿宋_GB2312" w:cs="Times New Roman"/>
                <w:kern w:val="0"/>
                <w:sz w:val="24"/>
                <w:szCs w:val="24"/>
                <w:highlight w:val="none"/>
              </w:rPr>
            </w:pPr>
            <w:r>
              <w:rPr>
                <w:rFonts w:ascii="Times New Roman" w:hAnsi="Times New Roman" w:eastAsia="仿宋_GB2312" w:cs="Times New Roman"/>
                <w:kern w:val="0"/>
                <w:sz w:val="24"/>
                <w:szCs w:val="24"/>
                <w:highlight w:val="none"/>
              </w:rPr>
              <w:t>终止新购入</w:t>
            </w:r>
            <w:r>
              <w:rPr>
                <w:rFonts w:hint="eastAsia" w:ascii="Times New Roman" w:hAnsi="Times New Roman" w:eastAsia="仿宋_GB2312" w:cs="Times New Roman"/>
                <w:kern w:val="0"/>
                <w:sz w:val="24"/>
                <w:szCs w:val="24"/>
                <w:highlight w:val="none"/>
              </w:rPr>
              <w:t>不动产</w:t>
            </w:r>
            <w:r>
              <w:rPr>
                <w:rFonts w:ascii="Times New Roman" w:hAnsi="Times New Roman" w:eastAsia="仿宋_GB2312" w:cs="Times New Roman"/>
                <w:kern w:val="0"/>
                <w:sz w:val="24"/>
                <w:szCs w:val="24"/>
                <w:highlight w:val="none"/>
              </w:rPr>
              <w:t>项目公告</w:t>
            </w:r>
          </w:p>
        </w:tc>
      </w:tr>
      <w:tr w14:paraId="7F1B76F6">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05" w:hRule="atLeast"/>
          <w:jc w:val="center"/>
        </w:trPr>
        <w:tc>
          <w:tcPr>
            <w:tcW w:w="479" w:type="pct"/>
            <w:noWrap/>
            <w:vAlign w:val="center"/>
          </w:tcPr>
          <w:p w14:paraId="3CCE832D">
            <w:pPr>
              <w:widowControl/>
              <w:jc w:val="center"/>
              <w:rPr>
                <w:rFonts w:ascii="Times New Roman" w:hAnsi="Times New Roman" w:eastAsia="仿宋_GB2312" w:cs="Times New Roman"/>
                <w:kern w:val="0"/>
                <w:sz w:val="24"/>
                <w:szCs w:val="24"/>
                <w:highlight w:val="none"/>
              </w:rPr>
            </w:pPr>
            <w:r>
              <w:rPr>
                <w:rFonts w:ascii="Times New Roman" w:hAnsi="Times New Roman" w:eastAsia="仿宋_GB2312" w:cs="Times New Roman"/>
                <w:kern w:val="0"/>
                <w:sz w:val="24"/>
                <w:szCs w:val="24"/>
                <w:highlight w:val="none"/>
              </w:rPr>
              <w:t>6</w:t>
            </w:r>
          </w:p>
        </w:tc>
        <w:tc>
          <w:tcPr>
            <w:tcW w:w="2306" w:type="pct"/>
            <w:noWrap/>
            <w:vAlign w:val="center"/>
          </w:tcPr>
          <w:p w14:paraId="598B28BE">
            <w:pPr>
              <w:widowControl/>
              <w:rPr>
                <w:rFonts w:ascii="Times New Roman" w:hAnsi="Times New Roman" w:eastAsia="仿宋_GB2312" w:cs="Times New Roman"/>
                <w:kern w:val="0"/>
                <w:sz w:val="24"/>
                <w:szCs w:val="24"/>
                <w:highlight w:val="none"/>
              </w:rPr>
            </w:pPr>
            <w:r>
              <w:rPr>
                <w:rFonts w:ascii="Times New Roman" w:hAnsi="Times New Roman" w:eastAsia="仿宋_GB2312" w:cs="Times New Roman"/>
                <w:kern w:val="0"/>
                <w:sz w:val="24"/>
                <w:szCs w:val="24"/>
                <w:highlight w:val="none"/>
              </w:rPr>
              <w:t>基金产品变更申请公告</w:t>
            </w:r>
          </w:p>
        </w:tc>
        <w:tc>
          <w:tcPr>
            <w:tcW w:w="2214" w:type="pct"/>
            <w:vAlign w:val="center"/>
          </w:tcPr>
          <w:p w14:paraId="4AA6E13B">
            <w:pPr>
              <w:widowControl/>
              <w:rPr>
                <w:rFonts w:ascii="Times New Roman" w:hAnsi="Times New Roman" w:eastAsia="仿宋_GB2312" w:cs="Times New Roman"/>
                <w:kern w:val="0"/>
                <w:sz w:val="24"/>
                <w:szCs w:val="24"/>
                <w:highlight w:val="none"/>
              </w:rPr>
            </w:pPr>
            <w:r>
              <w:rPr>
                <w:rFonts w:ascii="Times New Roman" w:hAnsi="Times New Roman" w:eastAsia="仿宋_GB2312" w:cs="Times New Roman"/>
                <w:kern w:val="0"/>
                <w:sz w:val="24"/>
                <w:szCs w:val="24"/>
                <w:highlight w:val="none"/>
              </w:rPr>
              <w:t>基金产品变更申请公告</w:t>
            </w:r>
          </w:p>
        </w:tc>
      </w:tr>
      <w:tr w14:paraId="4845EA95">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05" w:hRule="atLeast"/>
          <w:jc w:val="center"/>
        </w:trPr>
        <w:tc>
          <w:tcPr>
            <w:tcW w:w="479" w:type="pct"/>
            <w:noWrap/>
            <w:vAlign w:val="center"/>
          </w:tcPr>
          <w:p w14:paraId="5BAFB619">
            <w:pPr>
              <w:widowControl/>
              <w:jc w:val="center"/>
              <w:rPr>
                <w:rFonts w:ascii="Times New Roman" w:hAnsi="Times New Roman" w:eastAsia="仿宋_GB2312" w:cs="Times New Roman"/>
                <w:kern w:val="0"/>
                <w:sz w:val="24"/>
                <w:szCs w:val="24"/>
                <w:highlight w:val="none"/>
              </w:rPr>
            </w:pPr>
            <w:r>
              <w:rPr>
                <w:rFonts w:ascii="Times New Roman" w:hAnsi="Times New Roman" w:eastAsia="仿宋_GB2312" w:cs="Times New Roman"/>
                <w:kern w:val="0"/>
                <w:sz w:val="24"/>
                <w:szCs w:val="24"/>
                <w:highlight w:val="none"/>
              </w:rPr>
              <w:t>7</w:t>
            </w:r>
          </w:p>
        </w:tc>
        <w:tc>
          <w:tcPr>
            <w:tcW w:w="2306" w:type="pct"/>
            <w:noWrap/>
            <w:vAlign w:val="center"/>
          </w:tcPr>
          <w:p w14:paraId="7EE9CB4C">
            <w:pPr>
              <w:widowControl/>
              <w:rPr>
                <w:rFonts w:ascii="Times New Roman" w:hAnsi="Times New Roman" w:eastAsia="仿宋_GB2312" w:cs="Times New Roman"/>
                <w:kern w:val="0"/>
                <w:sz w:val="24"/>
                <w:szCs w:val="24"/>
                <w:highlight w:val="none"/>
              </w:rPr>
            </w:pPr>
            <w:r>
              <w:rPr>
                <w:rFonts w:ascii="Times New Roman" w:hAnsi="Times New Roman" w:eastAsia="仿宋_GB2312" w:cs="Times New Roman"/>
                <w:kern w:val="0"/>
                <w:sz w:val="24"/>
                <w:szCs w:val="24"/>
                <w:highlight w:val="none"/>
              </w:rPr>
              <w:t>收到受理通知书</w:t>
            </w:r>
          </w:p>
        </w:tc>
        <w:tc>
          <w:tcPr>
            <w:tcW w:w="2214" w:type="pct"/>
            <w:vAlign w:val="center"/>
          </w:tcPr>
          <w:p w14:paraId="6A292A3A">
            <w:pPr>
              <w:widowControl/>
              <w:rPr>
                <w:rFonts w:ascii="Times New Roman" w:hAnsi="Times New Roman" w:eastAsia="仿宋_GB2312" w:cs="Times New Roman"/>
                <w:kern w:val="0"/>
                <w:sz w:val="24"/>
                <w:szCs w:val="24"/>
                <w:highlight w:val="none"/>
              </w:rPr>
            </w:pPr>
            <w:r>
              <w:rPr>
                <w:rFonts w:ascii="Times New Roman" w:hAnsi="Times New Roman" w:eastAsia="仿宋_GB2312" w:cs="Times New Roman"/>
                <w:kern w:val="0"/>
                <w:sz w:val="24"/>
                <w:szCs w:val="24"/>
                <w:highlight w:val="none"/>
              </w:rPr>
              <w:t>收到中国证监会/交易所的受理通知书公告</w:t>
            </w:r>
          </w:p>
        </w:tc>
      </w:tr>
      <w:tr w14:paraId="612F7E0B">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05" w:hRule="atLeast"/>
          <w:jc w:val="center"/>
        </w:trPr>
        <w:tc>
          <w:tcPr>
            <w:tcW w:w="479" w:type="pct"/>
            <w:noWrap/>
            <w:vAlign w:val="center"/>
          </w:tcPr>
          <w:p w14:paraId="3D45251B">
            <w:pPr>
              <w:widowControl/>
              <w:jc w:val="center"/>
              <w:rPr>
                <w:rFonts w:ascii="Times New Roman" w:hAnsi="Times New Roman" w:eastAsia="仿宋_GB2312" w:cs="Times New Roman"/>
                <w:kern w:val="0"/>
                <w:sz w:val="24"/>
                <w:szCs w:val="24"/>
                <w:highlight w:val="none"/>
              </w:rPr>
            </w:pPr>
            <w:r>
              <w:rPr>
                <w:rFonts w:ascii="Times New Roman" w:hAnsi="Times New Roman" w:eastAsia="仿宋_GB2312" w:cs="Times New Roman"/>
                <w:kern w:val="0"/>
                <w:sz w:val="24"/>
                <w:szCs w:val="24"/>
                <w:highlight w:val="none"/>
              </w:rPr>
              <w:t>8</w:t>
            </w:r>
          </w:p>
        </w:tc>
        <w:tc>
          <w:tcPr>
            <w:tcW w:w="2306" w:type="pct"/>
            <w:noWrap/>
            <w:vAlign w:val="center"/>
          </w:tcPr>
          <w:p w14:paraId="20AD4185">
            <w:pPr>
              <w:widowControl/>
              <w:rPr>
                <w:rFonts w:ascii="Times New Roman" w:hAnsi="Times New Roman" w:eastAsia="仿宋_GB2312" w:cs="Times New Roman"/>
                <w:kern w:val="0"/>
                <w:sz w:val="24"/>
                <w:szCs w:val="24"/>
                <w:highlight w:val="none"/>
              </w:rPr>
            </w:pPr>
            <w:r>
              <w:rPr>
                <w:rFonts w:ascii="Times New Roman" w:hAnsi="Times New Roman" w:eastAsia="仿宋_GB2312" w:cs="Times New Roman"/>
                <w:kern w:val="0"/>
                <w:sz w:val="24"/>
                <w:szCs w:val="24"/>
                <w:highlight w:val="none"/>
              </w:rPr>
              <w:t>收到交易所问询</w:t>
            </w:r>
          </w:p>
        </w:tc>
        <w:tc>
          <w:tcPr>
            <w:tcW w:w="2214" w:type="pct"/>
            <w:vAlign w:val="center"/>
          </w:tcPr>
          <w:p w14:paraId="31B75473">
            <w:pPr>
              <w:widowControl/>
              <w:rPr>
                <w:rFonts w:ascii="Times New Roman" w:hAnsi="Times New Roman" w:eastAsia="仿宋_GB2312" w:cs="Times New Roman"/>
                <w:kern w:val="0"/>
                <w:sz w:val="24"/>
                <w:szCs w:val="24"/>
                <w:highlight w:val="none"/>
              </w:rPr>
            </w:pPr>
            <w:r>
              <w:rPr>
                <w:rFonts w:ascii="Times New Roman" w:hAnsi="Times New Roman" w:eastAsia="仿宋_GB2312" w:cs="Times New Roman"/>
                <w:kern w:val="0"/>
                <w:sz w:val="24"/>
                <w:szCs w:val="24"/>
                <w:highlight w:val="none"/>
              </w:rPr>
              <w:t>收到交易所问询公告</w:t>
            </w:r>
          </w:p>
        </w:tc>
      </w:tr>
      <w:tr w14:paraId="6A8C92D8">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05" w:hRule="atLeast"/>
          <w:jc w:val="center"/>
        </w:trPr>
        <w:tc>
          <w:tcPr>
            <w:tcW w:w="479" w:type="pct"/>
            <w:noWrap/>
            <w:vAlign w:val="center"/>
          </w:tcPr>
          <w:p w14:paraId="760343A9">
            <w:pPr>
              <w:widowControl/>
              <w:jc w:val="center"/>
              <w:rPr>
                <w:rFonts w:ascii="Times New Roman" w:hAnsi="Times New Roman" w:eastAsia="仿宋_GB2312" w:cs="Times New Roman"/>
                <w:kern w:val="0"/>
                <w:sz w:val="24"/>
                <w:szCs w:val="24"/>
                <w:highlight w:val="none"/>
              </w:rPr>
            </w:pPr>
            <w:r>
              <w:rPr>
                <w:rFonts w:ascii="Times New Roman" w:hAnsi="Times New Roman" w:eastAsia="仿宋_GB2312" w:cs="Times New Roman"/>
                <w:kern w:val="0"/>
                <w:sz w:val="24"/>
                <w:szCs w:val="24"/>
                <w:highlight w:val="none"/>
              </w:rPr>
              <w:t>9</w:t>
            </w:r>
          </w:p>
        </w:tc>
        <w:tc>
          <w:tcPr>
            <w:tcW w:w="2306" w:type="pct"/>
            <w:noWrap/>
            <w:vAlign w:val="center"/>
          </w:tcPr>
          <w:p w14:paraId="76479829">
            <w:pPr>
              <w:widowControl/>
              <w:rPr>
                <w:rFonts w:ascii="Times New Roman" w:hAnsi="Times New Roman" w:eastAsia="仿宋_GB2312" w:cs="Times New Roman"/>
                <w:kern w:val="0"/>
                <w:sz w:val="24"/>
                <w:szCs w:val="24"/>
                <w:highlight w:val="none"/>
              </w:rPr>
            </w:pPr>
            <w:r>
              <w:rPr>
                <w:rFonts w:ascii="Times New Roman" w:hAnsi="Times New Roman" w:eastAsia="仿宋_GB2312" w:cs="Times New Roman"/>
                <w:kern w:val="0"/>
                <w:sz w:val="24"/>
                <w:szCs w:val="24"/>
                <w:highlight w:val="none"/>
              </w:rPr>
              <w:t>提交问询答复及相关文件</w:t>
            </w:r>
          </w:p>
        </w:tc>
        <w:tc>
          <w:tcPr>
            <w:tcW w:w="2214" w:type="pct"/>
            <w:vAlign w:val="center"/>
          </w:tcPr>
          <w:p w14:paraId="33A56125">
            <w:pPr>
              <w:widowControl/>
              <w:rPr>
                <w:rFonts w:ascii="Times New Roman" w:hAnsi="Times New Roman" w:eastAsia="仿宋_GB2312" w:cs="Times New Roman"/>
                <w:kern w:val="0"/>
                <w:sz w:val="24"/>
                <w:szCs w:val="24"/>
                <w:highlight w:val="none"/>
              </w:rPr>
            </w:pPr>
            <w:r>
              <w:rPr>
                <w:rFonts w:ascii="Times New Roman" w:hAnsi="Times New Roman" w:eastAsia="仿宋_GB2312" w:cs="Times New Roman"/>
                <w:kern w:val="0"/>
                <w:sz w:val="24"/>
                <w:szCs w:val="24"/>
                <w:highlight w:val="none"/>
              </w:rPr>
              <w:t>提交问询答复及相关文件公告</w:t>
            </w:r>
          </w:p>
        </w:tc>
      </w:tr>
      <w:tr w14:paraId="0A027578">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05" w:hRule="atLeast"/>
          <w:jc w:val="center"/>
        </w:trPr>
        <w:tc>
          <w:tcPr>
            <w:tcW w:w="479" w:type="pct"/>
            <w:noWrap/>
            <w:vAlign w:val="center"/>
          </w:tcPr>
          <w:p w14:paraId="2DEA5078">
            <w:pPr>
              <w:widowControl/>
              <w:jc w:val="center"/>
              <w:rPr>
                <w:rFonts w:ascii="Times New Roman" w:hAnsi="Times New Roman" w:eastAsia="仿宋_GB2312" w:cs="Times New Roman"/>
                <w:kern w:val="0"/>
                <w:sz w:val="24"/>
                <w:szCs w:val="24"/>
                <w:highlight w:val="none"/>
              </w:rPr>
            </w:pPr>
            <w:r>
              <w:rPr>
                <w:rFonts w:ascii="Times New Roman" w:hAnsi="Times New Roman" w:eastAsia="仿宋_GB2312" w:cs="Times New Roman"/>
                <w:kern w:val="0"/>
                <w:sz w:val="24"/>
                <w:szCs w:val="24"/>
                <w:highlight w:val="none"/>
              </w:rPr>
              <w:t>1</w:t>
            </w:r>
            <w:r>
              <w:rPr>
                <w:rFonts w:hint="eastAsia" w:ascii="Times New Roman" w:hAnsi="Times New Roman" w:eastAsia="仿宋_GB2312" w:cs="Times New Roman"/>
                <w:kern w:val="0"/>
                <w:sz w:val="24"/>
                <w:szCs w:val="24"/>
                <w:highlight w:val="none"/>
              </w:rPr>
              <w:t>0</w:t>
            </w:r>
          </w:p>
        </w:tc>
        <w:tc>
          <w:tcPr>
            <w:tcW w:w="2306" w:type="pct"/>
            <w:noWrap/>
            <w:vAlign w:val="center"/>
          </w:tcPr>
          <w:p w14:paraId="111DE9EF">
            <w:pPr>
              <w:widowControl/>
              <w:rPr>
                <w:rFonts w:ascii="Times New Roman" w:hAnsi="Times New Roman" w:eastAsia="仿宋_GB2312" w:cs="Times New Roman"/>
                <w:kern w:val="0"/>
                <w:sz w:val="24"/>
                <w:szCs w:val="24"/>
                <w:highlight w:val="none"/>
              </w:rPr>
            </w:pPr>
            <w:r>
              <w:rPr>
                <w:rFonts w:ascii="Times New Roman" w:hAnsi="Times New Roman" w:eastAsia="仿宋_GB2312" w:cs="Times New Roman"/>
                <w:kern w:val="0"/>
                <w:sz w:val="24"/>
                <w:szCs w:val="24"/>
                <w:highlight w:val="none"/>
              </w:rPr>
              <w:t>收到交易所审核决定</w:t>
            </w:r>
          </w:p>
        </w:tc>
        <w:tc>
          <w:tcPr>
            <w:tcW w:w="2214" w:type="pct"/>
            <w:vAlign w:val="center"/>
          </w:tcPr>
          <w:p w14:paraId="43A41D3D">
            <w:pPr>
              <w:widowControl/>
              <w:rPr>
                <w:rFonts w:ascii="Times New Roman" w:hAnsi="Times New Roman" w:eastAsia="仿宋_GB2312" w:cs="Times New Roman"/>
                <w:kern w:val="0"/>
                <w:sz w:val="24"/>
                <w:szCs w:val="24"/>
                <w:highlight w:val="none"/>
              </w:rPr>
            </w:pPr>
            <w:r>
              <w:rPr>
                <w:rFonts w:ascii="Times New Roman" w:hAnsi="Times New Roman" w:eastAsia="仿宋_GB2312" w:cs="Times New Roman"/>
                <w:kern w:val="0"/>
                <w:sz w:val="24"/>
                <w:szCs w:val="24"/>
                <w:highlight w:val="none"/>
              </w:rPr>
              <w:t>收到交易所关于变更申请的无异议函/终止审核通知公告</w:t>
            </w:r>
          </w:p>
        </w:tc>
      </w:tr>
      <w:tr w14:paraId="21B0A981">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05" w:hRule="atLeast"/>
          <w:jc w:val="center"/>
        </w:trPr>
        <w:tc>
          <w:tcPr>
            <w:tcW w:w="479" w:type="pct"/>
            <w:noWrap/>
            <w:vAlign w:val="center"/>
          </w:tcPr>
          <w:p w14:paraId="1B613AF0">
            <w:pPr>
              <w:widowControl/>
              <w:jc w:val="center"/>
              <w:rPr>
                <w:rFonts w:ascii="Times New Roman" w:hAnsi="Times New Roman" w:eastAsia="仿宋_GB2312" w:cs="Times New Roman"/>
                <w:kern w:val="0"/>
                <w:sz w:val="24"/>
                <w:szCs w:val="24"/>
                <w:highlight w:val="none"/>
              </w:rPr>
            </w:pPr>
            <w:r>
              <w:rPr>
                <w:rFonts w:ascii="Times New Roman" w:hAnsi="Times New Roman" w:eastAsia="仿宋_GB2312" w:cs="Times New Roman"/>
                <w:kern w:val="0"/>
                <w:sz w:val="24"/>
                <w:szCs w:val="24"/>
                <w:highlight w:val="none"/>
              </w:rPr>
              <w:t>11</w:t>
            </w:r>
          </w:p>
        </w:tc>
        <w:tc>
          <w:tcPr>
            <w:tcW w:w="2306" w:type="pct"/>
            <w:noWrap/>
            <w:vAlign w:val="center"/>
          </w:tcPr>
          <w:p w14:paraId="7C1EC175">
            <w:pPr>
              <w:widowControl/>
              <w:rPr>
                <w:rFonts w:ascii="Times New Roman" w:hAnsi="Times New Roman" w:eastAsia="仿宋_GB2312" w:cs="Times New Roman"/>
                <w:kern w:val="0"/>
                <w:sz w:val="24"/>
                <w:szCs w:val="24"/>
                <w:highlight w:val="none"/>
              </w:rPr>
            </w:pPr>
            <w:r>
              <w:rPr>
                <w:rFonts w:ascii="Times New Roman" w:hAnsi="Times New Roman" w:eastAsia="仿宋_GB2312" w:cs="Times New Roman"/>
                <w:kern w:val="0"/>
                <w:sz w:val="24"/>
                <w:szCs w:val="24"/>
                <w:highlight w:val="none"/>
              </w:rPr>
              <w:t>收到中国证监会注册决定</w:t>
            </w:r>
          </w:p>
        </w:tc>
        <w:tc>
          <w:tcPr>
            <w:tcW w:w="2214" w:type="pct"/>
            <w:vAlign w:val="center"/>
          </w:tcPr>
          <w:p w14:paraId="42F08F27">
            <w:pPr>
              <w:widowControl/>
              <w:rPr>
                <w:rFonts w:ascii="Times New Roman" w:hAnsi="Times New Roman" w:eastAsia="仿宋_GB2312" w:cs="Times New Roman"/>
                <w:kern w:val="0"/>
                <w:sz w:val="24"/>
                <w:szCs w:val="24"/>
                <w:highlight w:val="none"/>
              </w:rPr>
            </w:pPr>
            <w:r>
              <w:rPr>
                <w:rFonts w:ascii="Times New Roman" w:hAnsi="Times New Roman" w:eastAsia="仿宋_GB2312" w:cs="Times New Roman"/>
                <w:kern w:val="0"/>
                <w:sz w:val="24"/>
                <w:szCs w:val="24"/>
                <w:highlight w:val="none"/>
              </w:rPr>
              <w:t>收到中国证监会关于基金变更注册/不予注册的批复公告</w:t>
            </w:r>
          </w:p>
        </w:tc>
      </w:tr>
      <w:tr w14:paraId="12E14D79">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05" w:hRule="atLeast"/>
          <w:jc w:val="center"/>
        </w:trPr>
        <w:tc>
          <w:tcPr>
            <w:tcW w:w="479" w:type="pct"/>
            <w:noWrap/>
            <w:vAlign w:val="center"/>
          </w:tcPr>
          <w:p w14:paraId="116387A4">
            <w:pPr>
              <w:widowControl/>
              <w:jc w:val="center"/>
              <w:rPr>
                <w:rFonts w:ascii="Times New Roman" w:hAnsi="Times New Roman" w:eastAsia="仿宋_GB2312" w:cs="Times New Roman"/>
                <w:kern w:val="0"/>
                <w:sz w:val="24"/>
                <w:szCs w:val="24"/>
                <w:highlight w:val="none"/>
              </w:rPr>
            </w:pPr>
            <w:r>
              <w:rPr>
                <w:rFonts w:ascii="Times New Roman" w:hAnsi="Times New Roman" w:eastAsia="仿宋_GB2312" w:cs="Times New Roman"/>
                <w:kern w:val="0"/>
                <w:sz w:val="24"/>
                <w:szCs w:val="24"/>
                <w:highlight w:val="none"/>
              </w:rPr>
              <w:t>12</w:t>
            </w:r>
          </w:p>
        </w:tc>
        <w:tc>
          <w:tcPr>
            <w:tcW w:w="2306" w:type="pct"/>
            <w:noWrap/>
            <w:vAlign w:val="center"/>
          </w:tcPr>
          <w:p w14:paraId="325766E3">
            <w:pPr>
              <w:widowControl/>
              <w:rPr>
                <w:rFonts w:ascii="Times New Roman" w:hAnsi="Times New Roman" w:eastAsia="仿宋_GB2312" w:cs="Times New Roman"/>
                <w:kern w:val="0"/>
                <w:sz w:val="24"/>
                <w:szCs w:val="24"/>
                <w:highlight w:val="none"/>
              </w:rPr>
            </w:pPr>
            <w:r>
              <w:rPr>
                <w:rFonts w:ascii="Times New Roman" w:hAnsi="Times New Roman" w:eastAsia="仿宋_GB2312" w:cs="Times New Roman"/>
                <w:kern w:val="0"/>
                <w:sz w:val="24"/>
                <w:szCs w:val="24"/>
                <w:highlight w:val="none"/>
              </w:rPr>
              <w:t>撤回申请</w:t>
            </w:r>
          </w:p>
        </w:tc>
        <w:tc>
          <w:tcPr>
            <w:tcW w:w="2214" w:type="pct"/>
            <w:vAlign w:val="center"/>
          </w:tcPr>
          <w:p w14:paraId="5E12D0CE">
            <w:pPr>
              <w:widowControl/>
              <w:rPr>
                <w:rFonts w:ascii="Times New Roman" w:hAnsi="Times New Roman" w:eastAsia="仿宋_GB2312" w:cs="Times New Roman"/>
                <w:kern w:val="0"/>
                <w:sz w:val="24"/>
                <w:szCs w:val="24"/>
                <w:highlight w:val="none"/>
              </w:rPr>
            </w:pPr>
            <w:r>
              <w:rPr>
                <w:rFonts w:ascii="Times New Roman" w:hAnsi="Times New Roman" w:eastAsia="仿宋_GB2312" w:cs="Times New Roman"/>
                <w:kern w:val="0"/>
                <w:sz w:val="24"/>
                <w:szCs w:val="24"/>
                <w:highlight w:val="none"/>
              </w:rPr>
              <w:t>撤回申请公告（需说明原因）</w:t>
            </w:r>
          </w:p>
        </w:tc>
      </w:tr>
      <w:tr w14:paraId="7AD4168C">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05" w:hRule="atLeast"/>
          <w:jc w:val="center"/>
        </w:trPr>
        <w:tc>
          <w:tcPr>
            <w:tcW w:w="479" w:type="pct"/>
            <w:noWrap/>
            <w:vAlign w:val="center"/>
          </w:tcPr>
          <w:p w14:paraId="6865DE3E">
            <w:pPr>
              <w:widowControl/>
              <w:jc w:val="center"/>
              <w:rPr>
                <w:rFonts w:ascii="Times New Roman" w:hAnsi="Times New Roman" w:eastAsia="仿宋_GB2312" w:cs="Times New Roman"/>
                <w:kern w:val="0"/>
                <w:sz w:val="24"/>
                <w:szCs w:val="24"/>
                <w:highlight w:val="none"/>
              </w:rPr>
            </w:pPr>
            <w:r>
              <w:rPr>
                <w:rFonts w:ascii="Times New Roman" w:hAnsi="Times New Roman" w:eastAsia="仿宋_GB2312" w:cs="Times New Roman"/>
                <w:kern w:val="0"/>
                <w:sz w:val="24"/>
                <w:szCs w:val="24"/>
                <w:highlight w:val="none"/>
              </w:rPr>
              <w:t>13</w:t>
            </w:r>
          </w:p>
        </w:tc>
        <w:tc>
          <w:tcPr>
            <w:tcW w:w="2306" w:type="pct"/>
            <w:noWrap/>
            <w:vAlign w:val="center"/>
          </w:tcPr>
          <w:p w14:paraId="270BCEB6">
            <w:pPr>
              <w:widowControl/>
              <w:rPr>
                <w:rFonts w:ascii="Times New Roman" w:hAnsi="Times New Roman" w:eastAsia="仿宋_GB2312" w:cs="Times New Roman"/>
                <w:kern w:val="0"/>
                <w:sz w:val="24"/>
                <w:szCs w:val="24"/>
                <w:highlight w:val="none"/>
              </w:rPr>
            </w:pPr>
            <w:r>
              <w:rPr>
                <w:rFonts w:ascii="Times New Roman" w:hAnsi="Times New Roman" w:eastAsia="仿宋_GB2312" w:cs="Times New Roman"/>
                <w:kern w:val="0"/>
                <w:sz w:val="24"/>
                <w:szCs w:val="24"/>
                <w:highlight w:val="none"/>
              </w:rPr>
              <w:t>权益登记日收盘后/缴款截止日前配售提示</w:t>
            </w:r>
          </w:p>
        </w:tc>
        <w:tc>
          <w:tcPr>
            <w:tcW w:w="2214" w:type="pct"/>
            <w:vAlign w:val="center"/>
          </w:tcPr>
          <w:p w14:paraId="0B05DBF6">
            <w:pPr>
              <w:widowControl/>
              <w:rPr>
                <w:rFonts w:ascii="Times New Roman" w:hAnsi="Times New Roman" w:eastAsia="仿宋_GB2312" w:cs="Times New Roman"/>
                <w:kern w:val="0"/>
                <w:sz w:val="24"/>
                <w:szCs w:val="24"/>
                <w:highlight w:val="none"/>
              </w:rPr>
            </w:pPr>
            <w:r>
              <w:rPr>
                <w:rFonts w:ascii="Times New Roman" w:hAnsi="Times New Roman" w:eastAsia="仿宋_GB2312" w:cs="Times New Roman"/>
                <w:kern w:val="0"/>
                <w:sz w:val="24"/>
                <w:szCs w:val="24"/>
                <w:highlight w:val="none"/>
              </w:rPr>
              <w:t>配售提示性公告</w:t>
            </w:r>
          </w:p>
        </w:tc>
      </w:tr>
      <w:tr w14:paraId="0DF6B838">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05" w:hRule="atLeast"/>
          <w:jc w:val="center"/>
        </w:trPr>
        <w:tc>
          <w:tcPr>
            <w:tcW w:w="479" w:type="pct"/>
            <w:noWrap/>
            <w:vAlign w:val="center"/>
          </w:tcPr>
          <w:p w14:paraId="3572032E">
            <w:pPr>
              <w:widowControl/>
              <w:jc w:val="center"/>
              <w:rPr>
                <w:rFonts w:ascii="Times New Roman" w:hAnsi="Times New Roman" w:eastAsia="仿宋_GB2312" w:cs="Times New Roman"/>
                <w:kern w:val="0"/>
                <w:sz w:val="24"/>
                <w:szCs w:val="24"/>
                <w:highlight w:val="none"/>
              </w:rPr>
            </w:pPr>
            <w:r>
              <w:rPr>
                <w:rFonts w:ascii="Times New Roman" w:hAnsi="Times New Roman" w:eastAsia="仿宋_GB2312" w:cs="Times New Roman"/>
                <w:kern w:val="0"/>
                <w:sz w:val="24"/>
                <w:szCs w:val="24"/>
                <w:highlight w:val="none"/>
              </w:rPr>
              <w:t>14</w:t>
            </w:r>
          </w:p>
        </w:tc>
        <w:tc>
          <w:tcPr>
            <w:tcW w:w="2306" w:type="pct"/>
            <w:noWrap/>
            <w:vAlign w:val="center"/>
          </w:tcPr>
          <w:p w14:paraId="71F0BB2C">
            <w:pPr>
              <w:widowControl/>
              <w:rPr>
                <w:rFonts w:ascii="Times New Roman" w:hAnsi="Times New Roman" w:eastAsia="仿宋_GB2312" w:cs="Times New Roman"/>
                <w:kern w:val="0"/>
                <w:sz w:val="24"/>
                <w:szCs w:val="24"/>
                <w:highlight w:val="none"/>
              </w:rPr>
            </w:pPr>
            <w:r>
              <w:rPr>
                <w:rFonts w:ascii="Times New Roman" w:hAnsi="Times New Roman" w:eastAsia="仿宋_GB2312" w:cs="Times New Roman"/>
                <w:kern w:val="0"/>
                <w:sz w:val="24"/>
                <w:szCs w:val="24"/>
                <w:highlight w:val="none"/>
              </w:rPr>
              <w:t>扩募基金份额募集失败</w:t>
            </w:r>
          </w:p>
        </w:tc>
        <w:tc>
          <w:tcPr>
            <w:tcW w:w="2214" w:type="pct"/>
            <w:vAlign w:val="center"/>
          </w:tcPr>
          <w:p w14:paraId="3B49816B">
            <w:pPr>
              <w:widowControl/>
              <w:rPr>
                <w:rFonts w:ascii="Times New Roman" w:hAnsi="Times New Roman" w:eastAsia="仿宋_GB2312" w:cs="Times New Roman"/>
                <w:kern w:val="0"/>
                <w:sz w:val="24"/>
                <w:szCs w:val="24"/>
                <w:highlight w:val="none"/>
              </w:rPr>
            </w:pPr>
            <w:r>
              <w:rPr>
                <w:rFonts w:ascii="Times New Roman" w:hAnsi="Times New Roman" w:eastAsia="仿宋_GB2312" w:cs="Times New Roman"/>
                <w:kern w:val="0"/>
                <w:sz w:val="24"/>
                <w:szCs w:val="24"/>
                <w:highlight w:val="none"/>
              </w:rPr>
              <w:t>基金募集失败公告</w:t>
            </w:r>
          </w:p>
        </w:tc>
      </w:tr>
      <w:tr w14:paraId="18D4EB63">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05" w:hRule="atLeast"/>
          <w:jc w:val="center"/>
        </w:trPr>
        <w:tc>
          <w:tcPr>
            <w:tcW w:w="479" w:type="pct"/>
            <w:noWrap/>
            <w:vAlign w:val="center"/>
          </w:tcPr>
          <w:p w14:paraId="4D0607B9">
            <w:pPr>
              <w:widowControl/>
              <w:jc w:val="center"/>
              <w:rPr>
                <w:rFonts w:ascii="Times New Roman" w:hAnsi="Times New Roman" w:eastAsia="仿宋_GB2312" w:cs="Times New Roman"/>
                <w:kern w:val="0"/>
                <w:sz w:val="24"/>
                <w:szCs w:val="24"/>
                <w:highlight w:val="none"/>
              </w:rPr>
            </w:pPr>
            <w:r>
              <w:rPr>
                <w:rFonts w:ascii="Times New Roman" w:hAnsi="Times New Roman" w:eastAsia="仿宋_GB2312" w:cs="Times New Roman"/>
                <w:kern w:val="0"/>
                <w:sz w:val="24"/>
                <w:szCs w:val="24"/>
                <w:highlight w:val="none"/>
              </w:rPr>
              <w:t>15</w:t>
            </w:r>
          </w:p>
        </w:tc>
        <w:tc>
          <w:tcPr>
            <w:tcW w:w="2306" w:type="pct"/>
            <w:noWrap/>
            <w:vAlign w:val="center"/>
          </w:tcPr>
          <w:p w14:paraId="7B6313B4">
            <w:pPr>
              <w:widowControl/>
              <w:rPr>
                <w:rFonts w:ascii="Times New Roman" w:hAnsi="Times New Roman" w:eastAsia="仿宋_GB2312" w:cs="Times New Roman"/>
                <w:kern w:val="0"/>
                <w:sz w:val="24"/>
                <w:szCs w:val="24"/>
                <w:highlight w:val="none"/>
              </w:rPr>
            </w:pPr>
            <w:r>
              <w:rPr>
                <w:rFonts w:ascii="Times New Roman" w:hAnsi="Times New Roman" w:eastAsia="仿宋_GB2312" w:cs="Times New Roman"/>
                <w:kern w:val="0"/>
                <w:sz w:val="24"/>
                <w:szCs w:val="24"/>
                <w:highlight w:val="none"/>
              </w:rPr>
              <w:t>扩募发行情况报告</w:t>
            </w:r>
          </w:p>
        </w:tc>
        <w:tc>
          <w:tcPr>
            <w:tcW w:w="2214" w:type="pct"/>
            <w:noWrap/>
            <w:vAlign w:val="center"/>
          </w:tcPr>
          <w:p w14:paraId="22F7D5E1">
            <w:pPr>
              <w:widowControl/>
              <w:rPr>
                <w:rFonts w:ascii="Times New Roman" w:hAnsi="Times New Roman" w:eastAsia="仿宋_GB2312" w:cs="Times New Roman"/>
                <w:kern w:val="0"/>
                <w:sz w:val="24"/>
                <w:szCs w:val="24"/>
                <w:highlight w:val="none"/>
              </w:rPr>
            </w:pPr>
            <w:r>
              <w:rPr>
                <w:rFonts w:ascii="Times New Roman" w:hAnsi="Times New Roman" w:eastAsia="仿宋_GB2312" w:cs="Times New Roman"/>
                <w:kern w:val="0"/>
                <w:sz w:val="24"/>
                <w:szCs w:val="24"/>
                <w:highlight w:val="none"/>
              </w:rPr>
              <w:t>发行情况报告书</w:t>
            </w:r>
          </w:p>
        </w:tc>
      </w:tr>
      <w:tr w14:paraId="13F7221B">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05" w:hRule="atLeast"/>
          <w:jc w:val="center"/>
        </w:trPr>
        <w:tc>
          <w:tcPr>
            <w:tcW w:w="479" w:type="pct"/>
            <w:noWrap/>
            <w:vAlign w:val="center"/>
          </w:tcPr>
          <w:p w14:paraId="3B56F5DA">
            <w:pPr>
              <w:widowControl/>
              <w:jc w:val="center"/>
              <w:rPr>
                <w:rFonts w:ascii="Times New Roman" w:hAnsi="Times New Roman" w:eastAsia="仿宋_GB2312" w:cs="Times New Roman"/>
                <w:kern w:val="0"/>
                <w:sz w:val="24"/>
                <w:szCs w:val="24"/>
                <w:highlight w:val="none"/>
              </w:rPr>
            </w:pPr>
            <w:r>
              <w:rPr>
                <w:rFonts w:ascii="Times New Roman" w:hAnsi="Times New Roman" w:eastAsia="仿宋_GB2312" w:cs="Times New Roman"/>
                <w:kern w:val="0"/>
                <w:sz w:val="24"/>
                <w:szCs w:val="24"/>
                <w:highlight w:val="none"/>
              </w:rPr>
              <w:t>16</w:t>
            </w:r>
          </w:p>
        </w:tc>
        <w:tc>
          <w:tcPr>
            <w:tcW w:w="2306" w:type="pct"/>
            <w:noWrap/>
            <w:vAlign w:val="center"/>
          </w:tcPr>
          <w:p w14:paraId="12229194">
            <w:pPr>
              <w:widowControl/>
              <w:rPr>
                <w:rFonts w:ascii="Times New Roman" w:hAnsi="Times New Roman" w:eastAsia="仿宋_GB2312" w:cs="Times New Roman"/>
                <w:kern w:val="0"/>
                <w:sz w:val="24"/>
                <w:szCs w:val="24"/>
                <w:highlight w:val="none"/>
              </w:rPr>
            </w:pPr>
            <w:r>
              <w:rPr>
                <w:rFonts w:ascii="Times New Roman" w:hAnsi="Times New Roman" w:eastAsia="仿宋_GB2312" w:cs="Times New Roman"/>
                <w:kern w:val="0"/>
                <w:sz w:val="24"/>
                <w:szCs w:val="24"/>
                <w:highlight w:val="none"/>
              </w:rPr>
              <w:t>向不特定对象扩募限售公告/定向扩募限售公告</w:t>
            </w:r>
          </w:p>
        </w:tc>
        <w:tc>
          <w:tcPr>
            <w:tcW w:w="2214" w:type="pct"/>
            <w:noWrap/>
            <w:vAlign w:val="center"/>
          </w:tcPr>
          <w:p w14:paraId="53378506">
            <w:pPr>
              <w:widowControl/>
              <w:rPr>
                <w:rFonts w:ascii="Times New Roman" w:hAnsi="Times New Roman" w:eastAsia="仿宋_GB2312" w:cs="Times New Roman"/>
                <w:kern w:val="0"/>
                <w:sz w:val="24"/>
                <w:szCs w:val="24"/>
                <w:highlight w:val="none"/>
              </w:rPr>
            </w:pPr>
            <w:r>
              <w:rPr>
                <w:rFonts w:ascii="Times New Roman" w:hAnsi="Times New Roman" w:eastAsia="仿宋_GB2312" w:cs="Times New Roman"/>
                <w:kern w:val="0"/>
                <w:sz w:val="24"/>
                <w:szCs w:val="24"/>
                <w:highlight w:val="none"/>
              </w:rPr>
              <w:t>限售公告</w:t>
            </w:r>
          </w:p>
        </w:tc>
      </w:tr>
      <w:tr w14:paraId="574206E9">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05" w:hRule="atLeast"/>
          <w:jc w:val="center"/>
        </w:trPr>
        <w:tc>
          <w:tcPr>
            <w:tcW w:w="479" w:type="pct"/>
            <w:noWrap/>
            <w:vAlign w:val="center"/>
          </w:tcPr>
          <w:p w14:paraId="0AE42101">
            <w:pPr>
              <w:widowControl/>
              <w:jc w:val="center"/>
              <w:rPr>
                <w:rFonts w:ascii="Times New Roman" w:hAnsi="Times New Roman" w:eastAsia="仿宋_GB2312" w:cs="Times New Roman"/>
                <w:kern w:val="0"/>
                <w:sz w:val="24"/>
                <w:szCs w:val="24"/>
                <w:highlight w:val="none"/>
              </w:rPr>
            </w:pPr>
            <w:r>
              <w:rPr>
                <w:rFonts w:ascii="Times New Roman" w:hAnsi="Times New Roman" w:eastAsia="仿宋_GB2312" w:cs="Times New Roman"/>
                <w:kern w:val="0"/>
                <w:sz w:val="24"/>
                <w:szCs w:val="24"/>
                <w:highlight w:val="none"/>
              </w:rPr>
              <w:t>17</w:t>
            </w:r>
          </w:p>
        </w:tc>
        <w:tc>
          <w:tcPr>
            <w:tcW w:w="2306" w:type="pct"/>
            <w:noWrap/>
            <w:vAlign w:val="center"/>
          </w:tcPr>
          <w:p w14:paraId="6CD2E9DE">
            <w:pPr>
              <w:widowControl/>
              <w:rPr>
                <w:rFonts w:ascii="Times New Roman" w:hAnsi="Times New Roman" w:eastAsia="仿宋_GB2312" w:cs="Times New Roman"/>
                <w:kern w:val="0"/>
                <w:sz w:val="24"/>
                <w:szCs w:val="24"/>
                <w:highlight w:val="none"/>
              </w:rPr>
            </w:pPr>
            <w:r>
              <w:rPr>
                <w:rFonts w:ascii="Times New Roman" w:hAnsi="Times New Roman" w:eastAsia="仿宋_GB2312" w:cs="Times New Roman"/>
                <w:kern w:val="0"/>
                <w:sz w:val="24"/>
                <w:szCs w:val="24"/>
                <w:highlight w:val="none"/>
              </w:rPr>
              <w:t>暂停/恢复基金通转让/转入转出</w:t>
            </w:r>
          </w:p>
        </w:tc>
        <w:tc>
          <w:tcPr>
            <w:tcW w:w="2214" w:type="pct"/>
            <w:noWrap/>
            <w:vAlign w:val="center"/>
          </w:tcPr>
          <w:p w14:paraId="7262E6ED">
            <w:pPr>
              <w:widowControl/>
              <w:rPr>
                <w:rFonts w:ascii="Times New Roman" w:hAnsi="Times New Roman" w:eastAsia="仿宋_GB2312" w:cs="Times New Roman"/>
                <w:kern w:val="0"/>
                <w:sz w:val="24"/>
                <w:szCs w:val="24"/>
                <w:highlight w:val="none"/>
              </w:rPr>
            </w:pPr>
            <w:r>
              <w:rPr>
                <w:rFonts w:ascii="Times New Roman" w:hAnsi="Times New Roman" w:eastAsia="仿宋_GB2312" w:cs="Times New Roman"/>
                <w:kern w:val="0"/>
                <w:sz w:val="24"/>
                <w:szCs w:val="24"/>
                <w:highlight w:val="none"/>
              </w:rPr>
              <w:t>暂停恢复基金通转让、转入转出公告</w:t>
            </w:r>
          </w:p>
        </w:tc>
      </w:tr>
      <w:tr w14:paraId="2E8EAAAE">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05" w:hRule="atLeast"/>
          <w:jc w:val="center"/>
        </w:trPr>
        <w:tc>
          <w:tcPr>
            <w:tcW w:w="479" w:type="pct"/>
            <w:noWrap/>
            <w:vAlign w:val="center"/>
          </w:tcPr>
          <w:p w14:paraId="1B0FF961">
            <w:pPr>
              <w:widowControl/>
              <w:jc w:val="center"/>
              <w:rPr>
                <w:rFonts w:ascii="Times New Roman" w:hAnsi="Times New Roman" w:eastAsia="仿宋_GB2312" w:cs="Times New Roman"/>
                <w:kern w:val="0"/>
                <w:sz w:val="24"/>
                <w:szCs w:val="24"/>
                <w:highlight w:val="none"/>
              </w:rPr>
            </w:pPr>
            <w:r>
              <w:rPr>
                <w:rFonts w:ascii="Times New Roman" w:hAnsi="Times New Roman" w:eastAsia="仿宋_GB2312" w:cs="Times New Roman"/>
                <w:kern w:val="0"/>
                <w:sz w:val="24"/>
                <w:szCs w:val="24"/>
                <w:highlight w:val="none"/>
              </w:rPr>
              <w:t>18</w:t>
            </w:r>
          </w:p>
        </w:tc>
        <w:tc>
          <w:tcPr>
            <w:tcW w:w="2306" w:type="pct"/>
            <w:noWrap/>
            <w:vAlign w:val="center"/>
          </w:tcPr>
          <w:p w14:paraId="4EDEC4D2">
            <w:pPr>
              <w:widowControl/>
              <w:rPr>
                <w:rFonts w:ascii="Times New Roman" w:hAnsi="Times New Roman" w:eastAsia="仿宋_GB2312" w:cs="Times New Roman"/>
                <w:kern w:val="0"/>
                <w:sz w:val="24"/>
                <w:szCs w:val="24"/>
                <w:highlight w:val="none"/>
              </w:rPr>
            </w:pPr>
            <w:r>
              <w:rPr>
                <w:rFonts w:ascii="Times New Roman" w:hAnsi="Times New Roman" w:eastAsia="仿宋_GB2312" w:cs="Times New Roman"/>
                <w:kern w:val="0"/>
                <w:sz w:val="24"/>
                <w:szCs w:val="24"/>
                <w:highlight w:val="none"/>
              </w:rPr>
              <w:t>基金合同更新</w:t>
            </w:r>
          </w:p>
        </w:tc>
        <w:tc>
          <w:tcPr>
            <w:tcW w:w="2214" w:type="pct"/>
            <w:noWrap/>
            <w:vAlign w:val="center"/>
          </w:tcPr>
          <w:p w14:paraId="53318A2C">
            <w:pPr>
              <w:widowControl/>
              <w:rPr>
                <w:rFonts w:ascii="Times New Roman" w:hAnsi="Times New Roman" w:eastAsia="仿宋_GB2312" w:cs="Times New Roman"/>
                <w:kern w:val="0"/>
                <w:sz w:val="24"/>
                <w:szCs w:val="24"/>
                <w:highlight w:val="none"/>
              </w:rPr>
            </w:pPr>
            <w:r>
              <w:rPr>
                <w:rFonts w:ascii="Times New Roman" w:hAnsi="Times New Roman" w:eastAsia="仿宋_GB2312" w:cs="Times New Roman"/>
                <w:kern w:val="0"/>
                <w:sz w:val="24"/>
                <w:szCs w:val="24"/>
                <w:highlight w:val="none"/>
              </w:rPr>
              <w:t>基金合同更新公告（如有）、基金合同</w:t>
            </w:r>
          </w:p>
        </w:tc>
      </w:tr>
      <w:tr w14:paraId="11B57A95">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37" w:hRule="atLeast"/>
          <w:jc w:val="center"/>
        </w:trPr>
        <w:tc>
          <w:tcPr>
            <w:tcW w:w="479" w:type="pct"/>
            <w:noWrap/>
            <w:vAlign w:val="center"/>
          </w:tcPr>
          <w:p w14:paraId="32368FE2">
            <w:pPr>
              <w:widowControl/>
              <w:jc w:val="center"/>
              <w:rPr>
                <w:rFonts w:ascii="Times New Roman" w:hAnsi="Times New Roman" w:eastAsia="仿宋_GB2312" w:cs="Times New Roman"/>
                <w:kern w:val="0"/>
                <w:sz w:val="24"/>
                <w:szCs w:val="24"/>
                <w:highlight w:val="none"/>
              </w:rPr>
            </w:pPr>
            <w:r>
              <w:rPr>
                <w:rFonts w:ascii="Times New Roman" w:hAnsi="Times New Roman" w:eastAsia="仿宋_GB2312" w:cs="Times New Roman"/>
                <w:kern w:val="0"/>
                <w:sz w:val="24"/>
                <w:szCs w:val="24"/>
                <w:highlight w:val="none"/>
              </w:rPr>
              <w:t>19</w:t>
            </w:r>
          </w:p>
        </w:tc>
        <w:tc>
          <w:tcPr>
            <w:tcW w:w="2306" w:type="pct"/>
            <w:noWrap/>
            <w:vAlign w:val="center"/>
          </w:tcPr>
          <w:p w14:paraId="723A8D31">
            <w:pPr>
              <w:widowControl/>
              <w:rPr>
                <w:rFonts w:ascii="Times New Roman" w:hAnsi="Times New Roman" w:eastAsia="仿宋_GB2312" w:cs="Times New Roman"/>
                <w:kern w:val="0"/>
                <w:sz w:val="24"/>
                <w:szCs w:val="24"/>
                <w:highlight w:val="none"/>
              </w:rPr>
            </w:pPr>
            <w:r>
              <w:rPr>
                <w:rFonts w:ascii="Times New Roman" w:hAnsi="Times New Roman" w:eastAsia="仿宋_GB2312" w:cs="Times New Roman"/>
                <w:kern w:val="0"/>
                <w:sz w:val="24"/>
                <w:szCs w:val="24"/>
                <w:highlight w:val="none"/>
              </w:rPr>
              <w:t>扩募份额上市交易公告书</w:t>
            </w:r>
          </w:p>
        </w:tc>
        <w:tc>
          <w:tcPr>
            <w:tcW w:w="2214" w:type="pct"/>
            <w:vAlign w:val="center"/>
          </w:tcPr>
          <w:p w14:paraId="4B478491">
            <w:pPr>
              <w:widowControl/>
              <w:rPr>
                <w:rFonts w:ascii="Times New Roman" w:hAnsi="Times New Roman" w:eastAsia="仿宋_GB2312" w:cs="Times New Roman"/>
                <w:kern w:val="0"/>
                <w:sz w:val="24"/>
                <w:szCs w:val="24"/>
                <w:highlight w:val="none"/>
              </w:rPr>
            </w:pPr>
            <w:r>
              <w:rPr>
                <w:rFonts w:ascii="Times New Roman" w:hAnsi="Times New Roman" w:eastAsia="仿宋_GB2312" w:cs="Times New Roman"/>
                <w:kern w:val="0"/>
                <w:sz w:val="24"/>
                <w:szCs w:val="24"/>
                <w:highlight w:val="none"/>
              </w:rPr>
              <w:t>上市交易公告书</w:t>
            </w:r>
          </w:p>
        </w:tc>
      </w:tr>
      <w:tr w14:paraId="011C43B5">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05" w:hRule="atLeast"/>
          <w:jc w:val="center"/>
        </w:trPr>
        <w:tc>
          <w:tcPr>
            <w:tcW w:w="479" w:type="pct"/>
            <w:noWrap/>
            <w:vAlign w:val="center"/>
          </w:tcPr>
          <w:p w14:paraId="7A2C59AD">
            <w:pPr>
              <w:widowControl/>
              <w:jc w:val="center"/>
              <w:rPr>
                <w:rFonts w:ascii="Times New Roman" w:hAnsi="Times New Roman" w:eastAsia="仿宋_GB2312" w:cs="Times New Roman"/>
                <w:kern w:val="0"/>
                <w:sz w:val="24"/>
                <w:szCs w:val="24"/>
                <w:highlight w:val="none"/>
              </w:rPr>
            </w:pPr>
            <w:r>
              <w:rPr>
                <w:rFonts w:ascii="Times New Roman" w:hAnsi="Times New Roman" w:eastAsia="仿宋_GB2312" w:cs="Times New Roman"/>
                <w:kern w:val="0"/>
                <w:sz w:val="24"/>
                <w:szCs w:val="24"/>
                <w:highlight w:val="none"/>
              </w:rPr>
              <w:t>20</w:t>
            </w:r>
          </w:p>
        </w:tc>
        <w:tc>
          <w:tcPr>
            <w:tcW w:w="2306" w:type="pct"/>
            <w:vAlign w:val="center"/>
          </w:tcPr>
          <w:p w14:paraId="127940DB">
            <w:pPr>
              <w:widowControl/>
              <w:rPr>
                <w:rFonts w:ascii="Times New Roman" w:hAnsi="Times New Roman" w:eastAsia="仿宋_GB2312" w:cs="Times New Roman"/>
                <w:kern w:val="0"/>
                <w:sz w:val="24"/>
                <w:szCs w:val="24"/>
                <w:highlight w:val="none"/>
              </w:rPr>
            </w:pPr>
            <w:r>
              <w:rPr>
                <w:rFonts w:ascii="Times New Roman" w:hAnsi="Times New Roman" w:eastAsia="仿宋_GB2312" w:cs="Times New Roman"/>
                <w:kern w:val="0"/>
                <w:sz w:val="24"/>
                <w:szCs w:val="24"/>
                <w:highlight w:val="none"/>
              </w:rPr>
              <w:t>扩募份额上市交易提示性公告</w:t>
            </w:r>
          </w:p>
        </w:tc>
        <w:tc>
          <w:tcPr>
            <w:tcW w:w="2214" w:type="pct"/>
            <w:noWrap/>
            <w:vAlign w:val="center"/>
          </w:tcPr>
          <w:p w14:paraId="50B9C08A">
            <w:pPr>
              <w:widowControl/>
              <w:rPr>
                <w:rFonts w:ascii="Times New Roman" w:hAnsi="Times New Roman" w:eastAsia="仿宋_GB2312" w:cs="Times New Roman"/>
                <w:kern w:val="0"/>
                <w:sz w:val="24"/>
                <w:szCs w:val="24"/>
                <w:highlight w:val="none"/>
              </w:rPr>
            </w:pPr>
            <w:r>
              <w:rPr>
                <w:rFonts w:ascii="Times New Roman" w:hAnsi="Times New Roman" w:eastAsia="仿宋_GB2312" w:cs="Times New Roman"/>
                <w:kern w:val="0"/>
                <w:sz w:val="24"/>
                <w:szCs w:val="24"/>
                <w:highlight w:val="none"/>
              </w:rPr>
              <w:t>扩募份额上市交易提示性公告</w:t>
            </w:r>
          </w:p>
        </w:tc>
      </w:tr>
    </w:tbl>
    <w:p w14:paraId="345E1480">
      <w:pPr>
        <w:spacing w:line="360" w:lineRule="auto"/>
        <w:contextualSpacing/>
        <w:jc w:val="center"/>
        <w:rPr>
          <w:rFonts w:ascii="Times New Roman" w:hAnsi="Times New Roman" w:eastAsia="方正小标宋简体" w:cs="Times New Roman"/>
          <w:sz w:val="32"/>
          <w:szCs w:val="32"/>
          <w:highlight w:val="none"/>
        </w:rPr>
      </w:pPr>
    </w:p>
    <w:p w14:paraId="1845509D">
      <w:pPr>
        <w:spacing w:line="360" w:lineRule="auto"/>
        <w:contextualSpacing/>
        <w:jc w:val="center"/>
        <w:rPr>
          <w:rFonts w:ascii="Times New Roman" w:hAnsi="Times New Roman" w:eastAsia="方正小标宋简体" w:cs="Times New Roman"/>
          <w:sz w:val="32"/>
          <w:szCs w:val="32"/>
          <w:highlight w:val="none"/>
        </w:rPr>
        <w:sectPr>
          <w:headerReference r:id="rId14" w:type="first"/>
          <w:headerReference r:id="rId12" w:type="default"/>
          <w:footerReference r:id="rId15" w:type="default"/>
          <w:headerReference r:id="rId13" w:type="even"/>
          <w:pgSz w:w="11906" w:h="16838"/>
          <w:pgMar w:top="1440" w:right="1800" w:bottom="1440" w:left="1800" w:header="851" w:footer="992" w:gutter="0"/>
          <w:pgNumType w:start="1"/>
          <w:cols w:space="425" w:num="1"/>
          <w:docGrid w:type="lines" w:linePitch="312" w:charSpace="0"/>
        </w:sectPr>
      </w:pPr>
    </w:p>
    <w:p w14:paraId="36325B68">
      <w:pPr>
        <w:spacing w:line="360" w:lineRule="auto"/>
        <w:outlineLvl w:val="2"/>
        <w:rPr>
          <w:rFonts w:ascii="Times New Roman" w:hAnsi="Times New Roman" w:eastAsia="仿宋_GB2312" w:cs="Times New Roman"/>
          <w:bCs/>
          <w:sz w:val="24"/>
          <w:highlight w:val="none"/>
        </w:rPr>
      </w:pPr>
      <w:bookmarkStart w:id="943" w:name="_Toc9826"/>
      <w:bookmarkStart w:id="944" w:name="_Toc14228"/>
      <w:bookmarkStart w:id="945" w:name="_Toc21391"/>
      <w:bookmarkStart w:id="946" w:name="_Toc29209"/>
      <w:bookmarkStart w:id="947" w:name="_Toc28622"/>
      <w:r>
        <w:rPr>
          <w:rFonts w:ascii="Times New Roman" w:hAnsi="Times New Roman" w:eastAsia="仿宋_GB2312" w:cs="Times New Roman"/>
          <w:b/>
          <w:sz w:val="24"/>
          <w:highlight w:val="none"/>
        </w:rPr>
        <w:t>附件2-2：《拟购入</w:t>
      </w:r>
      <w:r>
        <w:rPr>
          <w:rFonts w:hint="eastAsia" w:ascii="Times New Roman" w:hAnsi="Times New Roman" w:eastAsia="仿宋_GB2312" w:cs="Times New Roman"/>
          <w:b/>
          <w:sz w:val="24"/>
          <w:highlight w:val="none"/>
        </w:rPr>
        <w:t>不动产</w:t>
      </w:r>
      <w:r>
        <w:rPr>
          <w:rFonts w:ascii="Times New Roman" w:hAnsi="Times New Roman" w:eastAsia="仿宋_GB2312" w:cs="Times New Roman"/>
          <w:b/>
          <w:sz w:val="24"/>
          <w:highlight w:val="none"/>
        </w:rPr>
        <w:t>项目的决定公告》必备要素</w:t>
      </w:r>
      <w:bookmarkEnd w:id="943"/>
      <w:bookmarkEnd w:id="944"/>
      <w:bookmarkEnd w:id="945"/>
      <w:bookmarkEnd w:id="946"/>
      <w:bookmarkEnd w:id="947"/>
    </w:p>
    <w:p w14:paraId="44E98819">
      <w:pPr>
        <w:widowControl/>
        <w:jc w:val="left"/>
        <w:rPr>
          <w:rFonts w:ascii="Times New Roman" w:hAnsi="Times New Roman" w:eastAsia="仿宋_GB2312" w:cs="Times New Roman"/>
          <w:bCs/>
          <w:highlight w:val="none"/>
        </w:rPr>
      </w:pPr>
    </w:p>
    <w:p w14:paraId="4E170B09">
      <w:pPr>
        <w:spacing w:line="360" w:lineRule="auto"/>
        <w:ind w:firstLine="482" w:firstLineChars="200"/>
        <w:rPr>
          <w:rFonts w:ascii="Times New Roman" w:hAnsi="Times New Roman" w:eastAsia="仿宋_GB2312" w:cs="Times New Roman"/>
          <w:sz w:val="24"/>
          <w:szCs w:val="24"/>
          <w:highlight w:val="none"/>
        </w:rPr>
      </w:pPr>
      <w:r>
        <w:rPr>
          <w:rFonts w:ascii="Times New Roman" w:hAnsi="Times New Roman" w:eastAsia="仿宋_GB2312" w:cs="Times New Roman"/>
          <w:b/>
          <w:sz w:val="24"/>
          <w:szCs w:val="24"/>
          <w:highlight w:val="none"/>
        </w:rPr>
        <w:t>一、基金管理人履行必要内部决策程序的情况</w:t>
      </w:r>
    </w:p>
    <w:p w14:paraId="650F3DF2">
      <w:pPr>
        <w:spacing w:line="360" w:lineRule="auto"/>
        <w:ind w:firstLine="480" w:firstLineChars="200"/>
        <w:rPr>
          <w:rFonts w:ascii="Times New Roman" w:hAnsi="Times New Roman" w:eastAsia="仿宋_GB2312" w:cs="Times New Roman"/>
          <w:bCs/>
          <w:sz w:val="24"/>
          <w:szCs w:val="24"/>
          <w:highlight w:val="none"/>
        </w:rPr>
      </w:pPr>
      <w:r>
        <w:rPr>
          <w:rFonts w:ascii="Times New Roman" w:hAnsi="Times New Roman" w:eastAsia="仿宋_GB2312" w:cs="Times New Roman"/>
          <w:sz w:val="24"/>
          <w:szCs w:val="24"/>
          <w:highlight w:val="none"/>
        </w:rPr>
        <w:t>说明在作出拟购入</w:t>
      </w:r>
      <w:r>
        <w:rPr>
          <w:rFonts w:hint="eastAsia" w:ascii="Times New Roman" w:hAnsi="Times New Roman" w:eastAsia="仿宋_GB2312" w:cs="Times New Roman"/>
          <w:sz w:val="24"/>
          <w:szCs w:val="24"/>
          <w:highlight w:val="none"/>
        </w:rPr>
        <w:t>不动产</w:t>
      </w:r>
      <w:r>
        <w:rPr>
          <w:rFonts w:ascii="Times New Roman" w:hAnsi="Times New Roman" w:eastAsia="仿宋_GB2312" w:cs="Times New Roman"/>
          <w:sz w:val="24"/>
          <w:szCs w:val="24"/>
          <w:highlight w:val="none"/>
        </w:rPr>
        <w:t>项目的决定前，基金管理人履行必要内部决策程序的情况。</w:t>
      </w:r>
    </w:p>
    <w:p w14:paraId="14C8596A">
      <w:pPr>
        <w:spacing w:line="360" w:lineRule="auto"/>
        <w:ind w:firstLine="480" w:firstLineChars="200"/>
        <w:rPr>
          <w:rFonts w:ascii="Times New Roman" w:hAnsi="Times New Roman" w:eastAsia="仿宋_GB2312" w:cs="Times New Roman"/>
          <w:bCs/>
          <w:sz w:val="24"/>
          <w:szCs w:val="24"/>
          <w:highlight w:val="none"/>
        </w:rPr>
      </w:pPr>
    </w:p>
    <w:p w14:paraId="651AEB95">
      <w:pPr>
        <w:spacing w:line="360" w:lineRule="auto"/>
        <w:ind w:firstLine="482" w:firstLineChars="200"/>
        <w:rPr>
          <w:rFonts w:ascii="Times New Roman" w:hAnsi="Times New Roman" w:eastAsia="仿宋_GB2312" w:cs="Times New Roman"/>
          <w:sz w:val="24"/>
          <w:szCs w:val="24"/>
          <w:highlight w:val="none"/>
        </w:rPr>
      </w:pPr>
      <w:r>
        <w:rPr>
          <w:rFonts w:ascii="Times New Roman" w:hAnsi="Times New Roman" w:eastAsia="仿宋_GB2312" w:cs="Times New Roman"/>
          <w:b/>
          <w:sz w:val="24"/>
          <w:szCs w:val="24"/>
          <w:highlight w:val="none"/>
        </w:rPr>
        <w:t>二、拟购入</w:t>
      </w:r>
      <w:r>
        <w:rPr>
          <w:rFonts w:hint="eastAsia" w:ascii="Times New Roman" w:hAnsi="Times New Roman" w:eastAsia="仿宋_GB2312" w:cs="Times New Roman"/>
          <w:b/>
          <w:sz w:val="24"/>
          <w:szCs w:val="24"/>
          <w:highlight w:val="none"/>
        </w:rPr>
        <w:t>不动产</w:t>
      </w:r>
      <w:r>
        <w:rPr>
          <w:rFonts w:ascii="Times New Roman" w:hAnsi="Times New Roman" w:eastAsia="仿宋_GB2312" w:cs="Times New Roman"/>
          <w:b/>
          <w:sz w:val="24"/>
          <w:szCs w:val="24"/>
          <w:highlight w:val="none"/>
        </w:rPr>
        <w:t>项目的具体情况</w:t>
      </w:r>
    </w:p>
    <w:p w14:paraId="54CC962F">
      <w:pPr>
        <w:spacing w:line="360" w:lineRule="auto"/>
        <w:ind w:firstLine="480" w:firstLineChars="200"/>
        <w:rPr>
          <w:rFonts w:ascii="Times New Roman" w:hAnsi="Times New Roman" w:eastAsia="仿宋_GB2312" w:cs="Times New Roman"/>
          <w:sz w:val="24"/>
          <w:szCs w:val="24"/>
          <w:highlight w:val="none"/>
        </w:rPr>
      </w:pPr>
      <w:r>
        <w:rPr>
          <w:rFonts w:ascii="Times New Roman" w:hAnsi="Times New Roman" w:eastAsia="仿宋_GB2312" w:cs="Times New Roman"/>
          <w:sz w:val="24"/>
          <w:szCs w:val="24"/>
          <w:highlight w:val="none"/>
        </w:rPr>
        <w:t>说明本次拟购入</w:t>
      </w:r>
      <w:r>
        <w:rPr>
          <w:rFonts w:hint="eastAsia" w:ascii="Times New Roman" w:hAnsi="Times New Roman" w:eastAsia="仿宋_GB2312" w:cs="Times New Roman"/>
          <w:sz w:val="24"/>
          <w:szCs w:val="24"/>
          <w:highlight w:val="none"/>
        </w:rPr>
        <w:t>不动产</w:t>
      </w:r>
      <w:r>
        <w:rPr>
          <w:rFonts w:ascii="Times New Roman" w:hAnsi="Times New Roman" w:eastAsia="仿宋_GB2312" w:cs="Times New Roman"/>
          <w:sz w:val="24"/>
          <w:szCs w:val="24"/>
          <w:highlight w:val="none"/>
        </w:rPr>
        <w:t>项目的具体内容（详见附件1《产品变更草案》及附件2《扩募方案草案》）、后续申报安排及尚需通过的批准流程。</w:t>
      </w:r>
    </w:p>
    <w:p w14:paraId="47AA67DC">
      <w:pPr>
        <w:ind w:firstLine="480" w:firstLineChars="200"/>
        <w:rPr>
          <w:rFonts w:ascii="Times New Roman" w:hAnsi="Times New Roman" w:eastAsia="仿宋_GB2312" w:cs="Times New Roman"/>
          <w:sz w:val="24"/>
          <w:szCs w:val="24"/>
          <w:highlight w:val="none"/>
        </w:rPr>
      </w:pPr>
    </w:p>
    <w:p w14:paraId="6F5F3424">
      <w:pPr>
        <w:ind w:firstLine="482" w:firstLineChars="200"/>
        <w:rPr>
          <w:rFonts w:ascii="Times New Roman" w:hAnsi="Times New Roman" w:eastAsia="仿宋_GB2312" w:cs="Times New Roman"/>
          <w:b/>
          <w:bCs/>
          <w:sz w:val="24"/>
          <w:szCs w:val="24"/>
          <w:highlight w:val="none"/>
        </w:rPr>
      </w:pPr>
      <w:r>
        <w:rPr>
          <w:rFonts w:ascii="Times New Roman" w:hAnsi="Times New Roman" w:eastAsia="仿宋_GB2312" w:cs="Times New Roman"/>
          <w:b/>
          <w:bCs/>
          <w:sz w:val="24"/>
          <w:szCs w:val="24"/>
          <w:highlight w:val="none"/>
        </w:rPr>
        <w:t>三、风险揭示</w:t>
      </w:r>
    </w:p>
    <w:p w14:paraId="32604563">
      <w:pPr>
        <w:rPr>
          <w:rFonts w:ascii="Times New Roman" w:hAnsi="Times New Roman" w:eastAsia="仿宋_GB2312" w:cs="Times New Roman"/>
          <w:sz w:val="24"/>
          <w:szCs w:val="24"/>
          <w:highlight w:val="none"/>
        </w:rPr>
      </w:pPr>
    </w:p>
    <w:p w14:paraId="3252A7A1">
      <w:pPr>
        <w:widowControl/>
        <w:ind w:firstLine="482" w:firstLineChars="200"/>
        <w:jc w:val="left"/>
        <w:rPr>
          <w:rFonts w:ascii="Times New Roman" w:hAnsi="Times New Roman" w:eastAsia="仿宋_GB2312" w:cs="Times New Roman"/>
          <w:b/>
          <w:bCs/>
          <w:sz w:val="24"/>
          <w:szCs w:val="24"/>
          <w:highlight w:val="none"/>
        </w:rPr>
      </w:pPr>
      <w:r>
        <w:rPr>
          <w:rFonts w:ascii="Times New Roman" w:hAnsi="Times New Roman" w:eastAsia="仿宋_GB2312" w:cs="Times New Roman"/>
          <w:b/>
          <w:bCs/>
          <w:sz w:val="24"/>
          <w:szCs w:val="24"/>
          <w:highlight w:val="none"/>
        </w:rPr>
        <w:t>附件1：《产品变更草案》</w:t>
      </w:r>
    </w:p>
    <w:p w14:paraId="27F59BF7">
      <w:pPr>
        <w:widowControl/>
        <w:ind w:firstLine="482" w:firstLineChars="200"/>
        <w:jc w:val="left"/>
        <w:rPr>
          <w:rFonts w:ascii="Times New Roman" w:hAnsi="Times New Roman" w:eastAsia="仿宋_GB2312" w:cs="Times New Roman"/>
          <w:b/>
          <w:bCs/>
          <w:sz w:val="24"/>
          <w:szCs w:val="24"/>
          <w:highlight w:val="none"/>
        </w:rPr>
      </w:pPr>
      <w:r>
        <w:rPr>
          <w:rFonts w:ascii="Times New Roman" w:hAnsi="Times New Roman" w:eastAsia="仿宋_GB2312" w:cs="Times New Roman"/>
          <w:b/>
          <w:bCs/>
          <w:sz w:val="24"/>
          <w:szCs w:val="24"/>
          <w:highlight w:val="none"/>
        </w:rPr>
        <w:t>附件2：《扩募方案草案》</w:t>
      </w:r>
    </w:p>
    <w:p w14:paraId="146D095B">
      <w:pPr>
        <w:widowControl/>
        <w:jc w:val="left"/>
        <w:rPr>
          <w:rFonts w:ascii="Times New Roman" w:hAnsi="Times New Roman" w:eastAsia="仿宋_GB2312" w:cs="Times New Roman"/>
          <w:b/>
          <w:sz w:val="32"/>
          <w:szCs w:val="32"/>
          <w:highlight w:val="none"/>
        </w:rPr>
      </w:pPr>
      <w:r>
        <w:rPr>
          <w:rFonts w:ascii="Times New Roman" w:hAnsi="Times New Roman" w:eastAsia="仿宋_GB2312" w:cs="Times New Roman"/>
          <w:bCs/>
          <w:highlight w:val="none"/>
        </w:rPr>
        <w:br w:type="page"/>
      </w:r>
    </w:p>
    <w:p w14:paraId="360CAB7F">
      <w:pPr>
        <w:spacing w:line="360" w:lineRule="auto"/>
        <w:outlineLvl w:val="2"/>
        <w:rPr>
          <w:rFonts w:ascii="Times New Roman" w:hAnsi="Times New Roman" w:eastAsia="仿宋_GB2312" w:cs="Times New Roman"/>
          <w:bCs/>
          <w:sz w:val="24"/>
          <w:highlight w:val="none"/>
        </w:rPr>
      </w:pPr>
      <w:bookmarkStart w:id="948" w:name="_Toc3579"/>
      <w:bookmarkStart w:id="949" w:name="_Toc13848"/>
      <w:bookmarkStart w:id="950" w:name="_Toc5670"/>
      <w:bookmarkStart w:id="951" w:name="_Toc23682"/>
      <w:bookmarkStart w:id="952" w:name="_Toc27250"/>
      <w:r>
        <w:rPr>
          <w:rFonts w:ascii="Times New Roman" w:hAnsi="Times New Roman" w:eastAsia="仿宋_GB2312" w:cs="Times New Roman"/>
          <w:b/>
          <w:sz w:val="24"/>
          <w:highlight w:val="none"/>
        </w:rPr>
        <w:t>附件2-3：《产品变更草案》必备要素</w:t>
      </w:r>
      <w:bookmarkEnd w:id="948"/>
      <w:bookmarkEnd w:id="949"/>
      <w:bookmarkEnd w:id="950"/>
      <w:bookmarkEnd w:id="951"/>
      <w:bookmarkEnd w:id="952"/>
    </w:p>
    <w:p w14:paraId="1F1BECE6">
      <w:pPr>
        <w:spacing w:line="360" w:lineRule="auto"/>
        <w:rPr>
          <w:rFonts w:ascii="Times New Roman" w:hAnsi="Times New Roman" w:eastAsia="仿宋_GB2312" w:cs="Times New Roman"/>
          <w:b/>
          <w:sz w:val="24"/>
          <w:szCs w:val="24"/>
          <w:highlight w:val="none"/>
        </w:rPr>
      </w:pPr>
    </w:p>
    <w:p w14:paraId="0D5BEB28">
      <w:pPr>
        <w:spacing w:line="360" w:lineRule="auto"/>
        <w:ind w:firstLine="482" w:firstLineChars="200"/>
        <w:rPr>
          <w:rFonts w:ascii="Times New Roman" w:hAnsi="Times New Roman" w:eastAsia="仿宋_GB2312" w:cs="Times New Roman"/>
          <w:b/>
          <w:sz w:val="24"/>
          <w:szCs w:val="24"/>
          <w:highlight w:val="none"/>
        </w:rPr>
      </w:pPr>
      <w:r>
        <w:rPr>
          <w:rFonts w:ascii="Times New Roman" w:hAnsi="Times New Roman" w:eastAsia="仿宋_GB2312" w:cs="Times New Roman"/>
          <w:b/>
          <w:sz w:val="24"/>
          <w:szCs w:val="24"/>
          <w:highlight w:val="none"/>
        </w:rPr>
        <w:t>基金声明</w:t>
      </w:r>
    </w:p>
    <w:p w14:paraId="1A590878">
      <w:pPr>
        <w:spacing w:line="360" w:lineRule="auto"/>
        <w:ind w:firstLine="482" w:firstLineChars="200"/>
        <w:rPr>
          <w:rFonts w:ascii="Times New Roman" w:hAnsi="Times New Roman" w:eastAsia="仿宋_GB2312" w:cs="Times New Roman"/>
          <w:b/>
          <w:sz w:val="24"/>
          <w:szCs w:val="24"/>
          <w:highlight w:val="none"/>
        </w:rPr>
      </w:pPr>
      <w:r>
        <w:rPr>
          <w:rFonts w:ascii="Times New Roman" w:hAnsi="Times New Roman" w:eastAsia="仿宋_GB2312" w:cs="Times New Roman"/>
          <w:b/>
          <w:sz w:val="24"/>
          <w:szCs w:val="24"/>
          <w:highlight w:val="none"/>
        </w:rPr>
        <w:t>释义</w:t>
      </w:r>
    </w:p>
    <w:p w14:paraId="64A69A24">
      <w:pPr>
        <w:spacing w:line="360" w:lineRule="auto"/>
        <w:ind w:firstLine="482" w:firstLineChars="200"/>
        <w:rPr>
          <w:rFonts w:ascii="Times New Roman" w:hAnsi="Times New Roman" w:eastAsia="仿宋_GB2312" w:cs="Times New Roman"/>
          <w:sz w:val="24"/>
          <w:szCs w:val="24"/>
          <w:highlight w:val="none"/>
        </w:rPr>
      </w:pPr>
      <w:r>
        <w:rPr>
          <w:rFonts w:ascii="Times New Roman" w:hAnsi="Times New Roman" w:eastAsia="仿宋_GB2312" w:cs="Times New Roman"/>
          <w:b/>
          <w:sz w:val="24"/>
          <w:szCs w:val="24"/>
          <w:highlight w:val="none"/>
        </w:rPr>
        <w:t>一、公募REITs基本信息</w:t>
      </w:r>
    </w:p>
    <w:p w14:paraId="667439E8">
      <w:pPr>
        <w:spacing w:line="360" w:lineRule="auto"/>
        <w:ind w:firstLine="480" w:firstLineChars="200"/>
        <w:rPr>
          <w:rFonts w:ascii="Times New Roman" w:hAnsi="Times New Roman" w:eastAsia="仿宋_GB2312" w:cs="Times New Roman"/>
          <w:bCs/>
          <w:sz w:val="24"/>
          <w:szCs w:val="24"/>
          <w:highlight w:val="none"/>
        </w:rPr>
      </w:pPr>
      <w:r>
        <w:rPr>
          <w:rFonts w:ascii="Times New Roman" w:hAnsi="Times New Roman" w:eastAsia="仿宋_GB2312" w:cs="Times New Roman"/>
          <w:sz w:val="24"/>
          <w:szCs w:val="24"/>
          <w:highlight w:val="none"/>
        </w:rPr>
        <w:t>基金名称、基金简称、基金代码、上市交易所、公募REITs合同生效日、基金管理人名称、基金托管人名称等。</w:t>
      </w:r>
    </w:p>
    <w:p w14:paraId="13DE6987">
      <w:pPr>
        <w:spacing w:line="360" w:lineRule="auto"/>
        <w:ind w:firstLine="480" w:firstLineChars="200"/>
        <w:rPr>
          <w:rFonts w:ascii="Times New Roman" w:hAnsi="Times New Roman" w:eastAsia="仿宋_GB2312" w:cs="Times New Roman"/>
          <w:bCs/>
          <w:sz w:val="24"/>
          <w:szCs w:val="24"/>
          <w:highlight w:val="none"/>
        </w:rPr>
      </w:pPr>
    </w:p>
    <w:p w14:paraId="56831744">
      <w:pPr>
        <w:spacing w:line="360" w:lineRule="auto"/>
        <w:ind w:firstLine="482" w:firstLineChars="200"/>
        <w:rPr>
          <w:rFonts w:ascii="Times New Roman" w:hAnsi="Times New Roman" w:eastAsia="仿宋_GB2312" w:cs="Times New Roman"/>
          <w:sz w:val="24"/>
          <w:szCs w:val="24"/>
          <w:highlight w:val="none"/>
        </w:rPr>
      </w:pPr>
      <w:r>
        <w:rPr>
          <w:rFonts w:ascii="Times New Roman" w:hAnsi="Times New Roman" w:eastAsia="仿宋_GB2312" w:cs="Times New Roman"/>
          <w:b/>
          <w:sz w:val="24"/>
          <w:szCs w:val="24"/>
          <w:highlight w:val="none"/>
        </w:rPr>
        <w:t>二、拟购入</w:t>
      </w:r>
      <w:r>
        <w:rPr>
          <w:rFonts w:hint="eastAsia" w:ascii="Times New Roman" w:hAnsi="Times New Roman" w:eastAsia="仿宋_GB2312" w:cs="Times New Roman"/>
          <w:b/>
          <w:sz w:val="24"/>
          <w:szCs w:val="24"/>
          <w:highlight w:val="none"/>
        </w:rPr>
        <w:t>不动产</w:t>
      </w:r>
      <w:r>
        <w:rPr>
          <w:rFonts w:ascii="Times New Roman" w:hAnsi="Times New Roman" w:eastAsia="仿宋_GB2312" w:cs="Times New Roman"/>
          <w:b/>
          <w:sz w:val="24"/>
          <w:szCs w:val="24"/>
          <w:highlight w:val="none"/>
        </w:rPr>
        <w:t>项目及交易安排</w:t>
      </w:r>
    </w:p>
    <w:p w14:paraId="7E206085">
      <w:pPr>
        <w:spacing w:line="360" w:lineRule="auto"/>
        <w:ind w:firstLine="480" w:firstLineChars="200"/>
        <w:rPr>
          <w:rFonts w:ascii="Times New Roman" w:hAnsi="Times New Roman" w:eastAsia="仿宋_GB2312" w:cs="Times New Roman"/>
          <w:sz w:val="24"/>
          <w:szCs w:val="24"/>
          <w:highlight w:val="none"/>
        </w:rPr>
      </w:pPr>
      <w:r>
        <w:rPr>
          <w:rFonts w:ascii="Times New Roman" w:hAnsi="Times New Roman" w:eastAsia="仿宋_GB2312" w:cs="Times New Roman"/>
          <w:sz w:val="24"/>
          <w:szCs w:val="24"/>
          <w:highlight w:val="none"/>
        </w:rPr>
        <w:t>交易概况、拟购入</w:t>
      </w:r>
      <w:r>
        <w:rPr>
          <w:rFonts w:hint="eastAsia" w:ascii="Times New Roman" w:hAnsi="Times New Roman" w:eastAsia="仿宋_GB2312" w:cs="Times New Roman"/>
          <w:sz w:val="24"/>
          <w:szCs w:val="24"/>
          <w:highlight w:val="none"/>
        </w:rPr>
        <w:t>不动产</w:t>
      </w:r>
      <w:r>
        <w:rPr>
          <w:rFonts w:ascii="Times New Roman" w:hAnsi="Times New Roman" w:eastAsia="仿宋_GB2312" w:cs="Times New Roman"/>
          <w:sz w:val="24"/>
          <w:szCs w:val="24"/>
          <w:highlight w:val="none"/>
        </w:rPr>
        <w:t>项目</w:t>
      </w:r>
      <w:r>
        <w:rPr>
          <w:rFonts w:hint="eastAsia" w:ascii="Times New Roman" w:hAnsi="Times New Roman" w:eastAsia="仿宋_GB2312" w:cs="Times New Roman"/>
          <w:sz w:val="24"/>
          <w:szCs w:val="24"/>
          <w:highlight w:val="none"/>
        </w:rPr>
        <w:t>和</w:t>
      </w:r>
      <w:r>
        <w:rPr>
          <w:rFonts w:ascii="Times New Roman" w:hAnsi="Times New Roman" w:eastAsia="仿宋_GB2312" w:cs="Times New Roman"/>
          <w:sz w:val="24"/>
          <w:szCs w:val="24"/>
          <w:highlight w:val="none"/>
        </w:rPr>
        <w:t>交易对方的基本情况、拟购入</w:t>
      </w:r>
      <w:r>
        <w:rPr>
          <w:rFonts w:hint="eastAsia" w:ascii="Times New Roman" w:hAnsi="Times New Roman" w:eastAsia="仿宋_GB2312" w:cs="Times New Roman"/>
          <w:sz w:val="24"/>
          <w:szCs w:val="24"/>
          <w:highlight w:val="none"/>
        </w:rPr>
        <w:t>不动产</w:t>
      </w:r>
      <w:r>
        <w:rPr>
          <w:rFonts w:ascii="Times New Roman" w:hAnsi="Times New Roman" w:eastAsia="仿宋_GB2312" w:cs="Times New Roman"/>
          <w:sz w:val="24"/>
          <w:szCs w:val="24"/>
          <w:highlight w:val="none"/>
        </w:rPr>
        <w:t>项目定价方式和定价依据。</w:t>
      </w:r>
    </w:p>
    <w:p w14:paraId="3B23BFD5">
      <w:pPr>
        <w:spacing w:line="360" w:lineRule="auto"/>
        <w:ind w:firstLine="480" w:firstLineChars="200"/>
        <w:rPr>
          <w:rFonts w:ascii="Times New Roman" w:hAnsi="Times New Roman" w:eastAsia="仿宋_GB2312" w:cs="Times New Roman"/>
          <w:sz w:val="24"/>
          <w:szCs w:val="24"/>
          <w:highlight w:val="none"/>
        </w:rPr>
      </w:pPr>
    </w:p>
    <w:p w14:paraId="65832F69">
      <w:pPr>
        <w:spacing w:line="360" w:lineRule="auto"/>
        <w:ind w:firstLine="482" w:firstLineChars="200"/>
        <w:rPr>
          <w:rFonts w:ascii="Times New Roman" w:hAnsi="Times New Roman" w:eastAsia="仿宋_GB2312" w:cs="Times New Roman"/>
          <w:sz w:val="24"/>
          <w:szCs w:val="24"/>
          <w:highlight w:val="none"/>
        </w:rPr>
      </w:pPr>
      <w:r>
        <w:rPr>
          <w:rFonts w:ascii="Times New Roman" w:hAnsi="Times New Roman" w:eastAsia="仿宋_GB2312" w:cs="Times New Roman"/>
          <w:b/>
          <w:sz w:val="24"/>
          <w:szCs w:val="24"/>
          <w:highlight w:val="none"/>
        </w:rPr>
        <w:t>三、资金来源</w:t>
      </w:r>
    </w:p>
    <w:p w14:paraId="74BEB199">
      <w:pPr>
        <w:spacing w:line="360" w:lineRule="auto"/>
        <w:ind w:firstLine="480" w:firstLineChars="200"/>
        <w:rPr>
          <w:rFonts w:ascii="Times New Roman" w:hAnsi="Times New Roman" w:eastAsia="仿宋_GB2312" w:cs="Times New Roman"/>
          <w:sz w:val="24"/>
          <w:szCs w:val="24"/>
          <w:highlight w:val="none"/>
        </w:rPr>
      </w:pPr>
      <w:r>
        <w:rPr>
          <w:rFonts w:ascii="Times New Roman" w:hAnsi="Times New Roman" w:eastAsia="仿宋_GB2312" w:cs="Times New Roman"/>
          <w:sz w:val="24"/>
          <w:szCs w:val="24"/>
          <w:highlight w:val="none"/>
        </w:rPr>
        <w:t>说明本次新购入</w:t>
      </w:r>
      <w:r>
        <w:rPr>
          <w:rFonts w:hint="eastAsia" w:ascii="Times New Roman" w:hAnsi="Times New Roman" w:eastAsia="仿宋_GB2312" w:cs="Times New Roman"/>
          <w:sz w:val="24"/>
          <w:szCs w:val="24"/>
          <w:highlight w:val="none"/>
        </w:rPr>
        <w:t>不动产</w:t>
      </w:r>
      <w:r>
        <w:rPr>
          <w:rFonts w:ascii="Times New Roman" w:hAnsi="Times New Roman" w:eastAsia="仿宋_GB2312" w:cs="Times New Roman"/>
          <w:sz w:val="24"/>
          <w:szCs w:val="24"/>
          <w:highlight w:val="none"/>
        </w:rPr>
        <w:t>项目的资金来源。</w:t>
      </w:r>
    </w:p>
    <w:p w14:paraId="52B02E58">
      <w:pPr>
        <w:spacing w:line="360" w:lineRule="auto"/>
        <w:ind w:firstLine="480" w:firstLineChars="200"/>
        <w:rPr>
          <w:rFonts w:ascii="Times New Roman" w:hAnsi="Times New Roman" w:eastAsia="仿宋_GB2312" w:cs="Times New Roman"/>
          <w:sz w:val="24"/>
          <w:szCs w:val="24"/>
          <w:highlight w:val="none"/>
        </w:rPr>
      </w:pPr>
    </w:p>
    <w:p w14:paraId="4BEED83C">
      <w:pPr>
        <w:spacing w:line="360" w:lineRule="auto"/>
        <w:ind w:firstLine="482" w:firstLineChars="200"/>
        <w:rPr>
          <w:rFonts w:ascii="Times New Roman" w:hAnsi="Times New Roman" w:eastAsia="仿宋_GB2312" w:cs="Times New Roman"/>
          <w:b/>
          <w:bCs/>
          <w:sz w:val="24"/>
          <w:szCs w:val="24"/>
          <w:highlight w:val="none"/>
        </w:rPr>
      </w:pPr>
      <w:r>
        <w:rPr>
          <w:rFonts w:ascii="Times New Roman" w:hAnsi="Times New Roman" w:eastAsia="仿宋_GB2312" w:cs="Times New Roman"/>
          <w:b/>
          <w:bCs/>
          <w:sz w:val="24"/>
          <w:szCs w:val="24"/>
          <w:highlight w:val="none"/>
        </w:rPr>
        <w:t>四、交易主要风险</w:t>
      </w:r>
    </w:p>
    <w:p w14:paraId="24EA4FB6">
      <w:pPr>
        <w:spacing w:line="360" w:lineRule="auto"/>
        <w:ind w:firstLine="480" w:firstLineChars="200"/>
        <w:rPr>
          <w:rFonts w:ascii="Times New Roman" w:hAnsi="Times New Roman" w:eastAsia="仿宋_GB2312" w:cs="Times New Roman"/>
          <w:sz w:val="24"/>
          <w:szCs w:val="24"/>
          <w:highlight w:val="none"/>
        </w:rPr>
      </w:pPr>
      <w:r>
        <w:rPr>
          <w:rFonts w:ascii="Times New Roman" w:hAnsi="Times New Roman" w:eastAsia="仿宋_GB2312" w:cs="Times New Roman"/>
          <w:sz w:val="24"/>
          <w:szCs w:val="24"/>
          <w:highlight w:val="none"/>
        </w:rPr>
        <w:t>说明本次新购入</w:t>
      </w:r>
      <w:r>
        <w:rPr>
          <w:rFonts w:hint="eastAsia" w:ascii="Times New Roman" w:hAnsi="Times New Roman" w:eastAsia="仿宋_GB2312" w:cs="Times New Roman"/>
          <w:sz w:val="24"/>
          <w:szCs w:val="24"/>
          <w:highlight w:val="none"/>
        </w:rPr>
        <w:t>不动产</w:t>
      </w:r>
      <w:r>
        <w:rPr>
          <w:rFonts w:ascii="Times New Roman" w:hAnsi="Times New Roman" w:eastAsia="仿宋_GB2312" w:cs="Times New Roman"/>
          <w:sz w:val="24"/>
          <w:szCs w:val="24"/>
          <w:highlight w:val="none"/>
        </w:rPr>
        <w:t>项目交易的主要风险。</w:t>
      </w:r>
    </w:p>
    <w:p w14:paraId="4C00D1C2">
      <w:pPr>
        <w:spacing w:line="360" w:lineRule="auto"/>
        <w:ind w:firstLine="482" w:firstLineChars="200"/>
        <w:rPr>
          <w:rFonts w:ascii="Times New Roman" w:hAnsi="Times New Roman" w:eastAsia="仿宋_GB2312" w:cs="Times New Roman"/>
          <w:b/>
          <w:bCs/>
          <w:sz w:val="24"/>
          <w:szCs w:val="24"/>
          <w:highlight w:val="none"/>
        </w:rPr>
      </w:pPr>
    </w:p>
    <w:p w14:paraId="567BD4BE">
      <w:pPr>
        <w:spacing w:line="360" w:lineRule="auto"/>
        <w:ind w:firstLine="482" w:firstLineChars="200"/>
        <w:rPr>
          <w:rFonts w:ascii="Times New Roman" w:hAnsi="Times New Roman" w:eastAsia="仿宋_GB2312" w:cs="Times New Roman"/>
          <w:b/>
          <w:bCs/>
          <w:sz w:val="24"/>
          <w:szCs w:val="24"/>
          <w:highlight w:val="none"/>
        </w:rPr>
      </w:pPr>
      <w:r>
        <w:rPr>
          <w:rFonts w:ascii="Times New Roman" w:hAnsi="Times New Roman" w:eastAsia="仿宋_GB2312" w:cs="Times New Roman"/>
          <w:b/>
          <w:bCs/>
          <w:sz w:val="24"/>
          <w:szCs w:val="24"/>
          <w:highlight w:val="none"/>
        </w:rPr>
        <w:t>五、交易各方声明与承诺</w:t>
      </w:r>
    </w:p>
    <w:p w14:paraId="679D71FC">
      <w:pPr>
        <w:spacing w:line="360" w:lineRule="auto"/>
        <w:ind w:firstLine="480" w:firstLineChars="200"/>
        <w:rPr>
          <w:rFonts w:ascii="Times New Roman" w:hAnsi="Times New Roman" w:eastAsia="仿宋_GB2312" w:cs="Times New Roman"/>
          <w:sz w:val="24"/>
          <w:szCs w:val="24"/>
          <w:highlight w:val="none"/>
        </w:rPr>
      </w:pPr>
      <w:r>
        <w:rPr>
          <w:rFonts w:ascii="Times New Roman" w:hAnsi="Times New Roman" w:eastAsia="仿宋_GB2312" w:cs="Times New Roman"/>
          <w:sz w:val="24"/>
          <w:szCs w:val="24"/>
          <w:highlight w:val="none"/>
        </w:rPr>
        <w:t>说明本次新购入</w:t>
      </w:r>
      <w:r>
        <w:rPr>
          <w:rFonts w:hint="eastAsia" w:ascii="Times New Roman" w:hAnsi="Times New Roman" w:eastAsia="仿宋_GB2312" w:cs="Times New Roman"/>
          <w:sz w:val="24"/>
          <w:szCs w:val="24"/>
          <w:highlight w:val="none"/>
        </w:rPr>
        <w:t>不动产</w:t>
      </w:r>
      <w:r>
        <w:rPr>
          <w:rFonts w:ascii="Times New Roman" w:hAnsi="Times New Roman" w:eastAsia="仿宋_GB2312" w:cs="Times New Roman"/>
          <w:sz w:val="24"/>
          <w:szCs w:val="24"/>
          <w:highlight w:val="none"/>
        </w:rPr>
        <w:t>项目交易各方的声明与承诺。</w:t>
      </w:r>
    </w:p>
    <w:p w14:paraId="1E2ABF25">
      <w:pPr>
        <w:spacing w:line="360" w:lineRule="auto"/>
        <w:ind w:firstLine="480" w:firstLineChars="200"/>
        <w:rPr>
          <w:rFonts w:ascii="Times New Roman" w:hAnsi="Times New Roman" w:eastAsia="仿宋_GB2312" w:cs="Times New Roman"/>
          <w:sz w:val="24"/>
          <w:szCs w:val="24"/>
          <w:highlight w:val="none"/>
        </w:rPr>
      </w:pPr>
    </w:p>
    <w:p w14:paraId="68F3A5D0">
      <w:pPr>
        <w:spacing w:line="360" w:lineRule="auto"/>
        <w:ind w:firstLine="482" w:firstLineChars="200"/>
        <w:rPr>
          <w:rFonts w:ascii="Times New Roman" w:hAnsi="Times New Roman" w:eastAsia="仿宋_GB2312" w:cs="Times New Roman"/>
          <w:sz w:val="24"/>
          <w:szCs w:val="24"/>
          <w:highlight w:val="none"/>
        </w:rPr>
      </w:pPr>
      <w:r>
        <w:rPr>
          <w:rFonts w:ascii="Times New Roman" w:hAnsi="Times New Roman" w:eastAsia="仿宋_GB2312" w:cs="Times New Roman"/>
          <w:b/>
          <w:bCs/>
          <w:sz w:val="24"/>
          <w:szCs w:val="24"/>
          <w:highlight w:val="none"/>
        </w:rPr>
        <w:t>六、本次交易存在的其他重大因素</w:t>
      </w:r>
    </w:p>
    <w:p w14:paraId="662CFF51">
      <w:pPr>
        <w:ind w:firstLine="480" w:firstLineChars="200"/>
        <w:rPr>
          <w:rFonts w:ascii="Times New Roman" w:hAnsi="Times New Roman" w:eastAsia="仿宋_GB2312" w:cs="Times New Roman"/>
          <w:sz w:val="24"/>
          <w:szCs w:val="24"/>
          <w:highlight w:val="none"/>
        </w:rPr>
      </w:pPr>
      <w:r>
        <w:rPr>
          <w:rFonts w:ascii="Times New Roman" w:hAnsi="Times New Roman" w:eastAsia="仿宋_GB2312" w:cs="Times New Roman"/>
          <w:sz w:val="24"/>
          <w:szCs w:val="24"/>
          <w:highlight w:val="none"/>
        </w:rPr>
        <w:t>说明本次新购入</w:t>
      </w:r>
      <w:r>
        <w:rPr>
          <w:rFonts w:hint="eastAsia" w:ascii="Times New Roman" w:hAnsi="Times New Roman" w:eastAsia="仿宋_GB2312" w:cs="Times New Roman"/>
          <w:sz w:val="24"/>
          <w:szCs w:val="24"/>
          <w:highlight w:val="none"/>
        </w:rPr>
        <w:t>不动产</w:t>
      </w:r>
      <w:r>
        <w:rPr>
          <w:rFonts w:ascii="Times New Roman" w:hAnsi="Times New Roman" w:eastAsia="仿宋_GB2312" w:cs="Times New Roman"/>
          <w:sz w:val="24"/>
          <w:szCs w:val="24"/>
          <w:highlight w:val="none"/>
        </w:rPr>
        <w:t>项目交易存在的其他重大因素。</w:t>
      </w:r>
    </w:p>
    <w:p w14:paraId="674BAFB3">
      <w:pPr>
        <w:widowControl/>
        <w:jc w:val="left"/>
        <w:rPr>
          <w:rFonts w:ascii="Times New Roman" w:hAnsi="Times New Roman" w:eastAsia="仿宋_GB2312" w:cs="Times New Roman"/>
          <w:bCs/>
          <w:highlight w:val="none"/>
        </w:rPr>
      </w:pPr>
    </w:p>
    <w:p w14:paraId="5DA047BB">
      <w:pPr>
        <w:widowControl/>
        <w:jc w:val="left"/>
        <w:rPr>
          <w:rFonts w:ascii="Times New Roman" w:hAnsi="Times New Roman" w:eastAsia="仿宋_GB2312" w:cs="Times New Roman"/>
          <w:b/>
          <w:sz w:val="32"/>
          <w:szCs w:val="32"/>
          <w:highlight w:val="none"/>
        </w:rPr>
      </w:pPr>
      <w:r>
        <w:rPr>
          <w:rFonts w:ascii="Times New Roman" w:hAnsi="Times New Roman" w:eastAsia="仿宋_GB2312" w:cs="Times New Roman"/>
          <w:bCs/>
          <w:highlight w:val="none"/>
        </w:rPr>
        <w:br w:type="page"/>
      </w:r>
    </w:p>
    <w:p w14:paraId="68ECCBBD">
      <w:pPr>
        <w:spacing w:line="360" w:lineRule="auto"/>
        <w:outlineLvl w:val="2"/>
        <w:rPr>
          <w:rFonts w:ascii="Times New Roman" w:hAnsi="Times New Roman" w:eastAsia="仿宋_GB2312" w:cs="Times New Roman"/>
          <w:bCs/>
          <w:sz w:val="24"/>
          <w:highlight w:val="none"/>
        </w:rPr>
      </w:pPr>
      <w:bookmarkStart w:id="953" w:name="_Toc23647"/>
      <w:bookmarkStart w:id="954" w:name="_Toc23013"/>
      <w:bookmarkStart w:id="955" w:name="_Toc6764"/>
      <w:bookmarkStart w:id="956" w:name="_Toc378"/>
      <w:bookmarkStart w:id="957" w:name="_Toc22484"/>
      <w:r>
        <w:rPr>
          <w:rFonts w:ascii="Times New Roman" w:hAnsi="Times New Roman" w:eastAsia="仿宋_GB2312" w:cs="Times New Roman"/>
          <w:b/>
          <w:sz w:val="24"/>
          <w:highlight w:val="none"/>
        </w:rPr>
        <w:t>附件2-4：《扩募方案草案》必备要素</w:t>
      </w:r>
      <w:bookmarkEnd w:id="953"/>
      <w:bookmarkEnd w:id="954"/>
      <w:bookmarkEnd w:id="955"/>
      <w:bookmarkEnd w:id="956"/>
      <w:bookmarkEnd w:id="957"/>
    </w:p>
    <w:p w14:paraId="5F5106B2">
      <w:pPr>
        <w:spacing w:line="360" w:lineRule="auto"/>
        <w:rPr>
          <w:rFonts w:ascii="Times New Roman" w:hAnsi="Times New Roman" w:eastAsia="仿宋_GB2312" w:cs="Times New Roman"/>
          <w:b/>
          <w:sz w:val="24"/>
          <w:szCs w:val="24"/>
          <w:highlight w:val="none"/>
        </w:rPr>
      </w:pPr>
    </w:p>
    <w:p w14:paraId="427AD03A">
      <w:pPr>
        <w:spacing w:line="360" w:lineRule="auto"/>
        <w:ind w:firstLine="482" w:firstLineChars="200"/>
        <w:rPr>
          <w:rFonts w:ascii="Times New Roman" w:hAnsi="Times New Roman" w:eastAsia="仿宋_GB2312" w:cs="Times New Roman"/>
          <w:b/>
          <w:sz w:val="24"/>
          <w:szCs w:val="24"/>
          <w:highlight w:val="none"/>
        </w:rPr>
      </w:pPr>
      <w:r>
        <w:rPr>
          <w:rFonts w:ascii="Times New Roman" w:hAnsi="Times New Roman" w:eastAsia="仿宋_GB2312" w:cs="Times New Roman"/>
          <w:b/>
          <w:sz w:val="24"/>
          <w:szCs w:val="24"/>
          <w:highlight w:val="none"/>
        </w:rPr>
        <w:t>基金声明</w:t>
      </w:r>
    </w:p>
    <w:p w14:paraId="7C931AAE">
      <w:pPr>
        <w:spacing w:line="360" w:lineRule="auto"/>
        <w:ind w:firstLine="482" w:firstLineChars="200"/>
        <w:rPr>
          <w:rFonts w:ascii="Times New Roman" w:hAnsi="Times New Roman" w:eastAsia="仿宋_GB2312" w:cs="Times New Roman"/>
          <w:b/>
          <w:sz w:val="24"/>
          <w:szCs w:val="24"/>
          <w:highlight w:val="none"/>
        </w:rPr>
      </w:pPr>
      <w:r>
        <w:rPr>
          <w:rFonts w:ascii="Times New Roman" w:hAnsi="Times New Roman" w:eastAsia="仿宋_GB2312" w:cs="Times New Roman"/>
          <w:b/>
          <w:sz w:val="24"/>
          <w:szCs w:val="24"/>
          <w:highlight w:val="none"/>
        </w:rPr>
        <w:t>释义</w:t>
      </w:r>
    </w:p>
    <w:p w14:paraId="32738EB5">
      <w:pPr>
        <w:spacing w:line="360" w:lineRule="auto"/>
        <w:ind w:firstLine="482" w:firstLineChars="200"/>
        <w:rPr>
          <w:rFonts w:ascii="Times New Roman" w:hAnsi="Times New Roman" w:eastAsia="仿宋_GB2312" w:cs="Times New Roman"/>
          <w:b/>
          <w:sz w:val="24"/>
          <w:szCs w:val="24"/>
          <w:highlight w:val="none"/>
        </w:rPr>
      </w:pPr>
      <w:r>
        <w:rPr>
          <w:rFonts w:ascii="Times New Roman" w:hAnsi="Times New Roman" w:eastAsia="仿宋_GB2312" w:cs="Times New Roman"/>
          <w:b/>
          <w:sz w:val="24"/>
          <w:szCs w:val="24"/>
          <w:highlight w:val="none"/>
        </w:rPr>
        <w:t>重大事项提示</w:t>
      </w:r>
    </w:p>
    <w:p w14:paraId="16367539">
      <w:pPr>
        <w:spacing w:line="360" w:lineRule="auto"/>
        <w:ind w:firstLine="482" w:firstLineChars="200"/>
        <w:rPr>
          <w:rFonts w:ascii="Times New Roman" w:hAnsi="Times New Roman" w:eastAsia="仿宋_GB2312" w:cs="Times New Roman"/>
          <w:sz w:val="24"/>
          <w:szCs w:val="24"/>
          <w:highlight w:val="none"/>
        </w:rPr>
      </w:pPr>
      <w:r>
        <w:rPr>
          <w:rFonts w:ascii="Times New Roman" w:hAnsi="Times New Roman" w:eastAsia="仿宋_GB2312" w:cs="Times New Roman"/>
          <w:b/>
          <w:sz w:val="24"/>
          <w:szCs w:val="24"/>
          <w:highlight w:val="none"/>
        </w:rPr>
        <w:t>一、基金基本情况</w:t>
      </w:r>
    </w:p>
    <w:p w14:paraId="423BB96A">
      <w:pPr>
        <w:spacing w:line="360" w:lineRule="auto"/>
        <w:ind w:firstLine="480" w:firstLineChars="200"/>
        <w:rPr>
          <w:rFonts w:ascii="Times New Roman" w:hAnsi="Times New Roman" w:eastAsia="仿宋_GB2312" w:cs="Times New Roman"/>
          <w:bCs/>
          <w:sz w:val="24"/>
          <w:szCs w:val="24"/>
          <w:highlight w:val="none"/>
        </w:rPr>
      </w:pPr>
      <w:r>
        <w:rPr>
          <w:rFonts w:ascii="Times New Roman" w:hAnsi="Times New Roman" w:eastAsia="仿宋_GB2312" w:cs="Times New Roman"/>
          <w:sz w:val="24"/>
          <w:szCs w:val="24"/>
          <w:highlight w:val="none"/>
        </w:rPr>
        <w:t>基金名称、基金简称、基金代码、上市交易所、公募REITs合同生效日、基金管理人名称、基金托管人名称等。</w:t>
      </w:r>
    </w:p>
    <w:p w14:paraId="0844E9B5">
      <w:pPr>
        <w:spacing w:line="360" w:lineRule="auto"/>
        <w:ind w:firstLine="480" w:firstLineChars="200"/>
        <w:rPr>
          <w:rFonts w:ascii="Times New Roman" w:hAnsi="Times New Roman" w:eastAsia="仿宋_GB2312" w:cs="Times New Roman"/>
          <w:bCs/>
          <w:sz w:val="24"/>
          <w:szCs w:val="24"/>
          <w:highlight w:val="none"/>
        </w:rPr>
      </w:pPr>
    </w:p>
    <w:p w14:paraId="56C68232">
      <w:pPr>
        <w:spacing w:line="360" w:lineRule="auto"/>
        <w:ind w:firstLine="482" w:firstLineChars="200"/>
        <w:rPr>
          <w:rFonts w:ascii="Times New Roman" w:hAnsi="Times New Roman" w:eastAsia="仿宋_GB2312" w:cs="Times New Roman"/>
          <w:sz w:val="24"/>
          <w:szCs w:val="24"/>
          <w:highlight w:val="none"/>
        </w:rPr>
      </w:pPr>
      <w:r>
        <w:rPr>
          <w:rFonts w:ascii="Times New Roman" w:hAnsi="Times New Roman" w:eastAsia="仿宋_GB2312" w:cs="Times New Roman"/>
          <w:b/>
          <w:sz w:val="24"/>
          <w:szCs w:val="24"/>
          <w:highlight w:val="none"/>
        </w:rPr>
        <w:t>二、本次扩募发行的背景和目的</w:t>
      </w:r>
    </w:p>
    <w:p w14:paraId="187D8FE8">
      <w:pPr>
        <w:spacing w:line="360" w:lineRule="auto"/>
        <w:ind w:firstLine="480" w:firstLineChars="200"/>
        <w:rPr>
          <w:rFonts w:ascii="Times New Roman" w:hAnsi="Times New Roman" w:eastAsia="仿宋_GB2312" w:cs="Times New Roman"/>
          <w:sz w:val="24"/>
          <w:szCs w:val="24"/>
          <w:highlight w:val="none"/>
        </w:rPr>
      </w:pPr>
      <w:r>
        <w:rPr>
          <w:rFonts w:ascii="Times New Roman" w:hAnsi="Times New Roman" w:eastAsia="仿宋_GB2312" w:cs="Times New Roman"/>
          <w:sz w:val="24"/>
          <w:szCs w:val="24"/>
          <w:highlight w:val="none"/>
        </w:rPr>
        <w:t>说明本次扩募发行的背景和目的。</w:t>
      </w:r>
    </w:p>
    <w:p w14:paraId="240685A9">
      <w:pPr>
        <w:spacing w:line="360" w:lineRule="auto"/>
        <w:ind w:firstLine="480" w:firstLineChars="200"/>
        <w:rPr>
          <w:rFonts w:ascii="Times New Roman" w:hAnsi="Times New Roman" w:eastAsia="仿宋_GB2312" w:cs="Times New Roman"/>
          <w:sz w:val="24"/>
          <w:szCs w:val="24"/>
          <w:highlight w:val="none"/>
        </w:rPr>
      </w:pPr>
    </w:p>
    <w:p w14:paraId="294257B9">
      <w:pPr>
        <w:spacing w:line="360" w:lineRule="auto"/>
        <w:ind w:firstLine="482" w:firstLineChars="200"/>
        <w:rPr>
          <w:rFonts w:ascii="Times New Roman" w:hAnsi="Times New Roman" w:eastAsia="仿宋_GB2312" w:cs="Times New Roman"/>
          <w:sz w:val="24"/>
          <w:szCs w:val="24"/>
          <w:highlight w:val="none"/>
        </w:rPr>
      </w:pPr>
      <w:r>
        <w:rPr>
          <w:rFonts w:ascii="Times New Roman" w:hAnsi="Times New Roman" w:eastAsia="仿宋_GB2312" w:cs="Times New Roman"/>
          <w:b/>
          <w:sz w:val="24"/>
          <w:szCs w:val="24"/>
          <w:highlight w:val="none"/>
        </w:rPr>
        <w:t>三、本次扩募方案概要</w:t>
      </w:r>
    </w:p>
    <w:p w14:paraId="712C17F1">
      <w:pPr>
        <w:spacing w:line="360" w:lineRule="auto"/>
        <w:ind w:firstLine="480" w:firstLineChars="200"/>
        <w:rPr>
          <w:rFonts w:ascii="Times New Roman" w:hAnsi="Times New Roman" w:eastAsia="仿宋_GB2312" w:cs="Times New Roman"/>
          <w:sz w:val="24"/>
          <w:szCs w:val="24"/>
          <w:highlight w:val="none"/>
        </w:rPr>
      </w:pPr>
      <w:r>
        <w:rPr>
          <w:rFonts w:ascii="Times New Roman" w:hAnsi="Times New Roman" w:eastAsia="仿宋_GB2312" w:cs="Times New Roman"/>
          <w:sz w:val="24"/>
          <w:szCs w:val="24"/>
          <w:highlight w:val="none"/>
        </w:rPr>
        <w:t>发售方式及发售对象、定价方式、募集资金用途、发行前累计收益的分配方案、上市地点。</w:t>
      </w:r>
    </w:p>
    <w:p w14:paraId="439F5A2F">
      <w:pPr>
        <w:spacing w:line="360" w:lineRule="auto"/>
        <w:ind w:firstLine="480" w:firstLineChars="200"/>
        <w:rPr>
          <w:rFonts w:ascii="Times New Roman" w:hAnsi="Times New Roman" w:eastAsia="仿宋_GB2312" w:cs="Times New Roman"/>
          <w:sz w:val="24"/>
          <w:szCs w:val="24"/>
          <w:highlight w:val="none"/>
        </w:rPr>
      </w:pPr>
    </w:p>
    <w:p w14:paraId="53538AA0">
      <w:pPr>
        <w:spacing w:line="360" w:lineRule="auto"/>
        <w:ind w:firstLine="482" w:firstLineChars="200"/>
        <w:rPr>
          <w:rFonts w:ascii="Times New Roman" w:hAnsi="Times New Roman" w:eastAsia="仿宋_GB2312" w:cs="Times New Roman"/>
          <w:b/>
          <w:bCs/>
          <w:sz w:val="24"/>
          <w:szCs w:val="24"/>
          <w:highlight w:val="none"/>
        </w:rPr>
      </w:pPr>
      <w:r>
        <w:rPr>
          <w:rFonts w:ascii="Times New Roman" w:hAnsi="Times New Roman" w:eastAsia="仿宋_GB2312" w:cs="Times New Roman"/>
          <w:b/>
          <w:bCs/>
          <w:sz w:val="24"/>
          <w:szCs w:val="24"/>
          <w:highlight w:val="none"/>
        </w:rPr>
        <w:t>四、交易标的基本情况</w:t>
      </w:r>
    </w:p>
    <w:p w14:paraId="46F9F5E4">
      <w:pPr>
        <w:spacing w:line="360" w:lineRule="auto"/>
        <w:ind w:firstLine="480" w:firstLineChars="200"/>
        <w:rPr>
          <w:rFonts w:ascii="Times New Roman" w:hAnsi="Times New Roman" w:eastAsia="仿宋_GB2312" w:cs="Times New Roman"/>
          <w:sz w:val="24"/>
          <w:szCs w:val="24"/>
          <w:highlight w:val="none"/>
        </w:rPr>
      </w:pPr>
      <w:r>
        <w:rPr>
          <w:rFonts w:ascii="Times New Roman" w:hAnsi="Times New Roman" w:eastAsia="仿宋_GB2312" w:cs="Times New Roman"/>
          <w:sz w:val="24"/>
          <w:szCs w:val="24"/>
          <w:highlight w:val="none"/>
        </w:rPr>
        <w:t>说明本次扩募交易标的基本情况。</w:t>
      </w:r>
    </w:p>
    <w:p w14:paraId="7E5AF687">
      <w:pPr>
        <w:spacing w:line="360" w:lineRule="auto"/>
        <w:ind w:firstLine="482" w:firstLineChars="200"/>
        <w:rPr>
          <w:rFonts w:ascii="Times New Roman" w:hAnsi="Times New Roman" w:eastAsia="仿宋_GB2312" w:cs="Times New Roman"/>
          <w:b/>
          <w:bCs/>
          <w:sz w:val="24"/>
          <w:szCs w:val="24"/>
          <w:highlight w:val="none"/>
        </w:rPr>
      </w:pPr>
    </w:p>
    <w:p w14:paraId="02B09CEC">
      <w:pPr>
        <w:spacing w:line="360" w:lineRule="auto"/>
        <w:ind w:firstLine="482" w:firstLineChars="200"/>
        <w:rPr>
          <w:rFonts w:ascii="Times New Roman" w:hAnsi="Times New Roman" w:eastAsia="仿宋_GB2312" w:cs="Times New Roman"/>
          <w:b/>
          <w:bCs/>
          <w:sz w:val="24"/>
          <w:szCs w:val="24"/>
          <w:highlight w:val="none"/>
        </w:rPr>
      </w:pPr>
      <w:r>
        <w:rPr>
          <w:rFonts w:ascii="Times New Roman" w:hAnsi="Times New Roman" w:eastAsia="仿宋_GB2312" w:cs="Times New Roman"/>
          <w:b/>
          <w:bCs/>
          <w:sz w:val="24"/>
          <w:szCs w:val="24"/>
          <w:highlight w:val="none"/>
        </w:rPr>
        <w:t>五、本次扩募对原份额持有人的影响</w:t>
      </w:r>
    </w:p>
    <w:p w14:paraId="4C80B139">
      <w:pPr>
        <w:spacing w:line="360" w:lineRule="auto"/>
        <w:ind w:firstLine="480" w:firstLineChars="200"/>
        <w:rPr>
          <w:rFonts w:ascii="Times New Roman" w:hAnsi="Times New Roman" w:eastAsia="仿宋_GB2312" w:cs="Times New Roman"/>
          <w:sz w:val="24"/>
          <w:szCs w:val="24"/>
          <w:highlight w:val="none"/>
        </w:rPr>
      </w:pPr>
      <w:r>
        <w:rPr>
          <w:rFonts w:ascii="Times New Roman" w:hAnsi="Times New Roman" w:eastAsia="仿宋_GB2312" w:cs="Times New Roman"/>
          <w:sz w:val="24"/>
          <w:szCs w:val="24"/>
          <w:highlight w:val="none"/>
        </w:rPr>
        <w:t>对基金份额持有人结构的影响、对基金投资的影响、对基金财务状况的影响、对基金治理结构的影响。</w:t>
      </w:r>
    </w:p>
    <w:p w14:paraId="001BA6FD">
      <w:pPr>
        <w:spacing w:line="360" w:lineRule="auto"/>
        <w:ind w:firstLine="482" w:firstLineChars="200"/>
        <w:rPr>
          <w:rFonts w:ascii="Times New Roman" w:hAnsi="Times New Roman" w:eastAsia="仿宋_GB2312" w:cs="Times New Roman"/>
          <w:b/>
          <w:bCs/>
          <w:sz w:val="24"/>
          <w:szCs w:val="24"/>
          <w:highlight w:val="none"/>
        </w:rPr>
      </w:pPr>
    </w:p>
    <w:p w14:paraId="3FE1E2C5">
      <w:pPr>
        <w:spacing w:line="360" w:lineRule="auto"/>
        <w:ind w:firstLine="482" w:firstLineChars="200"/>
        <w:rPr>
          <w:rFonts w:ascii="Times New Roman" w:hAnsi="Times New Roman" w:eastAsia="仿宋_GB2312" w:cs="Times New Roman"/>
          <w:b/>
          <w:bCs/>
          <w:sz w:val="24"/>
          <w:szCs w:val="24"/>
          <w:highlight w:val="none"/>
        </w:rPr>
      </w:pPr>
      <w:r>
        <w:rPr>
          <w:rFonts w:ascii="Times New Roman" w:hAnsi="Times New Roman" w:eastAsia="仿宋_GB2312" w:cs="Times New Roman"/>
          <w:b/>
          <w:bCs/>
          <w:sz w:val="24"/>
          <w:szCs w:val="24"/>
          <w:highlight w:val="none"/>
        </w:rPr>
        <w:t>六、本次扩募发行是否构成关联交易</w:t>
      </w:r>
    </w:p>
    <w:p w14:paraId="57C57582">
      <w:pPr>
        <w:spacing w:line="360" w:lineRule="auto"/>
        <w:ind w:firstLine="480" w:firstLineChars="200"/>
        <w:rPr>
          <w:rFonts w:ascii="Times New Roman" w:hAnsi="Times New Roman" w:eastAsia="仿宋_GB2312" w:cs="Times New Roman"/>
          <w:sz w:val="24"/>
          <w:szCs w:val="24"/>
          <w:highlight w:val="none"/>
        </w:rPr>
      </w:pPr>
      <w:r>
        <w:rPr>
          <w:rFonts w:ascii="Times New Roman" w:hAnsi="Times New Roman" w:eastAsia="仿宋_GB2312" w:cs="Times New Roman"/>
          <w:sz w:val="24"/>
          <w:szCs w:val="24"/>
          <w:highlight w:val="none"/>
        </w:rPr>
        <w:t>说明本次扩募发行是否构成关联交易。</w:t>
      </w:r>
    </w:p>
    <w:p w14:paraId="4D39F190">
      <w:pPr>
        <w:spacing w:line="360" w:lineRule="auto"/>
        <w:rPr>
          <w:rFonts w:ascii="Times New Roman" w:hAnsi="Times New Roman" w:eastAsia="仿宋_GB2312" w:cs="Times New Roman"/>
          <w:b/>
          <w:bCs/>
          <w:sz w:val="24"/>
          <w:szCs w:val="24"/>
          <w:highlight w:val="none"/>
        </w:rPr>
      </w:pPr>
    </w:p>
    <w:p w14:paraId="42F50C63">
      <w:pPr>
        <w:spacing w:line="360" w:lineRule="auto"/>
        <w:ind w:firstLine="482" w:firstLineChars="200"/>
        <w:rPr>
          <w:rFonts w:ascii="Times New Roman" w:hAnsi="Times New Roman" w:eastAsia="仿宋_GB2312" w:cs="Times New Roman"/>
          <w:b/>
          <w:bCs/>
          <w:sz w:val="24"/>
          <w:szCs w:val="24"/>
          <w:highlight w:val="none"/>
        </w:rPr>
      </w:pPr>
      <w:r>
        <w:rPr>
          <w:rFonts w:ascii="Times New Roman" w:hAnsi="Times New Roman" w:eastAsia="仿宋_GB2312" w:cs="Times New Roman"/>
          <w:b/>
          <w:bCs/>
          <w:sz w:val="24"/>
          <w:szCs w:val="24"/>
          <w:highlight w:val="none"/>
        </w:rPr>
        <w:t>七、本次发售方案已经取得批准的情况以及尚需呈报批准的程序</w:t>
      </w:r>
    </w:p>
    <w:p w14:paraId="4DE8FB18">
      <w:pPr>
        <w:spacing w:line="360" w:lineRule="auto"/>
        <w:ind w:firstLine="480" w:firstLineChars="200"/>
        <w:rPr>
          <w:rFonts w:ascii="Times New Roman" w:hAnsi="Times New Roman" w:eastAsia="仿宋_GB2312" w:cs="Times New Roman"/>
          <w:sz w:val="24"/>
          <w:szCs w:val="24"/>
          <w:highlight w:val="none"/>
        </w:rPr>
      </w:pPr>
      <w:r>
        <w:rPr>
          <w:rFonts w:ascii="Times New Roman" w:hAnsi="Times New Roman" w:eastAsia="仿宋_GB2312" w:cs="Times New Roman"/>
          <w:sz w:val="24"/>
          <w:szCs w:val="24"/>
          <w:highlight w:val="none"/>
        </w:rPr>
        <w:t>说明本次发售方案已经取得批准的情况以及尚需呈报批准的程序。</w:t>
      </w:r>
    </w:p>
    <w:p w14:paraId="7DF5AC58">
      <w:pPr>
        <w:spacing w:line="360" w:lineRule="auto"/>
        <w:rPr>
          <w:rFonts w:ascii="Times New Roman" w:hAnsi="Times New Roman" w:eastAsia="仿宋_GB2312" w:cs="Times New Roman"/>
          <w:b/>
          <w:bCs/>
          <w:sz w:val="24"/>
          <w:szCs w:val="24"/>
          <w:highlight w:val="none"/>
        </w:rPr>
      </w:pPr>
    </w:p>
    <w:p w14:paraId="54E1A9FF">
      <w:pPr>
        <w:spacing w:line="360" w:lineRule="auto"/>
        <w:ind w:firstLine="482" w:firstLineChars="200"/>
        <w:rPr>
          <w:rFonts w:ascii="Times New Roman" w:hAnsi="Times New Roman" w:eastAsia="仿宋_GB2312" w:cs="Times New Roman"/>
          <w:b/>
          <w:bCs/>
          <w:sz w:val="24"/>
          <w:szCs w:val="24"/>
          <w:highlight w:val="none"/>
        </w:rPr>
      </w:pPr>
      <w:r>
        <w:rPr>
          <w:rFonts w:ascii="Times New Roman" w:hAnsi="Times New Roman" w:eastAsia="仿宋_GB2312" w:cs="Times New Roman"/>
          <w:b/>
          <w:bCs/>
          <w:sz w:val="24"/>
          <w:szCs w:val="24"/>
          <w:highlight w:val="none"/>
        </w:rPr>
        <w:t>八、风险揭示</w:t>
      </w:r>
    </w:p>
    <w:p w14:paraId="7043898E">
      <w:pPr>
        <w:widowControl/>
        <w:jc w:val="left"/>
        <w:rPr>
          <w:rFonts w:ascii="Times New Roman" w:hAnsi="Times New Roman" w:eastAsia="仿宋_GB2312" w:cs="Times New Roman"/>
          <w:b/>
          <w:sz w:val="32"/>
          <w:szCs w:val="32"/>
          <w:highlight w:val="none"/>
        </w:rPr>
      </w:pPr>
      <w:r>
        <w:rPr>
          <w:rFonts w:ascii="Times New Roman" w:hAnsi="Times New Roman" w:eastAsia="仿宋_GB2312" w:cs="Times New Roman"/>
          <w:bCs/>
          <w:highlight w:val="none"/>
        </w:rPr>
        <w:br w:type="page"/>
      </w:r>
    </w:p>
    <w:p w14:paraId="6A00F855">
      <w:pPr>
        <w:spacing w:line="360" w:lineRule="auto"/>
        <w:outlineLvl w:val="2"/>
        <w:rPr>
          <w:rFonts w:ascii="Times New Roman" w:hAnsi="Times New Roman" w:eastAsia="仿宋_GB2312" w:cs="Times New Roman"/>
          <w:bCs/>
          <w:sz w:val="24"/>
          <w:highlight w:val="none"/>
        </w:rPr>
      </w:pPr>
      <w:bookmarkStart w:id="958" w:name="_Toc22494"/>
      <w:bookmarkStart w:id="959" w:name="_Toc30588"/>
      <w:bookmarkStart w:id="960" w:name="_Toc32438"/>
      <w:bookmarkStart w:id="961" w:name="_Toc11061"/>
      <w:bookmarkStart w:id="962" w:name="_Toc3754"/>
      <w:r>
        <w:rPr>
          <w:rFonts w:ascii="Times New Roman" w:hAnsi="Times New Roman" w:eastAsia="仿宋_GB2312" w:cs="Times New Roman"/>
          <w:b/>
          <w:sz w:val="24"/>
          <w:highlight w:val="none"/>
        </w:rPr>
        <w:t>附件2-5：《拟购入</w:t>
      </w:r>
      <w:r>
        <w:rPr>
          <w:rFonts w:hint="eastAsia" w:ascii="Times New Roman" w:hAnsi="Times New Roman" w:eastAsia="仿宋_GB2312" w:cs="Times New Roman"/>
          <w:b/>
          <w:sz w:val="24"/>
          <w:highlight w:val="none"/>
        </w:rPr>
        <w:t>不动产</w:t>
      </w:r>
      <w:r>
        <w:rPr>
          <w:rFonts w:ascii="Times New Roman" w:hAnsi="Times New Roman" w:eastAsia="仿宋_GB2312" w:cs="Times New Roman"/>
          <w:b/>
          <w:sz w:val="24"/>
          <w:highlight w:val="none"/>
        </w:rPr>
        <w:t>项目的进展情况公告》必备要素</w:t>
      </w:r>
      <w:bookmarkEnd w:id="958"/>
      <w:bookmarkEnd w:id="959"/>
      <w:bookmarkEnd w:id="960"/>
      <w:bookmarkEnd w:id="961"/>
      <w:bookmarkEnd w:id="962"/>
    </w:p>
    <w:p w14:paraId="4243B683">
      <w:pPr>
        <w:widowControl/>
        <w:jc w:val="left"/>
        <w:rPr>
          <w:rFonts w:ascii="Times New Roman" w:hAnsi="Times New Roman" w:eastAsia="仿宋_GB2312" w:cs="Times New Roman"/>
          <w:bCs/>
          <w:highlight w:val="none"/>
        </w:rPr>
      </w:pPr>
    </w:p>
    <w:p w14:paraId="3ABD8D11">
      <w:pPr>
        <w:spacing w:line="360" w:lineRule="auto"/>
        <w:ind w:firstLine="482" w:firstLineChars="200"/>
        <w:rPr>
          <w:rFonts w:ascii="Times New Roman" w:hAnsi="Times New Roman" w:eastAsia="仿宋_GB2312" w:cs="Times New Roman"/>
          <w:sz w:val="24"/>
          <w:szCs w:val="24"/>
          <w:highlight w:val="none"/>
        </w:rPr>
      </w:pPr>
      <w:r>
        <w:rPr>
          <w:rFonts w:ascii="Times New Roman" w:hAnsi="Times New Roman" w:eastAsia="仿宋_GB2312" w:cs="Times New Roman"/>
          <w:b/>
          <w:sz w:val="24"/>
          <w:szCs w:val="24"/>
          <w:highlight w:val="none"/>
        </w:rPr>
        <w:t>一、公募REITs基本信息</w:t>
      </w:r>
    </w:p>
    <w:p w14:paraId="14D997F9">
      <w:pPr>
        <w:spacing w:line="360" w:lineRule="auto"/>
        <w:ind w:firstLine="480" w:firstLineChars="200"/>
        <w:rPr>
          <w:rFonts w:ascii="Times New Roman" w:hAnsi="Times New Roman" w:eastAsia="仿宋_GB2312" w:cs="Times New Roman"/>
          <w:bCs/>
          <w:sz w:val="24"/>
          <w:szCs w:val="24"/>
          <w:highlight w:val="none"/>
        </w:rPr>
      </w:pPr>
      <w:r>
        <w:rPr>
          <w:rFonts w:ascii="Times New Roman" w:hAnsi="Times New Roman" w:eastAsia="仿宋_GB2312" w:cs="Times New Roman"/>
          <w:sz w:val="24"/>
          <w:szCs w:val="24"/>
          <w:highlight w:val="none"/>
        </w:rPr>
        <w:t>基金名称、基金简称、基金代码、上市交易所、公募REITs合同生效日、基金管理人名称、基金托管人名称等。</w:t>
      </w:r>
    </w:p>
    <w:p w14:paraId="7AA7FA47">
      <w:pPr>
        <w:spacing w:line="360" w:lineRule="auto"/>
        <w:ind w:firstLine="480" w:firstLineChars="200"/>
        <w:rPr>
          <w:rFonts w:ascii="Times New Roman" w:hAnsi="Times New Roman" w:eastAsia="仿宋_GB2312" w:cs="Times New Roman"/>
          <w:bCs/>
          <w:sz w:val="24"/>
          <w:szCs w:val="24"/>
          <w:highlight w:val="none"/>
        </w:rPr>
      </w:pPr>
    </w:p>
    <w:p w14:paraId="1939794B">
      <w:pPr>
        <w:spacing w:line="360" w:lineRule="auto"/>
        <w:ind w:firstLine="482" w:firstLineChars="200"/>
        <w:rPr>
          <w:rFonts w:ascii="Times New Roman" w:hAnsi="Times New Roman" w:eastAsia="仿宋_GB2312" w:cs="Times New Roman"/>
          <w:sz w:val="24"/>
          <w:szCs w:val="24"/>
          <w:highlight w:val="none"/>
        </w:rPr>
      </w:pPr>
      <w:r>
        <w:rPr>
          <w:rFonts w:ascii="Times New Roman" w:hAnsi="Times New Roman" w:eastAsia="仿宋_GB2312" w:cs="Times New Roman"/>
          <w:b/>
          <w:sz w:val="24"/>
          <w:szCs w:val="24"/>
          <w:highlight w:val="none"/>
        </w:rPr>
        <w:t>二、</w:t>
      </w:r>
      <w:bookmarkStart w:id="963" w:name="OLE_LINK3"/>
      <w:r>
        <w:rPr>
          <w:rFonts w:ascii="Times New Roman" w:hAnsi="Times New Roman" w:eastAsia="仿宋_GB2312" w:cs="Times New Roman"/>
          <w:b/>
          <w:sz w:val="24"/>
          <w:szCs w:val="24"/>
          <w:highlight w:val="none"/>
        </w:rPr>
        <w:t>本次拟购入</w:t>
      </w:r>
      <w:r>
        <w:rPr>
          <w:rFonts w:hint="eastAsia" w:ascii="Times New Roman" w:hAnsi="Times New Roman" w:eastAsia="仿宋_GB2312" w:cs="Times New Roman"/>
          <w:b/>
          <w:sz w:val="24"/>
          <w:szCs w:val="24"/>
          <w:highlight w:val="none"/>
        </w:rPr>
        <w:t>不动产</w:t>
      </w:r>
      <w:r>
        <w:rPr>
          <w:rFonts w:ascii="Times New Roman" w:hAnsi="Times New Roman" w:eastAsia="仿宋_GB2312" w:cs="Times New Roman"/>
          <w:b/>
          <w:sz w:val="24"/>
          <w:szCs w:val="24"/>
          <w:highlight w:val="none"/>
        </w:rPr>
        <w:t>项目的具体进展情况</w:t>
      </w:r>
      <w:bookmarkEnd w:id="963"/>
    </w:p>
    <w:p w14:paraId="4CEF03B1">
      <w:pPr>
        <w:spacing w:line="360" w:lineRule="auto"/>
        <w:ind w:firstLine="480" w:firstLineChars="200"/>
        <w:rPr>
          <w:rFonts w:ascii="Times New Roman" w:hAnsi="Times New Roman" w:eastAsia="仿宋_GB2312" w:cs="Times New Roman"/>
          <w:sz w:val="24"/>
          <w:szCs w:val="24"/>
          <w:highlight w:val="none"/>
        </w:rPr>
      </w:pPr>
      <w:r>
        <w:rPr>
          <w:rFonts w:ascii="Times New Roman" w:hAnsi="Times New Roman" w:eastAsia="仿宋_GB2312" w:cs="Times New Roman"/>
          <w:sz w:val="24"/>
          <w:szCs w:val="24"/>
          <w:highlight w:val="none"/>
        </w:rPr>
        <w:t>本次拟购入</w:t>
      </w:r>
      <w:r>
        <w:rPr>
          <w:rFonts w:hint="eastAsia" w:ascii="Times New Roman" w:hAnsi="Times New Roman" w:eastAsia="仿宋_GB2312" w:cs="Times New Roman"/>
          <w:sz w:val="24"/>
          <w:szCs w:val="24"/>
          <w:highlight w:val="none"/>
        </w:rPr>
        <w:t>不动产</w:t>
      </w:r>
      <w:r>
        <w:rPr>
          <w:rFonts w:ascii="Times New Roman" w:hAnsi="Times New Roman" w:eastAsia="仿宋_GB2312" w:cs="Times New Roman"/>
          <w:sz w:val="24"/>
          <w:szCs w:val="24"/>
          <w:highlight w:val="none"/>
        </w:rPr>
        <w:t>项目的具体进展情况、本次发售方案已经取得批准的情况以及尚需呈报批准的程序。</w:t>
      </w:r>
    </w:p>
    <w:p w14:paraId="086D8827">
      <w:pPr>
        <w:spacing w:line="360" w:lineRule="auto"/>
        <w:ind w:firstLine="480" w:firstLineChars="200"/>
        <w:rPr>
          <w:rFonts w:ascii="Times New Roman" w:hAnsi="Times New Roman" w:eastAsia="仿宋_GB2312" w:cs="Times New Roman"/>
          <w:sz w:val="24"/>
          <w:szCs w:val="24"/>
          <w:highlight w:val="none"/>
        </w:rPr>
      </w:pPr>
    </w:p>
    <w:p w14:paraId="6D0CF464">
      <w:pPr>
        <w:spacing w:line="360" w:lineRule="auto"/>
        <w:ind w:firstLine="482" w:firstLineChars="200"/>
        <w:rPr>
          <w:rFonts w:ascii="Times New Roman" w:hAnsi="Times New Roman" w:eastAsia="仿宋_GB2312" w:cs="Times New Roman"/>
          <w:sz w:val="24"/>
          <w:szCs w:val="24"/>
          <w:highlight w:val="none"/>
        </w:rPr>
      </w:pPr>
      <w:r>
        <w:rPr>
          <w:rFonts w:ascii="Times New Roman" w:hAnsi="Times New Roman" w:eastAsia="仿宋_GB2312" w:cs="Times New Roman"/>
          <w:b/>
          <w:bCs/>
          <w:sz w:val="24"/>
          <w:szCs w:val="24"/>
          <w:highlight w:val="none"/>
        </w:rPr>
        <w:t>三、风险提示</w:t>
      </w:r>
    </w:p>
    <w:p w14:paraId="25089152">
      <w:pPr>
        <w:ind w:firstLine="480" w:firstLineChars="200"/>
        <w:rPr>
          <w:rFonts w:ascii="Times New Roman" w:hAnsi="Times New Roman" w:eastAsia="仿宋_GB2312" w:cs="Times New Roman"/>
          <w:sz w:val="24"/>
          <w:szCs w:val="24"/>
          <w:highlight w:val="none"/>
        </w:rPr>
      </w:pPr>
      <w:r>
        <w:rPr>
          <w:rFonts w:ascii="Times New Roman" w:hAnsi="Times New Roman" w:eastAsia="仿宋_GB2312" w:cs="Times New Roman"/>
          <w:sz w:val="24"/>
          <w:szCs w:val="24"/>
          <w:highlight w:val="none"/>
        </w:rPr>
        <w:t>说明本次新购入</w:t>
      </w:r>
      <w:r>
        <w:rPr>
          <w:rFonts w:hint="eastAsia" w:ascii="Times New Roman" w:hAnsi="Times New Roman" w:eastAsia="仿宋_GB2312" w:cs="Times New Roman"/>
          <w:sz w:val="24"/>
          <w:szCs w:val="24"/>
          <w:highlight w:val="none"/>
        </w:rPr>
        <w:t>不动产</w:t>
      </w:r>
      <w:r>
        <w:rPr>
          <w:rFonts w:ascii="Times New Roman" w:hAnsi="Times New Roman" w:eastAsia="仿宋_GB2312" w:cs="Times New Roman"/>
          <w:sz w:val="24"/>
          <w:szCs w:val="24"/>
          <w:highlight w:val="none"/>
        </w:rPr>
        <w:t>项目交易存在的其他重大因素。</w:t>
      </w:r>
    </w:p>
    <w:p w14:paraId="54BBCD55">
      <w:pPr>
        <w:spacing w:line="360" w:lineRule="auto"/>
        <w:outlineLvl w:val="2"/>
        <w:rPr>
          <w:rFonts w:ascii="Times New Roman" w:hAnsi="Times New Roman" w:eastAsia="仿宋_GB2312" w:cs="Times New Roman"/>
          <w:highlight w:val="none"/>
        </w:rPr>
      </w:pPr>
      <w:r>
        <w:rPr>
          <w:rFonts w:ascii="Times New Roman" w:hAnsi="Times New Roman" w:eastAsia="仿宋_GB2312" w:cs="Times New Roman"/>
          <w:bCs/>
          <w:highlight w:val="none"/>
        </w:rPr>
        <w:br w:type="page"/>
      </w:r>
      <w:bookmarkStart w:id="964" w:name="_Toc6766"/>
      <w:bookmarkStart w:id="965" w:name="_Toc15975"/>
      <w:bookmarkStart w:id="966" w:name="_Toc14529"/>
      <w:bookmarkStart w:id="967" w:name="_Toc31228"/>
      <w:bookmarkStart w:id="968" w:name="_Toc28712"/>
      <w:r>
        <w:rPr>
          <w:rFonts w:ascii="Times New Roman" w:hAnsi="Times New Roman" w:eastAsia="仿宋_GB2312" w:cs="Times New Roman"/>
          <w:b/>
          <w:sz w:val="24"/>
          <w:highlight w:val="none"/>
        </w:rPr>
        <w:t>附件2-6：《基金产品变更申请公告》必备要素</w:t>
      </w:r>
      <w:bookmarkEnd w:id="964"/>
      <w:bookmarkEnd w:id="965"/>
      <w:bookmarkEnd w:id="966"/>
      <w:bookmarkEnd w:id="967"/>
      <w:bookmarkEnd w:id="968"/>
    </w:p>
    <w:p w14:paraId="43C107DA">
      <w:pPr>
        <w:widowControl/>
        <w:jc w:val="left"/>
        <w:rPr>
          <w:rFonts w:ascii="Times New Roman" w:hAnsi="Times New Roman" w:eastAsia="仿宋_GB2312" w:cs="Times New Roman"/>
          <w:bCs/>
          <w:highlight w:val="none"/>
        </w:rPr>
      </w:pPr>
    </w:p>
    <w:p w14:paraId="5F570518">
      <w:pPr>
        <w:spacing w:line="360" w:lineRule="auto"/>
        <w:ind w:firstLine="480" w:firstLineChars="200"/>
        <w:rPr>
          <w:rFonts w:ascii="Times New Roman" w:hAnsi="Times New Roman" w:eastAsia="仿宋_GB2312" w:cs="Times New Roman"/>
          <w:bCs/>
          <w:sz w:val="24"/>
          <w:szCs w:val="24"/>
          <w:highlight w:val="none"/>
        </w:rPr>
      </w:pPr>
      <w:bookmarkStart w:id="969" w:name="OLE_LINK4"/>
      <w:r>
        <w:rPr>
          <w:rFonts w:ascii="Times New Roman" w:hAnsi="Times New Roman" w:eastAsia="仿宋_GB2312" w:cs="Times New Roman"/>
          <w:sz w:val="24"/>
          <w:szCs w:val="24"/>
          <w:highlight w:val="none"/>
        </w:rPr>
        <w:t>说明本次拟新购入项目向中国证监会提交基金变更注册的请示以及向本所提交基金产品变更申请的具体情况、本次拟新购入项目尚需呈报批准的程序。</w:t>
      </w:r>
    </w:p>
    <w:bookmarkEnd w:id="969"/>
    <w:p w14:paraId="286B4DD3">
      <w:pPr>
        <w:widowControl/>
        <w:jc w:val="left"/>
        <w:rPr>
          <w:rFonts w:ascii="Times New Roman" w:hAnsi="Times New Roman" w:eastAsia="仿宋_GB2312" w:cs="Times New Roman"/>
          <w:bCs/>
          <w:highlight w:val="none"/>
        </w:rPr>
      </w:pPr>
      <w:r>
        <w:rPr>
          <w:rFonts w:ascii="Times New Roman" w:hAnsi="Times New Roman" w:eastAsia="仿宋_GB2312" w:cs="Times New Roman"/>
          <w:bCs/>
          <w:highlight w:val="none"/>
        </w:rPr>
        <w:br w:type="page"/>
      </w:r>
    </w:p>
    <w:p w14:paraId="379564E7">
      <w:pPr>
        <w:spacing w:line="360" w:lineRule="auto"/>
        <w:outlineLvl w:val="2"/>
        <w:rPr>
          <w:rFonts w:ascii="Times New Roman" w:hAnsi="Times New Roman" w:eastAsia="仿宋_GB2312" w:cs="Times New Roman"/>
          <w:bCs/>
          <w:sz w:val="24"/>
          <w:highlight w:val="none"/>
        </w:rPr>
      </w:pPr>
      <w:bookmarkStart w:id="970" w:name="_Toc24450"/>
      <w:bookmarkStart w:id="971" w:name="_Toc13243"/>
      <w:bookmarkStart w:id="972" w:name="_Toc15323"/>
      <w:bookmarkStart w:id="973" w:name="_Toc8419"/>
      <w:bookmarkStart w:id="974" w:name="_Toc26394"/>
      <w:r>
        <w:rPr>
          <w:rFonts w:ascii="Times New Roman" w:hAnsi="Times New Roman" w:eastAsia="仿宋_GB2312" w:cs="Times New Roman"/>
          <w:b/>
          <w:sz w:val="24"/>
          <w:highlight w:val="none"/>
        </w:rPr>
        <w:t>附件2-7：《收到中国证监会/交易所的受理通知书公告》必备要素</w:t>
      </w:r>
      <w:bookmarkEnd w:id="970"/>
      <w:bookmarkEnd w:id="971"/>
      <w:bookmarkEnd w:id="972"/>
      <w:bookmarkEnd w:id="973"/>
      <w:bookmarkEnd w:id="974"/>
    </w:p>
    <w:p w14:paraId="794CD62B">
      <w:pPr>
        <w:widowControl/>
        <w:jc w:val="left"/>
        <w:rPr>
          <w:rFonts w:ascii="Times New Roman" w:hAnsi="Times New Roman" w:eastAsia="仿宋_GB2312" w:cs="Times New Roman"/>
          <w:bCs/>
          <w:highlight w:val="none"/>
        </w:rPr>
      </w:pPr>
    </w:p>
    <w:p w14:paraId="13C1312D">
      <w:pPr>
        <w:spacing w:line="360" w:lineRule="auto"/>
        <w:ind w:firstLine="480" w:firstLineChars="200"/>
        <w:rPr>
          <w:rFonts w:ascii="Times New Roman" w:hAnsi="Times New Roman" w:eastAsia="仿宋_GB2312" w:cs="Times New Roman"/>
          <w:bCs/>
          <w:sz w:val="24"/>
          <w:szCs w:val="24"/>
          <w:highlight w:val="none"/>
        </w:rPr>
      </w:pPr>
      <w:r>
        <w:rPr>
          <w:rFonts w:ascii="Times New Roman" w:hAnsi="Times New Roman" w:eastAsia="仿宋_GB2312" w:cs="Times New Roman"/>
          <w:sz w:val="24"/>
          <w:szCs w:val="24"/>
          <w:highlight w:val="none"/>
        </w:rPr>
        <w:t>说明本次拟新购入项目涉及的产品变更暨扩募份额上市申请事项取得中国证监会及本所受理的具体情况、本次拟新购入项目尚需呈报批准的程序。</w:t>
      </w:r>
    </w:p>
    <w:p w14:paraId="75884111">
      <w:pPr>
        <w:ind w:firstLine="643" w:firstLineChars="200"/>
        <w:rPr>
          <w:rFonts w:ascii="Times New Roman" w:hAnsi="Times New Roman" w:eastAsia="仿宋_GB2312" w:cs="Times New Roman"/>
          <w:sz w:val="24"/>
          <w:szCs w:val="24"/>
          <w:highlight w:val="none"/>
        </w:rPr>
      </w:pPr>
      <w:r>
        <w:rPr>
          <w:rFonts w:ascii="Times New Roman" w:hAnsi="Times New Roman" w:eastAsia="仿宋_GB2312" w:cs="Times New Roman"/>
          <w:b/>
          <w:sz w:val="32"/>
          <w:szCs w:val="32"/>
          <w:highlight w:val="none"/>
        </w:rPr>
        <w:br w:type="page"/>
      </w:r>
    </w:p>
    <w:p w14:paraId="07353273">
      <w:pPr>
        <w:spacing w:line="360" w:lineRule="auto"/>
        <w:outlineLvl w:val="2"/>
        <w:rPr>
          <w:rFonts w:ascii="Times New Roman" w:hAnsi="Times New Roman" w:eastAsia="仿宋_GB2312" w:cs="Times New Roman"/>
          <w:bCs/>
          <w:sz w:val="24"/>
          <w:highlight w:val="none"/>
        </w:rPr>
      </w:pPr>
      <w:bookmarkStart w:id="975" w:name="_Toc23494"/>
      <w:bookmarkStart w:id="976" w:name="_Toc28105"/>
      <w:bookmarkStart w:id="977" w:name="_Toc9747"/>
      <w:bookmarkStart w:id="978" w:name="_Toc19583"/>
      <w:bookmarkStart w:id="979" w:name="_Toc4312"/>
      <w:r>
        <w:rPr>
          <w:rFonts w:ascii="Times New Roman" w:hAnsi="Times New Roman" w:eastAsia="仿宋_GB2312" w:cs="Times New Roman"/>
          <w:b/>
          <w:sz w:val="24"/>
          <w:highlight w:val="none"/>
        </w:rPr>
        <w:t>附件2-8：《收到交易所问询公告》必备要素</w:t>
      </w:r>
      <w:bookmarkEnd w:id="975"/>
      <w:bookmarkEnd w:id="976"/>
      <w:bookmarkEnd w:id="977"/>
      <w:bookmarkEnd w:id="978"/>
      <w:bookmarkEnd w:id="979"/>
    </w:p>
    <w:p w14:paraId="1EDD1044">
      <w:pPr>
        <w:widowControl/>
        <w:jc w:val="left"/>
        <w:rPr>
          <w:rFonts w:ascii="Times New Roman" w:hAnsi="Times New Roman" w:eastAsia="仿宋_GB2312" w:cs="Times New Roman"/>
          <w:bCs/>
          <w:highlight w:val="none"/>
        </w:rPr>
      </w:pPr>
    </w:p>
    <w:p w14:paraId="21C5B3CE">
      <w:pPr>
        <w:spacing w:line="360" w:lineRule="auto"/>
        <w:ind w:firstLine="480" w:firstLineChars="200"/>
        <w:rPr>
          <w:rFonts w:ascii="Times New Roman" w:hAnsi="Times New Roman" w:eastAsia="仿宋_GB2312" w:cs="Times New Roman"/>
          <w:bCs/>
          <w:sz w:val="24"/>
          <w:szCs w:val="24"/>
          <w:highlight w:val="none"/>
        </w:rPr>
      </w:pPr>
      <w:r>
        <w:rPr>
          <w:rFonts w:ascii="Times New Roman" w:hAnsi="Times New Roman" w:eastAsia="仿宋_GB2312" w:cs="Times New Roman"/>
          <w:sz w:val="24"/>
          <w:szCs w:val="24"/>
          <w:highlight w:val="none"/>
        </w:rPr>
        <w:t>说明本次拟新购入项目涉及的产品变更暨扩募份额上市申请事项收到本所问询的具体情况、本次拟新购入项目尚需呈报批准的程序。</w:t>
      </w:r>
    </w:p>
    <w:p w14:paraId="388FBB08">
      <w:pPr>
        <w:rPr>
          <w:rFonts w:ascii="Times New Roman" w:hAnsi="Times New Roman" w:eastAsia="仿宋_GB2312" w:cs="Times New Roman"/>
          <w:sz w:val="24"/>
          <w:szCs w:val="24"/>
          <w:highlight w:val="none"/>
        </w:rPr>
      </w:pPr>
    </w:p>
    <w:p w14:paraId="7D06E989">
      <w:pPr>
        <w:widowControl/>
        <w:jc w:val="left"/>
        <w:rPr>
          <w:rFonts w:ascii="Times New Roman" w:hAnsi="Times New Roman" w:eastAsia="仿宋_GB2312" w:cs="Times New Roman"/>
          <w:b/>
          <w:sz w:val="32"/>
          <w:szCs w:val="32"/>
          <w:highlight w:val="none"/>
        </w:rPr>
      </w:pPr>
      <w:r>
        <w:rPr>
          <w:rFonts w:ascii="Times New Roman" w:hAnsi="Times New Roman" w:eastAsia="仿宋_GB2312" w:cs="Times New Roman"/>
          <w:b/>
          <w:sz w:val="32"/>
          <w:szCs w:val="32"/>
          <w:highlight w:val="none"/>
        </w:rPr>
        <w:br w:type="page"/>
      </w:r>
    </w:p>
    <w:p w14:paraId="0D3A1F7D">
      <w:pPr>
        <w:spacing w:line="360" w:lineRule="auto"/>
        <w:outlineLvl w:val="2"/>
        <w:rPr>
          <w:rFonts w:ascii="Times New Roman" w:hAnsi="Times New Roman" w:eastAsia="仿宋_GB2312" w:cs="Times New Roman"/>
          <w:bCs/>
          <w:sz w:val="24"/>
          <w:highlight w:val="none"/>
        </w:rPr>
      </w:pPr>
      <w:bookmarkStart w:id="980" w:name="_Toc24834"/>
      <w:bookmarkStart w:id="981" w:name="_Toc17606"/>
      <w:bookmarkStart w:id="982" w:name="_Toc17581"/>
      <w:bookmarkStart w:id="983" w:name="_Toc22105"/>
      <w:bookmarkStart w:id="984" w:name="_Toc19976"/>
      <w:r>
        <w:rPr>
          <w:rFonts w:ascii="Times New Roman" w:hAnsi="Times New Roman" w:eastAsia="仿宋_GB2312" w:cs="Times New Roman"/>
          <w:b/>
          <w:sz w:val="24"/>
          <w:highlight w:val="none"/>
        </w:rPr>
        <w:t>附件2-9：《提交问询答复及相关文件公告》必备要素</w:t>
      </w:r>
      <w:bookmarkEnd w:id="980"/>
      <w:bookmarkEnd w:id="981"/>
      <w:bookmarkEnd w:id="982"/>
      <w:bookmarkEnd w:id="983"/>
      <w:bookmarkEnd w:id="984"/>
    </w:p>
    <w:p w14:paraId="09D6B57C">
      <w:pPr>
        <w:widowControl/>
        <w:jc w:val="left"/>
        <w:rPr>
          <w:rFonts w:ascii="Times New Roman" w:hAnsi="Times New Roman" w:eastAsia="仿宋_GB2312" w:cs="Times New Roman"/>
          <w:bCs/>
          <w:highlight w:val="none"/>
        </w:rPr>
      </w:pPr>
    </w:p>
    <w:p w14:paraId="0CFD1CEF">
      <w:pPr>
        <w:spacing w:line="360" w:lineRule="auto"/>
        <w:ind w:firstLine="480" w:firstLineChars="200"/>
        <w:rPr>
          <w:rFonts w:ascii="Times New Roman" w:hAnsi="Times New Roman" w:eastAsia="仿宋_GB2312" w:cs="Times New Roman"/>
          <w:bCs/>
          <w:sz w:val="24"/>
          <w:szCs w:val="24"/>
          <w:highlight w:val="none"/>
        </w:rPr>
      </w:pPr>
      <w:r>
        <w:rPr>
          <w:rFonts w:ascii="Times New Roman" w:hAnsi="Times New Roman" w:eastAsia="仿宋_GB2312" w:cs="Times New Roman"/>
          <w:sz w:val="24"/>
          <w:szCs w:val="24"/>
          <w:highlight w:val="none"/>
        </w:rPr>
        <w:t>说明本次拟新购入项目涉及的产品变更暨扩募份额上市申请事项向本所提交问询答复及相关文件的具体情况、本次拟新购入项目尚需呈报批准的程序。</w:t>
      </w:r>
    </w:p>
    <w:p w14:paraId="654BA9DB">
      <w:pPr>
        <w:widowControl/>
        <w:jc w:val="left"/>
        <w:rPr>
          <w:rFonts w:ascii="Times New Roman" w:hAnsi="Times New Roman" w:eastAsia="仿宋_GB2312" w:cs="Times New Roman"/>
          <w:b/>
          <w:sz w:val="32"/>
          <w:szCs w:val="32"/>
          <w:highlight w:val="none"/>
        </w:rPr>
      </w:pPr>
      <w:r>
        <w:rPr>
          <w:rFonts w:ascii="Times New Roman" w:hAnsi="Times New Roman" w:eastAsia="仿宋_GB2312" w:cs="Times New Roman"/>
          <w:b/>
          <w:sz w:val="32"/>
          <w:szCs w:val="32"/>
          <w:highlight w:val="none"/>
        </w:rPr>
        <w:br w:type="page"/>
      </w:r>
    </w:p>
    <w:p w14:paraId="22C016C5">
      <w:pPr>
        <w:spacing w:line="360" w:lineRule="auto"/>
        <w:outlineLvl w:val="2"/>
        <w:rPr>
          <w:rFonts w:ascii="Times New Roman" w:hAnsi="Times New Roman" w:eastAsia="仿宋_GB2312" w:cs="Times New Roman"/>
          <w:bCs/>
          <w:sz w:val="24"/>
          <w:highlight w:val="none"/>
        </w:rPr>
      </w:pPr>
      <w:bookmarkStart w:id="985" w:name="_Toc15248"/>
      <w:bookmarkStart w:id="986" w:name="_Toc13607"/>
      <w:bookmarkStart w:id="987" w:name="_Toc10561"/>
      <w:bookmarkStart w:id="988" w:name="_Toc26198"/>
      <w:bookmarkStart w:id="989" w:name="_Toc27661"/>
      <w:r>
        <w:rPr>
          <w:rFonts w:ascii="Times New Roman" w:hAnsi="Times New Roman" w:eastAsia="仿宋_GB2312" w:cs="Times New Roman"/>
          <w:b/>
          <w:sz w:val="24"/>
          <w:highlight w:val="none"/>
        </w:rPr>
        <w:t>附件2-10：《收到交易所关于变更申请的无异议函/终止审核通知公告》必备要素</w:t>
      </w:r>
      <w:bookmarkEnd w:id="985"/>
      <w:bookmarkEnd w:id="986"/>
      <w:bookmarkEnd w:id="987"/>
      <w:bookmarkEnd w:id="988"/>
      <w:bookmarkEnd w:id="989"/>
    </w:p>
    <w:p w14:paraId="3E363FBC">
      <w:pPr>
        <w:widowControl/>
        <w:jc w:val="left"/>
        <w:rPr>
          <w:rFonts w:ascii="Times New Roman" w:hAnsi="Times New Roman" w:eastAsia="仿宋_GB2312" w:cs="Times New Roman"/>
          <w:bCs/>
          <w:highlight w:val="none"/>
        </w:rPr>
      </w:pPr>
    </w:p>
    <w:p w14:paraId="4237E3AB">
      <w:pPr>
        <w:spacing w:line="360" w:lineRule="auto"/>
        <w:ind w:firstLine="480" w:firstLineChars="200"/>
        <w:rPr>
          <w:rFonts w:ascii="Times New Roman" w:hAnsi="Times New Roman" w:eastAsia="仿宋_GB2312" w:cs="Times New Roman"/>
          <w:sz w:val="24"/>
          <w:szCs w:val="24"/>
          <w:highlight w:val="none"/>
        </w:rPr>
      </w:pPr>
      <w:r>
        <w:rPr>
          <w:rFonts w:ascii="Times New Roman" w:hAnsi="Times New Roman" w:eastAsia="仿宋_GB2312" w:cs="Times New Roman"/>
          <w:sz w:val="24"/>
          <w:szCs w:val="24"/>
          <w:highlight w:val="none"/>
        </w:rPr>
        <w:t>说明本次拟新购入项目涉及的产品变更暨扩募份额上市申请事项收到本所交易所关于变更申请的无异议函/终止审核通知的具体情况、本次拟新购入项目尚需呈报批准的程序。</w:t>
      </w:r>
    </w:p>
    <w:p w14:paraId="7525DED3">
      <w:pPr>
        <w:widowControl/>
        <w:jc w:val="left"/>
        <w:rPr>
          <w:rFonts w:ascii="Times New Roman" w:hAnsi="Times New Roman" w:eastAsia="仿宋_GB2312" w:cs="Times New Roman"/>
          <w:sz w:val="24"/>
          <w:szCs w:val="24"/>
          <w:highlight w:val="none"/>
        </w:rPr>
      </w:pPr>
      <w:r>
        <w:rPr>
          <w:rFonts w:ascii="Times New Roman" w:hAnsi="Times New Roman" w:eastAsia="仿宋_GB2312" w:cs="Times New Roman"/>
          <w:sz w:val="24"/>
          <w:szCs w:val="24"/>
          <w:highlight w:val="none"/>
        </w:rPr>
        <w:br w:type="page"/>
      </w:r>
    </w:p>
    <w:p w14:paraId="48E23E56">
      <w:pPr>
        <w:spacing w:line="360" w:lineRule="auto"/>
        <w:outlineLvl w:val="2"/>
        <w:rPr>
          <w:rFonts w:ascii="Times New Roman" w:hAnsi="Times New Roman" w:eastAsia="仿宋_GB2312" w:cs="Times New Roman"/>
          <w:bCs/>
          <w:sz w:val="24"/>
          <w:highlight w:val="none"/>
        </w:rPr>
      </w:pPr>
      <w:bookmarkStart w:id="990" w:name="_Toc13716"/>
      <w:bookmarkStart w:id="991" w:name="_Toc8721"/>
      <w:bookmarkStart w:id="992" w:name="_Toc17269"/>
      <w:bookmarkStart w:id="993" w:name="_Toc2897"/>
      <w:bookmarkStart w:id="994" w:name="_Toc23299"/>
      <w:r>
        <w:rPr>
          <w:rFonts w:ascii="Times New Roman" w:hAnsi="Times New Roman" w:eastAsia="仿宋_GB2312" w:cs="Times New Roman"/>
          <w:b/>
          <w:sz w:val="24"/>
          <w:highlight w:val="none"/>
        </w:rPr>
        <w:t>附件2-11：《收</w:t>
      </w:r>
      <w:bookmarkStart w:id="1015" w:name="_GoBack"/>
      <w:bookmarkEnd w:id="1015"/>
      <w:r>
        <w:rPr>
          <w:rFonts w:ascii="Times New Roman" w:hAnsi="Times New Roman" w:eastAsia="仿宋_GB2312" w:cs="Times New Roman"/>
          <w:b/>
          <w:sz w:val="24"/>
          <w:highlight w:val="none"/>
        </w:rPr>
        <w:t>到中国证监会关于基金变更注册/不予注册的批复公告》必备要素</w:t>
      </w:r>
      <w:bookmarkEnd w:id="990"/>
      <w:bookmarkEnd w:id="991"/>
      <w:bookmarkEnd w:id="992"/>
      <w:bookmarkEnd w:id="993"/>
      <w:bookmarkEnd w:id="994"/>
    </w:p>
    <w:p w14:paraId="2A7E427C">
      <w:pPr>
        <w:widowControl/>
        <w:jc w:val="left"/>
        <w:rPr>
          <w:rFonts w:ascii="Times New Roman" w:hAnsi="Times New Roman" w:eastAsia="仿宋_GB2312" w:cs="Times New Roman"/>
          <w:bCs/>
          <w:sz w:val="24"/>
          <w:szCs w:val="24"/>
          <w:highlight w:val="none"/>
        </w:rPr>
      </w:pPr>
    </w:p>
    <w:p w14:paraId="48C94F56">
      <w:pPr>
        <w:spacing w:line="360" w:lineRule="auto"/>
        <w:ind w:firstLine="480" w:firstLineChars="200"/>
        <w:rPr>
          <w:rFonts w:ascii="Times New Roman" w:hAnsi="Times New Roman" w:eastAsia="仿宋_GB2312" w:cs="Times New Roman"/>
          <w:bCs/>
          <w:sz w:val="24"/>
          <w:szCs w:val="24"/>
          <w:highlight w:val="none"/>
        </w:rPr>
      </w:pPr>
      <w:r>
        <w:rPr>
          <w:rFonts w:ascii="Times New Roman" w:hAnsi="Times New Roman" w:eastAsia="仿宋_GB2312" w:cs="Times New Roman"/>
          <w:sz w:val="24"/>
          <w:szCs w:val="24"/>
          <w:highlight w:val="none"/>
        </w:rPr>
        <w:t>说明本次拟新购入项目涉及的产品变更暨扩募份额上市申请事项收到中国证监会关于基金变更注册/不予注册的批复的具体情况、本次拟新购入项目尚需呈报批准的程序。</w:t>
      </w:r>
    </w:p>
    <w:p w14:paraId="6DF56A3C">
      <w:pPr>
        <w:spacing w:line="360" w:lineRule="auto"/>
        <w:ind w:firstLine="480" w:firstLineChars="200"/>
        <w:rPr>
          <w:rFonts w:ascii="Times New Roman" w:hAnsi="Times New Roman" w:eastAsia="仿宋_GB2312" w:cs="Times New Roman"/>
          <w:bCs/>
          <w:sz w:val="24"/>
          <w:szCs w:val="24"/>
          <w:highlight w:val="none"/>
        </w:rPr>
      </w:pPr>
    </w:p>
    <w:p w14:paraId="7AF97163">
      <w:pPr>
        <w:spacing w:line="360" w:lineRule="auto"/>
        <w:outlineLvl w:val="2"/>
        <w:rPr>
          <w:rFonts w:ascii="Times New Roman" w:hAnsi="Times New Roman" w:eastAsia="仿宋_GB2312" w:cs="Times New Roman"/>
          <w:bCs/>
          <w:highlight w:val="none"/>
        </w:rPr>
      </w:pPr>
      <w:r>
        <w:rPr>
          <w:rFonts w:ascii="Times New Roman" w:hAnsi="Times New Roman" w:eastAsia="仿宋_GB2312" w:cs="Times New Roman"/>
          <w:b/>
          <w:sz w:val="32"/>
          <w:szCs w:val="32"/>
          <w:highlight w:val="none"/>
        </w:rPr>
        <w:br w:type="page"/>
      </w:r>
      <w:bookmarkStart w:id="995" w:name="_Toc31274"/>
      <w:bookmarkStart w:id="996" w:name="_Toc11585"/>
      <w:bookmarkStart w:id="997" w:name="_Toc20993"/>
      <w:bookmarkStart w:id="998" w:name="_Toc31924"/>
      <w:bookmarkStart w:id="999" w:name="_Toc26641"/>
      <w:r>
        <w:rPr>
          <w:rFonts w:ascii="Times New Roman" w:hAnsi="Times New Roman" w:eastAsia="仿宋_GB2312" w:cs="Times New Roman"/>
          <w:b/>
          <w:sz w:val="24"/>
          <w:highlight w:val="none"/>
        </w:rPr>
        <w:t>附件2-12：《撤回申请公告》必备要素</w:t>
      </w:r>
      <w:bookmarkEnd w:id="995"/>
      <w:bookmarkEnd w:id="996"/>
      <w:bookmarkEnd w:id="997"/>
      <w:bookmarkEnd w:id="998"/>
      <w:bookmarkEnd w:id="999"/>
    </w:p>
    <w:p w14:paraId="4E7FCAE4">
      <w:pPr>
        <w:widowControl/>
        <w:jc w:val="left"/>
        <w:rPr>
          <w:rFonts w:ascii="Times New Roman" w:hAnsi="Times New Roman" w:eastAsia="仿宋_GB2312" w:cs="Times New Roman"/>
          <w:bCs/>
          <w:highlight w:val="none"/>
        </w:rPr>
      </w:pPr>
    </w:p>
    <w:p w14:paraId="17976446">
      <w:pPr>
        <w:spacing w:line="360" w:lineRule="auto"/>
        <w:ind w:firstLine="480" w:firstLineChars="200"/>
        <w:rPr>
          <w:rFonts w:ascii="Times New Roman" w:hAnsi="Times New Roman" w:eastAsia="仿宋_GB2312" w:cs="Times New Roman"/>
          <w:bCs/>
          <w:sz w:val="24"/>
          <w:szCs w:val="24"/>
          <w:highlight w:val="none"/>
        </w:rPr>
      </w:pPr>
      <w:r>
        <w:rPr>
          <w:rFonts w:ascii="Times New Roman" w:hAnsi="Times New Roman" w:eastAsia="仿宋_GB2312" w:cs="Times New Roman"/>
          <w:sz w:val="24"/>
          <w:szCs w:val="24"/>
          <w:highlight w:val="none"/>
        </w:rPr>
        <w:t>说明本次拟新购入项目涉及的产品变更暨扩募份额上市申请事项撤回申请的具体情况（需说明原因）。</w:t>
      </w:r>
    </w:p>
    <w:p w14:paraId="25EE83EF">
      <w:pPr>
        <w:widowControl/>
        <w:jc w:val="left"/>
        <w:rPr>
          <w:rFonts w:ascii="Times New Roman" w:hAnsi="Times New Roman" w:eastAsia="仿宋_GB2312" w:cs="Times New Roman"/>
          <w:b/>
          <w:sz w:val="32"/>
          <w:szCs w:val="32"/>
          <w:highlight w:val="none"/>
        </w:rPr>
      </w:pPr>
      <w:r>
        <w:rPr>
          <w:rFonts w:ascii="Times New Roman" w:hAnsi="Times New Roman" w:eastAsia="仿宋_GB2312" w:cs="Times New Roman"/>
          <w:b/>
          <w:sz w:val="32"/>
          <w:szCs w:val="32"/>
          <w:highlight w:val="none"/>
        </w:rPr>
        <w:br w:type="page"/>
      </w:r>
    </w:p>
    <w:p w14:paraId="4A482BA2">
      <w:pPr>
        <w:spacing w:line="360" w:lineRule="auto"/>
        <w:outlineLvl w:val="2"/>
        <w:rPr>
          <w:rFonts w:ascii="Times New Roman" w:hAnsi="Times New Roman" w:eastAsia="仿宋_GB2312" w:cs="Times New Roman"/>
          <w:bCs/>
          <w:highlight w:val="none"/>
        </w:rPr>
      </w:pPr>
      <w:bookmarkStart w:id="1000" w:name="_Toc27160"/>
      <w:bookmarkStart w:id="1001" w:name="_Toc31748"/>
      <w:bookmarkStart w:id="1002" w:name="_Toc24115"/>
      <w:bookmarkStart w:id="1003" w:name="_Toc12045"/>
      <w:bookmarkStart w:id="1004" w:name="_Toc3345"/>
      <w:r>
        <w:rPr>
          <w:rFonts w:ascii="Times New Roman" w:hAnsi="Times New Roman" w:eastAsia="仿宋_GB2312" w:cs="Times New Roman"/>
          <w:b/>
          <w:sz w:val="24"/>
          <w:highlight w:val="none"/>
        </w:rPr>
        <w:t>附件2-13：《配售提示性公告》必备要素</w:t>
      </w:r>
      <w:bookmarkEnd w:id="1000"/>
      <w:bookmarkEnd w:id="1001"/>
      <w:bookmarkEnd w:id="1002"/>
      <w:bookmarkEnd w:id="1003"/>
      <w:bookmarkEnd w:id="1004"/>
    </w:p>
    <w:p w14:paraId="4DBECE73">
      <w:pPr>
        <w:widowControl/>
        <w:jc w:val="left"/>
        <w:rPr>
          <w:rFonts w:ascii="Times New Roman" w:hAnsi="Times New Roman" w:eastAsia="仿宋_GB2312" w:cs="Times New Roman"/>
          <w:bCs/>
          <w:highlight w:val="none"/>
        </w:rPr>
      </w:pPr>
    </w:p>
    <w:p w14:paraId="2C03017F">
      <w:pPr>
        <w:spacing w:line="360" w:lineRule="auto"/>
        <w:ind w:firstLine="482" w:firstLineChars="200"/>
        <w:rPr>
          <w:rFonts w:ascii="Times New Roman" w:hAnsi="Times New Roman" w:eastAsia="仿宋_GB2312" w:cs="Times New Roman"/>
          <w:b/>
          <w:sz w:val="24"/>
          <w:szCs w:val="24"/>
          <w:highlight w:val="none"/>
        </w:rPr>
      </w:pPr>
      <w:r>
        <w:rPr>
          <w:rFonts w:ascii="Times New Roman" w:hAnsi="Times New Roman" w:eastAsia="仿宋_GB2312" w:cs="Times New Roman"/>
          <w:b/>
          <w:sz w:val="24"/>
          <w:szCs w:val="24"/>
          <w:highlight w:val="none"/>
        </w:rPr>
        <w:t>重要提示</w:t>
      </w:r>
    </w:p>
    <w:p w14:paraId="0A5D3850">
      <w:pPr>
        <w:spacing w:line="360" w:lineRule="auto"/>
        <w:ind w:firstLine="480" w:firstLineChars="200"/>
        <w:rPr>
          <w:rFonts w:ascii="Times New Roman" w:hAnsi="Times New Roman" w:eastAsia="仿宋_GB2312" w:cs="Times New Roman"/>
          <w:sz w:val="24"/>
          <w:szCs w:val="24"/>
          <w:highlight w:val="none"/>
        </w:rPr>
      </w:pPr>
      <w:r>
        <w:rPr>
          <w:rFonts w:ascii="Times New Roman" w:hAnsi="Times New Roman" w:eastAsia="仿宋_GB2312" w:cs="Times New Roman"/>
          <w:sz w:val="24"/>
          <w:szCs w:val="24"/>
          <w:highlight w:val="none"/>
        </w:rPr>
        <w:t>本次发售方案已经取得批准的情况、持有人大会的召开情况、配售价格、发行方式、发行代码、认购缴款起止日期、基金停牌复牌安排等。</w:t>
      </w:r>
    </w:p>
    <w:p w14:paraId="3545FA01">
      <w:pPr>
        <w:spacing w:line="360" w:lineRule="auto"/>
        <w:ind w:firstLine="480" w:firstLineChars="200"/>
        <w:rPr>
          <w:rFonts w:ascii="Times New Roman" w:hAnsi="Times New Roman" w:eastAsia="仿宋_GB2312" w:cs="Times New Roman"/>
          <w:sz w:val="24"/>
          <w:szCs w:val="24"/>
          <w:highlight w:val="none"/>
        </w:rPr>
      </w:pPr>
    </w:p>
    <w:p w14:paraId="5894C0E5">
      <w:pPr>
        <w:spacing w:line="360" w:lineRule="auto"/>
        <w:ind w:firstLine="482" w:firstLineChars="200"/>
        <w:rPr>
          <w:rFonts w:ascii="Times New Roman" w:hAnsi="Times New Roman" w:eastAsia="仿宋_GB2312" w:cs="Times New Roman"/>
          <w:sz w:val="24"/>
          <w:szCs w:val="24"/>
          <w:highlight w:val="none"/>
        </w:rPr>
      </w:pPr>
      <w:r>
        <w:rPr>
          <w:rFonts w:ascii="Times New Roman" w:hAnsi="Times New Roman" w:eastAsia="仿宋_GB2312" w:cs="Times New Roman"/>
          <w:b/>
          <w:sz w:val="24"/>
          <w:szCs w:val="24"/>
          <w:highlight w:val="none"/>
        </w:rPr>
        <w:t>一、本次</w:t>
      </w:r>
      <w:r>
        <w:rPr>
          <w:rFonts w:ascii="Times New Roman" w:hAnsi="Times New Roman" w:eastAsia="仿宋_GB2312" w:cs="Times New Roman"/>
          <w:b/>
          <w:sz w:val="24"/>
          <w:highlight w:val="none"/>
        </w:rPr>
        <w:t>配售</w:t>
      </w:r>
      <w:r>
        <w:rPr>
          <w:rFonts w:ascii="Times New Roman" w:hAnsi="Times New Roman" w:eastAsia="仿宋_GB2312" w:cs="Times New Roman"/>
          <w:b/>
          <w:sz w:val="24"/>
          <w:szCs w:val="24"/>
          <w:highlight w:val="none"/>
        </w:rPr>
        <w:t>的基本情况</w:t>
      </w:r>
    </w:p>
    <w:p w14:paraId="5DB8E46F">
      <w:pPr>
        <w:spacing w:line="360" w:lineRule="auto"/>
        <w:ind w:firstLine="480" w:firstLineChars="200"/>
        <w:rPr>
          <w:rFonts w:ascii="Times New Roman" w:hAnsi="Times New Roman" w:eastAsia="仿宋_GB2312" w:cs="Times New Roman"/>
          <w:bCs/>
          <w:sz w:val="24"/>
          <w:szCs w:val="24"/>
          <w:highlight w:val="none"/>
        </w:rPr>
      </w:pPr>
      <w:r>
        <w:rPr>
          <w:rFonts w:ascii="Times New Roman" w:hAnsi="Times New Roman" w:eastAsia="仿宋_GB2312" w:cs="Times New Roman"/>
          <w:sz w:val="24"/>
          <w:szCs w:val="24"/>
          <w:highlight w:val="none"/>
        </w:rPr>
        <w:t>配售对象、配售价格、配售比例及数量、持有份额不低于20%的第一大</w:t>
      </w:r>
      <w:r>
        <w:rPr>
          <w:rFonts w:hint="eastAsia" w:ascii="Times New Roman" w:hAnsi="Times New Roman" w:eastAsia="仿宋_GB2312" w:cs="Times New Roman"/>
          <w:sz w:val="24"/>
          <w:szCs w:val="24"/>
          <w:highlight w:val="none"/>
        </w:rPr>
        <w:t>不动产</w:t>
      </w:r>
      <w:r>
        <w:rPr>
          <w:rFonts w:ascii="Times New Roman" w:hAnsi="Times New Roman" w:eastAsia="仿宋_GB2312" w:cs="Times New Roman"/>
          <w:sz w:val="24"/>
          <w:szCs w:val="24"/>
          <w:highlight w:val="none"/>
        </w:rPr>
        <w:t>基金持有人及新购入</w:t>
      </w:r>
      <w:r>
        <w:rPr>
          <w:rFonts w:hint="eastAsia" w:ascii="Times New Roman" w:hAnsi="Times New Roman" w:eastAsia="仿宋_GB2312" w:cs="Times New Roman"/>
          <w:sz w:val="24"/>
          <w:szCs w:val="24"/>
          <w:highlight w:val="none"/>
        </w:rPr>
        <w:t>不动产</w:t>
      </w:r>
      <w:r>
        <w:rPr>
          <w:rFonts w:ascii="Times New Roman" w:hAnsi="Times New Roman" w:eastAsia="仿宋_GB2312" w:cs="Times New Roman"/>
          <w:sz w:val="24"/>
          <w:szCs w:val="24"/>
          <w:highlight w:val="none"/>
        </w:rPr>
        <w:t>项目的原始权益人或者其同一控制下的关联方认购基金份额数量的承诺、本次配售的主要日期和停牌安排等。</w:t>
      </w:r>
    </w:p>
    <w:p w14:paraId="19206EF6">
      <w:pPr>
        <w:spacing w:line="360" w:lineRule="auto"/>
        <w:ind w:firstLine="480" w:firstLineChars="200"/>
        <w:rPr>
          <w:rFonts w:ascii="Times New Roman" w:hAnsi="Times New Roman" w:eastAsia="仿宋_GB2312" w:cs="Times New Roman"/>
          <w:bCs/>
          <w:sz w:val="24"/>
          <w:szCs w:val="24"/>
          <w:highlight w:val="none"/>
        </w:rPr>
      </w:pPr>
    </w:p>
    <w:p w14:paraId="0C4D97C8">
      <w:pPr>
        <w:spacing w:line="360" w:lineRule="auto"/>
        <w:ind w:firstLine="482" w:firstLineChars="200"/>
        <w:rPr>
          <w:rFonts w:ascii="Times New Roman" w:hAnsi="Times New Roman" w:eastAsia="仿宋_GB2312" w:cs="Times New Roman"/>
          <w:b/>
          <w:sz w:val="24"/>
          <w:szCs w:val="24"/>
          <w:highlight w:val="none"/>
        </w:rPr>
      </w:pPr>
      <w:r>
        <w:rPr>
          <w:rFonts w:ascii="Times New Roman" w:hAnsi="Times New Roman" w:eastAsia="仿宋_GB2312" w:cs="Times New Roman"/>
          <w:b/>
          <w:sz w:val="24"/>
          <w:szCs w:val="24"/>
          <w:highlight w:val="none"/>
        </w:rPr>
        <w:t>二、本次</w:t>
      </w:r>
      <w:r>
        <w:rPr>
          <w:rFonts w:ascii="Times New Roman" w:hAnsi="Times New Roman" w:eastAsia="仿宋_GB2312" w:cs="Times New Roman"/>
          <w:b/>
          <w:sz w:val="24"/>
          <w:highlight w:val="none"/>
        </w:rPr>
        <w:t>配售</w:t>
      </w:r>
      <w:r>
        <w:rPr>
          <w:rFonts w:ascii="Times New Roman" w:hAnsi="Times New Roman" w:eastAsia="仿宋_GB2312" w:cs="Times New Roman"/>
          <w:b/>
          <w:sz w:val="24"/>
          <w:szCs w:val="24"/>
          <w:highlight w:val="none"/>
        </w:rPr>
        <w:t>的认购方法</w:t>
      </w:r>
    </w:p>
    <w:p w14:paraId="17C480EA">
      <w:pPr>
        <w:spacing w:line="360" w:lineRule="auto"/>
        <w:ind w:firstLine="480" w:firstLineChars="200"/>
        <w:rPr>
          <w:rFonts w:ascii="Times New Roman" w:hAnsi="Times New Roman" w:eastAsia="仿宋_GB2312" w:cs="Times New Roman"/>
          <w:sz w:val="24"/>
          <w:szCs w:val="24"/>
          <w:highlight w:val="none"/>
        </w:rPr>
      </w:pPr>
      <w:r>
        <w:rPr>
          <w:rFonts w:ascii="Times New Roman" w:hAnsi="Times New Roman" w:eastAsia="仿宋_GB2312" w:cs="Times New Roman"/>
          <w:sz w:val="24"/>
          <w:szCs w:val="24"/>
          <w:highlight w:val="none"/>
        </w:rPr>
        <w:t>配售缴款时间、配售认购数量、配售认购程序及缴款方法。</w:t>
      </w:r>
    </w:p>
    <w:p w14:paraId="68925FC1">
      <w:pPr>
        <w:spacing w:line="360" w:lineRule="auto"/>
        <w:ind w:firstLine="480" w:firstLineChars="200"/>
        <w:rPr>
          <w:rFonts w:ascii="Times New Roman" w:hAnsi="Times New Roman" w:eastAsia="仿宋_GB2312" w:cs="Times New Roman"/>
          <w:sz w:val="24"/>
          <w:szCs w:val="24"/>
          <w:highlight w:val="none"/>
        </w:rPr>
      </w:pPr>
      <w:r>
        <w:rPr>
          <w:rFonts w:ascii="Times New Roman" w:hAnsi="Times New Roman" w:eastAsia="仿宋_GB2312" w:cs="Times New Roman"/>
          <w:sz w:val="24"/>
          <w:szCs w:val="24"/>
          <w:highlight w:val="none"/>
        </w:rPr>
        <w:t>发售方式中含向原持有人配售的，基金管理人应提示信用账户投资者及时在权益登记日前将REITs转出至证券账户参与配售。</w:t>
      </w:r>
    </w:p>
    <w:p w14:paraId="52706BA5">
      <w:pPr>
        <w:spacing w:line="360" w:lineRule="auto"/>
        <w:ind w:firstLine="480" w:firstLineChars="200"/>
        <w:rPr>
          <w:rFonts w:ascii="Times New Roman" w:hAnsi="Times New Roman" w:eastAsia="仿宋_GB2312" w:cs="Times New Roman"/>
          <w:sz w:val="24"/>
          <w:szCs w:val="24"/>
          <w:highlight w:val="none"/>
        </w:rPr>
      </w:pPr>
    </w:p>
    <w:p w14:paraId="3DDE6E6F">
      <w:pPr>
        <w:spacing w:line="360" w:lineRule="auto"/>
        <w:ind w:firstLine="482" w:firstLineChars="200"/>
        <w:rPr>
          <w:rFonts w:ascii="Times New Roman" w:hAnsi="Times New Roman" w:eastAsia="仿宋_GB2312" w:cs="Times New Roman"/>
          <w:sz w:val="24"/>
          <w:szCs w:val="24"/>
          <w:highlight w:val="none"/>
        </w:rPr>
      </w:pPr>
      <w:r>
        <w:rPr>
          <w:rFonts w:ascii="Times New Roman" w:hAnsi="Times New Roman" w:eastAsia="仿宋_GB2312" w:cs="Times New Roman"/>
          <w:b/>
          <w:sz w:val="24"/>
          <w:szCs w:val="24"/>
          <w:highlight w:val="none"/>
        </w:rPr>
        <w:t>三、配售发行机构</w:t>
      </w:r>
    </w:p>
    <w:p w14:paraId="193F7BD5">
      <w:pPr>
        <w:spacing w:line="360" w:lineRule="auto"/>
        <w:ind w:firstLine="480" w:firstLineChars="200"/>
        <w:rPr>
          <w:rFonts w:ascii="Times New Roman" w:hAnsi="Times New Roman" w:eastAsia="仿宋_GB2312" w:cs="Times New Roman"/>
          <w:sz w:val="24"/>
          <w:szCs w:val="24"/>
          <w:highlight w:val="none"/>
        </w:rPr>
      </w:pPr>
      <w:r>
        <w:rPr>
          <w:rFonts w:ascii="Times New Roman" w:hAnsi="Times New Roman" w:eastAsia="仿宋_GB2312" w:cs="Times New Roman"/>
          <w:sz w:val="24"/>
          <w:szCs w:val="24"/>
          <w:highlight w:val="none"/>
        </w:rPr>
        <w:t>配售发行机构，包括场内代销机构、场外代销机构等。</w:t>
      </w:r>
    </w:p>
    <w:p w14:paraId="337E563F">
      <w:pPr>
        <w:spacing w:line="360" w:lineRule="auto"/>
        <w:ind w:firstLine="480" w:firstLineChars="200"/>
        <w:rPr>
          <w:rFonts w:ascii="Times New Roman" w:hAnsi="Times New Roman" w:eastAsia="仿宋_GB2312" w:cs="Times New Roman"/>
          <w:sz w:val="24"/>
          <w:szCs w:val="24"/>
          <w:highlight w:val="none"/>
        </w:rPr>
      </w:pPr>
    </w:p>
    <w:p w14:paraId="10BF8DC0">
      <w:pPr>
        <w:spacing w:line="360" w:lineRule="auto"/>
        <w:ind w:firstLine="482" w:firstLineChars="200"/>
        <w:rPr>
          <w:rFonts w:ascii="Times New Roman" w:hAnsi="Times New Roman" w:eastAsia="仿宋_GB2312" w:cs="Times New Roman"/>
          <w:b/>
          <w:bCs/>
          <w:sz w:val="24"/>
          <w:szCs w:val="24"/>
          <w:highlight w:val="none"/>
        </w:rPr>
      </w:pPr>
      <w:r>
        <w:rPr>
          <w:rFonts w:ascii="Times New Roman" w:hAnsi="Times New Roman" w:eastAsia="仿宋_GB2312" w:cs="Times New Roman"/>
          <w:b/>
          <w:bCs/>
          <w:sz w:val="24"/>
          <w:szCs w:val="24"/>
          <w:highlight w:val="none"/>
        </w:rPr>
        <w:t>四、本次配售的有关当事人联系方式</w:t>
      </w:r>
    </w:p>
    <w:p w14:paraId="1FADB094">
      <w:pPr>
        <w:widowControl/>
        <w:jc w:val="left"/>
        <w:rPr>
          <w:rFonts w:ascii="Times New Roman" w:hAnsi="Times New Roman" w:eastAsia="仿宋" w:cs="Times New Roman"/>
          <w:sz w:val="26"/>
          <w:szCs w:val="26"/>
          <w:highlight w:val="none"/>
        </w:rPr>
      </w:pPr>
      <w:r>
        <w:rPr>
          <w:rFonts w:ascii="Times New Roman" w:hAnsi="Times New Roman" w:eastAsia="仿宋" w:cs="Times New Roman"/>
          <w:sz w:val="26"/>
          <w:szCs w:val="26"/>
          <w:highlight w:val="none"/>
        </w:rPr>
        <w:br w:type="page"/>
      </w:r>
    </w:p>
    <w:p w14:paraId="655BEF96">
      <w:pPr>
        <w:spacing w:line="360" w:lineRule="auto"/>
        <w:outlineLvl w:val="2"/>
        <w:rPr>
          <w:rFonts w:ascii="Times New Roman" w:hAnsi="Times New Roman" w:eastAsia="仿宋_GB2312" w:cs="Times New Roman"/>
          <w:bCs/>
          <w:sz w:val="24"/>
          <w:highlight w:val="none"/>
        </w:rPr>
      </w:pPr>
      <w:bookmarkStart w:id="1005" w:name="_Toc17971"/>
      <w:bookmarkStart w:id="1006" w:name="_Toc655"/>
      <w:bookmarkStart w:id="1007" w:name="_Toc24897"/>
      <w:bookmarkStart w:id="1008" w:name="_Toc27961"/>
      <w:bookmarkStart w:id="1009" w:name="_Toc10715"/>
      <w:r>
        <w:rPr>
          <w:rFonts w:ascii="Times New Roman" w:hAnsi="Times New Roman" w:eastAsia="仿宋_GB2312" w:cs="Times New Roman"/>
          <w:b/>
          <w:sz w:val="24"/>
          <w:highlight w:val="none"/>
        </w:rPr>
        <w:t>附件2-14：《基金合同更新公告》必备要素</w:t>
      </w:r>
      <w:bookmarkEnd w:id="1005"/>
      <w:bookmarkEnd w:id="1006"/>
      <w:bookmarkEnd w:id="1007"/>
      <w:bookmarkEnd w:id="1008"/>
      <w:bookmarkEnd w:id="1009"/>
    </w:p>
    <w:p w14:paraId="130334D2">
      <w:pPr>
        <w:spacing w:line="360" w:lineRule="auto"/>
        <w:ind w:firstLine="643" w:firstLineChars="200"/>
        <w:rPr>
          <w:rFonts w:ascii="Times New Roman" w:hAnsi="Times New Roman" w:cs="Times New Roman"/>
          <w:b/>
          <w:bCs/>
          <w:sz w:val="32"/>
          <w:szCs w:val="32"/>
          <w:highlight w:val="none"/>
        </w:rPr>
      </w:pPr>
    </w:p>
    <w:p w14:paraId="7D0E2245">
      <w:pPr>
        <w:spacing w:line="360" w:lineRule="auto"/>
        <w:ind w:firstLine="482" w:firstLineChars="200"/>
        <w:rPr>
          <w:rFonts w:ascii="Times New Roman" w:hAnsi="Times New Roman" w:eastAsia="仿宋_GB2312" w:cs="Times New Roman"/>
          <w:sz w:val="24"/>
          <w:szCs w:val="24"/>
          <w:highlight w:val="none"/>
        </w:rPr>
      </w:pPr>
      <w:r>
        <w:rPr>
          <w:rFonts w:ascii="Times New Roman" w:hAnsi="Times New Roman" w:eastAsia="仿宋_GB2312" w:cs="Times New Roman"/>
          <w:b/>
          <w:sz w:val="24"/>
          <w:szCs w:val="24"/>
          <w:highlight w:val="none"/>
        </w:rPr>
        <w:t>一、公告基本信息</w:t>
      </w:r>
    </w:p>
    <w:p w14:paraId="2245A3EF">
      <w:pPr>
        <w:spacing w:line="360" w:lineRule="auto"/>
        <w:ind w:firstLine="480" w:firstLineChars="200"/>
        <w:rPr>
          <w:rFonts w:ascii="Times New Roman" w:hAnsi="Times New Roman" w:eastAsia="仿宋_GB2312" w:cs="Times New Roman"/>
          <w:bCs/>
          <w:sz w:val="24"/>
          <w:szCs w:val="24"/>
          <w:highlight w:val="none"/>
        </w:rPr>
      </w:pPr>
      <w:r>
        <w:rPr>
          <w:rFonts w:ascii="Times New Roman" w:hAnsi="Times New Roman" w:eastAsia="仿宋_GB2312" w:cs="Times New Roman"/>
          <w:sz w:val="24"/>
          <w:szCs w:val="24"/>
          <w:highlight w:val="none"/>
        </w:rPr>
        <w:t>基金名称、基金简称、基金运作方式、基金合同更新生效日等。</w:t>
      </w:r>
    </w:p>
    <w:p w14:paraId="64AECCD5">
      <w:pPr>
        <w:spacing w:line="360" w:lineRule="auto"/>
        <w:ind w:firstLine="480" w:firstLineChars="200"/>
        <w:rPr>
          <w:rFonts w:ascii="Times New Roman" w:hAnsi="Times New Roman" w:eastAsia="仿宋_GB2312" w:cs="Times New Roman"/>
          <w:bCs/>
          <w:sz w:val="24"/>
          <w:szCs w:val="24"/>
          <w:highlight w:val="none"/>
        </w:rPr>
      </w:pPr>
    </w:p>
    <w:p w14:paraId="20F4EC62">
      <w:pPr>
        <w:spacing w:line="360" w:lineRule="auto"/>
        <w:ind w:firstLine="482" w:firstLineChars="200"/>
        <w:rPr>
          <w:rFonts w:ascii="Times New Roman" w:hAnsi="Times New Roman" w:eastAsia="仿宋_GB2312" w:cs="Times New Roman"/>
          <w:sz w:val="24"/>
          <w:szCs w:val="24"/>
          <w:highlight w:val="none"/>
        </w:rPr>
      </w:pPr>
      <w:r>
        <w:rPr>
          <w:rFonts w:ascii="Times New Roman" w:hAnsi="Times New Roman" w:eastAsia="仿宋_GB2312" w:cs="Times New Roman"/>
          <w:b/>
          <w:sz w:val="24"/>
          <w:szCs w:val="24"/>
          <w:highlight w:val="none"/>
        </w:rPr>
        <w:t>二、基金募集情况</w:t>
      </w:r>
    </w:p>
    <w:p w14:paraId="6F1D3FBE">
      <w:pPr>
        <w:spacing w:line="360" w:lineRule="auto"/>
        <w:ind w:firstLine="480" w:firstLineChars="200"/>
        <w:rPr>
          <w:rFonts w:ascii="Times New Roman" w:hAnsi="Times New Roman" w:eastAsia="仿宋_GB2312" w:cs="Times New Roman"/>
          <w:bCs/>
          <w:sz w:val="24"/>
          <w:szCs w:val="24"/>
          <w:highlight w:val="none"/>
        </w:rPr>
      </w:pPr>
      <w:r>
        <w:rPr>
          <w:rFonts w:ascii="Times New Roman" w:hAnsi="Times New Roman" w:eastAsia="仿宋_GB2312" w:cs="Times New Roman"/>
          <w:sz w:val="24"/>
          <w:szCs w:val="24"/>
          <w:highlight w:val="none"/>
        </w:rPr>
        <w:t>（一）有效认购份额、募集期间净认购金额以及认购资金在募集期间产生的利息。</w:t>
      </w:r>
    </w:p>
    <w:p w14:paraId="50235B8D">
      <w:pPr>
        <w:spacing w:line="360" w:lineRule="auto"/>
        <w:ind w:firstLine="480" w:firstLineChars="200"/>
        <w:rPr>
          <w:rFonts w:ascii="Times New Roman" w:hAnsi="Times New Roman" w:eastAsia="仿宋_GB2312" w:cs="Times New Roman"/>
          <w:sz w:val="24"/>
          <w:szCs w:val="24"/>
          <w:highlight w:val="none"/>
        </w:rPr>
      </w:pPr>
      <w:r>
        <w:rPr>
          <w:rFonts w:ascii="Times New Roman" w:hAnsi="Times New Roman" w:eastAsia="仿宋_GB2312" w:cs="Times New Roman"/>
          <w:sz w:val="24"/>
          <w:szCs w:val="24"/>
          <w:highlight w:val="none"/>
        </w:rPr>
        <w:t>（二）投资者名称、最终向投资者发售的基金份额数量及其比例，并明确说明配售的结果是否符合事先公布的配售原则；基金份额数量以及限售期安排等。</w:t>
      </w:r>
    </w:p>
    <w:p w14:paraId="777C100E">
      <w:pPr>
        <w:spacing w:line="360" w:lineRule="auto"/>
        <w:ind w:firstLine="480" w:firstLineChars="200"/>
        <w:rPr>
          <w:rFonts w:ascii="Times New Roman" w:hAnsi="Times New Roman" w:eastAsia="仿宋_GB2312" w:cs="Times New Roman"/>
          <w:sz w:val="24"/>
          <w:szCs w:val="24"/>
          <w:highlight w:val="none"/>
        </w:rPr>
      </w:pPr>
      <w:r>
        <w:rPr>
          <w:rFonts w:ascii="Times New Roman" w:hAnsi="Times New Roman" w:eastAsia="仿宋_GB2312" w:cs="Times New Roman"/>
          <w:sz w:val="24"/>
          <w:szCs w:val="24"/>
          <w:highlight w:val="none"/>
        </w:rPr>
        <w:t>（三）非提前确定认购对象的，对于竞价过程中提供有效报价但未参与认购，或实际认购数量明显少于报价时拟认购数量的投资者应列表公示并着重说明。</w:t>
      </w:r>
    </w:p>
    <w:p w14:paraId="6D80CF23">
      <w:pPr>
        <w:ind w:firstLine="480" w:firstLineChars="200"/>
        <w:rPr>
          <w:rFonts w:ascii="Times New Roman" w:hAnsi="Times New Roman" w:eastAsia="仿宋_GB2312" w:cs="Times New Roman"/>
          <w:sz w:val="24"/>
          <w:szCs w:val="24"/>
          <w:highlight w:val="none"/>
        </w:rPr>
      </w:pPr>
    </w:p>
    <w:p w14:paraId="01975AD8">
      <w:pPr>
        <w:ind w:firstLine="482" w:firstLineChars="200"/>
        <w:rPr>
          <w:rFonts w:ascii="Times New Roman" w:hAnsi="Times New Roman" w:eastAsia="仿宋_GB2312" w:cs="Times New Roman"/>
          <w:b/>
          <w:sz w:val="24"/>
          <w:szCs w:val="24"/>
          <w:highlight w:val="none"/>
        </w:rPr>
        <w:sectPr>
          <w:pgSz w:w="11906" w:h="16838"/>
          <w:pgMar w:top="1440" w:right="1800" w:bottom="1440" w:left="1800" w:header="851" w:footer="992" w:gutter="0"/>
          <w:cols w:space="720" w:num="1"/>
          <w:docGrid w:type="lines" w:linePitch="312" w:charSpace="0"/>
        </w:sectPr>
      </w:pPr>
      <w:r>
        <w:rPr>
          <w:rFonts w:ascii="Times New Roman" w:hAnsi="Times New Roman" w:eastAsia="仿宋_GB2312" w:cs="Times New Roman"/>
          <w:b/>
          <w:bCs/>
          <w:sz w:val="24"/>
          <w:szCs w:val="24"/>
          <w:highlight w:val="none"/>
        </w:rPr>
        <w:t>三、</w:t>
      </w:r>
      <w:r>
        <w:rPr>
          <w:rFonts w:ascii="Times New Roman" w:hAnsi="Times New Roman" w:eastAsia="仿宋_GB2312" w:cs="Times New Roman"/>
          <w:b/>
          <w:sz w:val="24"/>
          <w:szCs w:val="24"/>
          <w:highlight w:val="none"/>
        </w:rPr>
        <w:t>其他需要提示的事项</w:t>
      </w:r>
    </w:p>
    <w:p w14:paraId="2684BDF4">
      <w:pPr>
        <w:spacing w:line="360" w:lineRule="auto"/>
        <w:outlineLvl w:val="2"/>
        <w:rPr>
          <w:rFonts w:ascii="Times New Roman" w:hAnsi="Times New Roman" w:eastAsia="仿宋_GB2312" w:cs="Times New Roman"/>
          <w:bCs/>
          <w:sz w:val="24"/>
          <w:highlight w:val="none"/>
        </w:rPr>
      </w:pPr>
      <w:bookmarkStart w:id="1010" w:name="_Toc13684"/>
      <w:bookmarkStart w:id="1011" w:name="_Toc24433"/>
      <w:bookmarkStart w:id="1012" w:name="_Toc32456"/>
      <w:bookmarkStart w:id="1013" w:name="_Toc2154"/>
      <w:bookmarkStart w:id="1014" w:name="_Toc15748"/>
      <w:r>
        <w:rPr>
          <w:rFonts w:ascii="Times New Roman" w:hAnsi="Times New Roman" w:eastAsia="仿宋_GB2312" w:cs="Times New Roman"/>
          <w:b/>
          <w:sz w:val="24"/>
          <w:highlight w:val="none"/>
        </w:rPr>
        <w:t>附件2-15：《上市交易公告书》必备要素</w:t>
      </w:r>
      <w:bookmarkEnd w:id="1010"/>
      <w:bookmarkEnd w:id="1011"/>
      <w:bookmarkEnd w:id="1012"/>
      <w:bookmarkEnd w:id="1013"/>
      <w:bookmarkEnd w:id="1014"/>
    </w:p>
    <w:p w14:paraId="4D77F6EF">
      <w:pPr>
        <w:spacing w:line="360" w:lineRule="auto"/>
        <w:ind w:firstLine="643" w:firstLineChars="200"/>
        <w:rPr>
          <w:rFonts w:ascii="Times New Roman" w:hAnsi="Times New Roman" w:eastAsia="仿宋_GB2312" w:cs="Times New Roman"/>
          <w:b/>
          <w:bCs/>
          <w:sz w:val="32"/>
          <w:szCs w:val="32"/>
          <w:highlight w:val="none"/>
        </w:rPr>
      </w:pPr>
    </w:p>
    <w:p w14:paraId="0E490422">
      <w:pPr>
        <w:spacing w:line="360" w:lineRule="auto"/>
        <w:ind w:firstLine="482" w:firstLineChars="200"/>
        <w:rPr>
          <w:rFonts w:ascii="Times New Roman" w:hAnsi="Times New Roman" w:eastAsia="仿宋_GB2312" w:cs="Times New Roman"/>
          <w:b/>
          <w:sz w:val="24"/>
          <w:szCs w:val="24"/>
          <w:highlight w:val="none"/>
        </w:rPr>
      </w:pPr>
      <w:r>
        <w:rPr>
          <w:rFonts w:ascii="Times New Roman" w:hAnsi="Times New Roman" w:eastAsia="仿宋_GB2312" w:cs="Times New Roman"/>
          <w:b/>
          <w:sz w:val="24"/>
          <w:szCs w:val="24"/>
          <w:highlight w:val="none"/>
        </w:rPr>
        <w:t>一、重要声明与提示</w:t>
      </w:r>
    </w:p>
    <w:p w14:paraId="22304B4B">
      <w:pPr>
        <w:spacing w:line="360" w:lineRule="auto"/>
        <w:ind w:firstLine="482" w:firstLineChars="200"/>
        <w:rPr>
          <w:rFonts w:ascii="Times New Roman" w:hAnsi="Times New Roman" w:eastAsia="仿宋_GB2312" w:cs="Times New Roman"/>
          <w:b/>
          <w:sz w:val="24"/>
          <w:szCs w:val="24"/>
          <w:highlight w:val="none"/>
        </w:rPr>
      </w:pPr>
      <w:r>
        <w:rPr>
          <w:rFonts w:ascii="Times New Roman" w:hAnsi="Times New Roman" w:eastAsia="仿宋_GB2312" w:cs="Times New Roman"/>
          <w:b/>
          <w:sz w:val="24"/>
          <w:szCs w:val="24"/>
          <w:highlight w:val="none"/>
        </w:rPr>
        <w:t>二、基金概览</w:t>
      </w:r>
    </w:p>
    <w:p w14:paraId="31C545E7">
      <w:pPr>
        <w:spacing w:line="360" w:lineRule="auto"/>
        <w:ind w:firstLine="480" w:firstLineChars="200"/>
        <w:rPr>
          <w:rFonts w:ascii="Times New Roman" w:hAnsi="Times New Roman" w:eastAsia="仿宋_GB2312" w:cs="Times New Roman"/>
          <w:sz w:val="24"/>
          <w:szCs w:val="24"/>
          <w:highlight w:val="none"/>
        </w:rPr>
      </w:pPr>
      <w:r>
        <w:rPr>
          <w:rFonts w:ascii="Times New Roman" w:hAnsi="Times New Roman" w:eastAsia="仿宋_GB2312" w:cs="Times New Roman"/>
          <w:sz w:val="24"/>
          <w:szCs w:val="24"/>
          <w:highlight w:val="none"/>
        </w:rPr>
        <w:t>（一）基金简称、交易代码、截至公告日前两个工作日的基金份额总额和基金份额净值、本次上市的扩募份额、上市交易的证券交易所、上市交易日期、基金管理人、基金托管人等基本信息。</w:t>
      </w:r>
    </w:p>
    <w:p w14:paraId="78177798">
      <w:pPr>
        <w:spacing w:line="360" w:lineRule="auto"/>
        <w:ind w:firstLine="480" w:firstLineChars="200"/>
        <w:rPr>
          <w:rFonts w:ascii="Times New Roman" w:hAnsi="Times New Roman" w:eastAsia="仿宋_GB2312" w:cs="Times New Roman"/>
          <w:sz w:val="24"/>
          <w:szCs w:val="24"/>
          <w:highlight w:val="none"/>
        </w:rPr>
      </w:pPr>
      <w:r>
        <w:rPr>
          <w:rFonts w:ascii="Times New Roman" w:hAnsi="Times New Roman" w:eastAsia="仿宋_GB2312" w:cs="Times New Roman"/>
          <w:sz w:val="24"/>
          <w:szCs w:val="24"/>
          <w:highlight w:val="none"/>
        </w:rPr>
        <w:t>（二）</w:t>
      </w:r>
      <w:r>
        <w:rPr>
          <w:rFonts w:hint="eastAsia" w:ascii="Times New Roman" w:hAnsi="Times New Roman" w:eastAsia="仿宋_GB2312" w:cs="Times New Roman"/>
          <w:sz w:val="24"/>
          <w:szCs w:val="24"/>
          <w:highlight w:val="none"/>
        </w:rPr>
        <w:t>不动产</w:t>
      </w:r>
      <w:r>
        <w:rPr>
          <w:rFonts w:ascii="Times New Roman" w:hAnsi="Times New Roman" w:eastAsia="仿宋_GB2312" w:cs="Times New Roman"/>
          <w:sz w:val="24"/>
          <w:szCs w:val="24"/>
          <w:highlight w:val="none"/>
        </w:rPr>
        <w:t>基金投资运作、交易等环节的主要风险。</w:t>
      </w:r>
    </w:p>
    <w:p w14:paraId="375409C4">
      <w:pPr>
        <w:spacing w:line="360" w:lineRule="auto"/>
        <w:ind w:firstLine="480" w:firstLineChars="200"/>
        <w:rPr>
          <w:rFonts w:ascii="Times New Roman" w:hAnsi="Times New Roman" w:eastAsia="仿宋_GB2312" w:cs="Times New Roman"/>
          <w:sz w:val="24"/>
          <w:szCs w:val="24"/>
          <w:highlight w:val="none"/>
        </w:rPr>
      </w:pPr>
      <w:r>
        <w:rPr>
          <w:rFonts w:ascii="Times New Roman" w:hAnsi="Times New Roman" w:eastAsia="仿宋_GB2312" w:cs="Times New Roman"/>
          <w:sz w:val="24"/>
          <w:szCs w:val="24"/>
          <w:highlight w:val="none"/>
        </w:rPr>
        <w:t>（三）</w:t>
      </w:r>
      <w:r>
        <w:rPr>
          <w:rFonts w:hint="eastAsia" w:ascii="Times New Roman" w:hAnsi="Times New Roman" w:eastAsia="仿宋_GB2312" w:cs="Times New Roman"/>
          <w:sz w:val="24"/>
          <w:szCs w:val="24"/>
          <w:highlight w:val="none"/>
        </w:rPr>
        <w:t>不动产</w:t>
      </w:r>
      <w:r>
        <w:rPr>
          <w:rFonts w:ascii="Times New Roman" w:hAnsi="Times New Roman" w:eastAsia="仿宋_GB2312" w:cs="Times New Roman"/>
          <w:sz w:val="24"/>
          <w:szCs w:val="24"/>
          <w:highlight w:val="none"/>
        </w:rPr>
        <w:t>基金认购</w:t>
      </w:r>
      <w:r>
        <w:rPr>
          <w:rFonts w:hint="eastAsia" w:ascii="Times New Roman" w:hAnsi="Times New Roman" w:eastAsia="仿宋_GB2312" w:cs="Times New Roman"/>
          <w:sz w:val="24"/>
          <w:szCs w:val="24"/>
          <w:highlight w:val="none"/>
        </w:rPr>
        <w:t>不动产</w:t>
      </w:r>
      <w:r>
        <w:rPr>
          <w:rFonts w:ascii="Times New Roman" w:hAnsi="Times New Roman" w:eastAsia="仿宋_GB2312" w:cs="Times New Roman"/>
          <w:sz w:val="24"/>
          <w:szCs w:val="24"/>
          <w:highlight w:val="none"/>
        </w:rPr>
        <w:t>资产支持证券以及</w:t>
      </w:r>
      <w:r>
        <w:rPr>
          <w:rFonts w:hint="eastAsia" w:ascii="Times New Roman" w:hAnsi="Times New Roman" w:eastAsia="仿宋_GB2312" w:cs="Times New Roman"/>
          <w:sz w:val="24"/>
          <w:szCs w:val="24"/>
          <w:highlight w:val="none"/>
        </w:rPr>
        <w:t>不动产</w:t>
      </w:r>
      <w:r>
        <w:rPr>
          <w:rFonts w:ascii="Times New Roman" w:hAnsi="Times New Roman" w:eastAsia="仿宋_GB2312" w:cs="Times New Roman"/>
          <w:sz w:val="24"/>
          <w:szCs w:val="24"/>
          <w:highlight w:val="none"/>
        </w:rPr>
        <w:t>基金所投资专项计划投资基础资产的情况。</w:t>
      </w:r>
    </w:p>
    <w:p w14:paraId="2E076E4F">
      <w:pPr>
        <w:spacing w:line="360" w:lineRule="auto"/>
        <w:ind w:firstLine="482" w:firstLineChars="200"/>
        <w:rPr>
          <w:rFonts w:ascii="Times New Roman" w:hAnsi="Times New Roman" w:eastAsia="仿宋_GB2312" w:cs="Times New Roman"/>
          <w:b/>
          <w:sz w:val="24"/>
          <w:szCs w:val="24"/>
          <w:highlight w:val="none"/>
        </w:rPr>
      </w:pPr>
      <w:r>
        <w:rPr>
          <w:rFonts w:ascii="Times New Roman" w:hAnsi="Times New Roman" w:eastAsia="仿宋_GB2312" w:cs="Times New Roman"/>
          <w:b/>
          <w:sz w:val="24"/>
          <w:szCs w:val="24"/>
          <w:highlight w:val="none"/>
        </w:rPr>
        <w:t>三、基金的扩募与上市交易</w:t>
      </w:r>
    </w:p>
    <w:p w14:paraId="6E1F98D3">
      <w:pPr>
        <w:spacing w:line="360" w:lineRule="auto"/>
        <w:ind w:firstLine="480" w:firstLineChars="200"/>
        <w:rPr>
          <w:rFonts w:ascii="Times New Roman" w:hAnsi="Times New Roman" w:eastAsia="仿宋_GB2312" w:cs="Times New Roman"/>
          <w:sz w:val="24"/>
          <w:szCs w:val="24"/>
          <w:highlight w:val="none"/>
        </w:rPr>
      </w:pPr>
      <w:r>
        <w:rPr>
          <w:rFonts w:ascii="Times New Roman" w:hAnsi="Times New Roman" w:eastAsia="仿宋_GB2312" w:cs="Times New Roman"/>
          <w:sz w:val="24"/>
          <w:szCs w:val="24"/>
          <w:highlight w:val="none"/>
        </w:rPr>
        <w:t>（一）本次上市前扩募份额募集情况，至少包括：</w:t>
      </w:r>
    </w:p>
    <w:p w14:paraId="4D36C579">
      <w:pPr>
        <w:spacing w:line="360" w:lineRule="auto"/>
        <w:ind w:firstLine="480" w:firstLineChars="200"/>
        <w:rPr>
          <w:rFonts w:ascii="Times New Roman" w:hAnsi="Times New Roman" w:eastAsia="仿宋_GB2312" w:cs="Times New Roman"/>
          <w:sz w:val="24"/>
          <w:szCs w:val="24"/>
          <w:highlight w:val="none"/>
        </w:rPr>
      </w:pPr>
      <w:r>
        <w:rPr>
          <w:rFonts w:ascii="Times New Roman" w:hAnsi="Times New Roman" w:eastAsia="仿宋_GB2312" w:cs="Times New Roman"/>
          <w:sz w:val="24"/>
          <w:szCs w:val="24"/>
          <w:highlight w:val="none"/>
        </w:rPr>
        <w:t>1、基金募集申请的核准机构和核准文号、基金运作方式、基金合同期限、发售日期、发售价格、发售期限、发售方式、发售机构、验资机构名称、募集资金总额及入账情况、基金备案情况、基金合同更新生效日及该日的基金份额总额等；</w:t>
      </w:r>
    </w:p>
    <w:p w14:paraId="49427F4F">
      <w:pPr>
        <w:spacing w:line="360" w:lineRule="auto"/>
        <w:ind w:firstLine="480" w:firstLineChars="200"/>
        <w:rPr>
          <w:rFonts w:ascii="Times New Roman" w:hAnsi="Times New Roman" w:eastAsia="仿宋_GB2312" w:cs="Times New Roman"/>
          <w:sz w:val="24"/>
          <w:szCs w:val="24"/>
          <w:highlight w:val="none"/>
        </w:rPr>
      </w:pPr>
      <w:r>
        <w:rPr>
          <w:rFonts w:ascii="Times New Roman" w:hAnsi="Times New Roman" w:eastAsia="仿宋_GB2312" w:cs="Times New Roman"/>
          <w:sz w:val="24"/>
          <w:szCs w:val="24"/>
          <w:highlight w:val="none"/>
        </w:rPr>
        <w:t>2、投资者参与本次基金战略配售的具体情况及限售安排。</w:t>
      </w:r>
    </w:p>
    <w:p w14:paraId="171AD710">
      <w:pPr>
        <w:spacing w:line="360" w:lineRule="auto"/>
        <w:ind w:firstLine="480" w:firstLineChars="200"/>
        <w:rPr>
          <w:rFonts w:ascii="Times New Roman" w:hAnsi="Times New Roman" w:eastAsia="仿宋_GB2312" w:cs="Times New Roman"/>
          <w:sz w:val="24"/>
          <w:szCs w:val="24"/>
          <w:highlight w:val="none"/>
        </w:rPr>
      </w:pPr>
      <w:r>
        <w:rPr>
          <w:rFonts w:ascii="Times New Roman" w:hAnsi="Times New Roman" w:eastAsia="仿宋_GB2312" w:cs="Times New Roman"/>
          <w:sz w:val="24"/>
          <w:szCs w:val="24"/>
          <w:highlight w:val="none"/>
        </w:rPr>
        <w:t>（二）基金上市交易的主要内容，至少包括：</w:t>
      </w:r>
    </w:p>
    <w:p w14:paraId="7BB940B9">
      <w:pPr>
        <w:spacing w:line="360" w:lineRule="auto"/>
        <w:ind w:firstLine="480" w:firstLineChars="200"/>
        <w:rPr>
          <w:rFonts w:ascii="Times New Roman" w:hAnsi="Times New Roman" w:eastAsia="仿宋_GB2312" w:cs="Times New Roman"/>
          <w:sz w:val="24"/>
          <w:szCs w:val="24"/>
          <w:highlight w:val="none"/>
        </w:rPr>
      </w:pPr>
      <w:r>
        <w:rPr>
          <w:rFonts w:ascii="Times New Roman" w:hAnsi="Times New Roman" w:eastAsia="仿宋_GB2312" w:cs="Times New Roman"/>
          <w:sz w:val="24"/>
          <w:szCs w:val="24"/>
          <w:highlight w:val="none"/>
        </w:rPr>
        <w:t>基金上市交易的核准机构和核准文号、上市交易日期、上市交易的证券交易所、基金简称、基金交易代码、本次上市交易无限售安排的份额、本次上市交易有限售安排的份额、未上市交易份额的份额规定。</w:t>
      </w:r>
    </w:p>
    <w:p w14:paraId="0CF4F717">
      <w:pPr>
        <w:spacing w:line="360" w:lineRule="auto"/>
        <w:ind w:firstLine="482" w:firstLineChars="200"/>
        <w:rPr>
          <w:rFonts w:ascii="Times New Roman" w:hAnsi="Times New Roman" w:eastAsia="仿宋_GB2312" w:cs="Times New Roman"/>
          <w:b/>
          <w:sz w:val="24"/>
          <w:szCs w:val="24"/>
          <w:highlight w:val="none"/>
        </w:rPr>
      </w:pPr>
      <w:r>
        <w:rPr>
          <w:rFonts w:ascii="Times New Roman" w:hAnsi="Times New Roman" w:eastAsia="仿宋_GB2312" w:cs="Times New Roman"/>
          <w:b/>
          <w:sz w:val="24"/>
          <w:szCs w:val="24"/>
          <w:highlight w:val="none"/>
        </w:rPr>
        <w:t>四、持有人户数、持有人结构及前十名持有人</w:t>
      </w:r>
    </w:p>
    <w:p w14:paraId="2CB7E6D4">
      <w:pPr>
        <w:spacing w:line="360" w:lineRule="auto"/>
        <w:ind w:firstLine="482" w:firstLineChars="200"/>
        <w:rPr>
          <w:rFonts w:ascii="Times New Roman" w:hAnsi="Times New Roman" w:eastAsia="仿宋_GB2312" w:cs="Times New Roman"/>
          <w:b/>
          <w:sz w:val="24"/>
          <w:szCs w:val="24"/>
          <w:highlight w:val="none"/>
        </w:rPr>
      </w:pPr>
      <w:r>
        <w:rPr>
          <w:rFonts w:ascii="Times New Roman" w:hAnsi="Times New Roman" w:eastAsia="仿宋_GB2312" w:cs="Times New Roman"/>
          <w:b/>
          <w:sz w:val="24"/>
          <w:szCs w:val="24"/>
          <w:highlight w:val="none"/>
        </w:rPr>
        <w:t>五、基金主要当事人简介</w:t>
      </w:r>
    </w:p>
    <w:p w14:paraId="261F12B5">
      <w:pPr>
        <w:spacing w:line="360" w:lineRule="auto"/>
        <w:ind w:firstLine="480" w:firstLineChars="200"/>
        <w:rPr>
          <w:rFonts w:ascii="Times New Roman" w:hAnsi="Times New Roman" w:eastAsia="仿宋_GB2312" w:cs="Times New Roman"/>
          <w:sz w:val="24"/>
          <w:szCs w:val="24"/>
          <w:highlight w:val="none"/>
        </w:rPr>
      </w:pPr>
      <w:r>
        <w:rPr>
          <w:rFonts w:ascii="Times New Roman" w:hAnsi="Times New Roman" w:eastAsia="仿宋_GB2312" w:cs="Times New Roman"/>
          <w:sz w:val="24"/>
          <w:szCs w:val="24"/>
          <w:highlight w:val="none"/>
        </w:rPr>
        <w:t>基金管理人、基金托管人、基金验资机构等基本信息</w:t>
      </w:r>
    </w:p>
    <w:p w14:paraId="111D6C5E">
      <w:pPr>
        <w:spacing w:line="360" w:lineRule="auto"/>
        <w:ind w:firstLine="482" w:firstLineChars="200"/>
        <w:rPr>
          <w:rFonts w:ascii="Times New Roman" w:hAnsi="Times New Roman" w:eastAsia="仿宋_GB2312" w:cs="Times New Roman"/>
          <w:b/>
          <w:sz w:val="24"/>
          <w:szCs w:val="24"/>
          <w:highlight w:val="none"/>
        </w:rPr>
      </w:pPr>
      <w:r>
        <w:rPr>
          <w:rFonts w:ascii="Times New Roman" w:hAnsi="Times New Roman" w:eastAsia="仿宋_GB2312" w:cs="Times New Roman"/>
          <w:b/>
          <w:sz w:val="24"/>
          <w:szCs w:val="24"/>
          <w:highlight w:val="none"/>
        </w:rPr>
        <w:t>六、基金合同摘要</w:t>
      </w:r>
    </w:p>
    <w:p w14:paraId="30D317FC">
      <w:pPr>
        <w:spacing w:line="360" w:lineRule="auto"/>
        <w:ind w:firstLine="482" w:firstLineChars="200"/>
        <w:rPr>
          <w:rFonts w:ascii="Times New Roman" w:hAnsi="Times New Roman" w:eastAsia="仿宋_GB2312" w:cs="Times New Roman"/>
          <w:b/>
          <w:sz w:val="24"/>
          <w:szCs w:val="24"/>
          <w:highlight w:val="none"/>
        </w:rPr>
      </w:pPr>
      <w:r>
        <w:rPr>
          <w:rFonts w:ascii="Times New Roman" w:hAnsi="Times New Roman" w:eastAsia="仿宋_GB2312" w:cs="Times New Roman"/>
          <w:b/>
          <w:sz w:val="24"/>
          <w:szCs w:val="24"/>
          <w:highlight w:val="none"/>
        </w:rPr>
        <w:t>七、基金财务状况</w:t>
      </w:r>
    </w:p>
    <w:p w14:paraId="2D4BDD1D">
      <w:pPr>
        <w:spacing w:line="360" w:lineRule="auto"/>
        <w:ind w:firstLine="482" w:firstLineChars="200"/>
        <w:rPr>
          <w:rFonts w:ascii="Times New Roman" w:hAnsi="Times New Roman" w:eastAsia="仿宋_GB2312" w:cs="Times New Roman"/>
          <w:b/>
          <w:sz w:val="24"/>
          <w:szCs w:val="24"/>
          <w:highlight w:val="none"/>
        </w:rPr>
      </w:pPr>
      <w:r>
        <w:rPr>
          <w:rFonts w:ascii="Times New Roman" w:hAnsi="Times New Roman" w:eastAsia="仿宋_GB2312" w:cs="Times New Roman"/>
          <w:b/>
          <w:sz w:val="24"/>
          <w:szCs w:val="24"/>
          <w:highlight w:val="none"/>
        </w:rPr>
        <w:t>八、基金投资组合</w:t>
      </w:r>
    </w:p>
    <w:p w14:paraId="526E6EB6">
      <w:pPr>
        <w:spacing w:line="360" w:lineRule="auto"/>
        <w:ind w:firstLine="482" w:firstLineChars="200"/>
        <w:rPr>
          <w:rFonts w:ascii="Times New Roman" w:hAnsi="Times New Roman" w:eastAsia="仿宋_GB2312" w:cs="Times New Roman"/>
          <w:b/>
          <w:sz w:val="24"/>
          <w:szCs w:val="24"/>
          <w:highlight w:val="none"/>
        </w:rPr>
      </w:pPr>
      <w:r>
        <w:rPr>
          <w:rFonts w:ascii="Times New Roman" w:hAnsi="Times New Roman" w:eastAsia="仿宋_GB2312" w:cs="Times New Roman"/>
          <w:b/>
          <w:sz w:val="24"/>
          <w:szCs w:val="24"/>
          <w:highlight w:val="none"/>
        </w:rPr>
        <w:t>九、重大事件揭示</w:t>
      </w:r>
    </w:p>
    <w:p w14:paraId="719A1966">
      <w:pPr>
        <w:spacing w:line="360" w:lineRule="auto"/>
        <w:ind w:firstLine="482" w:firstLineChars="200"/>
        <w:rPr>
          <w:rFonts w:ascii="Times New Roman" w:hAnsi="Times New Roman" w:eastAsia="仿宋_GB2312" w:cs="Times New Roman"/>
          <w:b/>
          <w:sz w:val="24"/>
          <w:szCs w:val="24"/>
          <w:highlight w:val="none"/>
        </w:rPr>
      </w:pPr>
      <w:r>
        <w:rPr>
          <w:rFonts w:ascii="Times New Roman" w:hAnsi="Times New Roman" w:eastAsia="仿宋_GB2312" w:cs="Times New Roman"/>
          <w:b/>
          <w:sz w:val="24"/>
          <w:szCs w:val="24"/>
          <w:highlight w:val="none"/>
        </w:rPr>
        <w:t>十、基金管理人承诺</w:t>
      </w:r>
    </w:p>
    <w:p w14:paraId="3FCD63BA">
      <w:pPr>
        <w:spacing w:line="360" w:lineRule="auto"/>
        <w:ind w:firstLine="482" w:firstLineChars="200"/>
        <w:rPr>
          <w:rFonts w:ascii="Times New Roman" w:hAnsi="Times New Roman" w:eastAsia="仿宋_GB2312" w:cs="Times New Roman"/>
          <w:b/>
          <w:sz w:val="24"/>
          <w:szCs w:val="24"/>
          <w:highlight w:val="none"/>
        </w:rPr>
      </w:pPr>
      <w:r>
        <w:rPr>
          <w:rFonts w:ascii="Times New Roman" w:hAnsi="Times New Roman" w:eastAsia="仿宋_GB2312" w:cs="Times New Roman"/>
          <w:b/>
          <w:sz w:val="24"/>
          <w:szCs w:val="24"/>
          <w:highlight w:val="none"/>
        </w:rPr>
        <w:t>十一、基金托管人承诺</w:t>
      </w:r>
    </w:p>
    <w:p w14:paraId="4577B235">
      <w:pPr>
        <w:spacing w:line="360" w:lineRule="auto"/>
        <w:ind w:firstLine="482" w:firstLineChars="200"/>
        <w:rPr>
          <w:rFonts w:ascii="Times New Roman" w:hAnsi="Times New Roman" w:eastAsia="仿宋_GB2312" w:cs="Times New Roman"/>
          <w:sz w:val="24"/>
          <w:szCs w:val="24"/>
          <w:highlight w:val="none"/>
        </w:rPr>
      </w:pPr>
      <w:r>
        <w:rPr>
          <w:rFonts w:ascii="Times New Roman" w:hAnsi="Times New Roman" w:eastAsia="仿宋_GB2312" w:cs="Times New Roman"/>
          <w:b/>
          <w:sz w:val="24"/>
          <w:szCs w:val="24"/>
          <w:highlight w:val="none"/>
        </w:rPr>
        <w:t>十二、备查文件目录</w:t>
      </w:r>
    </w:p>
    <w:bookmarkEnd w:id="891"/>
    <w:bookmarkEnd w:id="892"/>
    <w:bookmarkEnd w:id="893"/>
    <w:bookmarkEnd w:id="900"/>
    <w:bookmarkEnd w:id="901"/>
    <w:bookmarkEnd w:id="902"/>
    <w:bookmarkEnd w:id="903"/>
    <w:bookmarkEnd w:id="904"/>
    <w:p w14:paraId="1BFC7AB7">
      <w:pPr>
        <w:spacing w:line="360" w:lineRule="auto"/>
        <w:ind w:firstLine="480" w:firstLineChars="200"/>
        <w:rPr>
          <w:rFonts w:ascii="Times New Roman" w:hAnsi="Times New Roman" w:eastAsia="仿宋_GB2312" w:cs="Times New Roman"/>
          <w:sz w:val="24"/>
          <w:szCs w:val="24"/>
          <w:highlight w:val="none"/>
        </w:rPr>
      </w:pPr>
    </w:p>
    <w:sectPr>
      <w:headerReference r:id="rId18" w:type="first"/>
      <w:footerReference r:id="rId21" w:type="first"/>
      <w:headerReference r:id="rId16" w:type="default"/>
      <w:footerReference r:id="rId19" w:type="default"/>
      <w:headerReference r:id="rId17" w:type="even"/>
      <w:footerReference r:id="rId20" w:type="even"/>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 w:name="方正大标宋简体">
    <w:panose1 w:val="02000000000000000000"/>
    <w:charset w:val="86"/>
    <w:family w:val="auto"/>
    <w:pitch w:val="default"/>
    <w:sig w:usb0="A00002BF" w:usb1="184F6CFA" w:usb2="00000012" w:usb3="00000000" w:csb0="00040001" w:csb1="00000000"/>
  </w:font>
  <w:font w:name="仿宋_GB2312">
    <w:panose1 w:val="02010609030101010101"/>
    <w:charset w:val="86"/>
    <w:family w:val="auto"/>
    <w:pitch w:val="default"/>
    <w:sig w:usb0="00000001" w:usb1="080E0000" w:usb2="00000000" w:usb3="00000000" w:csb0="00040000" w:csb1="00000000"/>
  </w:font>
  <w:font w:name="Cambria">
    <w:panose1 w:val="02040503050406030204"/>
    <w:charset w:val="00"/>
    <w:family w:val="roman"/>
    <w:pitch w:val="default"/>
    <w:sig w:usb0="E00006FF" w:usb1="420024FF" w:usb2="02000000" w:usb3="00000000" w:csb0="2000019F" w:csb1="00000000"/>
  </w:font>
  <w:font w:name="方正仿宋简体">
    <w:altName w:val="微软雅黑"/>
    <w:panose1 w:val="02000500000000000000"/>
    <w:charset w:val="86"/>
    <w:family w:val="auto"/>
    <w:pitch w:val="default"/>
    <w:sig w:usb0="00000000" w:usb1="00000000" w:usb2="00000012" w:usb3="00000000" w:csb0="00040001" w:csb1="00000000"/>
  </w:font>
  <w:font w:name="楷体">
    <w:panose1 w:val="02010609060101010101"/>
    <w:charset w:val="86"/>
    <w:family w:val="modern"/>
    <w:pitch w:val="default"/>
    <w:sig w:usb0="800002BF" w:usb1="38CF7CFA" w:usb2="00000016" w:usb3="00000000" w:csb0="00040001" w:csb1="00000000"/>
  </w:font>
  <w:font w:name="TimesNewRomanPSMT">
    <w:altName w:val="Times New Roman"/>
    <w:panose1 w:val="00000000000000000000"/>
    <w:charset w:val="00"/>
    <w:family w:val="auto"/>
    <w:pitch w:val="default"/>
    <w:sig w:usb0="00000000" w:usb1="00000000" w:usb2="00000000" w:usb3="00000000" w:csb0="00000000" w:csb1="00000000"/>
  </w:font>
  <w:font w:name="方正小标宋简体">
    <w:panose1 w:val="02010601030101010101"/>
    <w:charset w:val="86"/>
    <w:family w:val="auto"/>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Wingdings">
    <w:panose1 w:val="05000000000000000000"/>
    <w:charset w:val="00"/>
    <w:family w:val="auto"/>
    <w:pitch w:val="default"/>
    <w:sig w:usb0="00000000" w:usb1="0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A76580">
    <w:pPr>
      <w:pStyle w:val="11"/>
      <w:jc w:val="center"/>
      <w:rPr>
        <w:rFonts w:ascii="Times New Roman" w:hAnsi="Times New Roman"/>
      </w:rPr>
    </w:pPr>
  </w:p>
  <w:p w14:paraId="44ED9C0B">
    <w:pPr>
      <w:pStyle w:val="11"/>
      <w:rPr>
        <w:rFonts w:ascii="Times New Roman" w:hAnsi="Times New Roman"/>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D57AA1">
    <w:pPr>
      <w:pStyle w:val="11"/>
      <w:jc w:val="center"/>
      <w:rPr>
        <w:rFonts w:ascii="Times New Roman" w:hAnsi="Times New Roman"/>
      </w:rPr>
    </w:pPr>
    <w:r>
      <mc:AlternateContent>
        <mc:Choice Requires="wps">
          <w:drawing>
            <wp:anchor distT="0" distB="0" distL="114300" distR="114300" simplePos="0" relativeHeight="251659264" behindDoc="0" locked="0" layoutInCell="1" allowOverlap="1">
              <wp:simplePos x="0" y="0"/>
              <wp:positionH relativeFrom="margin">
                <wp:posOffset>0</wp:posOffset>
              </wp:positionH>
              <wp:positionV relativeFrom="paragraph">
                <wp:posOffset>-147320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rPr>
                              <w:rFonts w:hint="eastAsia" w:ascii="Times New Roman" w:hAnsi="Times New Roman" w:eastAsiaTheme="majorEastAsia" w:cstheme="majorEastAsia"/>
                              <w:sz w:val="28"/>
                              <w:szCs w:val="28"/>
                            </w:rPr>
                            <w:id w:val="135515910"/>
                          </w:sdtPr>
                          <w:sdtEndPr>
                            <w:rPr>
                              <w:rFonts w:hint="eastAsia" w:ascii="Times New Roman" w:hAnsi="Times New Roman" w:eastAsiaTheme="majorEastAsia" w:cstheme="majorEastAsia"/>
                              <w:sz w:val="28"/>
                              <w:szCs w:val="28"/>
                            </w:rPr>
                          </w:sdtEndPr>
                          <w:sdtContent>
                            <w:p w14:paraId="4A4A59DE">
                              <w:pPr>
                                <w:pStyle w:val="11"/>
                                <w:jc w:val="center"/>
                                <w:rPr>
                                  <w:rFonts w:ascii="Times New Roman" w:hAnsi="Times New Roman" w:eastAsiaTheme="majorEastAsia" w:cstheme="majorEastAsia"/>
                                  <w:sz w:val="28"/>
                                  <w:szCs w:val="28"/>
                                </w:rPr>
                              </w:pPr>
                              <w:r>
                                <w:rPr>
                                  <w:rFonts w:hint="eastAsia" w:ascii="Times New Roman" w:hAnsi="Times New Roman" w:eastAsia="仿宋_GB2312"/>
                                  <w:bCs/>
                                  <w:sz w:val="28"/>
                                </w:rPr>
                                <w:t>－</w:t>
                              </w:r>
                              <w:r>
                                <w:rPr>
                                  <w:rFonts w:hint="eastAsia" w:ascii="Times New Roman" w:hAnsi="Times New Roman" w:eastAsiaTheme="majorEastAsia" w:cstheme="majorEastAsia"/>
                                  <w:sz w:val="28"/>
                                  <w:szCs w:val="28"/>
                                </w:rPr>
                                <w:fldChar w:fldCharType="begin"/>
                              </w:r>
                              <w:r>
                                <w:rPr>
                                  <w:rFonts w:hint="eastAsia" w:asciiTheme="majorEastAsia" w:hAnsiTheme="majorEastAsia" w:eastAsiaTheme="majorEastAsia" w:cstheme="majorEastAsia"/>
                                  <w:sz w:val="28"/>
                                  <w:szCs w:val="28"/>
                                </w:rPr>
                                <w:instrText xml:space="preserve"> PAGE   \* MERGEFORMAT </w:instrText>
                              </w:r>
                              <w:r>
                                <w:rPr>
                                  <w:rFonts w:hint="eastAsia" w:ascii="Times New Roman" w:hAnsi="Times New Roman" w:eastAsiaTheme="majorEastAsia" w:cstheme="majorEastAsia"/>
                                  <w:sz w:val="28"/>
                                  <w:szCs w:val="28"/>
                                </w:rPr>
                                <w:fldChar w:fldCharType="separate"/>
                              </w:r>
                              <w:r>
                                <w:rPr>
                                  <w:rFonts w:asciiTheme="majorEastAsia" w:hAnsiTheme="majorEastAsia" w:eastAsiaTheme="majorEastAsia" w:cstheme="majorEastAsia"/>
                                  <w:sz w:val="28"/>
                                  <w:szCs w:val="28"/>
                                  <w:lang w:val="zh-CN"/>
                                </w:rPr>
                                <w:t>22</w:t>
                              </w:r>
                              <w:r>
                                <w:rPr>
                                  <w:rFonts w:hint="eastAsia" w:ascii="Times New Roman" w:hAnsi="Times New Roman" w:eastAsiaTheme="majorEastAsia" w:cstheme="majorEastAsia"/>
                                  <w:sz w:val="28"/>
                                  <w:szCs w:val="28"/>
                                  <w:lang w:val="zh-CN"/>
                                </w:rPr>
                                <w:fldChar w:fldCharType="end"/>
                              </w:r>
                              <w:r>
                                <w:rPr>
                                  <w:rFonts w:hint="eastAsia" w:ascii="Times New Roman" w:hAnsi="Times New Roman" w:eastAsia="仿宋_GB2312"/>
                                  <w:bCs/>
                                  <w:sz w:val="28"/>
                                </w:rPr>
                                <w:t>－</w:t>
                              </w:r>
                            </w:p>
                          </w:sdtContent>
                        </w:sdt>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left:0pt;margin-top:-11.6pt;height:144pt;width:144pt;mso-position-horizontal-relative:margin;mso-wrap-style:none;z-index:251659264;mso-width-relative:page;mso-height-relative:page;" filled="f" stroked="f" coordsize="21600,21600" o:gfxdata="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GoZaszVAAAACAEAAA8AAAAAAAAAAQAgAAAAIgAAAGRycy9kb3ducmV2LnhtbFBLAQIUABQA&#10;AAAIAIdO4kC9Dt23LAIAAFUEAAAOAAAAAAAAAAEAIAAAACQBAABkcnMvZTJvRG9jLnhtbFBLBQYA&#10;AAAABgAGAFkBAADCBQAAAAA=&#10;">
              <v:fill on="f" focussize="0,0"/>
              <v:stroke on="f" weight="0.5pt"/>
              <v:imagedata o:title=""/>
              <o:lock v:ext="edit" aspectratio="f"/>
              <v:textbox inset="0mm,0mm,0mm,0mm" style="mso-fit-shape-to-text:t;">
                <w:txbxContent>
                  <w:sdt>
                    <w:sdtPr>
                      <w:rPr>
                        <w:rFonts w:hint="eastAsia" w:ascii="Times New Roman" w:hAnsi="Times New Roman" w:eastAsiaTheme="majorEastAsia" w:cstheme="majorEastAsia"/>
                        <w:sz w:val="28"/>
                        <w:szCs w:val="28"/>
                      </w:rPr>
                      <w:id w:val="135515910"/>
                    </w:sdtPr>
                    <w:sdtEndPr>
                      <w:rPr>
                        <w:rFonts w:hint="eastAsia" w:ascii="Times New Roman" w:hAnsi="Times New Roman" w:eastAsiaTheme="majorEastAsia" w:cstheme="majorEastAsia"/>
                        <w:sz w:val="28"/>
                        <w:szCs w:val="28"/>
                      </w:rPr>
                    </w:sdtEndPr>
                    <w:sdtContent>
                      <w:p w14:paraId="4A4A59DE">
                        <w:pPr>
                          <w:pStyle w:val="11"/>
                          <w:jc w:val="center"/>
                          <w:rPr>
                            <w:rFonts w:ascii="Times New Roman" w:hAnsi="Times New Roman" w:eastAsiaTheme="majorEastAsia" w:cstheme="majorEastAsia"/>
                            <w:sz w:val="28"/>
                            <w:szCs w:val="28"/>
                          </w:rPr>
                        </w:pPr>
                        <w:r>
                          <w:rPr>
                            <w:rFonts w:hint="eastAsia" w:ascii="Times New Roman" w:hAnsi="Times New Roman" w:eastAsia="仿宋_GB2312"/>
                            <w:bCs/>
                            <w:sz w:val="28"/>
                          </w:rPr>
                          <w:t>－</w:t>
                        </w:r>
                        <w:r>
                          <w:rPr>
                            <w:rFonts w:hint="eastAsia" w:ascii="Times New Roman" w:hAnsi="Times New Roman" w:eastAsiaTheme="majorEastAsia" w:cstheme="majorEastAsia"/>
                            <w:sz w:val="28"/>
                            <w:szCs w:val="28"/>
                          </w:rPr>
                          <w:fldChar w:fldCharType="begin"/>
                        </w:r>
                        <w:r>
                          <w:rPr>
                            <w:rFonts w:hint="eastAsia" w:asciiTheme="majorEastAsia" w:hAnsiTheme="majorEastAsia" w:eastAsiaTheme="majorEastAsia" w:cstheme="majorEastAsia"/>
                            <w:sz w:val="28"/>
                            <w:szCs w:val="28"/>
                          </w:rPr>
                          <w:instrText xml:space="preserve"> PAGE   \* MERGEFORMAT </w:instrText>
                        </w:r>
                        <w:r>
                          <w:rPr>
                            <w:rFonts w:hint="eastAsia" w:ascii="Times New Roman" w:hAnsi="Times New Roman" w:eastAsiaTheme="majorEastAsia" w:cstheme="majorEastAsia"/>
                            <w:sz w:val="28"/>
                            <w:szCs w:val="28"/>
                          </w:rPr>
                          <w:fldChar w:fldCharType="separate"/>
                        </w:r>
                        <w:r>
                          <w:rPr>
                            <w:rFonts w:asciiTheme="majorEastAsia" w:hAnsiTheme="majorEastAsia" w:eastAsiaTheme="majorEastAsia" w:cstheme="majorEastAsia"/>
                            <w:sz w:val="28"/>
                            <w:szCs w:val="28"/>
                            <w:lang w:val="zh-CN"/>
                          </w:rPr>
                          <w:t>22</w:t>
                        </w:r>
                        <w:r>
                          <w:rPr>
                            <w:rFonts w:hint="eastAsia" w:ascii="Times New Roman" w:hAnsi="Times New Roman" w:eastAsiaTheme="majorEastAsia" w:cstheme="majorEastAsia"/>
                            <w:sz w:val="28"/>
                            <w:szCs w:val="28"/>
                            <w:lang w:val="zh-CN"/>
                          </w:rPr>
                          <w:fldChar w:fldCharType="end"/>
                        </w:r>
                        <w:r>
                          <w:rPr>
                            <w:rFonts w:hint="eastAsia" w:ascii="Times New Roman" w:hAnsi="Times New Roman" w:eastAsia="仿宋_GB2312"/>
                            <w:bCs/>
                            <w:sz w:val="28"/>
                          </w:rPr>
                          <w:t>－</w:t>
                        </w:r>
                      </w:p>
                    </w:sdtContent>
                  </w:sdt>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22555A">
    <w:pPr>
      <w:pStyle w:val="11"/>
      <w:jc w:val="center"/>
      <w:rPr>
        <w:rFonts w:ascii="Times New Roman" w:hAnsi="Times New Roman"/>
      </w:rPr>
    </w:pPr>
    <w:r>
      <mc:AlternateContent>
        <mc:Choice Requires="wps">
          <w:drawing>
            <wp:anchor distT="0" distB="0" distL="114300" distR="114300" simplePos="0" relativeHeight="251663360" behindDoc="0" locked="0" layoutInCell="1" allowOverlap="1">
              <wp:simplePos x="0" y="0"/>
              <wp:positionH relativeFrom="margin">
                <wp:posOffset>4829175</wp:posOffset>
              </wp:positionH>
              <wp:positionV relativeFrom="paragraph">
                <wp:posOffset>-15875</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rPr>
                              <w:rFonts w:hint="eastAsia" w:ascii="Times New Roman" w:hAnsi="Times New Roman" w:eastAsiaTheme="majorEastAsia" w:cstheme="majorEastAsia"/>
                              <w:sz w:val="28"/>
                              <w:szCs w:val="28"/>
                            </w:rPr>
                            <w:id w:val="89511628"/>
                          </w:sdtPr>
                          <w:sdtEndPr>
                            <w:rPr>
                              <w:rFonts w:hint="eastAsia" w:ascii="Times New Roman" w:hAnsi="Times New Roman" w:eastAsiaTheme="majorEastAsia" w:cstheme="majorEastAsia"/>
                              <w:sz w:val="28"/>
                              <w:szCs w:val="28"/>
                            </w:rPr>
                          </w:sdtEndPr>
                          <w:sdtContent>
                            <w:p w14:paraId="7C8531D3">
                              <w:pPr>
                                <w:pStyle w:val="11"/>
                                <w:jc w:val="center"/>
                                <w:rPr>
                                  <w:rFonts w:ascii="Times New Roman" w:hAnsi="Times New Roman" w:eastAsiaTheme="majorEastAsia" w:cstheme="majorEastAsia"/>
                                  <w:sz w:val="28"/>
                                  <w:szCs w:val="28"/>
                                </w:rPr>
                              </w:pPr>
                              <w:r>
                                <w:rPr>
                                  <w:rFonts w:hint="eastAsia" w:ascii="Times New Roman" w:hAnsi="Times New Roman" w:eastAsia="仿宋_GB2312"/>
                                  <w:bCs/>
                                  <w:sz w:val="28"/>
                                </w:rPr>
                                <w:t>－</w:t>
                              </w:r>
                              <w:r>
                                <w:rPr>
                                  <w:rFonts w:hint="eastAsia" w:ascii="Times New Roman" w:hAnsi="Times New Roman" w:eastAsiaTheme="majorEastAsia" w:cstheme="majorEastAsia"/>
                                  <w:sz w:val="28"/>
                                  <w:szCs w:val="28"/>
                                </w:rPr>
                                <w:fldChar w:fldCharType="begin"/>
                              </w:r>
                              <w:r>
                                <w:rPr>
                                  <w:rFonts w:hint="eastAsia" w:asciiTheme="majorEastAsia" w:hAnsiTheme="majorEastAsia" w:eastAsiaTheme="majorEastAsia" w:cstheme="majorEastAsia"/>
                                  <w:sz w:val="28"/>
                                  <w:szCs w:val="28"/>
                                </w:rPr>
                                <w:instrText xml:space="preserve"> PAGE   \* MERGEFORMAT </w:instrText>
                              </w:r>
                              <w:r>
                                <w:rPr>
                                  <w:rFonts w:hint="eastAsia" w:ascii="Times New Roman" w:hAnsi="Times New Roman" w:eastAsiaTheme="majorEastAsia" w:cstheme="majorEastAsia"/>
                                  <w:sz w:val="28"/>
                                  <w:szCs w:val="28"/>
                                </w:rPr>
                                <w:fldChar w:fldCharType="separate"/>
                              </w:r>
                              <w:r>
                                <w:rPr>
                                  <w:rFonts w:asciiTheme="majorEastAsia" w:hAnsiTheme="majorEastAsia" w:eastAsiaTheme="majorEastAsia" w:cstheme="majorEastAsia"/>
                                  <w:sz w:val="28"/>
                                  <w:szCs w:val="28"/>
                                  <w:lang w:val="zh-CN"/>
                                </w:rPr>
                                <w:t>22</w:t>
                              </w:r>
                              <w:r>
                                <w:rPr>
                                  <w:rFonts w:hint="eastAsia" w:ascii="Times New Roman" w:hAnsi="Times New Roman" w:eastAsiaTheme="majorEastAsia" w:cstheme="majorEastAsia"/>
                                  <w:sz w:val="28"/>
                                  <w:szCs w:val="28"/>
                                  <w:lang w:val="zh-CN"/>
                                </w:rPr>
                                <w:fldChar w:fldCharType="end"/>
                              </w:r>
                              <w:r>
                                <w:rPr>
                                  <w:rFonts w:hint="eastAsia" w:ascii="Times New Roman" w:hAnsi="Times New Roman" w:eastAsia="仿宋_GB2312"/>
                                  <w:bCs/>
                                  <w:sz w:val="28"/>
                                </w:rPr>
                                <w:t>－</w:t>
                              </w:r>
                            </w:p>
                          </w:sdtContent>
                        </w:sdt>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left:380.25pt;margin-top:-1.25pt;height:144pt;width:144pt;mso-position-horizontal-relative:margin;mso-wrap-style:none;z-index:251663360;mso-width-relative:page;mso-height-relative:page;" filled="f" stroked="f" coordsize="21600,21600" o:gfxdata="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8Ptjt2AAAAAsBAAAPAAAAAAAAAAEAIAAAACIAAABkcnMvZG93bnJldi54bWxQSwECFAAU&#10;AAAACACHTuJAjNcOfCoCAABVBAAADgAAAAAAAAABACAAAAAnAQAAZHJzL2Uyb0RvYy54bWxQSwUG&#10;AAAAAAYABgBZAQAAwwUAAAAA&#10;">
              <v:fill on="f" focussize="0,0"/>
              <v:stroke on="f" weight="0.5pt"/>
              <v:imagedata o:title=""/>
              <o:lock v:ext="edit" aspectratio="f"/>
              <v:textbox inset="0mm,0mm,0mm,0mm" style="mso-fit-shape-to-text:t;">
                <w:txbxContent>
                  <w:sdt>
                    <w:sdtPr>
                      <w:rPr>
                        <w:rFonts w:hint="eastAsia" w:ascii="Times New Roman" w:hAnsi="Times New Roman" w:eastAsiaTheme="majorEastAsia" w:cstheme="majorEastAsia"/>
                        <w:sz w:val="28"/>
                        <w:szCs w:val="28"/>
                      </w:rPr>
                      <w:id w:val="89511628"/>
                    </w:sdtPr>
                    <w:sdtEndPr>
                      <w:rPr>
                        <w:rFonts w:hint="eastAsia" w:ascii="Times New Roman" w:hAnsi="Times New Roman" w:eastAsiaTheme="majorEastAsia" w:cstheme="majorEastAsia"/>
                        <w:sz w:val="28"/>
                        <w:szCs w:val="28"/>
                      </w:rPr>
                    </w:sdtEndPr>
                    <w:sdtContent>
                      <w:p w14:paraId="7C8531D3">
                        <w:pPr>
                          <w:pStyle w:val="11"/>
                          <w:jc w:val="center"/>
                          <w:rPr>
                            <w:rFonts w:ascii="Times New Roman" w:hAnsi="Times New Roman" w:eastAsiaTheme="majorEastAsia" w:cstheme="majorEastAsia"/>
                            <w:sz w:val="28"/>
                            <w:szCs w:val="28"/>
                          </w:rPr>
                        </w:pPr>
                        <w:r>
                          <w:rPr>
                            <w:rFonts w:hint="eastAsia" w:ascii="Times New Roman" w:hAnsi="Times New Roman" w:eastAsia="仿宋_GB2312"/>
                            <w:bCs/>
                            <w:sz w:val="28"/>
                          </w:rPr>
                          <w:t>－</w:t>
                        </w:r>
                        <w:r>
                          <w:rPr>
                            <w:rFonts w:hint="eastAsia" w:ascii="Times New Roman" w:hAnsi="Times New Roman" w:eastAsiaTheme="majorEastAsia" w:cstheme="majorEastAsia"/>
                            <w:sz w:val="28"/>
                            <w:szCs w:val="28"/>
                          </w:rPr>
                          <w:fldChar w:fldCharType="begin"/>
                        </w:r>
                        <w:r>
                          <w:rPr>
                            <w:rFonts w:hint="eastAsia" w:asciiTheme="majorEastAsia" w:hAnsiTheme="majorEastAsia" w:eastAsiaTheme="majorEastAsia" w:cstheme="majorEastAsia"/>
                            <w:sz w:val="28"/>
                            <w:szCs w:val="28"/>
                          </w:rPr>
                          <w:instrText xml:space="preserve"> PAGE   \* MERGEFORMAT </w:instrText>
                        </w:r>
                        <w:r>
                          <w:rPr>
                            <w:rFonts w:hint="eastAsia" w:ascii="Times New Roman" w:hAnsi="Times New Roman" w:eastAsiaTheme="majorEastAsia" w:cstheme="majorEastAsia"/>
                            <w:sz w:val="28"/>
                            <w:szCs w:val="28"/>
                          </w:rPr>
                          <w:fldChar w:fldCharType="separate"/>
                        </w:r>
                        <w:r>
                          <w:rPr>
                            <w:rFonts w:asciiTheme="majorEastAsia" w:hAnsiTheme="majorEastAsia" w:eastAsiaTheme="majorEastAsia" w:cstheme="majorEastAsia"/>
                            <w:sz w:val="28"/>
                            <w:szCs w:val="28"/>
                            <w:lang w:val="zh-CN"/>
                          </w:rPr>
                          <w:t>22</w:t>
                        </w:r>
                        <w:r>
                          <w:rPr>
                            <w:rFonts w:hint="eastAsia" w:ascii="Times New Roman" w:hAnsi="Times New Roman" w:eastAsiaTheme="majorEastAsia" w:cstheme="majorEastAsia"/>
                            <w:sz w:val="28"/>
                            <w:szCs w:val="28"/>
                            <w:lang w:val="zh-CN"/>
                          </w:rPr>
                          <w:fldChar w:fldCharType="end"/>
                        </w:r>
                        <w:r>
                          <w:rPr>
                            <w:rFonts w:hint="eastAsia" w:ascii="Times New Roman" w:hAnsi="Times New Roman" w:eastAsia="仿宋_GB2312"/>
                            <w:bCs/>
                            <w:sz w:val="28"/>
                          </w:rPr>
                          <w:t>－</w:t>
                        </w:r>
                      </w:p>
                    </w:sdtContent>
                  </w:sdt>
                </w:txbxContent>
              </v:textbox>
            </v:shape>
          </w:pict>
        </mc:Fallback>
      </mc:AlternateContent>
    </w:r>
  </w:p>
  <w:p w14:paraId="53311D9C">
    <w:pPr>
      <w:pStyle w:val="11"/>
      <w:rPr>
        <w:rFonts w:ascii="Times New Roman" w:hAnsi="Times New Roman"/>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ECB3B0">
    <w:pPr>
      <w:pStyle w:val="11"/>
      <w:jc w:val="center"/>
      <w:rPr>
        <w:rFonts w:ascii="Times New Roman" w:hAnsi="Times New Roman"/>
      </w:rPr>
    </w:pPr>
    <w:r>
      <mc:AlternateContent>
        <mc:Choice Requires="wps">
          <w:drawing>
            <wp:anchor distT="0" distB="0" distL="114300" distR="114300" simplePos="0" relativeHeight="251662336" behindDoc="0" locked="0" layoutInCell="1" allowOverlap="1">
              <wp:simplePos x="0" y="0"/>
              <wp:positionH relativeFrom="margin">
                <wp:posOffset>4823460</wp:posOffset>
              </wp:positionH>
              <wp:positionV relativeFrom="paragraph">
                <wp:posOffset>-147320</wp:posOffset>
              </wp:positionV>
              <wp:extent cx="1828800" cy="1828800"/>
              <wp:effectExtent l="0" t="0" r="0" b="0"/>
              <wp:wrapNone/>
              <wp:docPr id="7"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22FD6AA">
                          <w:pPr>
                            <w:tabs>
                              <w:tab w:val="center" w:pos="4153"/>
                              <w:tab w:val="right" w:pos="8306"/>
                            </w:tabs>
                            <w:snapToGrid w:val="0"/>
                            <w:ind w:left="440" w:hanging="440"/>
                            <w:jc w:val="left"/>
                            <w:rPr>
                              <w:rFonts w:ascii="Times New Roman" w:hAnsi="Times New Roman" w:eastAsia="宋体"/>
                              <w:sz w:val="28"/>
                              <w:szCs w:val="28"/>
                            </w:rPr>
                          </w:pPr>
                          <w:r>
                            <w:rPr>
                              <w:rFonts w:hint="eastAsia" w:ascii="Times New Roman" w:hAnsi="Times New Roman" w:eastAsia="仿宋_GB2312"/>
                              <w:bCs/>
                              <w:sz w:val="28"/>
                            </w:rPr>
                            <w:t>－</w:t>
                          </w:r>
                          <w:r>
                            <w:rPr>
                              <w:rFonts w:ascii="Times New Roman" w:hAnsi="Times New Roman" w:eastAsia="宋体"/>
                              <w:sz w:val="28"/>
                              <w:szCs w:val="28"/>
                            </w:rPr>
                            <w:fldChar w:fldCharType="begin"/>
                          </w:r>
                          <w:r>
                            <w:rPr>
                              <w:rFonts w:ascii="宋体" w:hAnsi="宋体" w:eastAsia="宋体"/>
                              <w:sz w:val="28"/>
                              <w:szCs w:val="28"/>
                            </w:rPr>
                            <w:instrText xml:space="preserve">PAGE  </w:instrText>
                          </w:r>
                          <w:r>
                            <w:rPr>
                              <w:rFonts w:ascii="Times New Roman" w:hAnsi="Times New Roman" w:eastAsia="宋体"/>
                              <w:sz w:val="28"/>
                              <w:szCs w:val="28"/>
                            </w:rPr>
                            <w:fldChar w:fldCharType="separate"/>
                          </w:r>
                          <w:r>
                            <w:rPr>
                              <w:rFonts w:ascii="宋体" w:hAnsi="宋体" w:eastAsia="宋体"/>
                              <w:sz w:val="28"/>
                              <w:szCs w:val="28"/>
                            </w:rPr>
                            <w:t>21</w:t>
                          </w:r>
                          <w:r>
                            <w:rPr>
                              <w:rFonts w:ascii="Times New Roman" w:hAnsi="Times New Roman" w:eastAsia="宋体"/>
                              <w:sz w:val="28"/>
                              <w:szCs w:val="28"/>
                            </w:rPr>
                            <w:fldChar w:fldCharType="end"/>
                          </w:r>
                          <w:r>
                            <w:rPr>
                              <w:rFonts w:hint="eastAsia" w:ascii="Times New Roman" w:hAnsi="Times New Roman" w:eastAsia="仿宋_GB2312"/>
                              <w:bCs/>
                              <w:sz w:val="28"/>
                            </w:rPr>
                            <w:t>－</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6" o:spid="_x0000_s1026" o:spt="202" type="#_x0000_t202" style="position:absolute;left:0pt;margin-left:379.8pt;margin-top:-11.6pt;height:144pt;width:144pt;mso-position-horizontal-relative:margin;mso-wrap-style:none;z-index:251662336;mso-width-relative:page;mso-height-relative:page;" filled="f" stroked="f" coordsize="21600,21600" o:gfxdata="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AQEYVLZAAAADAEAAA8AAAAAAAAAAQAgAAAAIgAAAGRycy9kb3ducmV2LnhtbFBLAQIU&#10;ABQAAAAIAIdO4kD4yJraKwIAAFUEAAAOAAAAAAAAAAEAIAAAACgBAABkcnMvZTJvRG9jLnhtbFBL&#10;BQYAAAAABgAGAFkBAADFBQAAAAA=&#10;">
              <v:fill on="f" focussize="0,0"/>
              <v:stroke on="f" weight="0.5pt"/>
              <v:imagedata o:title=""/>
              <o:lock v:ext="edit" aspectratio="f"/>
              <v:textbox inset="0mm,0mm,0mm,0mm" style="mso-fit-shape-to-text:t;">
                <w:txbxContent>
                  <w:p w14:paraId="722FD6AA">
                    <w:pPr>
                      <w:tabs>
                        <w:tab w:val="center" w:pos="4153"/>
                        <w:tab w:val="right" w:pos="8306"/>
                      </w:tabs>
                      <w:snapToGrid w:val="0"/>
                      <w:ind w:left="440" w:hanging="440"/>
                      <w:jc w:val="left"/>
                      <w:rPr>
                        <w:rFonts w:ascii="Times New Roman" w:hAnsi="Times New Roman" w:eastAsia="宋体"/>
                        <w:sz w:val="28"/>
                        <w:szCs w:val="28"/>
                      </w:rPr>
                    </w:pPr>
                    <w:r>
                      <w:rPr>
                        <w:rFonts w:hint="eastAsia" w:ascii="Times New Roman" w:hAnsi="Times New Roman" w:eastAsia="仿宋_GB2312"/>
                        <w:bCs/>
                        <w:sz w:val="28"/>
                      </w:rPr>
                      <w:t>－</w:t>
                    </w:r>
                    <w:r>
                      <w:rPr>
                        <w:rFonts w:ascii="Times New Roman" w:hAnsi="Times New Roman" w:eastAsia="宋体"/>
                        <w:sz w:val="28"/>
                        <w:szCs w:val="28"/>
                      </w:rPr>
                      <w:fldChar w:fldCharType="begin"/>
                    </w:r>
                    <w:r>
                      <w:rPr>
                        <w:rFonts w:ascii="宋体" w:hAnsi="宋体" w:eastAsia="宋体"/>
                        <w:sz w:val="28"/>
                        <w:szCs w:val="28"/>
                      </w:rPr>
                      <w:instrText xml:space="preserve">PAGE  </w:instrText>
                    </w:r>
                    <w:r>
                      <w:rPr>
                        <w:rFonts w:ascii="Times New Roman" w:hAnsi="Times New Roman" w:eastAsia="宋体"/>
                        <w:sz w:val="28"/>
                        <w:szCs w:val="28"/>
                      </w:rPr>
                      <w:fldChar w:fldCharType="separate"/>
                    </w:r>
                    <w:r>
                      <w:rPr>
                        <w:rFonts w:ascii="宋体" w:hAnsi="宋体" w:eastAsia="宋体"/>
                        <w:sz w:val="28"/>
                        <w:szCs w:val="28"/>
                      </w:rPr>
                      <w:t>21</w:t>
                    </w:r>
                    <w:r>
                      <w:rPr>
                        <w:rFonts w:ascii="Times New Roman" w:hAnsi="Times New Roman" w:eastAsia="宋体"/>
                        <w:sz w:val="28"/>
                        <w:szCs w:val="28"/>
                      </w:rPr>
                      <w:fldChar w:fldCharType="end"/>
                    </w:r>
                    <w:r>
                      <w:rPr>
                        <w:rFonts w:hint="eastAsia" w:ascii="Times New Roman" w:hAnsi="Times New Roman" w:eastAsia="仿宋_GB2312"/>
                        <w:bCs/>
                        <w:sz w:val="28"/>
                      </w:rPr>
                      <w:t>－</w:t>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260991">
    <w:pPr>
      <w:pStyle w:val="11"/>
      <w:ind w:firstLine="360"/>
      <w:rPr>
        <w:rFonts w:ascii="Times New Roman" w:hAnsi="Times New Roman"/>
      </w:rPr>
    </w:pPr>
    <w: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109855</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177E10F">
                          <w:pPr>
                            <w:tabs>
                              <w:tab w:val="center" w:pos="4153"/>
                              <w:tab w:val="right" w:pos="8306"/>
                            </w:tabs>
                            <w:snapToGrid w:val="0"/>
                            <w:ind w:left="440" w:hanging="440"/>
                            <w:jc w:val="left"/>
                            <w:rPr>
                              <w:rFonts w:ascii="Times New Roman" w:hAnsi="Times New Roman" w:eastAsia="宋体"/>
                              <w:sz w:val="28"/>
                              <w:szCs w:val="28"/>
                            </w:rPr>
                          </w:pPr>
                          <w:r>
                            <w:rPr>
                              <w:rFonts w:hint="eastAsia" w:ascii="Times New Roman" w:hAnsi="Times New Roman" w:eastAsia="宋体"/>
                              <w:sz w:val="28"/>
                              <w:szCs w:val="28"/>
                            </w:rPr>
                            <w:t xml:space="preserve">— </w:t>
                          </w:r>
                          <w:r>
                            <w:rPr>
                              <w:rFonts w:ascii="Times New Roman" w:hAnsi="Times New Roman" w:eastAsia="宋体"/>
                              <w:sz w:val="28"/>
                              <w:szCs w:val="28"/>
                            </w:rPr>
                            <w:fldChar w:fldCharType="begin"/>
                          </w:r>
                          <w:r>
                            <w:rPr>
                              <w:rFonts w:ascii="宋体" w:hAnsi="宋体" w:eastAsia="宋体"/>
                              <w:sz w:val="28"/>
                              <w:szCs w:val="28"/>
                            </w:rPr>
                            <w:instrText xml:space="preserve">PAGE  </w:instrText>
                          </w:r>
                          <w:r>
                            <w:rPr>
                              <w:rFonts w:ascii="Times New Roman" w:hAnsi="Times New Roman" w:eastAsia="宋体"/>
                              <w:sz w:val="28"/>
                              <w:szCs w:val="28"/>
                            </w:rPr>
                            <w:fldChar w:fldCharType="separate"/>
                          </w:r>
                          <w:r>
                            <w:rPr>
                              <w:rFonts w:ascii="宋体" w:hAnsi="宋体" w:eastAsia="宋体"/>
                              <w:sz w:val="28"/>
                              <w:szCs w:val="28"/>
                            </w:rPr>
                            <w:t>65</w:t>
                          </w:r>
                          <w:r>
                            <w:rPr>
                              <w:rFonts w:ascii="Times New Roman" w:hAnsi="Times New Roman" w:eastAsia="宋体"/>
                              <w:sz w:val="28"/>
                              <w:szCs w:val="28"/>
                            </w:rPr>
                            <w:fldChar w:fldCharType="end"/>
                          </w:r>
                          <w:r>
                            <w:rPr>
                              <w:rFonts w:hint="eastAsia" w:ascii="Times New Roman" w:hAnsi="Times New Roman" w:eastAsia="宋体"/>
                              <w:sz w:val="28"/>
                              <w:szCs w:val="28"/>
                            </w:rPr>
                            <w:t xml:space="preserve"> —</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8.65pt;height:144pt;width:144pt;mso-position-horizontal:outside;mso-position-horizontal-relative:margin;mso-wrap-style:none;z-index:251660288;mso-width-relative:page;mso-height-relative:page;" filled="f" stroked="f" coordsize="21600,21600" o:gfxdata="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">
              <v:fill on="f" focussize="0,0"/>
              <v:stroke on="f" weight="0.5pt"/>
              <v:imagedata o:title=""/>
              <o:lock v:ext="edit" aspectratio="f"/>
              <v:textbox inset="0mm,0mm,0mm,0mm" style="mso-fit-shape-to-text:t;">
                <w:txbxContent>
                  <w:p w14:paraId="5177E10F">
                    <w:pPr>
                      <w:tabs>
                        <w:tab w:val="center" w:pos="4153"/>
                        <w:tab w:val="right" w:pos="8306"/>
                      </w:tabs>
                      <w:snapToGrid w:val="0"/>
                      <w:ind w:left="440" w:hanging="440"/>
                      <w:jc w:val="left"/>
                      <w:rPr>
                        <w:rFonts w:ascii="Times New Roman" w:hAnsi="Times New Roman" w:eastAsia="宋体"/>
                        <w:sz w:val="28"/>
                        <w:szCs w:val="28"/>
                      </w:rPr>
                    </w:pPr>
                    <w:r>
                      <w:rPr>
                        <w:rFonts w:hint="eastAsia" w:ascii="Times New Roman" w:hAnsi="Times New Roman" w:eastAsia="宋体"/>
                        <w:sz w:val="28"/>
                        <w:szCs w:val="28"/>
                      </w:rPr>
                      <w:t xml:space="preserve">— </w:t>
                    </w:r>
                    <w:r>
                      <w:rPr>
                        <w:rFonts w:ascii="Times New Roman" w:hAnsi="Times New Roman" w:eastAsia="宋体"/>
                        <w:sz w:val="28"/>
                        <w:szCs w:val="28"/>
                      </w:rPr>
                      <w:fldChar w:fldCharType="begin"/>
                    </w:r>
                    <w:r>
                      <w:rPr>
                        <w:rFonts w:ascii="宋体" w:hAnsi="宋体" w:eastAsia="宋体"/>
                        <w:sz w:val="28"/>
                        <w:szCs w:val="28"/>
                      </w:rPr>
                      <w:instrText xml:space="preserve">PAGE  </w:instrText>
                    </w:r>
                    <w:r>
                      <w:rPr>
                        <w:rFonts w:ascii="Times New Roman" w:hAnsi="Times New Roman" w:eastAsia="宋体"/>
                        <w:sz w:val="28"/>
                        <w:szCs w:val="28"/>
                      </w:rPr>
                      <w:fldChar w:fldCharType="separate"/>
                    </w:r>
                    <w:r>
                      <w:rPr>
                        <w:rFonts w:ascii="宋体" w:hAnsi="宋体" w:eastAsia="宋体"/>
                        <w:sz w:val="28"/>
                        <w:szCs w:val="28"/>
                      </w:rPr>
                      <w:t>65</w:t>
                    </w:r>
                    <w:r>
                      <w:rPr>
                        <w:rFonts w:ascii="Times New Roman" w:hAnsi="Times New Roman" w:eastAsia="宋体"/>
                        <w:sz w:val="28"/>
                        <w:szCs w:val="28"/>
                      </w:rPr>
                      <w:fldChar w:fldCharType="end"/>
                    </w:r>
                    <w:r>
                      <w:rPr>
                        <w:rFonts w:hint="eastAsia" w:ascii="Times New Roman" w:hAnsi="Times New Roman" w:eastAsia="宋体"/>
                        <w:sz w:val="28"/>
                        <w:szCs w:val="28"/>
                      </w:rPr>
                      <w:t xml:space="preserve"> —</w:t>
                    </w:r>
                  </w:p>
                </w:txbxContent>
              </v:textbox>
            </v:shape>
          </w:pict>
        </mc:Fallback>
      </mc:AlternateContent>
    </w:r>
  </w:p>
  <w:p w14:paraId="6149CAE7">
    <w:pPr>
      <w:pStyle w:val="11"/>
      <w:ind w:firstLine="360"/>
      <w:rPr>
        <w:rFonts w:ascii="Times New Roman" w:hAnsi="Times New Roman"/>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E3012F">
    <w:pPr>
      <w:pStyle w:val="11"/>
      <w:ind w:firstLine="360"/>
      <w:rPr>
        <w:rFonts w:ascii="Times New Roman" w:hAnsi="Times New Roman"/>
      </w:rPr>
    </w:pPr>
    <w: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109855</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843DB7E">
                          <w:pPr>
                            <w:tabs>
                              <w:tab w:val="center" w:pos="4153"/>
                              <w:tab w:val="right" w:pos="8306"/>
                            </w:tabs>
                            <w:snapToGrid w:val="0"/>
                            <w:ind w:left="440" w:hanging="440"/>
                            <w:jc w:val="left"/>
                            <w:rPr>
                              <w:rFonts w:ascii="Times New Roman" w:hAnsi="Times New Roman" w:eastAsia="宋体"/>
                              <w:sz w:val="28"/>
                              <w:szCs w:val="28"/>
                            </w:rPr>
                          </w:pPr>
                          <w:r>
                            <w:rPr>
                              <w:rFonts w:hint="eastAsia" w:ascii="Times New Roman" w:hAnsi="Times New Roman" w:eastAsia="宋体"/>
                              <w:sz w:val="28"/>
                              <w:szCs w:val="28"/>
                            </w:rPr>
                            <w:t xml:space="preserve">— </w:t>
                          </w:r>
                          <w:r>
                            <w:rPr>
                              <w:rFonts w:ascii="Times New Roman" w:hAnsi="Times New Roman" w:eastAsia="宋体"/>
                              <w:sz w:val="28"/>
                              <w:szCs w:val="28"/>
                            </w:rPr>
                            <w:fldChar w:fldCharType="begin"/>
                          </w:r>
                          <w:r>
                            <w:rPr>
                              <w:rFonts w:ascii="宋体" w:hAnsi="宋体" w:eastAsia="宋体"/>
                              <w:sz w:val="28"/>
                              <w:szCs w:val="28"/>
                            </w:rPr>
                            <w:instrText xml:space="preserve">PAGE  </w:instrText>
                          </w:r>
                          <w:r>
                            <w:rPr>
                              <w:rFonts w:ascii="Times New Roman" w:hAnsi="Times New Roman" w:eastAsia="宋体"/>
                              <w:sz w:val="28"/>
                              <w:szCs w:val="28"/>
                            </w:rPr>
                            <w:fldChar w:fldCharType="separate"/>
                          </w:r>
                          <w:r>
                            <w:rPr>
                              <w:rFonts w:ascii="宋体" w:hAnsi="宋体" w:eastAsia="宋体"/>
                              <w:sz w:val="28"/>
                              <w:szCs w:val="28"/>
                            </w:rPr>
                            <w:t>66</w:t>
                          </w:r>
                          <w:r>
                            <w:rPr>
                              <w:rFonts w:ascii="Times New Roman" w:hAnsi="Times New Roman" w:eastAsia="宋体"/>
                              <w:sz w:val="28"/>
                              <w:szCs w:val="28"/>
                            </w:rPr>
                            <w:fldChar w:fldCharType="end"/>
                          </w:r>
                          <w:r>
                            <w:rPr>
                              <w:rFonts w:hint="eastAsia" w:ascii="Times New Roman" w:hAnsi="Times New Roman" w:eastAsia="宋体"/>
                              <w:sz w:val="28"/>
                              <w:szCs w:val="28"/>
                            </w:rPr>
                            <w:t xml:space="preserve"> —</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8.65pt;height:144pt;width:144pt;mso-position-horizontal:outside;mso-position-horizontal-relative:margin;mso-wrap-style:none;z-index:251661312;mso-width-relative:page;mso-height-relative:page;" filled="f" stroked="f" coordsize="21600,21600" o:gfxdata="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">
              <v:fill on="f" focussize="0,0"/>
              <v:stroke on="f" weight="0.5pt"/>
              <v:imagedata o:title=""/>
              <o:lock v:ext="edit" aspectratio="f"/>
              <v:textbox inset="0mm,0mm,0mm,0mm" style="mso-fit-shape-to-text:t;">
                <w:txbxContent>
                  <w:p w14:paraId="0843DB7E">
                    <w:pPr>
                      <w:tabs>
                        <w:tab w:val="center" w:pos="4153"/>
                        <w:tab w:val="right" w:pos="8306"/>
                      </w:tabs>
                      <w:snapToGrid w:val="0"/>
                      <w:ind w:left="440" w:hanging="440"/>
                      <w:jc w:val="left"/>
                      <w:rPr>
                        <w:rFonts w:ascii="Times New Roman" w:hAnsi="Times New Roman" w:eastAsia="宋体"/>
                        <w:sz w:val="28"/>
                        <w:szCs w:val="28"/>
                      </w:rPr>
                    </w:pPr>
                    <w:r>
                      <w:rPr>
                        <w:rFonts w:hint="eastAsia" w:ascii="Times New Roman" w:hAnsi="Times New Roman" w:eastAsia="宋体"/>
                        <w:sz w:val="28"/>
                        <w:szCs w:val="28"/>
                      </w:rPr>
                      <w:t xml:space="preserve">— </w:t>
                    </w:r>
                    <w:r>
                      <w:rPr>
                        <w:rFonts w:ascii="Times New Roman" w:hAnsi="Times New Roman" w:eastAsia="宋体"/>
                        <w:sz w:val="28"/>
                        <w:szCs w:val="28"/>
                      </w:rPr>
                      <w:fldChar w:fldCharType="begin"/>
                    </w:r>
                    <w:r>
                      <w:rPr>
                        <w:rFonts w:ascii="宋体" w:hAnsi="宋体" w:eastAsia="宋体"/>
                        <w:sz w:val="28"/>
                        <w:szCs w:val="28"/>
                      </w:rPr>
                      <w:instrText xml:space="preserve">PAGE  </w:instrText>
                    </w:r>
                    <w:r>
                      <w:rPr>
                        <w:rFonts w:ascii="Times New Roman" w:hAnsi="Times New Roman" w:eastAsia="宋体"/>
                        <w:sz w:val="28"/>
                        <w:szCs w:val="28"/>
                      </w:rPr>
                      <w:fldChar w:fldCharType="separate"/>
                    </w:r>
                    <w:r>
                      <w:rPr>
                        <w:rFonts w:ascii="宋体" w:hAnsi="宋体" w:eastAsia="宋体"/>
                        <w:sz w:val="28"/>
                        <w:szCs w:val="28"/>
                      </w:rPr>
                      <w:t>66</w:t>
                    </w:r>
                    <w:r>
                      <w:rPr>
                        <w:rFonts w:ascii="Times New Roman" w:hAnsi="Times New Roman" w:eastAsia="宋体"/>
                        <w:sz w:val="28"/>
                        <w:szCs w:val="28"/>
                      </w:rPr>
                      <w:fldChar w:fldCharType="end"/>
                    </w:r>
                    <w:r>
                      <w:rPr>
                        <w:rFonts w:hint="eastAsia" w:ascii="Times New Roman" w:hAnsi="Times New Roman" w:eastAsia="宋体"/>
                        <w:sz w:val="28"/>
                        <w:szCs w:val="28"/>
                      </w:rPr>
                      <w:t xml:space="preserve"> —</w:t>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1EF283">
    <w:pPr>
      <w:pStyle w:val="11"/>
      <w:ind w:firstLine="360"/>
      <w:rPr>
        <w:rFonts w:ascii="Times New Roman" w:hAnsi="Times New Roman"/>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6">
    <w:p>
      <w:r>
        <w:separator/>
      </w:r>
    </w:p>
  </w:footnote>
  <w:footnote w:type="continuationSeparator" w:id="7">
    <w:p>
      <w:r>
        <w:continuationSeparator/>
      </w:r>
    </w:p>
  </w:footnote>
  <w:footnote w:id="0">
    <w:p w14:paraId="1CF54FE6">
      <w:pPr>
        <w:pStyle w:val="14"/>
        <w:rPr>
          <w:rFonts w:ascii="Times New Roman" w:hAnsi="Times New Roman" w:eastAsia="仿宋_GB2312" w:cs="Times New Roman"/>
        </w:rPr>
      </w:pPr>
      <w:r>
        <w:rPr>
          <w:rStyle w:val="26"/>
          <w:rFonts w:ascii="Times New Roman" w:hAnsi="Times New Roman" w:eastAsia="仿宋_GB2312" w:cs="Times New Roman"/>
        </w:rPr>
        <w:footnoteRef/>
      </w:r>
      <w:r>
        <w:rPr>
          <w:rFonts w:ascii="Times New Roman" w:hAnsi="Times New Roman" w:eastAsia="仿宋_GB2312" w:cs="Times New Roman"/>
        </w:rPr>
        <w:t xml:space="preserve"> 新发相关份额占比=向原持有人配售份额数量/本次发售前份额总量</w:t>
      </w:r>
    </w:p>
  </w:footnote>
  <w:footnote w:id="1">
    <w:p w14:paraId="0A06E108">
      <w:pPr>
        <w:pStyle w:val="14"/>
        <w:rPr>
          <w:rFonts w:ascii="Times New Roman" w:hAnsi="Times New Roman" w:eastAsia="仿宋_GB2312" w:cs="Times New Roman"/>
        </w:rPr>
      </w:pPr>
      <w:r>
        <w:rPr>
          <w:rStyle w:val="26"/>
          <w:rFonts w:ascii="Times New Roman" w:hAnsi="Times New Roman" w:eastAsia="仿宋_GB2312" w:cs="Times New Roman"/>
        </w:rPr>
        <w:footnoteRef/>
      </w:r>
      <w:r>
        <w:rPr>
          <w:rFonts w:ascii="Times New Roman" w:hAnsi="Times New Roman" w:eastAsia="仿宋_GB2312" w:cs="Times New Roman"/>
        </w:rPr>
        <w:t xml:space="preserve"> 新发相关份额占比=战略配售份额数量/本次发售前份额总量</w:t>
      </w:r>
    </w:p>
  </w:footnote>
  <w:footnote w:id="2">
    <w:p w14:paraId="44F3A568">
      <w:pPr>
        <w:pStyle w:val="14"/>
        <w:rPr>
          <w:rFonts w:ascii="Times New Roman" w:hAnsi="Times New Roman" w:eastAsia="仿宋_GB2312" w:cs="Times New Roman"/>
        </w:rPr>
      </w:pPr>
      <w:r>
        <w:rPr>
          <w:rStyle w:val="26"/>
          <w:rFonts w:ascii="Times New Roman" w:hAnsi="Times New Roman" w:eastAsia="仿宋_GB2312" w:cs="Times New Roman"/>
        </w:rPr>
        <w:footnoteRef/>
      </w:r>
      <w:r>
        <w:rPr>
          <w:rFonts w:ascii="Times New Roman" w:hAnsi="Times New Roman" w:eastAsia="仿宋_GB2312" w:cs="Times New Roman"/>
        </w:rPr>
        <w:t xml:space="preserve"> 合计新发份额占比=（向原持有人配售份额数量+战略配售份额数量）/本次发售前份额总量</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E998EB">
    <w:pPr>
      <w:pStyle w:val="12"/>
      <w:pBdr>
        <w:top w:val="none" w:color="auto" w:sz="0" w:space="0"/>
        <w:left w:val="none" w:color="auto" w:sz="0" w:space="0"/>
        <w:bottom w:val="none" w:color="auto" w:sz="0" w:space="1"/>
        <w:right w:val="none" w:color="auto" w:sz="0" w:space="0"/>
        <w:between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1CE492">
    <w:pPr>
      <w:pStyle w:val="12"/>
      <w:pBdr>
        <w:bottom w:val="none" w:color="auto" w:sz="0" w:space="1"/>
      </w:pBdr>
      <w:rPr>
        <w:rFonts w:ascii="Times New Roman" w:hAnsi="Times New Roman"/>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B1AE72">
    <w:pPr>
      <w:rPr>
        <w:rFonts w:ascii="Times New Roman" w:hAnsi="Times New Roman"/>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AD91F0">
    <w:pPr>
      <w:pStyle w:val="12"/>
      <w:pBdr>
        <w:bottom w:val="none" w:color="auto" w:sz="0" w:space="1"/>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852E46">
    <w:pPr>
      <w:pStyle w:val="12"/>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E20F2E">
    <w:pPr>
      <w:rPr>
        <w:rFonts w:ascii="Times New Roman" w:hAnsi="Times New Roman"/>
      </w:rP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17AEDF">
    <w:pP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08A4AE">
    <w:pPr>
      <w:pStyle w:val="12"/>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D9F1E9">
    <w:pPr>
      <w:pStyle w:val="12"/>
      <w:pBdr>
        <w:bottom w:val="none" w:color="auto" w:sz="0" w:space="0"/>
      </w:pBdr>
      <w:ind w:firstLine="360"/>
      <w:rPr>
        <w:rFonts w:ascii="Times New Roman" w:hAnsi="Times New Roman"/>
      </w:rP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F1B430">
    <w:pPr>
      <w:pStyle w:val="12"/>
      <w:pBdr>
        <w:bottom w:val="none" w:color="auto" w:sz="0" w:space="0"/>
      </w:pBdr>
      <w:ind w:firstLine="360"/>
      <w:rPr>
        <w:rFonts w:ascii="Times New Roman" w:hAnsi="Times New Roman"/>
      </w:rP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4020D6">
    <w:pPr>
      <w:pStyle w:val="12"/>
      <w:ind w:firstLine="360"/>
      <w:rPr>
        <w:rFonts w:ascii="Times New Roman" w:hAnsi="Times New Roman"/>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46A54C3"/>
    <w:multiLevelType w:val="singleLevel"/>
    <w:tmpl w:val="346A54C3"/>
    <w:lvl w:ilvl="0" w:tentative="0">
      <w:start w:val="1"/>
      <w:numFmt w:val="bullet"/>
      <w:lvlText w:val=""/>
      <w:lvlJc w:val="left"/>
      <w:pPr>
        <w:ind w:left="617" w:hanging="42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2"/>
  <w:bordersDoNotSurroundHeader w:val="1"/>
  <w:bordersDoNotSurroundFooter w:val="1"/>
  <w:documentProtection w:enforcement="0"/>
  <w:defaultTabStop w:val="420"/>
  <w:evenAndOddHeaders w:val="1"/>
  <w:drawingGridHorizontalSpacing w:val="105"/>
  <w:drawingGridVerticalSpacing w:val="156"/>
  <w:noPunctuationKerning w:val="1"/>
  <w:characterSpacingControl w:val="compressPunctuation"/>
  <w:hdrShapeDefaults>
    <o:shapelayout v:ext="edit">
      <o:idmap v:ext="edit" data="3"/>
    </o:shapelayout>
  </w:hdrShapeDefaults>
  <w:footnotePr>
    <w:footnote w:id="6"/>
    <w:footnote w:id="7"/>
  </w:foot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zQyNTY5ZjM2ZTYwNGU1ODNmYTYzNjhiN2QxN2EyYzIifQ=="/>
  </w:docVars>
  <w:rsids>
    <w:rsidRoot w:val="00EC43A4"/>
    <w:rsid w:val="000010CC"/>
    <w:rsid w:val="000027E5"/>
    <w:rsid w:val="00002BD7"/>
    <w:rsid w:val="000039C4"/>
    <w:rsid w:val="00004D30"/>
    <w:rsid w:val="00004D63"/>
    <w:rsid w:val="00011659"/>
    <w:rsid w:val="0002098B"/>
    <w:rsid w:val="00023C2F"/>
    <w:rsid w:val="00026572"/>
    <w:rsid w:val="00027318"/>
    <w:rsid w:val="00031F96"/>
    <w:rsid w:val="00034166"/>
    <w:rsid w:val="000350C0"/>
    <w:rsid w:val="00040179"/>
    <w:rsid w:val="0004096B"/>
    <w:rsid w:val="0004256F"/>
    <w:rsid w:val="0004346C"/>
    <w:rsid w:val="000438A9"/>
    <w:rsid w:val="00045F3D"/>
    <w:rsid w:val="00050EAE"/>
    <w:rsid w:val="000535BE"/>
    <w:rsid w:val="00057BEA"/>
    <w:rsid w:val="00062601"/>
    <w:rsid w:val="0006326C"/>
    <w:rsid w:val="00066515"/>
    <w:rsid w:val="000673EE"/>
    <w:rsid w:val="0006757F"/>
    <w:rsid w:val="00070494"/>
    <w:rsid w:val="00070B26"/>
    <w:rsid w:val="00070DDA"/>
    <w:rsid w:val="000720EF"/>
    <w:rsid w:val="0007270F"/>
    <w:rsid w:val="000751D4"/>
    <w:rsid w:val="00075429"/>
    <w:rsid w:val="00075F46"/>
    <w:rsid w:val="00075FD9"/>
    <w:rsid w:val="00076614"/>
    <w:rsid w:val="00077BC6"/>
    <w:rsid w:val="000826B2"/>
    <w:rsid w:val="000832A3"/>
    <w:rsid w:val="00083420"/>
    <w:rsid w:val="00091386"/>
    <w:rsid w:val="00091DB9"/>
    <w:rsid w:val="00094C2D"/>
    <w:rsid w:val="0009562E"/>
    <w:rsid w:val="00095C82"/>
    <w:rsid w:val="00097269"/>
    <w:rsid w:val="00097E84"/>
    <w:rsid w:val="000A35AF"/>
    <w:rsid w:val="000A3753"/>
    <w:rsid w:val="000A6E38"/>
    <w:rsid w:val="000A7158"/>
    <w:rsid w:val="000B1367"/>
    <w:rsid w:val="000B27BF"/>
    <w:rsid w:val="000B41AB"/>
    <w:rsid w:val="000C017A"/>
    <w:rsid w:val="000C3D82"/>
    <w:rsid w:val="000C7AD5"/>
    <w:rsid w:val="000D0535"/>
    <w:rsid w:val="000D1490"/>
    <w:rsid w:val="000D7021"/>
    <w:rsid w:val="000E062E"/>
    <w:rsid w:val="000E13BA"/>
    <w:rsid w:val="000E5CF4"/>
    <w:rsid w:val="000F1094"/>
    <w:rsid w:val="000F17BF"/>
    <w:rsid w:val="000F243D"/>
    <w:rsid w:val="000F6AE1"/>
    <w:rsid w:val="001007A9"/>
    <w:rsid w:val="00102D61"/>
    <w:rsid w:val="001032B6"/>
    <w:rsid w:val="001039B0"/>
    <w:rsid w:val="00105112"/>
    <w:rsid w:val="0010540D"/>
    <w:rsid w:val="00105CBC"/>
    <w:rsid w:val="00105F91"/>
    <w:rsid w:val="00106911"/>
    <w:rsid w:val="0010760E"/>
    <w:rsid w:val="001078A1"/>
    <w:rsid w:val="001103B7"/>
    <w:rsid w:val="00110A8C"/>
    <w:rsid w:val="00113D55"/>
    <w:rsid w:val="00113DFD"/>
    <w:rsid w:val="00115B60"/>
    <w:rsid w:val="001241F0"/>
    <w:rsid w:val="00126000"/>
    <w:rsid w:val="0012628D"/>
    <w:rsid w:val="00127ACB"/>
    <w:rsid w:val="001324AF"/>
    <w:rsid w:val="001338D4"/>
    <w:rsid w:val="001355B8"/>
    <w:rsid w:val="00135A12"/>
    <w:rsid w:val="001365E4"/>
    <w:rsid w:val="001379B4"/>
    <w:rsid w:val="00137DA4"/>
    <w:rsid w:val="00137E53"/>
    <w:rsid w:val="00143A6B"/>
    <w:rsid w:val="00143AFD"/>
    <w:rsid w:val="00144F7C"/>
    <w:rsid w:val="00145046"/>
    <w:rsid w:val="00146E16"/>
    <w:rsid w:val="00150794"/>
    <w:rsid w:val="00150C09"/>
    <w:rsid w:val="00153887"/>
    <w:rsid w:val="00154355"/>
    <w:rsid w:val="00155530"/>
    <w:rsid w:val="001561AB"/>
    <w:rsid w:val="00156EE6"/>
    <w:rsid w:val="001603E9"/>
    <w:rsid w:val="00160AEB"/>
    <w:rsid w:val="00163688"/>
    <w:rsid w:val="001648E8"/>
    <w:rsid w:val="001651E6"/>
    <w:rsid w:val="00165207"/>
    <w:rsid w:val="00171D76"/>
    <w:rsid w:val="00174341"/>
    <w:rsid w:val="00175295"/>
    <w:rsid w:val="00176DEE"/>
    <w:rsid w:val="00180F5C"/>
    <w:rsid w:val="0018231A"/>
    <w:rsid w:val="00184E5A"/>
    <w:rsid w:val="00184F00"/>
    <w:rsid w:val="00185364"/>
    <w:rsid w:val="00185ACE"/>
    <w:rsid w:val="00186E4E"/>
    <w:rsid w:val="00186FDB"/>
    <w:rsid w:val="00187D7D"/>
    <w:rsid w:val="00187E7A"/>
    <w:rsid w:val="00192875"/>
    <w:rsid w:val="00193BF9"/>
    <w:rsid w:val="00193C59"/>
    <w:rsid w:val="001944E8"/>
    <w:rsid w:val="001A040D"/>
    <w:rsid w:val="001A0473"/>
    <w:rsid w:val="001A14A1"/>
    <w:rsid w:val="001A1C71"/>
    <w:rsid w:val="001A5583"/>
    <w:rsid w:val="001A6462"/>
    <w:rsid w:val="001A6D3A"/>
    <w:rsid w:val="001A6D6A"/>
    <w:rsid w:val="001B21BC"/>
    <w:rsid w:val="001B7969"/>
    <w:rsid w:val="001B7999"/>
    <w:rsid w:val="001C3B7D"/>
    <w:rsid w:val="001C4BD8"/>
    <w:rsid w:val="001C6F9E"/>
    <w:rsid w:val="001C7143"/>
    <w:rsid w:val="001D26D9"/>
    <w:rsid w:val="001E0908"/>
    <w:rsid w:val="001E50C3"/>
    <w:rsid w:val="001E5B1A"/>
    <w:rsid w:val="001E5C75"/>
    <w:rsid w:val="001F2829"/>
    <w:rsid w:val="001F46BA"/>
    <w:rsid w:val="001F4ED9"/>
    <w:rsid w:val="00200125"/>
    <w:rsid w:val="002013D4"/>
    <w:rsid w:val="00201E76"/>
    <w:rsid w:val="00202EBE"/>
    <w:rsid w:val="0020392E"/>
    <w:rsid w:val="00204A47"/>
    <w:rsid w:val="00205231"/>
    <w:rsid w:val="00206086"/>
    <w:rsid w:val="00207D7C"/>
    <w:rsid w:val="002109BC"/>
    <w:rsid w:val="00210D09"/>
    <w:rsid w:val="002135FD"/>
    <w:rsid w:val="00216D53"/>
    <w:rsid w:val="002171D5"/>
    <w:rsid w:val="0021752C"/>
    <w:rsid w:val="00217EC1"/>
    <w:rsid w:val="0022575C"/>
    <w:rsid w:val="00227231"/>
    <w:rsid w:val="002325D9"/>
    <w:rsid w:val="00233E76"/>
    <w:rsid w:val="00235BA9"/>
    <w:rsid w:val="0023644A"/>
    <w:rsid w:val="002367B1"/>
    <w:rsid w:val="00243AC5"/>
    <w:rsid w:val="00244428"/>
    <w:rsid w:val="002474D1"/>
    <w:rsid w:val="002507D8"/>
    <w:rsid w:val="00250E53"/>
    <w:rsid w:val="00250F4B"/>
    <w:rsid w:val="002516A0"/>
    <w:rsid w:val="0025170B"/>
    <w:rsid w:val="00251B74"/>
    <w:rsid w:val="00255223"/>
    <w:rsid w:val="00256E72"/>
    <w:rsid w:val="00256F88"/>
    <w:rsid w:val="002620CC"/>
    <w:rsid w:val="00265F8C"/>
    <w:rsid w:val="002661BF"/>
    <w:rsid w:val="00267C05"/>
    <w:rsid w:val="00273EC6"/>
    <w:rsid w:val="00274101"/>
    <w:rsid w:val="00274835"/>
    <w:rsid w:val="00275291"/>
    <w:rsid w:val="00276686"/>
    <w:rsid w:val="00282A64"/>
    <w:rsid w:val="00282B82"/>
    <w:rsid w:val="002836E1"/>
    <w:rsid w:val="00284EC3"/>
    <w:rsid w:val="00285292"/>
    <w:rsid w:val="00287A93"/>
    <w:rsid w:val="002909C9"/>
    <w:rsid w:val="002935C8"/>
    <w:rsid w:val="002952A5"/>
    <w:rsid w:val="00295FFD"/>
    <w:rsid w:val="00297FE6"/>
    <w:rsid w:val="002A0329"/>
    <w:rsid w:val="002A46B5"/>
    <w:rsid w:val="002A5697"/>
    <w:rsid w:val="002A7149"/>
    <w:rsid w:val="002A7840"/>
    <w:rsid w:val="002B00AE"/>
    <w:rsid w:val="002B3014"/>
    <w:rsid w:val="002B35C1"/>
    <w:rsid w:val="002C187A"/>
    <w:rsid w:val="002C4B5A"/>
    <w:rsid w:val="002C686B"/>
    <w:rsid w:val="002D0042"/>
    <w:rsid w:val="002D1212"/>
    <w:rsid w:val="002D42C2"/>
    <w:rsid w:val="002E1615"/>
    <w:rsid w:val="002E28D5"/>
    <w:rsid w:val="002E2E10"/>
    <w:rsid w:val="002E39E0"/>
    <w:rsid w:val="002E4496"/>
    <w:rsid w:val="002E587C"/>
    <w:rsid w:val="002E63EC"/>
    <w:rsid w:val="002E7753"/>
    <w:rsid w:val="002E7C48"/>
    <w:rsid w:val="002F3848"/>
    <w:rsid w:val="002F3C70"/>
    <w:rsid w:val="002F5748"/>
    <w:rsid w:val="002F57B0"/>
    <w:rsid w:val="002F7103"/>
    <w:rsid w:val="002F7EC0"/>
    <w:rsid w:val="003001EB"/>
    <w:rsid w:val="00300696"/>
    <w:rsid w:val="0030163D"/>
    <w:rsid w:val="003039D6"/>
    <w:rsid w:val="00306544"/>
    <w:rsid w:val="00313AA8"/>
    <w:rsid w:val="003158E8"/>
    <w:rsid w:val="00316589"/>
    <w:rsid w:val="003174C8"/>
    <w:rsid w:val="0031766F"/>
    <w:rsid w:val="003233E3"/>
    <w:rsid w:val="0032349E"/>
    <w:rsid w:val="003235B7"/>
    <w:rsid w:val="0032622F"/>
    <w:rsid w:val="00326B82"/>
    <w:rsid w:val="0033108C"/>
    <w:rsid w:val="00340BE5"/>
    <w:rsid w:val="00340D1D"/>
    <w:rsid w:val="003441C1"/>
    <w:rsid w:val="00344E0F"/>
    <w:rsid w:val="00344EF4"/>
    <w:rsid w:val="00345F81"/>
    <w:rsid w:val="00353987"/>
    <w:rsid w:val="00356149"/>
    <w:rsid w:val="00361989"/>
    <w:rsid w:val="00361FDF"/>
    <w:rsid w:val="00363341"/>
    <w:rsid w:val="00365429"/>
    <w:rsid w:val="0036627E"/>
    <w:rsid w:val="0036630A"/>
    <w:rsid w:val="00373AD1"/>
    <w:rsid w:val="003801EE"/>
    <w:rsid w:val="00380732"/>
    <w:rsid w:val="00380A24"/>
    <w:rsid w:val="00381A10"/>
    <w:rsid w:val="00382106"/>
    <w:rsid w:val="00383037"/>
    <w:rsid w:val="00383B27"/>
    <w:rsid w:val="00384FE8"/>
    <w:rsid w:val="0038519A"/>
    <w:rsid w:val="00385EB5"/>
    <w:rsid w:val="00387E09"/>
    <w:rsid w:val="00387E60"/>
    <w:rsid w:val="00391A98"/>
    <w:rsid w:val="00392CBE"/>
    <w:rsid w:val="003942FD"/>
    <w:rsid w:val="0039492C"/>
    <w:rsid w:val="0039564D"/>
    <w:rsid w:val="00397ACA"/>
    <w:rsid w:val="003A422B"/>
    <w:rsid w:val="003A7237"/>
    <w:rsid w:val="003B11D7"/>
    <w:rsid w:val="003B17C3"/>
    <w:rsid w:val="003B3B7B"/>
    <w:rsid w:val="003B424B"/>
    <w:rsid w:val="003B4AA1"/>
    <w:rsid w:val="003B4D05"/>
    <w:rsid w:val="003B5794"/>
    <w:rsid w:val="003B58D1"/>
    <w:rsid w:val="003B74D5"/>
    <w:rsid w:val="003C12B3"/>
    <w:rsid w:val="003C31E4"/>
    <w:rsid w:val="003C32CF"/>
    <w:rsid w:val="003C3428"/>
    <w:rsid w:val="003C37B8"/>
    <w:rsid w:val="003C7AE5"/>
    <w:rsid w:val="003C7C5E"/>
    <w:rsid w:val="003D053F"/>
    <w:rsid w:val="003D381C"/>
    <w:rsid w:val="003D4281"/>
    <w:rsid w:val="003D7775"/>
    <w:rsid w:val="003D7B5B"/>
    <w:rsid w:val="003E0452"/>
    <w:rsid w:val="003E068B"/>
    <w:rsid w:val="003E3AAB"/>
    <w:rsid w:val="003E4595"/>
    <w:rsid w:val="003F3B6D"/>
    <w:rsid w:val="003F5412"/>
    <w:rsid w:val="003F5837"/>
    <w:rsid w:val="00400BB4"/>
    <w:rsid w:val="004024D3"/>
    <w:rsid w:val="00403182"/>
    <w:rsid w:val="004041EB"/>
    <w:rsid w:val="00410083"/>
    <w:rsid w:val="00410627"/>
    <w:rsid w:val="004106FA"/>
    <w:rsid w:val="00411BBD"/>
    <w:rsid w:val="0041214E"/>
    <w:rsid w:val="00416727"/>
    <w:rsid w:val="004175ED"/>
    <w:rsid w:val="00417B68"/>
    <w:rsid w:val="0042342A"/>
    <w:rsid w:val="0042392C"/>
    <w:rsid w:val="00430654"/>
    <w:rsid w:val="0043451E"/>
    <w:rsid w:val="004361C8"/>
    <w:rsid w:val="0043677F"/>
    <w:rsid w:val="00442FA1"/>
    <w:rsid w:val="004439CB"/>
    <w:rsid w:val="00443BCF"/>
    <w:rsid w:val="00446570"/>
    <w:rsid w:val="00451661"/>
    <w:rsid w:val="00453144"/>
    <w:rsid w:val="0046015E"/>
    <w:rsid w:val="00462555"/>
    <w:rsid w:val="004635CF"/>
    <w:rsid w:val="00466EF1"/>
    <w:rsid w:val="00471405"/>
    <w:rsid w:val="00473D7B"/>
    <w:rsid w:val="00476E59"/>
    <w:rsid w:val="00480D1B"/>
    <w:rsid w:val="00482847"/>
    <w:rsid w:val="00490730"/>
    <w:rsid w:val="00490B10"/>
    <w:rsid w:val="00493BD8"/>
    <w:rsid w:val="004A005C"/>
    <w:rsid w:val="004A34D2"/>
    <w:rsid w:val="004A39E3"/>
    <w:rsid w:val="004A4F53"/>
    <w:rsid w:val="004A5A8D"/>
    <w:rsid w:val="004A6806"/>
    <w:rsid w:val="004B0E75"/>
    <w:rsid w:val="004B7369"/>
    <w:rsid w:val="004C04C7"/>
    <w:rsid w:val="004C05AB"/>
    <w:rsid w:val="004C6126"/>
    <w:rsid w:val="004C648C"/>
    <w:rsid w:val="004C7389"/>
    <w:rsid w:val="004D12CA"/>
    <w:rsid w:val="004D1548"/>
    <w:rsid w:val="004D1C27"/>
    <w:rsid w:val="004D1EC4"/>
    <w:rsid w:val="004D7B01"/>
    <w:rsid w:val="004E1056"/>
    <w:rsid w:val="004E20BA"/>
    <w:rsid w:val="004E2B4C"/>
    <w:rsid w:val="004E3760"/>
    <w:rsid w:val="004E5A03"/>
    <w:rsid w:val="004F0087"/>
    <w:rsid w:val="004F0E3E"/>
    <w:rsid w:val="004F1A11"/>
    <w:rsid w:val="004F260E"/>
    <w:rsid w:val="004F4CCC"/>
    <w:rsid w:val="00501E59"/>
    <w:rsid w:val="00503B9C"/>
    <w:rsid w:val="00506CEF"/>
    <w:rsid w:val="0050718B"/>
    <w:rsid w:val="00512AE1"/>
    <w:rsid w:val="00521EE6"/>
    <w:rsid w:val="00523967"/>
    <w:rsid w:val="0052643C"/>
    <w:rsid w:val="00527EEA"/>
    <w:rsid w:val="00530E1A"/>
    <w:rsid w:val="00531DA2"/>
    <w:rsid w:val="00534761"/>
    <w:rsid w:val="0053505B"/>
    <w:rsid w:val="0053505D"/>
    <w:rsid w:val="00540D77"/>
    <w:rsid w:val="00541055"/>
    <w:rsid w:val="00544705"/>
    <w:rsid w:val="00551D55"/>
    <w:rsid w:val="00552022"/>
    <w:rsid w:val="00553458"/>
    <w:rsid w:val="00557628"/>
    <w:rsid w:val="00560C0C"/>
    <w:rsid w:val="00561550"/>
    <w:rsid w:val="00563761"/>
    <w:rsid w:val="00563AED"/>
    <w:rsid w:val="00564E15"/>
    <w:rsid w:val="0056501C"/>
    <w:rsid w:val="00565825"/>
    <w:rsid w:val="00565C9C"/>
    <w:rsid w:val="00570018"/>
    <w:rsid w:val="0057104F"/>
    <w:rsid w:val="0057119E"/>
    <w:rsid w:val="005731B8"/>
    <w:rsid w:val="0058062C"/>
    <w:rsid w:val="00583A47"/>
    <w:rsid w:val="00584987"/>
    <w:rsid w:val="00586847"/>
    <w:rsid w:val="00587DC9"/>
    <w:rsid w:val="00590CC9"/>
    <w:rsid w:val="00591B67"/>
    <w:rsid w:val="005929F6"/>
    <w:rsid w:val="00594CCD"/>
    <w:rsid w:val="005A0CC6"/>
    <w:rsid w:val="005A1926"/>
    <w:rsid w:val="005A1A2F"/>
    <w:rsid w:val="005A2439"/>
    <w:rsid w:val="005A298A"/>
    <w:rsid w:val="005A4841"/>
    <w:rsid w:val="005A5343"/>
    <w:rsid w:val="005A5F9E"/>
    <w:rsid w:val="005A7B4D"/>
    <w:rsid w:val="005B1331"/>
    <w:rsid w:val="005B7129"/>
    <w:rsid w:val="005C17BC"/>
    <w:rsid w:val="005C18B3"/>
    <w:rsid w:val="005C2356"/>
    <w:rsid w:val="005C5ED4"/>
    <w:rsid w:val="005C6DA2"/>
    <w:rsid w:val="005C7E93"/>
    <w:rsid w:val="005D0C05"/>
    <w:rsid w:val="005D291C"/>
    <w:rsid w:val="005D2D80"/>
    <w:rsid w:val="005D2DDE"/>
    <w:rsid w:val="005D306B"/>
    <w:rsid w:val="005D49F0"/>
    <w:rsid w:val="005D5C4F"/>
    <w:rsid w:val="005E0D0B"/>
    <w:rsid w:val="005E193A"/>
    <w:rsid w:val="005E527E"/>
    <w:rsid w:val="005E6CAB"/>
    <w:rsid w:val="005E721E"/>
    <w:rsid w:val="005F4590"/>
    <w:rsid w:val="005F5093"/>
    <w:rsid w:val="005F6925"/>
    <w:rsid w:val="005F78B1"/>
    <w:rsid w:val="005F7C7C"/>
    <w:rsid w:val="005F7E3D"/>
    <w:rsid w:val="006004E5"/>
    <w:rsid w:val="00605C6C"/>
    <w:rsid w:val="00605DB1"/>
    <w:rsid w:val="006066F4"/>
    <w:rsid w:val="00607A66"/>
    <w:rsid w:val="00607BE7"/>
    <w:rsid w:val="00611779"/>
    <w:rsid w:val="00615F45"/>
    <w:rsid w:val="00615F92"/>
    <w:rsid w:val="006171EF"/>
    <w:rsid w:val="00617D7D"/>
    <w:rsid w:val="00623AB6"/>
    <w:rsid w:val="00625245"/>
    <w:rsid w:val="006253DA"/>
    <w:rsid w:val="00625827"/>
    <w:rsid w:val="006259AC"/>
    <w:rsid w:val="006266A3"/>
    <w:rsid w:val="00626CD1"/>
    <w:rsid w:val="00627BAD"/>
    <w:rsid w:val="00633ADE"/>
    <w:rsid w:val="00633B0F"/>
    <w:rsid w:val="00633E5A"/>
    <w:rsid w:val="00641EA6"/>
    <w:rsid w:val="00642C44"/>
    <w:rsid w:val="00646C70"/>
    <w:rsid w:val="006506D8"/>
    <w:rsid w:val="00650EA9"/>
    <w:rsid w:val="00651149"/>
    <w:rsid w:val="00654C79"/>
    <w:rsid w:val="00656FF9"/>
    <w:rsid w:val="00660A8B"/>
    <w:rsid w:val="00661D14"/>
    <w:rsid w:val="00663357"/>
    <w:rsid w:val="00663535"/>
    <w:rsid w:val="00665F70"/>
    <w:rsid w:val="006663B3"/>
    <w:rsid w:val="00666D67"/>
    <w:rsid w:val="00667C26"/>
    <w:rsid w:val="006710D6"/>
    <w:rsid w:val="00673393"/>
    <w:rsid w:val="00673A7F"/>
    <w:rsid w:val="006759DF"/>
    <w:rsid w:val="00676F34"/>
    <w:rsid w:val="00680325"/>
    <w:rsid w:val="00680FEB"/>
    <w:rsid w:val="006813BE"/>
    <w:rsid w:val="00687431"/>
    <w:rsid w:val="00687F18"/>
    <w:rsid w:val="00690178"/>
    <w:rsid w:val="0069509E"/>
    <w:rsid w:val="0069591E"/>
    <w:rsid w:val="006963F5"/>
    <w:rsid w:val="006A0B0B"/>
    <w:rsid w:val="006B1285"/>
    <w:rsid w:val="006B22F0"/>
    <w:rsid w:val="006B3B23"/>
    <w:rsid w:val="006B6D6F"/>
    <w:rsid w:val="006C0870"/>
    <w:rsid w:val="006C2320"/>
    <w:rsid w:val="006C425A"/>
    <w:rsid w:val="006C7C63"/>
    <w:rsid w:val="006C7ED8"/>
    <w:rsid w:val="006D5D7A"/>
    <w:rsid w:val="006D6EBC"/>
    <w:rsid w:val="006E01A5"/>
    <w:rsid w:val="006E0A58"/>
    <w:rsid w:val="006E4BA6"/>
    <w:rsid w:val="006E4F8E"/>
    <w:rsid w:val="006E5AD6"/>
    <w:rsid w:val="006E5E3A"/>
    <w:rsid w:val="006E627E"/>
    <w:rsid w:val="006F6D1D"/>
    <w:rsid w:val="006F7436"/>
    <w:rsid w:val="006F7ABE"/>
    <w:rsid w:val="0070200E"/>
    <w:rsid w:val="00704385"/>
    <w:rsid w:val="00705F26"/>
    <w:rsid w:val="00715B35"/>
    <w:rsid w:val="00716BBB"/>
    <w:rsid w:val="00721FB0"/>
    <w:rsid w:val="00722C23"/>
    <w:rsid w:val="007257A5"/>
    <w:rsid w:val="00726A6A"/>
    <w:rsid w:val="00737549"/>
    <w:rsid w:val="00737CC9"/>
    <w:rsid w:val="0074034C"/>
    <w:rsid w:val="00740557"/>
    <w:rsid w:val="00741BFE"/>
    <w:rsid w:val="00743CAC"/>
    <w:rsid w:val="00753EEF"/>
    <w:rsid w:val="007566C2"/>
    <w:rsid w:val="00760C1C"/>
    <w:rsid w:val="0076159B"/>
    <w:rsid w:val="00763EC2"/>
    <w:rsid w:val="007652BE"/>
    <w:rsid w:val="007655C5"/>
    <w:rsid w:val="00766667"/>
    <w:rsid w:val="0076755F"/>
    <w:rsid w:val="00767E3D"/>
    <w:rsid w:val="00770233"/>
    <w:rsid w:val="007702C6"/>
    <w:rsid w:val="00770AA8"/>
    <w:rsid w:val="00772773"/>
    <w:rsid w:val="00780557"/>
    <w:rsid w:val="00780988"/>
    <w:rsid w:val="007813BE"/>
    <w:rsid w:val="007822E3"/>
    <w:rsid w:val="007836A4"/>
    <w:rsid w:val="007903FF"/>
    <w:rsid w:val="0079360E"/>
    <w:rsid w:val="00793754"/>
    <w:rsid w:val="007A0B76"/>
    <w:rsid w:val="007A288E"/>
    <w:rsid w:val="007A662F"/>
    <w:rsid w:val="007A715F"/>
    <w:rsid w:val="007B1E74"/>
    <w:rsid w:val="007B307F"/>
    <w:rsid w:val="007B46E1"/>
    <w:rsid w:val="007B6520"/>
    <w:rsid w:val="007C0567"/>
    <w:rsid w:val="007C2AC1"/>
    <w:rsid w:val="007C3433"/>
    <w:rsid w:val="007C386F"/>
    <w:rsid w:val="007C5ED0"/>
    <w:rsid w:val="007C6560"/>
    <w:rsid w:val="007C67A8"/>
    <w:rsid w:val="007C7482"/>
    <w:rsid w:val="007C7F2F"/>
    <w:rsid w:val="007D0138"/>
    <w:rsid w:val="007D16C3"/>
    <w:rsid w:val="007D73A5"/>
    <w:rsid w:val="007D7C3D"/>
    <w:rsid w:val="007E1C6F"/>
    <w:rsid w:val="007E363E"/>
    <w:rsid w:val="007E40E9"/>
    <w:rsid w:val="007E4951"/>
    <w:rsid w:val="007F0727"/>
    <w:rsid w:val="007F25CC"/>
    <w:rsid w:val="007F260C"/>
    <w:rsid w:val="007F26FA"/>
    <w:rsid w:val="007F59D6"/>
    <w:rsid w:val="00800CE3"/>
    <w:rsid w:val="0080254A"/>
    <w:rsid w:val="0080423D"/>
    <w:rsid w:val="008106FA"/>
    <w:rsid w:val="00811A08"/>
    <w:rsid w:val="00812031"/>
    <w:rsid w:val="008127E1"/>
    <w:rsid w:val="00813B5C"/>
    <w:rsid w:val="00816F17"/>
    <w:rsid w:val="0081785C"/>
    <w:rsid w:val="008217F7"/>
    <w:rsid w:val="0082281B"/>
    <w:rsid w:val="0082642E"/>
    <w:rsid w:val="0083156C"/>
    <w:rsid w:val="008340CA"/>
    <w:rsid w:val="008400FD"/>
    <w:rsid w:val="00840C9C"/>
    <w:rsid w:val="00841820"/>
    <w:rsid w:val="00843E1E"/>
    <w:rsid w:val="0084517B"/>
    <w:rsid w:val="0084663D"/>
    <w:rsid w:val="0085166B"/>
    <w:rsid w:val="008560D2"/>
    <w:rsid w:val="00860E2E"/>
    <w:rsid w:val="00867585"/>
    <w:rsid w:val="00873495"/>
    <w:rsid w:val="0087492E"/>
    <w:rsid w:val="00875A68"/>
    <w:rsid w:val="008762C5"/>
    <w:rsid w:val="00876A3B"/>
    <w:rsid w:val="00881187"/>
    <w:rsid w:val="00883395"/>
    <w:rsid w:val="00884BCB"/>
    <w:rsid w:val="00885F9F"/>
    <w:rsid w:val="00886E00"/>
    <w:rsid w:val="0089083D"/>
    <w:rsid w:val="00890E94"/>
    <w:rsid w:val="008946A9"/>
    <w:rsid w:val="00895072"/>
    <w:rsid w:val="00895ACF"/>
    <w:rsid w:val="00896DFB"/>
    <w:rsid w:val="00897721"/>
    <w:rsid w:val="008A174D"/>
    <w:rsid w:val="008A32D4"/>
    <w:rsid w:val="008A550F"/>
    <w:rsid w:val="008A7A4D"/>
    <w:rsid w:val="008B2B99"/>
    <w:rsid w:val="008B5E7E"/>
    <w:rsid w:val="008B7759"/>
    <w:rsid w:val="008B7E2F"/>
    <w:rsid w:val="008C03C0"/>
    <w:rsid w:val="008C04DB"/>
    <w:rsid w:val="008C20FF"/>
    <w:rsid w:val="008C24CD"/>
    <w:rsid w:val="008C42A0"/>
    <w:rsid w:val="008C534F"/>
    <w:rsid w:val="008C608F"/>
    <w:rsid w:val="008C7B40"/>
    <w:rsid w:val="008C7D5A"/>
    <w:rsid w:val="008D01C8"/>
    <w:rsid w:val="008D07F6"/>
    <w:rsid w:val="008D4224"/>
    <w:rsid w:val="008D527A"/>
    <w:rsid w:val="008D5A79"/>
    <w:rsid w:val="008D5F23"/>
    <w:rsid w:val="008D5FFC"/>
    <w:rsid w:val="008D60F2"/>
    <w:rsid w:val="008D681E"/>
    <w:rsid w:val="008E114E"/>
    <w:rsid w:val="008E217C"/>
    <w:rsid w:val="008E265F"/>
    <w:rsid w:val="008E3B12"/>
    <w:rsid w:val="008E4425"/>
    <w:rsid w:val="008E7198"/>
    <w:rsid w:val="008F2899"/>
    <w:rsid w:val="008F6163"/>
    <w:rsid w:val="008F6468"/>
    <w:rsid w:val="008F68F1"/>
    <w:rsid w:val="00900218"/>
    <w:rsid w:val="00903027"/>
    <w:rsid w:val="009033EA"/>
    <w:rsid w:val="0090459C"/>
    <w:rsid w:val="009051CD"/>
    <w:rsid w:val="009104BB"/>
    <w:rsid w:val="00910CE0"/>
    <w:rsid w:val="0091578E"/>
    <w:rsid w:val="00916026"/>
    <w:rsid w:val="0091731C"/>
    <w:rsid w:val="00917B17"/>
    <w:rsid w:val="009211D4"/>
    <w:rsid w:val="009237A0"/>
    <w:rsid w:val="00924F76"/>
    <w:rsid w:val="00925DA5"/>
    <w:rsid w:val="00931C67"/>
    <w:rsid w:val="009324B2"/>
    <w:rsid w:val="00933C69"/>
    <w:rsid w:val="009372F1"/>
    <w:rsid w:val="00937D78"/>
    <w:rsid w:val="00943280"/>
    <w:rsid w:val="009438A4"/>
    <w:rsid w:val="0094561E"/>
    <w:rsid w:val="00946211"/>
    <w:rsid w:val="00947BB6"/>
    <w:rsid w:val="00950ADA"/>
    <w:rsid w:val="00952603"/>
    <w:rsid w:val="009532D4"/>
    <w:rsid w:val="00955854"/>
    <w:rsid w:val="009616F3"/>
    <w:rsid w:val="009617FB"/>
    <w:rsid w:val="00961843"/>
    <w:rsid w:val="009624E4"/>
    <w:rsid w:val="0096318B"/>
    <w:rsid w:val="00964060"/>
    <w:rsid w:val="009664BC"/>
    <w:rsid w:val="00966EC6"/>
    <w:rsid w:val="0097062F"/>
    <w:rsid w:val="0097336F"/>
    <w:rsid w:val="00975273"/>
    <w:rsid w:val="00975EA8"/>
    <w:rsid w:val="00977D9C"/>
    <w:rsid w:val="00980C2F"/>
    <w:rsid w:val="00981E05"/>
    <w:rsid w:val="0098366A"/>
    <w:rsid w:val="0098386C"/>
    <w:rsid w:val="00983F0A"/>
    <w:rsid w:val="00985A89"/>
    <w:rsid w:val="00985E59"/>
    <w:rsid w:val="009876CF"/>
    <w:rsid w:val="00990DBD"/>
    <w:rsid w:val="009949A3"/>
    <w:rsid w:val="00996E9D"/>
    <w:rsid w:val="00997EE9"/>
    <w:rsid w:val="009A150A"/>
    <w:rsid w:val="009A5721"/>
    <w:rsid w:val="009A6C7B"/>
    <w:rsid w:val="009A7B36"/>
    <w:rsid w:val="009B2495"/>
    <w:rsid w:val="009B2896"/>
    <w:rsid w:val="009C23A8"/>
    <w:rsid w:val="009C378F"/>
    <w:rsid w:val="009E1425"/>
    <w:rsid w:val="009E3B39"/>
    <w:rsid w:val="009E3EA5"/>
    <w:rsid w:val="009E4E7E"/>
    <w:rsid w:val="009E6EFE"/>
    <w:rsid w:val="009F0225"/>
    <w:rsid w:val="009F0BCE"/>
    <w:rsid w:val="009F10C5"/>
    <w:rsid w:val="009F3916"/>
    <w:rsid w:val="009F637D"/>
    <w:rsid w:val="00A01C03"/>
    <w:rsid w:val="00A05C3A"/>
    <w:rsid w:val="00A0671F"/>
    <w:rsid w:val="00A100B6"/>
    <w:rsid w:val="00A12842"/>
    <w:rsid w:val="00A12F70"/>
    <w:rsid w:val="00A214AA"/>
    <w:rsid w:val="00A244D6"/>
    <w:rsid w:val="00A2732E"/>
    <w:rsid w:val="00A33F4A"/>
    <w:rsid w:val="00A35112"/>
    <w:rsid w:val="00A35133"/>
    <w:rsid w:val="00A3677C"/>
    <w:rsid w:val="00A37125"/>
    <w:rsid w:val="00A45AC1"/>
    <w:rsid w:val="00A45B04"/>
    <w:rsid w:val="00A558E6"/>
    <w:rsid w:val="00A562CD"/>
    <w:rsid w:val="00A57B35"/>
    <w:rsid w:val="00A610CD"/>
    <w:rsid w:val="00A62B0A"/>
    <w:rsid w:val="00A6394C"/>
    <w:rsid w:val="00A64723"/>
    <w:rsid w:val="00A6578A"/>
    <w:rsid w:val="00A714D9"/>
    <w:rsid w:val="00A72511"/>
    <w:rsid w:val="00A72A0C"/>
    <w:rsid w:val="00A7555C"/>
    <w:rsid w:val="00A778F0"/>
    <w:rsid w:val="00A77A80"/>
    <w:rsid w:val="00A80069"/>
    <w:rsid w:val="00A80B18"/>
    <w:rsid w:val="00A814E9"/>
    <w:rsid w:val="00A83ECF"/>
    <w:rsid w:val="00A84A90"/>
    <w:rsid w:val="00A87391"/>
    <w:rsid w:val="00A87FD2"/>
    <w:rsid w:val="00A90A48"/>
    <w:rsid w:val="00AA1657"/>
    <w:rsid w:val="00AA6886"/>
    <w:rsid w:val="00AA7D26"/>
    <w:rsid w:val="00AB2225"/>
    <w:rsid w:val="00AB288A"/>
    <w:rsid w:val="00AB3C0E"/>
    <w:rsid w:val="00AB4909"/>
    <w:rsid w:val="00AB4997"/>
    <w:rsid w:val="00AB4C79"/>
    <w:rsid w:val="00AB60AE"/>
    <w:rsid w:val="00AB73AE"/>
    <w:rsid w:val="00AB7D4C"/>
    <w:rsid w:val="00AC4229"/>
    <w:rsid w:val="00AC42C8"/>
    <w:rsid w:val="00AC5579"/>
    <w:rsid w:val="00AC5773"/>
    <w:rsid w:val="00AC73E8"/>
    <w:rsid w:val="00AD1221"/>
    <w:rsid w:val="00AD1510"/>
    <w:rsid w:val="00AD5453"/>
    <w:rsid w:val="00AD7F68"/>
    <w:rsid w:val="00AE0DC9"/>
    <w:rsid w:val="00AE1EBC"/>
    <w:rsid w:val="00AE2B48"/>
    <w:rsid w:val="00AE7ACF"/>
    <w:rsid w:val="00AF01AA"/>
    <w:rsid w:val="00AF04FA"/>
    <w:rsid w:val="00AF0E25"/>
    <w:rsid w:val="00AF0FFF"/>
    <w:rsid w:val="00AF1BA4"/>
    <w:rsid w:val="00AF3833"/>
    <w:rsid w:val="00AF4250"/>
    <w:rsid w:val="00AF4388"/>
    <w:rsid w:val="00B0227B"/>
    <w:rsid w:val="00B0264E"/>
    <w:rsid w:val="00B03A75"/>
    <w:rsid w:val="00B055D7"/>
    <w:rsid w:val="00B06AE2"/>
    <w:rsid w:val="00B11C7E"/>
    <w:rsid w:val="00B207B0"/>
    <w:rsid w:val="00B22A2A"/>
    <w:rsid w:val="00B244EE"/>
    <w:rsid w:val="00B249B3"/>
    <w:rsid w:val="00B24C6A"/>
    <w:rsid w:val="00B256D9"/>
    <w:rsid w:val="00B3079B"/>
    <w:rsid w:val="00B30A3A"/>
    <w:rsid w:val="00B30AF3"/>
    <w:rsid w:val="00B31F0E"/>
    <w:rsid w:val="00B34A70"/>
    <w:rsid w:val="00B34F68"/>
    <w:rsid w:val="00B354DE"/>
    <w:rsid w:val="00B369FA"/>
    <w:rsid w:val="00B4029E"/>
    <w:rsid w:val="00B42163"/>
    <w:rsid w:val="00B44304"/>
    <w:rsid w:val="00B46D04"/>
    <w:rsid w:val="00B471D5"/>
    <w:rsid w:val="00B47FCE"/>
    <w:rsid w:val="00B50CF8"/>
    <w:rsid w:val="00B53B70"/>
    <w:rsid w:val="00B56207"/>
    <w:rsid w:val="00B63F73"/>
    <w:rsid w:val="00B6459F"/>
    <w:rsid w:val="00B662B4"/>
    <w:rsid w:val="00B66DF4"/>
    <w:rsid w:val="00B672EF"/>
    <w:rsid w:val="00B67CD9"/>
    <w:rsid w:val="00B74832"/>
    <w:rsid w:val="00B76D23"/>
    <w:rsid w:val="00B826D2"/>
    <w:rsid w:val="00B83E37"/>
    <w:rsid w:val="00B85F1F"/>
    <w:rsid w:val="00B92DA1"/>
    <w:rsid w:val="00B93F94"/>
    <w:rsid w:val="00B942EA"/>
    <w:rsid w:val="00BA0117"/>
    <w:rsid w:val="00BA0583"/>
    <w:rsid w:val="00BA0D3C"/>
    <w:rsid w:val="00BA2D1D"/>
    <w:rsid w:val="00BA72FE"/>
    <w:rsid w:val="00BB514F"/>
    <w:rsid w:val="00BB7F43"/>
    <w:rsid w:val="00BC0BCC"/>
    <w:rsid w:val="00BC15F4"/>
    <w:rsid w:val="00BC23DA"/>
    <w:rsid w:val="00BC3C41"/>
    <w:rsid w:val="00BC57DC"/>
    <w:rsid w:val="00BC5F14"/>
    <w:rsid w:val="00BD0ED4"/>
    <w:rsid w:val="00BD2474"/>
    <w:rsid w:val="00BD353A"/>
    <w:rsid w:val="00BD46F1"/>
    <w:rsid w:val="00BD4F83"/>
    <w:rsid w:val="00BD4FED"/>
    <w:rsid w:val="00BD5FC2"/>
    <w:rsid w:val="00BD66DD"/>
    <w:rsid w:val="00BE0882"/>
    <w:rsid w:val="00BE0E3A"/>
    <w:rsid w:val="00BE16D1"/>
    <w:rsid w:val="00BF006E"/>
    <w:rsid w:val="00BF1119"/>
    <w:rsid w:val="00BF67E0"/>
    <w:rsid w:val="00BF6ABE"/>
    <w:rsid w:val="00C00153"/>
    <w:rsid w:val="00C00A47"/>
    <w:rsid w:val="00C01FA6"/>
    <w:rsid w:val="00C03782"/>
    <w:rsid w:val="00C03CF5"/>
    <w:rsid w:val="00C042FD"/>
    <w:rsid w:val="00C10B10"/>
    <w:rsid w:val="00C12B86"/>
    <w:rsid w:val="00C1407F"/>
    <w:rsid w:val="00C14751"/>
    <w:rsid w:val="00C16458"/>
    <w:rsid w:val="00C164D9"/>
    <w:rsid w:val="00C216C8"/>
    <w:rsid w:val="00C25023"/>
    <w:rsid w:val="00C2525C"/>
    <w:rsid w:val="00C31298"/>
    <w:rsid w:val="00C31301"/>
    <w:rsid w:val="00C31F97"/>
    <w:rsid w:val="00C35598"/>
    <w:rsid w:val="00C35A1B"/>
    <w:rsid w:val="00C3651C"/>
    <w:rsid w:val="00C40F2D"/>
    <w:rsid w:val="00C41E88"/>
    <w:rsid w:val="00C42111"/>
    <w:rsid w:val="00C44079"/>
    <w:rsid w:val="00C50CA7"/>
    <w:rsid w:val="00C5102A"/>
    <w:rsid w:val="00C52962"/>
    <w:rsid w:val="00C52C23"/>
    <w:rsid w:val="00C52CAF"/>
    <w:rsid w:val="00C53287"/>
    <w:rsid w:val="00C55193"/>
    <w:rsid w:val="00C55FD1"/>
    <w:rsid w:val="00C5612B"/>
    <w:rsid w:val="00C60219"/>
    <w:rsid w:val="00C65FBB"/>
    <w:rsid w:val="00C70954"/>
    <w:rsid w:val="00C73458"/>
    <w:rsid w:val="00C734CD"/>
    <w:rsid w:val="00C74C6B"/>
    <w:rsid w:val="00C75576"/>
    <w:rsid w:val="00C762B1"/>
    <w:rsid w:val="00C83AF5"/>
    <w:rsid w:val="00C87548"/>
    <w:rsid w:val="00C91091"/>
    <w:rsid w:val="00C95A28"/>
    <w:rsid w:val="00C95A4A"/>
    <w:rsid w:val="00CA1740"/>
    <w:rsid w:val="00CA2E19"/>
    <w:rsid w:val="00CA2EF1"/>
    <w:rsid w:val="00CA33C1"/>
    <w:rsid w:val="00CA6B66"/>
    <w:rsid w:val="00CA7F05"/>
    <w:rsid w:val="00CB2057"/>
    <w:rsid w:val="00CB4C31"/>
    <w:rsid w:val="00CB6297"/>
    <w:rsid w:val="00CB6B27"/>
    <w:rsid w:val="00CC0198"/>
    <w:rsid w:val="00CC2B45"/>
    <w:rsid w:val="00CC46AE"/>
    <w:rsid w:val="00CC6132"/>
    <w:rsid w:val="00CC6881"/>
    <w:rsid w:val="00CD0C3D"/>
    <w:rsid w:val="00CD1111"/>
    <w:rsid w:val="00CD12B8"/>
    <w:rsid w:val="00CD191B"/>
    <w:rsid w:val="00CD26D0"/>
    <w:rsid w:val="00CD53F1"/>
    <w:rsid w:val="00CD5AA5"/>
    <w:rsid w:val="00CD7B19"/>
    <w:rsid w:val="00CE0A60"/>
    <w:rsid w:val="00CE2388"/>
    <w:rsid w:val="00CE24CF"/>
    <w:rsid w:val="00CE3B62"/>
    <w:rsid w:val="00CE4A9B"/>
    <w:rsid w:val="00CE518E"/>
    <w:rsid w:val="00CE6EC3"/>
    <w:rsid w:val="00CF0515"/>
    <w:rsid w:val="00CF24AA"/>
    <w:rsid w:val="00CF426D"/>
    <w:rsid w:val="00CF5824"/>
    <w:rsid w:val="00CF58D6"/>
    <w:rsid w:val="00CF649E"/>
    <w:rsid w:val="00CF75A3"/>
    <w:rsid w:val="00CF7858"/>
    <w:rsid w:val="00D02EB9"/>
    <w:rsid w:val="00D05CD6"/>
    <w:rsid w:val="00D05F86"/>
    <w:rsid w:val="00D07EAA"/>
    <w:rsid w:val="00D10176"/>
    <w:rsid w:val="00D12B43"/>
    <w:rsid w:val="00D171E6"/>
    <w:rsid w:val="00D20ED1"/>
    <w:rsid w:val="00D20F5C"/>
    <w:rsid w:val="00D264CF"/>
    <w:rsid w:val="00D31230"/>
    <w:rsid w:val="00D31362"/>
    <w:rsid w:val="00D3235D"/>
    <w:rsid w:val="00D32969"/>
    <w:rsid w:val="00D32F16"/>
    <w:rsid w:val="00D34342"/>
    <w:rsid w:val="00D3575C"/>
    <w:rsid w:val="00D35AC5"/>
    <w:rsid w:val="00D37F52"/>
    <w:rsid w:val="00D401F9"/>
    <w:rsid w:val="00D4268C"/>
    <w:rsid w:val="00D44BFA"/>
    <w:rsid w:val="00D45F8D"/>
    <w:rsid w:val="00D46286"/>
    <w:rsid w:val="00D50D7A"/>
    <w:rsid w:val="00D50DD2"/>
    <w:rsid w:val="00D5264E"/>
    <w:rsid w:val="00D5305F"/>
    <w:rsid w:val="00D53BF8"/>
    <w:rsid w:val="00D554A1"/>
    <w:rsid w:val="00D55989"/>
    <w:rsid w:val="00D57F0F"/>
    <w:rsid w:val="00D6137B"/>
    <w:rsid w:val="00D6248E"/>
    <w:rsid w:val="00D64FDD"/>
    <w:rsid w:val="00D656D3"/>
    <w:rsid w:val="00D65A2A"/>
    <w:rsid w:val="00D74C89"/>
    <w:rsid w:val="00D74D81"/>
    <w:rsid w:val="00D751B0"/>
    <w:rsid w:val="00D75997"/>
    <w:rsid w:val="00D77490"/>
    <w:rsid w:val="00D837F1"/>
    <w:rsid w:val="00D864C1"/>
    <w:rsid w:val="00D87CFA"/>
    <w:rsid w:val="00D9268A"/>
    <w:rsid w:val="00D94A66"/>
    <w:rsid w:val="00D95450"/>
    <w:rsid w:val="00D971F9"/>
    <w:rsid w:val="00D973E9"/>
    <w:rsid w:val="00DA697A"/>
    <w:rsid w:val="00DB0DB0"/>
    <w:rsid w:val="00DB1029"/>
    <w:rsid w:val="00DB19A6"/>
    <w:rsid w:val="00DB6EDC"/>
    <w:rsid w:val="00DB760F"/>
    <w:rsid w:val="00DB7E50"/>
    <w:rsid w:val="00DB7F97"/>
    <w:rsid w:val="00DC1F38"/>
    <w:rsid w:val="00DD0A9D"/>
    <w:rsid w:val="00DD0D80"/>
    <w:rsid w:val="00DD297A"/>
    <w:rsid w:val="00DD63A6"/>
    <w:rsid w:val="00DD685C"/>
    <w:rsid w:val="00DD6D29"/>
    <w:rsid w:val="00DE1853"/>
    <w:rsid w:val="00DE22EE"/>
    <w:rsid w:val="00DE35D6"/>
    <w:rsid w:val="00DE4111"/>
    <w:rsid w:val="00DE7869"/>
    <w:rsid w:val="00DE7E60"/>
    <w:rsid w:val="00DF0132"/>
    <w:rsid w:val="00DF0F2F"/>
    <w:rsid w:val="00DF1F73"/>
    <w:rsid w:val="00DF359D"/>
    <w:rsid w:val="00DF468D"/>
    <w:rsid w:val="00DF6C16"/>
    <w:rsid w:val="00DF7D54"/>
    <w:rsid w:val="00E00847"/>
    <w:rsid w:val="00E01F5A"/>
    <w:rsid w:val="00E031C9"/>
    <w:rsid w:val="00E0735A"/>
    <w:rsid w:val="00E07528"/>
    <w:rsid w:val="00E07670"/>
    <w:rsid w:val="00E105CF"/>
    <w:rsid w:val="00E106BC"/>
    <w:rsid w:val="00E121CA"/>
    <w:rsid w:val="00E1332D"/>
    <w:rsid w:val="00E13D5E"/>
    <w:rsid w:val="00E144D3"/>
    <w:rsid w:val="00E14693"/>
    <w:rsid w:val="00E15E86"/>
    <w:rsid w:val="00E177F7"/>
    <w:rsid w:val="00E2238E"/>
    <w:rsid w:val="00E26FE9"/>
    <w:rsid w:val="00E3261D"/>
    <w:rsid w:val="00E33575"/>
    <w:rsid w:val="00E36023"/>
    <w:rsid w:val="00E36976"/>
    <w:rsid w:val="00E410B4"/>
    <w:rsid w:val="00E456C7"/>
    <w:rsid w:val="00E5001C"/>
    <w:rsid w:val="00E51554"/>
    <w:rsid w:val="00E5267A"/>
    <w:rsid w:val="00E52851"/>
    <w:rsid w:val="00E52ACE"/>
    <w:rsid w:val="00E53C2E"/>
    <w:rsid w:val="00E54A4F"/>
    <w:rsid w:val="00E5558C"/>
    <w:rsid w:val="00E560EA"/>
    <w:rsid w:val="00E56F59"/>
    <w:rsid w:val="00E57A13"/>
    <w:rsid w:val="00E6134D"/>
    <w:rsid w:val="00E71534"/>
    <w:rsid w:val="00E7176C"/>
    <w:rsid w:val="00E71780"/>
    <w:rsid w:val="00E75274"/>
    <w:rsid w:val="00E7608B"/>
    <w:rsid w:val="00E8069B"/>
    <w:rsid w:val="00E806FE"/>
    <w:rsid w:val="00E80CC3"/>
    <w:rsid w:val="00E81716"/>
    <w:rsid w:val="00E8221B"/>
    <w:rsid w:val="00E8368B"/>
    <w:rsid w:val="00E8371E"/>
    <w:rsid w:val="00E83CC4"/>
    <w:rsid w:val="00E840CF"/>
    <w:rsid w:val="00E84691"/>
    <w:rsid w:val="00E86E2F"/>
    <w:rsid w:val="00E876BB"/>
    <w:rsid w:val="00E924F7"/>
    <w:rsid w:val="00E92E43"/>
    <w:rsid w:val="00E96FDA"/>
    <w:rsid w:val="00E97038"/>
    <w:rsid w:val="00EA0A35"/>
    <w:rsid w:val="00EA1911"/>
    <w:rsid w:val="00EA68FB"/>
    <w:rsid w:val="00EA69A5"/>
    <w:rsid w:val="00EA722C"/>
    <w:rsid w:val="00EB11E4"/>
    <w:rsid w:val="00EB3307"/>
    <w:rsid w:val="00EB3DB3"/>
    <w:rsid w:val="00EB4A80"/>
    <w:rsid w:val="00EC315A"/>
    <w:rsid w:val="00EC43A4"/>
    <w:rsid w:val="00EC633C"/>
    <w:rsid w:val="00ED437F"/>
    <w:rsid w:val="00ED4B8A"/>
    <w:rsid w:val="00ED630F"/>
    <w:rsid w:val="00ED72A2"/>
    <w:rsid w:val="00ED7610"/>
    <w:rsid w:val="00EE4A11"/>
    <w:rsid w:val="00EF1134"/>
    <w:rsid w:val="00F03DF6"/>
    <w:rsid w:val="00F06D0E"/>
    <w:rsid w:val="00F10368"/>
    <w:rsid w:val="00F11C16"/>
    <w:rsid w:val="00F12398"/>
    <w:rsid w:val="00F13801"/>
    <w:rsid w:val="00F14767"/>
    <w:rsid w:val="00F1495D"/>
    <w:rsid w:val="00F14BA2"/>
    <w:rsid w:val="00F151AF"/>
    <w:rsid w:val="00F16E23"/>
    <w:rsid w:val="00F17041"/>
    <w:rsid w:val="00F174E4"/>
    <w:rsid w:val="00F200A6"/>
    <w:rsid w:val="00F223A4"/>
    <w:rsid w:val="00F279D9"/>
    <w:rsid w:val="00F27A9A"/>
    <w:rsid w:val="00F3004F"/>
    <w:rsid w:val="00F32180"/>
    <w:rsid w:val="00F3237E"/>
    <w:rsid w:val="00F3313F"/>
    <w:rsid w:val="00F334AB"/>
    <w:rsid w:val="00F36476"/>
    <w:rsid w:val="00F36821"/>
    <w:rsid w:val="00F41BDC"/>
    <w:rsid w:val="00F42FC6"/>
    <w:rsid w:val="00F4595F"/>
    <w:rsid w:val="00F466C8"/>
    <w:rsid w:val="00F46DF2"/>
    <w:rsid w:val="00F4783A"/>
    <w:rsid w:val="00F47D01"/>
    <w:rsid w:val="00F47F4C"/>
    <w:rsid w:val="00F533BC"/>
    <w:rsid w:val="00F535D0"/>
    <w:rsid w:val="00F548DF"/>
    <w:rsid w:val="00F56056"/>
    <w:rsid w:val="00F56B05"/>
    <w:rsid w:val="00F60ACE"/>
    <w:rsid w:val="00F6677E"/>
    <w:rsid w:val="00F66DE6"/>
    <w:rsid w:val="00F67944"/>
    <w:rsid w:val="00F706E4"/>
    <w:rsid w:val="00F72E70"/>
    <w:rsid w:val="00F7384B"/>
    <w:rsid w:val="00F743A7"/>
    <w:rsid w:val="00F77DDB"/>
    <w:rsid w:val="00F77FC6"/>
    <w:rsid w:val="00F8066E"/>
    <w:rsid w:val="00F82B9F"/>
    <w:rsid w:val="00F906C6"/>
    <w:rsid w:val="00F90E96"/>
    <w:rsid w:val="00F92EA9"/>
    <w:rsid w:val="00F9471A"/>
    <w:rsid w:val="00F95B98"/>
    <w:rsid w:val="00FA0562"/>
    <w:rsid w:val="00FA3596"/>
    <w:rsid w:val="00FA3611"/>
    <w:rsid w:val="00FA3CA7"/>
    <w:rsid w:val="00FA5D5A"/>
    <w:rsid w:val="00FA6312"/>
    <w:rsid w:val="00FA7AA2"/>
    <w:rsid w:val="00FB0762"/>
    <w:rsid w:val="00FB3451"/>
    <w:rsid w:val="00FB37EA"/>
    <w:rsid w:val="00FB3CCD"/>
    <w:rsid w:val="00FB547A"/>
    <w:rsid w:val="00FB5F10"/>
    <w:rsid w:val="00FB6557"/>
    <w:rsid w:val="00FC34E1"/>
    <w:rsid w:val="00FC57D8"/>
    <w:rsid w:val="00FD04A4"/>
    <w:rsid w:val="00FD2BBB"/>
    <w:rsid w:val="00FD4BF7"/>
    <w:rsid w:val="00FD693B"/>
    <w:rsid w:val="00FE1FE2"/>
    <w:rsid w:val="00FF0878"/>
    <w:rsid w:val="00FF1165"/>
    <w:rsid w:val="00FF4A2F"/>
    <w:rsid w:val="010A34E9"/>
    <w:rsid w:val="010E72CB"/>
    <w:rsid w:val="01185D37"/>
    <w:rsid w:val="012804A0"/>
    <w:rsid w:val="01330404"/>
    <w:rsid w:val="017546F1"/>
    <w:rsid w:val="019561CB"/>
    <w:rsid w:val="01995BAA"/>
    <w:rsid w:val="01AE5B4F"/>
    <w:rsid w:val="01B12936"/>
    <w:rsid w:val="01B36BD0"/>
    <w:rsid w:val="01BA1962"/>
    <w:rsid w:val="01C5574E"/>
    <w:rsid w:val="01EF65B9"/>
    <w:rsid w:val="02316129"/>
    <w:rsid w:val="024F243F"/>
    <w:rsid w:val="0272798A"/>
    <w:rsid w:val="028B36A9"/>
    <w:rsid w:val="02A60F79"/>
    <w:rsid w:val="02B93A83"/>
    <w:rsid w:val="02C1741F"/>
    <w:rsid w:val="02C52DD9"/>
    <w:rsid w:val="02C62D99"/>
    <w:rsid w:val="02D634CE"/>
    <w:rsid w:val="02D96DDE"/>
    <w:rsid w:val="02E16C1D"/>
    <w:rsid w:val="03072494"/>
    <w:rsid w:val="03117995"/>
    <w:rsid w:val="034F6939"/>
    <w:rsid w:val="037C7044"/>
    <w:rsid w:val="03A74DE3"/>
    <w:rsid w:val="03BB477C"/>
    <w:rsid w:val="03C07382"/>
    <w:rsid w:val="03DB240E"/>
    <w:rsid w:val="03DD3F3A"/>
    <w:rsid w:val="03F6348B"/>
    <w:rsid w:val="04170EEA"/>
    <w:rsid w:val="043E7102"/>
    <w:rsid w:val="044833F3"/>
    <w:rsid w:val="044B387B"/>
    <w:rsid w:val="047138FD"/>
    <w:rsid w:val="047C0850"/>
    <w:rsid w:val="04B62AC8"/>
    <w:rsid w:val="04B86DCC"/>
    <w:rsid w:val="04BB5CFF"/>
    <w:rsid w:val="05351F67"/>
    <w:rsid w:val="054B08ED"/>
    <w:rsid w:val="05536C4A"/>
    <w:rsid w:val="05854A7A"/>
    <w:rsid w:val="05AA3251"/>
    <w:rsid w:val="05C14CA1"/>
    <w:rsid w:val="05C52616"/>
    <w:rsid w:val="05D92727"/>
    <w:rsid w:val="05DB2A34"/>
    <w:rsid w:val="05DF2EC6"/>
    <w:rsid w:val="05F74E26"/>
    <w:rsid w:val="05F9584F"/>
    <w:rsid w:val="060701FF"/>
    <w:rsid w:val="0607573C"/>
    <w:rsid w:val="061E37B4"/>
    <w:rsid w:val="062560ED"/>
    <w:rsid w:val="062F190E"/>
    <w:rsid w:val="064723CD"/>
    <w:rsid w:val="064E2804"/>
    <w:rsid w:val="06602E96"/>
    <w:rsid w:val="06634889"/>
    <w:rsid w:val="068024CD"/>
    <w:rsid w:val="068F2218"/>
    <w:rsid w:val="069B702B"/>
    <w:rsid w:val="06E77061"/>
    <w:rsid w:val="070677A2"/>
    <w:rsid w:val="07195E9B"/>
    <w:rsid w:val="075B4E21"/>
    <w:rsid w:val="07631AD9"/>
    <w:rsid w:val="076F4CA2"/>
    <w:rsid w:val="07712DCC"/>
    <w:rsid w:val="0776344D"/>
    <w:rsid w:val="07963981"/>
    <w:rsid w:val="07AB553A"/>
    <w:rsid w:val="07B7459B"/>
    <w:rsid w:val="07BC3BC1"/>
    <w:rsid w:val="07BF4CAF"/>
    <w:rsid w:val="07C147C6"/>
    <w:rsid w:val="07CF0589"/>
    <w:rsid w:val="07D478A0"/>
    <w:rsid w:val="081B33D4"/>
    <w:rsid w:val="08234384"/>
    <w:rsid w:val="08257418"/>
    <w:rsid w:val="082C7CC5"/>
    <w:rsid w:val="0835054F"/>
    <w:rsid w:val="084A7B62"/>
    <w:rsid w:val="085041EF"/>
    <w:rsid w:val="085140B5"/>
    <w:rsid w:val="08AA6F80"/>
    <w:rsid w:val="08AB79FB"/>
    <w:rsid w:val="08BF5A33"/>
    <w:rsid w:val="08D74BDE"/>
    <w:rsid w:val="08E46EA7"/>
    <w:rsid w:val="08E510A5"/>
    <w:rsid w:val="08EF7436"/>
    <w:rsid w:val="08F00A83"/>
    <w:rsid w:val="091A3AFD"/>
    <w:rsid w:val="09207CB4"/>
    <w:rsid w:val="092B3D75"/>
    <w:rsid w:val="093157E2"/>
    <w:rsid w:val="09411C27"/>
    <w:rsid w:val="09437479"/>
    <w:rsid w:val="0956766E"/>
    <w:rsid w:val="097A3656"/>
    <w:rsid w:val="099B5350"/>
    <w:rsid w:val="09AE28E7"/>
    <w:rsid w:val="09C1703B"/>
    <w:rsid w:val="09C252EF"/>
    <w:rsid w:val="09F4700A"/>
    <w:rsid w:val="09FE53F8"/>
    <w:rsid w:val="0A164C9A"/>
    <w:rsid w:val="0A1A36A0"/>
    <w:rsid w:val="0A250A4F"/>
    <w:rsid w:val="0A2574B3"/>
    <w:rsid w:val="0A3C4EDA"/>
    <w:rsid w:val="0A4214B3"/>
    <w:rsid w:val="0A49096C"/>
    <w:rsid w:val="0A4941EF"/>
    <w:rsid w:val="0A584BF5"/>
    <w:rsid w:val="0A6C7D4F"/>
    <w:rsid w:val="0A820FC2"/>
    <w:rsid w:val="0A937AE7"/>
    <w:rsid w:val="0AAB35FA"/>
    <w:rsid w:val="0AAB518D"/>
    <w:rsid w:val="0AB07FCB"/>
    <w:rsid w:val="0AB37650"/>
    <w:rsid w:val="0AC05B08"/>
    <w:rsid w:val="0AC17331"/>
    <w:rsid w:val="0AC637B9"/>
    <w:rsid w:val="0AE34460"/>
    <w:rsid w:val="0B1730F8"/>
    <w:rsid w:val="0B1C2E9F"/>
    <w:rsid w:val="0B295A5C"/>
    <w:rsid w:val="0B2B01B0"/>
    <w:rsid w:val="0B2D2264"/>
    <w:rsid w:val="0B366044"/>
    <w:rsid w:val="0B4036B0"/>
    <w:rsid w:val="0B4A3CDB"/>
    <w:rsid w:val="0B68038D"/>
    <w:rsid w:val="0B701A53"/>
    <w:rsid w:val="0B74045A"/>
    <w:rsid w:val="0B9C2C57"/>
    <w:rsid w:val="0BA9248D"/>
    <w:rsid w:val="0BF6105B"/>
    <w:rsid w:val="0C1B5AE1"/>
    <w:rsid w:val="0C1F08F2"/>
    <w:rsid w:val="0C280569"/>
    <w:rsid w:val="0C3B618D"/>
    <w:rsid w:val="0C3D60A8"/>
    <w:rsid w:val="0C4A1799"/>
    <w:rsid w:val="0C5058F0"/>
    <w:rsid w:val="0C610544"/>
    <w:rsid w:val="0C636312"/>
    <w:rsid w:val="0C663265"/>
    <w:rsid w:val="0C766CC8"/>
    <w:rsid w:val="0C7E090C"/>
    <w:rsid w:val="0C9E1E70"/>
    <w:rsid w:val="0CBD0903"/>
    <w:rsid w:val="0CC32695"/>
    <w:rsid w:val="0CF550D2"/>
    <w:rsid w:val="0D292FA3"/>
    <w:rsid w:val="0D3642C3"/>
    <w:rsid w:val="0D3A392A"/>
    <w:rsid w:val="0D7F5F30"/>
    <w:rsid w:val="0D845498"/>
    <w:rsid w:val="0DC444A6"/>
    <w:rsid w:val="0DD9341B"/>
    <w:rsid w:val="0DDE17CD"/>
    <w:rsid w:val="0DF370E8"/>
    <w:rsid w:val="0E095E94"/>
    <w:rsid w:val="0E144B73"/>
    <w:rsid w:val="0E21709B"/>
    <w:rsid w:val="0E301B48"/>
    <w:rsid w:val="0E360817"/>
    <w:rsid w:val="0E3F51A9"/>
    <w:rsid w:val="0E405FEE"/>
    <w:rsid w:val="0E4711FC"/>
    <w:rsid w:val="0E500807"/>
    <w:rsid w:val="0E662DFC"/>
    <w:rsid w:val="0E685174"/>
    <w:rsid w:val="0E6F1A9C"/>
    <w:rsid w:val="0E8B44A3"/>
    <w:rsid w:val="0E943177"/>
    <w:rsid w:val="0E956D7D"/>
    <w:rsid w:val="0E9570FF"/>
    <w:rsid w:val="0E984360"/>
    <w:rsid w:val="0EC35F79"/>
    <w:rsid w:val="0EE3107B"/>
    <w:rsid w:val="0F0271B1"/>
    <w:rsid w:val="0F334143"/>
    <w:rsid w:val="0F3656D2"/>
    <w:rsid w:val="0F3876C0"/>
    <w:rsid w:val="0F403993"/>
    <w:rsid w:val="0F684B57"/>
    <w:rsid w:val="0F7D5794"/>
    <w:rsid w:val="0F8D2CC9"/>
    <w:rsid w:val="0F944D3B"/>
    <w:rsid w:val="0FBC6A5E"/>
    <w:rsid w:val="0FC02BBC"/>
    <w:rsid w:val="0FE05A9A"/>
    <w:rsid w:val="0FE15B2C"/>
    <w:rsid w:val="101626F1"/>
    <w:rsid w:val="10437D3D"/>
    <w:rsid w:val="104C2BCB"/>
    <w:rsid w:val="106D0B81"/>
    <w:rsid w:val="106E6603"/>
    <w:rsid w:val="108C5BB3"/>
    <w:rsid w:val="10AA5642"/>
    <w:rsid w:val="10AF4B7F"/>
    <w:rsid w:val="10B379BE"/>
    <w:rsid w:val="10C85AC8"/>
    <w:rsid w:val="10CD6A2A"/>
    <w:rsid w:val="10FD716C"/>
    <w:rsid w:val="110A4A30"/>
    <w:rsid w:val="110C16B8"/>
    <w:rsid w:val="111E0C44"/>
    <w:rsid w:val="11204DB3"/>
    <w:rsid w:val="11560AFF"/>
    <w:rsid w:val="11582082"/>
    <w:rsid w:val="115E301D"/>
    <w:rsid w:val="116C10AE"/>
    <w:rsid w:val="11786A33"/>
    <w:rsid w:val="11806BE3"/>
    <w:rsid w:val="1189112B"/>
    <w:rsid w:val="118947D1"/>
    <w:rsid w:val="121B31C2"/>
    <w:rsid w:val="121F3DCB"/>
    <w:rsid w:val="12377BFD"/>
    <w:rsid w:val="123A6B73"/>
    <w:rsid w:val="128227EB"/>
    <w:rsid w:val="1287027F"/>
    <w:rsid w:val="12920887"/>
    <w:rsid w:val="12960769"/>
    <w:rsid w:val="12971BF6"/>
    <w:rsid w:val="12B11C58"/>
    <w:rsid w:val="12BC6B5B"/>
    <w:rsid w:val="12BE740A"/>
    <w:rsid w:val="12C40C60"/>
    <w:rsid w:val="12C46AD7"/>
    <w:rsid w:val="12F7022B"/>
    <w:rsid w:val="12F85400"/>
    <w:rsid w:val="12F92A37"/>
    <w:rsid w:val="12FE572C"/>
    <w:rsid w:val="130D01D0"/>
    <w:rsid w:val="13315EDB"/>
    <w:rsid w:val="136817E4"/>
    <w:rsid w:val="136E36ED"/>
    <w:rsid w:val="13811BF2"/>
    <w:rsid w:val="13A1281B"/>
    <w:rsid w:val="13A4786C"/>
    <w:rsid w:val="13A75ED1"/>
    <w:rsid w:val="13BD2572"/>
    <w:rsid w:val="13BF12F1"/>
    <w:rsid w:val="13CD0BB8"/>
    <w:rsid w:val="13D23411"/>
    <w:rsid w:val="13D771C9"/>
    <w:rsid w:val="13F029C1"/>
    <w:rsid w:val="13F56FDC"/>
    <w:rsid w:val="1404791F"/>
    <w:rsid w:val="142A0868"/>
    <w:rsid w:val="1434622A"/>
    <w:rsid w:val="14457ECD"/>
    <w:rsid w:val="145452E5"/>
    <w:rsid w:val="14794EA4"/>
    <w:rsid w:val="148515D0"/>
    <w:rsid w:val="1489513E"/>
    <w:rsid w:val="14981ED6"/>
    <w:rsid w:val="149A7B1E"/>
    <w:rsid w:val="14B70EDE"/>
    <w:rsid w:val="14CA2540"/>
    <w:rsid w:val="14CE23B0"/>
    <w:rsid w:val="14DD1E70"/>
    <w:rsid w:val="14EF0366"/>
    <w:rsid w:val="14F54847"/>
    <w:rsid w:val="150E7D48"/>
    <w:rsid w:val="151E3433"/>
    <w:rsid w:val="152073C3"/>
    <w:rsid w:val="153E7FFC"/>
    <w:rsid w:val="15581EA4"/>
    <w:rsid w:val="155D1A34"/>
    <w:rsid w:val="156670AB"/>
    <w:rsid w:val="15731F7A"/>
    <w:rsid w:val="158233FF"/>
    <w:rsid w:val="1589438A"/>
    <w:rsid w:val="158C5C66"/>
    <w:rsid w:val="15915022"/>
    <w:rsid w:val="15AF58A6"/>
    <w:rsid w:val="15C201DB"/>
    <w:rsid w:val="15C67EF4"/>
    <w:rsid w:val="15CB4851"/>
    <w:rsid w:val="15CD0276"/>
    <w:rsid w:val="15CD179E"/>
    <w:rsid w:val="15DF0879"/>
    <w:rsid w:val="15F3690F"/>
    <w:rsid w:val="15FF5FEA"/>
    <w:rsid w:val="16256D5F"/>
    <w:rsid w:val="16305F16"/>
    <w:rsid w:val="16551BAC"/>
    <w:rsid w:val="165F72C3"/>
    <w:rsid w:val="16755506"/>
    <w:rsid w:val="167A4E13"/>
    <w:rsid w:val="168B4CCD"/>
    <w:rsid w:val="16936818"/>
    <w:rsid w:val="16A67A37"/>
    <w:rsid w:val="17034E01"/>
    <w:rsid w:val="173663AF"/>
    <w:rsid w:val="173F6931"/>
    <w:rsid w:val="174B0890"/>
    <w:rsid w:val="17525B11"/>
    <w:rsid w:val="176D1EAB"/>
    <w:rsid w:val="176D617B"/>
    <w:rsid w:val="17773DA4"/>
    <w:rsid w:val="17840E73"/>
    <w:rsid w:val="1793171C"/>
    <w:rsid w:val="17A708DF"/>
    <w:rsid w:val="17CA1744"/>
    <w:rsid w:val="17D0041E"/>
    <w:rsid w:val="17DE1AAC"/>
    <w:rsid w:val="17EE2E8F"/>
    <w:rsid w:val="17F141D6"/>
    <w:rsid w:val="17FA1FB8"/>
    <w:rsid w:val="182E6803"/>
    <w:rsid w:val="18402509"/>
    <w:rsid w:val="18731740"/>
    <w:rsid w:val="18752D3B"/>
    <w:rsid w:val="18787932"/>
    <w:rsid w:val="187971E2"/>
    <w:rsid w:val="187A66B9"/>
    <w:rsid w:val="1890085C"/>
    <w:rsid w:val="18B0114B"/>
    <w:rsid w:val="18B30A11"/>
    <w:rsid w:val="18D6132D"/>
    <w:rsid w:val="18F356AC"/>
    <w:rsid w:val="18F959A3"/>
    <w:rsid w:val="190C0C29"/>
    <w:rsid w:val="191D2092"/>
    <w:rsid w:val="192C2D2A"/>
    <w:rsid w:val="19344579"/>
    <w:rsid w:val="194B0FCA"/>
    <w:rsid w:val="194B7296"/>
    <w:rsid w:val="194D4493"/>
    <w:rsid w:val="195B283C"/>
    <w:rsid w:val="197B082F"/>
    <w:rsid w:val="1980008A"/>
    <w:rsid w:val="199624B8"/>
    <w:rsid w:val="19A838A8"/>
    <w:rsid w:val="19B5733A"/>
    <w:rsid w:val="19BC2CBB"/>
    <w:rsid w:val="19C460D3"/>
    <w:rsid w:val="19C72AD7"/>
    <w:rsid w:val="19CC666E"/>
    <w:rsid w:val="19D80B51"/>
    <w:rsid w:val="1A0B4A20"/>
    <w:rsid w:val="1A210AEA"/>
    <w:rsid w:val="1A2950FA"/>
    <w:rsid w:val="1A2E0DFD"/>
    <w:rsid w:val="1A2E5179"/>
    <w:rsid w:val="1A4F1CC4"/>
    <w:rsid w:val="1A6D5681"/>
    <w:rsid w:val="1A753EF5"/>
    <w:rsid w:val="1A7D275C"/>
    <w:rsid w:val="1A847E44"/>
    <w:rsid w:val="1A8E4D03"/>
    <w:rsid w:val="1A9B035F"/>
    <w:rsid w:val="1AAD1AD0"/>
    <w:rsid w:val="1AB51400"/>
    <w:rsid w:val="1ABE01FA"/>
    <w:rsid w:val="1ABE4C41"/>
    <w:rsid w:val="1AD840D8"/>
    <w:rsid w:val="1ADF5B23"/>
    <w:rsid w:val="1B3C173F"/>
    <w:rsid w:val="1B3F4624"/>
    <w:rsid w:val="1B494716"/>
    <w:rsid w:val="1B51423A"/>
    <w:rsid w:val="1B803B6F"/>
    <w:rsid w:val="1BB75806"/>
    <w:rsid w:val="1BD92B22"/>
    <w:rsid w:val="1BE54009"/>
    <w:rsid w:val="1BE91BF5"/>
    <w:rsid w:val="1BF32686"/>
    <w:rsid w:val="1BFC22E6"/>
    <w:rsid w:val="1C02274F"/>
    <w:rsid w:val="1C08430B"/>
    <w:rsid w:val="1C094640"/>
    <w:rsid w:val="1C174DE3"/>
    <w:rsid w:val="1C502501"/>
    <w:rsid w:val="1C6951C0"/>
    <w:rsid w:val="1CA35EFD"/>
    <w:rsid w:val="1CB503BF"/>
    <w:rsid w:val="1CD96378"/>
    <w:rsid w:val="1CDA1FF3"/>
    <w:rsid w:val="1CEC70E0"/>
    <w:rsid w:val="1CF71A15"/>
    <w:rsid w:val="1D13223F"/>
    <w:rsid w:val="1D163AD7"/>
    <w:rsid w:val="1D352305"/>
    <w:rsid w:val="1D491BBC"/>
    <w:rsid w:val="1D4B790E"/>
    <w:rsid w:val="1D692AA7"/>
    <w:rsid w:val="1D793C15"/>
    <w:rsid w:val="1D8D1BA8"/>
    <w:rsid w:val="1DCA7D1D"/>
    <w:rsid w:val="1DD22A4B"/>
    <w:rsid w:val="1DF80C48"/>
    <w:rsid w:val="1E0A5693"/>
    <w:rsid w:val="1E0E6FDF"/>
    <w:rsid w:val="1E1172D3"/>
    <w:rsid w:val="1E3D0A28"/>
    <w:rsid w:val="1E3F4573"/>
    <w:rsid w:val="1E4744C8"/>
    <w:rsid w:val="1E5828D6"/>
    <w:rsid w:val="1E95493A"/>
    <w:rsid w:val="1E9C300C"/>
    <w:rsid w:val="1EA17274"/>
    <w:rsid w:val="1EC24504"/>
    <w:rsid w:val="1ECC2895"/>
    <w:rsid w:val="1ED7674A"/>
    <w:rsid w:val="1EE63920"/>
    <w:rsid w:val="1F010B23"/>
    <w:rsid w:val="1F225822"/>
    <w:rsid w:val="1F343858"/>
    <w:rsid w:val="1F43410A"/>
    <w:rsid w:val="1FA81073"/>
    <w:rsid w:val="1FC31A63"/>
    <w:rsid w:val="1FC8406F"/>
    <w:rsid w:val="1FD35646"/>
    <w:rsid w:val="2008005A"/>
    <w:rsid w:val="200A0D34"/>
    <w:rsid w:val="200D7EB9"/>
    <w:rsid w:val="200E6AE5"/>
    <w:rsid w:val="201B383C"/>
    <w:rsid w:val="203C57B4"/>
    <w:rsid w:val="207B12D7"/>
    <w:rsid w:val="208244E5"/>
    <w:rsid w:val="20831D29"/>
    <w:rsid w:val="20911BCB"/>
    <w:rsid w:val="2099478C"/>
    <w:rsid w:val="20A70EA1"/>
    <w:rsid w:val="20B7416C"/>
    <w:rsid w:val="20D37767"/>
    <w:rsid w:val="20D51CE2"/>
    <w:rsid w:val="20D62E8F"/>
    <w:rsid w:val="20DB2E5C"/>
    <w:rsid w:val="20DD5AF8"/>
    <w:rsid w:val="21505E6F"/>
    <w:rsid w:val="215F7D83"/>
    <w:rsid w:val="216C215B"/>
    <w:rsid w:val="216D7966"/>
    <w:rsid w:val="21824709"/>
    <w:rsid w:val="21A25EC1"/>
    <w:rsid w:val="21AB3EE9"/>
    <w:rsid w:val="21C27070"/>
    <w:rsid w:val="21F96D0E"/>
    <w:rsid w:val="222F2172"/>
    <w:rsid w:val="223B5A35"/>
    <w:rsid w:val="223F1EBC"/>
    <w:rsid w:val="224954E7"/>
    <w:rsid w:val="225435C2"/>
    <w:rsid w:val="2254389B"/>
    <w:rsid w:val="22557E77"/>
    <w:rsid w:val="226E080D"/>
    <w:rsid w:val="22854E22"/>
    <w:rsid w:val="229D1FAF"/>
    <w:rsid w:val="22BC2B0B"/>
    <w:rsid w:val="22C8439F"/>
    <w:rsid w:val="22CE27A4"/>
    <w:rsid w:val="22F84BB9"/>
    <w:rsid w:val="23011F7A"/>
    <w:rsid w:val="232A064E"/>
    <w:rsid w:val="234E2418"/>
    <w:rsid w:val="23531D85"/>
    <w:rsid w:val="23626474"/>
    <w:rsid w:val="236E69A3"/>
    <w:rsid w:val="237654BF"/>
    <w:rsid w:val="238B221A"/>
    <w:rsid w:val="238C3F65"/>
    <w:rsid w:val="239107F4"/>
    <w:rsid w:val="23B720F8"/>
    <w:rsid w:val="23CA7445"/>
    <w:rsid w:val="23D31DB7"/>
    <w:rsid w:val="23E95B1E"/>
    <w:rsid w:val="23EE4A02"/>
    <w:rsid w:val="23F20C85"/>
    <w:rsid w:val="24044127"/>
    <w:rsid w:val="24194FC5"/>
    <w:rsid w:val="24412260"/>
    <w:rsid w:val="244E1C1C"/>
    <w:rsid w:val="245A12B2"/>
    <w:rsid w:val="245E4102"/>
    <w:rsid w:val="246C1C9B"/>
    <w:rsid w:val="246C4D09"/>
    <w:rsid w:val="246E7F53"/>
    <w:rsid w:val="247E5C56"/>
    <w:rsid w:val="249E2CA0"/>
    <w:rsid w:val="24A26B80"/>
    <w:rsid w:val="24B27742"/>
    <w:rsid w:val="24B4512D"/>
    <w:rsid w:val="24DB2B05"/>
    <w:rsid w:val="24DF4D8F"/>
    <w:rsid w:val="24E7219B"/>
    <w:rsid w:val="24F4509A"/>
    <w:rsid w:val="25132C5F"/>
    <w:rsid w:val="25162E4E"/>
    <w:rsid w:val="2526359B"/>
    <w:rsid w:val="2539572F"/>
    <w:rsid w:val="25402058"/>
    <w:rsid w:val="254F5042"/>
    <w:rsid w:val="25564CEF"/>
    <w:rsid w:val="256571E6"/>
    <w:rsid w:val="256C6B71"/>
    <w:rsid w:val="258F6AC8"/>
    <w:rsid w:val="2590132F"/>
    <w:rsid w:val="259D1413"/>
    <w:rsid w:val="259E3EC8"/>
    <w:rsid w:val="25A20567"/>
    <w:rsid w:val="25AB795A"/>
    <w:rsid w:val="25BD67D6"/>
    <w:rsid w:val="25DB04AA"/>
    <w:rsid w:val="25E03417"/>
    <w:rsid w:val="263D37D7"/>
    <w:rsid w:val="26425FFF"/>
    <w:rsid w:val="26555FA3"/>
    <w:rsid w:val="265D6A7F"/>
    <w:rsid w:val="26663961"/>
    <w:rsid w:val="267B09C0"/>
    <w:rsid w:val="2690011B"/>
    <w:rsid w:val="269A5064"/>
    <w:rsid w:val="26C55EA9"/>
    <w:rsid w:val="26CE4E5D"/>
    <w:rsid w:val="26D56143"/>
    <w:rsid w:val="26D951CC"/>
    <w:rsid w:val="26E044D4"/>
    <w:rsid w:val="26E372EC"/>
    <w:rsid w:val="26E8154E"/>
    <w:rsid w:val="27050E90"/>
    <w:rsid w:val="271A0E36"/>
    <w:rsid w:val="272A6446"/>
    <w:rsid w:val="272F614F"/>
    <w:rsid w:val="274226D4"/>
    <w:rsid w:val="275E288B"/>
    <w:rsid w:val="27702F24"/>
    <w:rsid w:val="27716C93"/>
    <w:rsid w:val="279912B3"/>
    <w:rsid w:val="279A2A09"/>
    <w:rsid w:val="27A9199E"/>
    <w:rsid w:val="27B457B1"/>
    <w:rsid w:val="27C869D0"/>
    <w:rsid w:val="27E158E3"/>
    <w:rsid w:val="27FE433E"/>
    <w:rsid w:val="27FE6EAA"/>
    <w:rsid w:val="28002FBE"/>
    <w:rsid w:val="281100C9"/>
    <w:rsid w:val="282C4C66"/>
    <w:rsid w:val="283A2506"/>
    <w:rsid w:val="28400C18"/>
    <w:rsid w:val="28414807"/>
    <w:rsid w:val="284952E9"/>
    <w:rsid w:val="286E0463"/>
    <w:rsid w:val="288F69BF"/>
    <w:rsid w:val="2893739E"/>
    <w:rsid w:val="289912A7"/>
    <w:rsid w:val="28A63E40"/>
    <w:rsid w:val="28D659F7"/>
    <w:rsid w:val="290B3B64"/>
    <w:rsid w:val="29107592"/>
    <w:rsid w:val="29176DB0"/>
    <w:rsid w:val="291D641D"/>
    <w:rsid w:val="292C1B1A"/>
    <w:rsid w:val="29360F7F"/>
    <w:rsid w:val="294E7AD1"/>
    <w:rsid w:val="29622EDF"/>
    <w:rsid w:val="2973448D"/>
    <w:rsid w:val="29784581"/>
    <w:rsid w:val="297C731B"/>
    <w:rsid w:val="29930DEB"/>
    <w:rsid w:val="29AF2873"/>
    <w:rsid w:val="29B92A03"/>
    <w:rsid w:val="2A0475FF"/>
    <w:rsid w:val="2A1E1CDB"/>
    <w:rsid w:val="2A40035E"/>
    <w:rsid w:val="2A442FD0"/>
    <w:rsid w:val="2A497BA1"/>
    <w:rsid w:val="2A4B7180"/>
    <w:rsid w:val="2A6B6A13"/>
    <w:rsid w:val="2A720B27"/>
    <w:rsid w:val="2AA63DE5"/>
    <w:rsid w:val="2AAE3EB0"/>
    <w:rsid w:val="2AB96756"/>
    <w:rsid w:val="2B216024"/>
    <w:rsid w:val="2B2860EF"/>
    <w:rsid w:val="2B3A1BFB"/>
    <w:rsid w:val="2B3F4B3B"/>
    <w:rsid w:val="2B511820"/>
    <w:rsid w:val="2BAC2E33"/>
    <w:rsid w:val="2BDA267D"/>
    <w:rsid w:val="2BE61D13"/>
    <w:rsid w:val="2BF10135"/>
    <w:rsid w:val="2C0B1F53"/>
    <w:rsid w:val="2C0C5D55"/>
    <w:rsid w:val="2C113D2C"/>
    <w:rsid w:val="2C2A6BF2"/>
    <w:rsid w:val="2C2C39E3"/>
    <w:rsid w:val="2C412F87"/>
    <w:rsid w:val="2C6B1F6C"/>
    <w:rsid w:val="2C804AD7"/>
    <w:rsid w:val="2CA22C09"/>
    <w:rsid w:val="2CA455C9"/>
    <w:rsid w:val="2CA70886"/>
    <w:rsid w:val="2CB47C00"/>
    <w:rsid w:val="2CBA651B"/>
    <w:rsid w:val="2CDD07AF"/>
    <w:rsid w:val="2CE65E4C"/>
    <w:rsid w:val="2CE90E48"/>
    <w:rsid w:val="2CFA3BBE"/>
    <w:rsid w:val="2D144984"/>
    <w:rsid w:val="2D1D1028"/>
    <w:rsid w:val="2D241E80"/>
    <w:rsid w:val="2D4C5364"/>
    <w:rsid w:val="2D66685F"/>
    <w:rsid w:val="2D7733A3"/>
    <w:rsid w:val="2D7B76AC"/>
    <w:rsid w:val="2D9E1065"/>
    <w:rsid w:val="2DC525CA"/>
    <w:rsid w:val="2DCE3DB2"/>
    <w:rsid w:val="2DE4750E"/>
    <w:rsid w:val="2DE95C61"/>
    <w:rsid w:val="2DF9036D"/>
    <w:rsid w:val="2DFE468E"/>
    <w:rsid w:val="2E1F0FC6"/>
    <w:rsid w:val="2E286301"/>
    <w:rsid w:val="2E5A1596"/>
    <w:rsid w:val="2E6669BE"/>
    <w:rsid w:val="2E7E44AA"/>
    <w:rsid w:val="2E855ADF"/>
    <w:rsid w:val="2E865DE4"/>
    <w:rsid w:val="2E990003"/>
    <w:rsid w:val="2ED21461"/>
    <w:rsid w:val="2EED4AA2"/>
    <w:rsid w:val="2EED6B64"/>
    <w:rsid w:val="2F104DB2"/>
    <w:rsid w:val="2F15143E"/>
    <w:rsid w:val="2F1A58FB"/>
    <w:rsid w:val="2F3F51F7"/>
    <w:rsid w:val="2F406212"/>
    <w:rsid w:val="2F5E5EB5"/>
    <w:rsid w:val="2F6A7056"/>
    <w:rsid w:val="2F6B4AD8"/>
    <w:rsid w:val="2F7A423C"/>
    <w:rsid w:val="2F7A50F2"/>
    <w:rsid w:val="2F9A6D52"/>
    <w:rsid w:val="2FBB7811"/>
    <w:rsid w:val="2FD51F89"/>
    <w:rsid w:val="2FE34275"/>
    <w:rsid w:val="2FF50E32"/>
    <w:rsid w:val="2FF859C1"/>
    <w:rsid w:val="300D20E3"/>
    <w:rsid w:val="30191C64"/>
    <w:rsid w:val="30196924"/>
    <w:rsid w:val="301B1A10"/>
    <w:rsid w:val="302B1693"/>
    <w:rsid w:val="304C5C9E"/>
    <w:rsid w:val="30506E41"/>
    <w:rsid w:val="305F1F6A"/>
    <w:rsid w:val="308B29B1"/>
    <w:rsid w:val="30914B20"/>
    <w:rsid w:val="309453D9"/>
    <w:rsid w:val="309F7CE9"/>
    <w:rsid w:val="30A91F61"/>
    <w:rsid w:val="30D14A40"/>
    <w:rsid w:val="30D469FD"/>
    <w:rsid w:val="30DB4251"/>
    <w:rsid w:val="30F54BBB"/>
    <w:rsid w:val="311F1729"/>
    <w:rsid w:val="31216E03"/>
    <w:rsid w:val="312E5A3D"/>
    <w:rsid w:val="3137414F"/>
    <w:rsid w:val="313F6E75"/>
    <w:rsid w:val="314432F4"/>
    <w:rsid w:val="31481B9C"/>
    <w:rsid w:val="31496B30"/>
    <w:rsid w:val="314D2A6F"/>
    <w:rsid w:val="31515D65"/>
    <w:rsid w:val="31576C02"/>
    <w:rsid w:val="315E078B"/>
    <w:rsid w:val="316B2BB3"/>
    <w:rsid w:val="316E4879"/>
    <w:rsid w:val="31844789"/>
    <w:rsid w:val="318F27BC"/>
    <w:rsid w:val="31996B1D"/>
    <w:rsid w:val="31AD2C5D"/>
    <w:rsid w:val="31BF1AA9"/>
    <w:rsid w:val="31C10830"/>
    <w:rsid w:val="31C33D33"/>
    <w:rsid w:val="31E10D64"/>
    <w:rsid w:val="31F70DA8"/>
    <w:rsid w:val="323D4C19"/>
    <w:rsid w:val="323E367C"/>
    <w:rsid w:val="327F1EE7"/>
    <w:rsid w:val="3282506A"/>
    <w:rsid w:val="32F76605"/>
    <w:rsid w:val="330C665F"/>
    <w:rsid w:val="33166A21"/>
    <w:rsid w:val="332E6808"/>
    <w:rsid w:val="334943EF"/>
    <w:rsid w:val="337E08C4"/>
    <w:rsid w:val="33847021"/>
    <w:rsid w:val="3388418F"/>
    <w:rsid w:val="339D3DCD"/>
    <w:rsid w:val="33A44248"/>
    <w:rsid w:val="33B60325"/>
    <w:rsid w:val="33C67C3F"/>
    <w:rsid w:val="33D40119"/>
    <w:rsid w:val="33E00BE1"/>
    <w:rsid w:val="34097420"/>
    <w:rsid w:val="340C112F"/>
    <w:rsid w:val="341554F6"/>
    <w:rsid w:val="34292106"/>
    <w:rsid w:val="342B51A3"/>
    <w:rsid w:val="342D1CB8"/>
    <w:rsid w:val="343C66FA"/>
    <w:rsid w:val="344E5B0C"/>
    <w:rsid w:val="346516FC"/>
    <w:rsid w:val="347137D8"/>
    <w:rsid w:val="348722BC"/>
    <w:rsid w:val="349F6698"/>
    <w:rsid w:val="34A06CA8"/>
    <w:rsid w:val="34D000AF"/>
    <w:rsid w:val="34EA2B8C"/>
    <w:rsid w:val="34EB675E"/>
    <w:rsid w:val="34F76FFA"/>
    <w:rsid w:val="352B4654"/>
    <w:rsid w:val="35572E64"/>
    <w:rsid w:val="35802698"/>
    <w:rsid w:val="35871E5F"/>
    <w:rsid w:val="358A6DE7"/>
    <w:rsid w:val="358E17EA"/>
    <w:rsid w:val="358E3EF3"/>
    <w:rsid w:val="35AC5C90"/>
    <w:rsid w:val="35AC7917"/>
    <w:rsid w:val="35B04BF9"/>
    <w:rsid w:val="35CD4C99"/>
    <w:rsid w:val="35F100E1"/>
    <w:rsid w:val="36032AAE"/>
    <w:rsid w:val="360532E3"/>
    <w:rsid w:val="361C7B45"/>
    <w:rsid w:val="36242BDA"/>
    <w:rsid w:val="363B2C08"/>
    <w:rsid w:val="364B07A0"/>
    <w:rsid w:val="364B532C"/>
    <w:rsid w:val="366A2EDE"/>
    <w:rsid w:val="368665D5"/>
    <w:rsid w:val="368A2987"/>
    <w:rsid w:val="36C65425"/>
    <w:rsid w:val="36C7551C"/>
    <w:rsid w:val="36D46D74"/>
    <w:rsid w:val="36DC1442"/>
    <w:rsid w:val="36E344E8"/>
    <w:rsid w:val="36F10E36"/>
    <w:rsid w:val="3726190B"/>
    <w:rsid w:val="372814E9"/>
    <w:rsid w:val="37282489"/>
    <w:rsid w:val="37334E28"/>
    <w:rsid w:val="37541156"/>
    <w:rsid w:val="3756616B"/>
    <w:rsid w:val="375E1A65"/>
    <w:rsid w:val="37915737"/>
    <w:rsid w:val="379231B9"/>
    <w:rsid w:val="37992B44"/>
    <w:rsid w:val="37A93783"/>
    <w:rsid w:val="37C700E5"/>
    <w:rsid w:val="37ED004F"/>
    <w:rsid w:val="37FC0812"/>
    <w:rsid w:val="3808447D"/>
    <w:rsid w:val="380952E8"/>
    <w:rsid w:val="38184CCC"/>
    <w:rsid w:val="381A4397"/>
    <w:rsid w:val="38345C16"/>
    <w:rsid w:val="383C7D00"/>
    <w:rsid w:val="38500133"/>
    <w:rsid w:val="38604B0B"/>
    <w:rsid w:val="38A13376"/>
    <w:rsid w:val="38AF73EA"/>
    <w:rsid w:val="38B44A00"/>
    <w:rsid w:val="38B467AE"/>
    <w:rsid w:val="38BF4014"/>
    <w:rsid w:val="38C116AD"/>
    <w:rsid w:val="38C43A8B"/>
    <w:rsid w:val="38C61555"/>
    <w:rsid w:val="38DF7924"/>
    <w:rsid w:val="390A2FB5"/>
    <w:rsid w:val="391842BA"/>
    <w:rsid w:val="391C3097"/>
    <w:rsid w:val="39242C79"/>
    <w:rsid w:val="3924522E"/>
    <w:rsid w:val="394D6C27"/>
    <w:rsid w:val="395E51DA"/>
    <w:rsid w:val="397A053B"/>
    <w:rsid w:val="39A2099B"/>
    <w:rsid w:val="39A50B40"/>
    <w:rsid w:val="39AF56DF"/>
    <w:rsid w:val="39B70940"/>
    <w:rsid w:val="39C72642"/>
    <w:rsid w:val="39C75357"/>
    <w:rsid w:val="39E12B6A"/>
    <w:rsid w:val="39FA6C5D"/>
    <w:rsid w:val="39FC3D2E"/>
    <w:rsid w:val="3A0B4252"/>
    <w:rsid w:val="3A1357D6"/>
    <w:rsid w:val="3A160959"/>
    <w:rsid w:val="3A195161"/>
    <w:rsid w:val="3A250F74"/>
    <w:rsid w:val="3A2E7640"/>
    <w:rsid w:val="3A530DDE"/>
    <w:rsid w:val="3A6F38E4"/>
    <w:rsid w:val="3A817073"/>
    <w:rsid w:val="3A8A0937"/>
    <w:rsid w:val="3A8D3E1B"/>
    <w:rsid w:val="3A9A3131"/>
    <w:rsid w:val="3AA13EB1"/>
    <w:rsid w:val="3AA65A11"/>
    <w:rsid w:val="3AAD7603"/>
    <w:rsid w:val="3AB757E3"/>
    <w:rsid w:val="3AD26AA8"/>
    <w:rsid w:val="3AD3398B"/>
    <w:rsid w:val="3AD852CC"/>
    <w:rsid w:val="3ADE61A4"/>
    <w:rsid w:val="3AE27B97"/>
    <w:rsid w:val="3AEC2F3B"/>
    <w:rsid w:val="3B0061F9"/>
    <w:rsid w:val="3B266598"/>
    <w:rsid w:val="3B2F4CA9"/>
    <w:rsid w:val="3B457356"/>
    <w:rsid w:val="3B5A2114"/>
    <w:rsid w:val="3B627439"/>
    <w:rsid w:val="3B714E2B"/>
    <w:rsid w:val="3BA91661"/>
    <w:rsid w:val="3BC62617"/>
    <w:rsid w:val="3C011D0B"/>
    <w:rsid w:val="3C0A208E"/>
    <w:rsid w:val="3C2317C6"/>
    <w:rsid w:val="3C49353C"/>
    <w:rsid w:val="3C4B23B2"/>
    <w:rsid w:val="3C504CF8"/>
    <w:rsid w:val="3C587C0F"/>
    <w:rsid w:val="3C890775"/>
    <w:rsid w:val="3C9A18A5"/>
    <w:rsid w:val="3CB75B46"/>
    <w:rsid w:val="3CC0413B"/>
    <w:rsid w:val="3CE73FFB"/>
    <w:rsid w:val="3D000EFE"/>
    <w:rsid w:val="3D280ECA"/>
    <w:rsid w:val="3D334956"/>
    <w:rsid w:val="3D3B307D"/>
    <w:rsid w:val="3D4D0FC1"/>
    <w:rsid w:val="3D527577"/>
    <w:rsid w:val="3D7B53BA"/>
    <w:rsid w:val="3DA66486"/>
    <w:rsid w:val="3DA66BCA"/>
    <w:rsid w:val="3DAF01C0"/>
    <w:rsid w:val="3DB80517"/>
    <w:rsid w:val="3DC6588D"/>
    <w:rsid w:val="3DCA32F5"/>
    <w:rsid w:val="3DE32814"/>
    <w:rsid w:val="3DF9513C"/>
    <w:rsid w:val="3DFC57BB"/>
    <w:rsid w:val="3E025A4C"/>
    <w:rsid w:val="3E0A75D5"/>
    <w:rsid w:val="3E0D3DDD"/>
    <w:rsid w:val="3E1C65F6"/>
    <w:rsid w:val="3E2C0E0F"/>
    <w:rsid w:val="3E454C22"/>
    <w:rsid w:val="3E534551"/>
    <w:rsid w:val="3E5654D6"/>
    <w:rsid w:val="3E8649A0"/>
    <w:rsid w:val="3E944FB2"/>
    <w:rsid w:val="3EB33C54"/>
    <w:rsid w:val="3EB4188F"/>
    <w:rsid w:val="3EB5742C"/>
    <w:rsid w:val="3EE8432D"/>
    <w:rsid w:val="3EF604D7"/>
    <w:rsid w:val="3EFB5781"/>
    <w:rsid w:val="3F014283"/>
    <w:rsid w:val="3F147BD8"/>
    <w:rsid w:val="3F5E6431"/>
    <w:rsid w:val="3F746048"/>
    <w:rsid w:val="3F7C1A35"/>
    <w:rsid w:val="3F800567"/>
    <w:rsid w:val="3F873C4F"/>
    <w:rsid w:val="3F8832C9"/>
    <w:rsid w:val="3FCC2AB9"/>
    <w:rsid w:val="3FD37308"/>
    <w:rsid w:val="3FE043DF"/>
    <w:rsid w:val="3FE87138"/>
    <w:rsid w:val="3FF8670E"/>
    <w:rsid w:val="3FFF506F"/>
    <w:rsid w:val="400C5122"/>
    <w:rsid w:val="401044A7"/>
    <w:rsid w:val="401F0345"/>
    <w:rsid w:val="402A08D4"/>
    <w:rsid w:val="404B0E09"/>
    <w:rsid w:val="404C3D9F"/>
    <w:rsid w:val="405A7BD7"/>
    <w:rsid w:val="405F5996"/>
    <w:rsid w:val="406832D4"/>
    <w:rsid w:val="408B1BF3"/>
    <w:rsid w:val="40A62367"/>
    <w:rsid w:val="40B44FB5"/>
    <w:rsid w:val="40BF2194"/>
    <w:rsid w:val="40C73FD6"/>
    <w:rsid w:val="40D81CF2"/>
    <w:rsid w:val="40E601FD"/>
    <w:rsid w:val="40EF1958"/>
    <w:rsid w:val="40FA4CB6"/>
    <w:rsid w:val="40FE08AC"/>
    <w:rsid w:val="4118127E"/>
    <w:rsid w:val="412A6279"/>
    <w:rsid w:val="41A24C3E"/>
    <w:rsid w:val="41A40141"/>
    <w:rsid w:val="41A63B4C"/>
    <w:rsid w:val="41A766E8"/>
    <w:rsid w:val="41AA69A0"/>
    <w:rsid w:val="41AC774B"/>
    <w:rsid w:val="41C152D7"/>
    <w:rsid w:val="41C35339"/>
    <w:rsid w:val="41D332E3"/>
    <w:rsid w:val="41DD6D76"/>
    <w:rsid w:val="420F491F"/>
    <w:rsid w:val="421309EA"/>
    <w:rsid w:val="421D0D04"/>
    <w:rsid w:val="4222518C"/>
    <w:rsid w:val="4224068F"/>
    <w:rsid w:val="427B013A"/>
    <w:rsid w:val="42910002"/>
    <w:rsid w:val="42B66607"/>
    <w:rsid w:val="42B9678D"/>
    <w:rsid w:val="42CA188A"/>
    <w:rsid w:val="42CB6361"/>
    <w:rsid w:val="42D15097"/>
    <w:rsid w:val="42DA7BCB"/>
    <w:rsid w:val="42DC5464"/>
    <w:rsid w:val="42E03113"/>
    <w:rsid w:val="42E874D3"/>
    <w:rsid w:val="42EA7DFA"/>
    <w:rsid w:val="42F609E7"/>
    <w:rsid w:val="42F83EEA"/>
    <w:rsid w:val="43043580"/>
    <w:rsid w:val="430B71B4"/>
    <w:rsid w:val="43192AA7"/>
    <w:rsid w:val="43196262"/>
    <w:rsid w:val="43375B7B"/>
    <w:rsid w:val="43592C8A"/>
    <w:rsid w:val="436B2B73"/>
    <w:rsid w:val="439145B4"/>
    <w:rsid w:val="43A26B99"/>
    <w:rsid w:val="43BE3CB3"/>
    <w:rsid w:val="43E52FB4"/>
    <w:rsid w:val="43F61C0F"/>
    <w:rsid w:val="43FE3EC2"/>
    <w:rsid w:val="440F27B9"/>
    <w:rsid w:val="44191CC3"/>
    <w:rsid w:val="44295190"/>
    <w:rsid w:val="444324FD"/>
    <w:rsid w:val="444A6E71"/>
    <w:rsid w:val="44557434"/>
    <w:rsid w:val="44592AFC"/>
    <w:rsid w:val="446A612B"/>
    <w:rsid w:val="446F52F9"/>
    <w:rsid w:val="44847974"/>
    <w:rsid w:val="448501F9"/>
    <w:rsid w:val="448862CF"/>
    <w:rsid w:val="44B9194D"/>
    <w:rsid w:val="44CD05ED"/>
    <w:rsid w:val="44CF720F"/>
    <w:rsid w:val="44D70EFD"/>
    <w:rsid w:val="44DC0308"/>
    <w:rsid w:val="4518704F"/>
    <w:rsid w:val="45212608"/>
    <w:rsid w:val="45423E2F"/>
    <w:rsid w:val="454B2644"/>
    <w:rsid w:val="456D1B19"/>
    <w:rsid w:val="45A30AA5"/>
    <w:rsid w:val="45A97A79"/>
    <w:rsid w:val="45BA6F71"/>
    <w:rsid w:val="45C66607"/>
    <w:rsid w:val="45E4342C"/>
    <w:rsid w:val="45F276DC"/>
    <w:rsid w:val="461A6091"/>
    <w:rsid w:val="4621349D"/>
    <w:rsid w:val="468B31C3"/>
    <w:rsid w:val="469649B1"/>
    <w:rsid w:val="469B3CFE"/>
    <w:rsid w:val="469C190D"/>
    <w:rsid w:val="46BC369C"/>
    <w:rsid w:val="46C10A14"/>
    <w:rsid w:val="46C816AD"/>
    <w:rsid w:val="46DE2844"/>
    <w:rsid w:val="46E31B1C"/>
    <w:rsid w:val="47384869"/>
    <w:rsid w:val="473D08D3"/>
    <w:rsid w:val="473D6E2F"/>
    <w:rsid w:val="474B6530"/>
    <w:rsid w:val="474F288B"/>
    <w:rsid w:val="476F395E"/>
    <w:rsid w:val="477F1972"/>
    <w:rsid w:val="477F6C5D"/>
    <w:rsid w:val="479A532E"/>
    <w:rsid w:val="47A83FD9"/>
    <w:rsid w:val="47B526FF"/>
    <w:rsid w:val="47B634E6"/>
    <w:rsid w:val="47BB7946"/>
    <w:rsid w:val="47E2567D"/>
    <w:rsid w:val="47F45C43"/>
    <w:rsid w:val="47F6211F"/>
    <w:rsid w:val="47F75622"/>
    <w:rsid w:val="47FB4A3E"/>
    <w:rsid w:val="48097D4B"/>
    <w:rsid w:val="484C07B1"/>
    <w:rsid w:val="484C5E99"/>
    <w:rsid w:val="485633DE"/>
    <w:rsid w:val="48567BBA"/>
    <w:rsid w:val="48644951"/>
    <w:rsid w:val="486C1132"/>
    <w:rsid w:val="4879265B"/>
    <w:rsid w:val="48AC0B2F"/>
    <w:rsid w:val="48BA1000"/>
    <w:rsid w:val="48C536F1"/>
    <w:rsid w:val="48CF0CAA"/>
    <w:rsid w:val="491A7D6C"/>
    <w:rsid w:val="49431DC1"/>
    <w:rsid w:val="49486249"/>
    <w:rsid w:val="494F7DD2"/>
    <w:rsid w:val="4971160B"/>
    <w:rsid w:val="49C8374F"/>
    <w:rsid w:val="49D05D7F"/>
    <w:rsid w:val="49ED6D2D"/>
    <w:rsid w:val="49FC4B34"/>
    <w:rsid w:val="49FD1AB6"/>
    <w:rsid w:val="4A107EC1"/>
    <w:rsid w:val="4A2523B4"/>
    <w:rsid w:val="4A35264E"/>
    <w:rsid w:val="4A5D0E55"/>
    <w:rsid w:val="4A632AAF"/>
    <w:rsid w:val="4A66686F"/>
    <w:rsid w:val="4A691BA3"/>
    <w:rsid w:val="4A786B89"/>
    <w:rsid w:val="4A83274D"/>
    <w:rsid w:val="4A8B2B8E"/>
    <w:rsid w:val="4AA61031"/>
    <w:rsid w:val="4AC74781"/>
    <w:rsid w:val="4ACA04A4"/>
    <w:rsid w:val="4AEE3903"/>
    <w:rsid w:val="4AF64C8A"/>
    <w:rsid w:val="4AFA3691"/>
    <w:rsid w:val="4B0B4886"/>
    <w:rsid w:val="4B337AF8"/>
    <w:rsid w:val="4B342571"/>
    <w:rsid w:val="4B5C2F33"/>
    <w:rsid w:val="4B8C0A01"/>
    <w:rsid w:val="4B9C0693"/>
    <w:rsid w:val="4B9E419F"/>
    <w:rsid w:val="4BAE0BB6"/>
    <w:rsid w:val="4BAF1EBA"/>
    <w:rsid w:val="4BBC691A"/>
    <w:rsid w:val="4BCD32C4"/>
    <w:rsid w:val="4BD023EF"/>
    <w:rsid w:val="4BEA168B"/>
    <w:rsid w:val="4BFE0015"/>
    <w:rsid w:val="4BFF2F3E"/>
    <w:rsid w:val="4C08221F"/>
    <w:rsid w:val="4C1F44DB"/>
    <w:rsid w:val="4C322E8B"/>
    <w:rsid w:val="4C4E0441"/>
    <w:rsid w:val="4C574A64"/>
    <w:rsid w:val="4C881B9E"/>
    <w:rsid w:val="4CB45EE5"/>
    <w:rsid w:val="4CC97F6C"/>
    <w:rsid w:val="4CCC6E0F"/>
    <w:rsid w:val="4CD00578"/>
    <w:rsid w:val="4CD16197"/>
    <w:rsid w:val="4CD21E37"/>
    <w:rsid w:val="4CD90849"/>
    <w:rsid w:val="4CDE4B2B"/>
    <w:rsid w:val="4CF95355"/>
    <w:rsid w:val="4CFF1A10"/>
    <w:rsid w:val="4D0933F1"/>
    <w:rsid w:val="4D0F5EC5"/>
    <w:rsid w:val="4D19148D"/>
    <w:rsid w:val="4D291EF1"/>
    <w:rsid w:val="4D2A4601"/>
    <w:rsid w:val="4D2B0F78"/>
    <w:rsid w:val="4D386F9E"/>
    <w:rsid w:val="4D4A60F2"/>
    <w:rsid w:val="4D5206D1"/>
    <w:rsid w:val="4D697883"/>
    <w:rsid w:val="4D865BE6"/>
    <w:rsid w:val="4DB12E65"/>
    <w:rsid w:val="4DBA567B"/>
    <w:rsid w:val="4DBF17DB"/>
    <w:rsid w:val="4DC03334"/>
    <w:rsid w:val="4DE314AA"/>
    <w:rsid w:val="4E036E8C"/>
    <w:rsid w:val="4E1C4E9C"/>
    <w:rsid w:val="4E2E69F0"/>
    <w:rsid w:val="4E43780B"/>
    <w:rsid w:val="4E48646C"/>
    <w:rsid w:val="4E832C5D"/>
    <w:rsid w:val="4EB342FD"/>
    <w:rsid w:val="4EE07EA5"/>
    <w:rsid w:val="4EF25528"/>
    <w:rsid w:val="4EF67834"/>
    <w:rsid w:val="4F0052DD"/>
    <w:rsid w:val="4F1C53DA"/>
    <w:rsid w:val="4F2E0B78"/>
    <w:rsid w:val="4F3A6B88"/>
    <w:rsid w:val="4F3C1343"/>
    <w:rsid w:val="4F46482D"/>
    <w:rsid w:val="4F4F32AA"/>
    <w:rsid w:val="4F532425"/>
    <w:rsid w:val="4F7C5A28"/>
    <w:rsid w:val="4F8971FE"/>
    <w:rsid w:val="4F955F9D"/>
    <w:rsid w:val="4F972564"/>
    <w:rsid w:val="4FA61ABB"/>
    <w:rsid w:val="4FD04D00"/>
    <w:rsid w:val="4FF43BD9"/>
    <w:rsid w:val="50062548"/>
    <w:rsid w:val="501A0388"/>
    <w:rsid w:val="502F7715"/>
    <w:rsid w:val="50364C0E"/>
    <w:rsid w:val="505066D1"/>
    <w:rsid w:val="5054222F"/>
    <w:rsid w:val="5061039F"/>
    <w:rsid w:val="506E0DE4"/>
    <w:rsid w:val="507D07D9"/>
    <w:rsid w:val="50845F89"/>
    <w:rsid w:val="508E0F53"/>
    <w:rsid w:val="50966E45"/>
    <w:rsid w:val="50966F07"/>
    <w:rsid w:val="50B92EFA"/>
    <w:rsid w:val="50DB40B6"/>
    <w:rsid w:val="50F626E2"/>
    <w:rsid w:val="51094F12"/>
    <w:rsid w:val="51271CFA"/>
    <w:rsid w:val="512D063D"/>
    <w:rsid w:val="51575BFE"/>
    <w:rsid w:val="517B03BC"/>
    <w:rsid w:val="518C207D"/>
    <w:rsid w:val="51924977"/>
    <w:rsid w:val="51AE408E"/>
    <w:rsid w:val="51B975EC"/>
    <w:rsid w:val="51BB3D41"/>
    <w:rsid w:val="51C252AD"/>
    <w:rsid w:val="51DF2F63"/>
    <w:rsid w:val="51E14F93"/>
    <w:rsid w:val="522C275E"/>
    <w:rsid w:val="523313CB"/>
    <w:rsid w:val="524B3013"/>
    <w:rsid w:val="525119BF"/>
    <w:rsid w:val="525D227D"/>
    <w:rsid w:val="528F14F7"/>
    <w:rsid w:val="529A65BD"/>
    <w:rsid w:val="52D47DF3"/>
    <w:rsid w:val="52DC43C1"/>
    <w:rsid w:val="52E46195"/>
    <w:rsid w:val="534479A8"/>
    <w:rsid w:val="53537FC2"/>
    <w:rsid w:val="535820EE"/>
    <w:rsid w:val="53615762"/>
    <w:rsid w:val="53724338"/>
    <w:rsid w:val="539A61B8"/>
    <w:rsid w:val="53B36F31"/>
    <w:rsid w:val="53DA4DD6"/>
    <w:rsid w:val="53DA65E7"/>
    <w:rsid w:val="53DB7A5A"/>
    <w:rsid w:val="53E32961"/>
    <w:rsid w:val="541B0AFD"/>
    <w:rsid w:val="544D076A"/>
    <w:rsid w:val="546A18D0"/>
    <w:rsid w:val="54880A1F"/>
    <w:rsid w:val="549A4653"/>
    <w:rsid w:val="54C02717"/>
    <w:rsid w:val="54FA6BBC"/>
    <w:rsid w:val="55047585"/>
    <w:rsid w:val="552151AF"/>
    <w:rsid w:val="55257EBD"/>
    <w:rsid w:val="553810DC"/>
    <w:rsid w:val="55515F59"/>
    <w:rsid w:val="557434C0"/>
    <w:rsid w:val="557C01F9"/>
    <w:rsid w:val="557C6476"/>
    <w:rsid w:val="557D1BD1"/>
    <w:rsid w:val="558C7C12"/>
    <w:rsid w:val="55902DF0"/>
    <w:rsid w:val="559F5609"/>
    <w:rsid w:val="55A83AC8"/>
    <w:rsid w:val="55C874D3"/>
    <w:rsid w:val="55CC1183"/>
    <w:rsid w:val="55FD5959"/>
    <w:rsid w:val="55FF3307"/>
    <w:rsid w:val="560A1B14"/>
    <w:rsid w:val="56110883"/>
    <w:rsid w:val="561455C8"/>
    <w:rsid w:val="56151419"/>
    <w:rsid w:val="56376DB2"/>
    <w:rsid w:val="563D3E2F"/>
    <w:rsid w:val="5656788A"/>
    <w:rsid w:val="566A63CA"/>
    <w:rsid w:val="56715961"/>
    <w:rsid w:val="567E3972"/>
    <w:rsid w:val="56827865"/>
    <w:rsid w:val="56A62938"/>
    <w:rsid w:val="56D56C08"/>
    <w:rsid w:val="56E56338"/>
    <w:rsid w:val="56F50139"/>
    <w:rsid w:val="56FF50F3"/>
    <w:rsid w:val="570D3816"/>
    <w:rsid w:val="571B53DE"/>
    <w:rsid w:val="571D729D"/>
    <w:rsid w:val="571F077D"/>
    <w:rsid w:val="57216F38"/>
    <w:rsid w:val="573E3DB0"/>
    <w:rsid w:val="574C0B47"/>
    <w:rsid w:val="57990C47"/>
    <w:rsid w:val="57AE1AE6"/>
    <w:rsid w:val="57BC7813"/>
    <w:rsid w:val="57F16E4F"/>
    <w:rsid w:val="57F2208F"/>
    <w:rsid w:val="57FA4163"/>
    <w:rsid w:val="580527C0"/>
    <w:rsid w:val="58067F76"/>
    <w:rsid w:val="58335E7A"/>
    <w:rsid w:val="58622562"/>
    <w:rsid w:val="586A2060"/>
    <w:rsid w:val="587305AA"/>
    <w:rsid w:val="5879714C"/>
    <w:rsid w:val="587C3438"/>
    <w:rsid w:val="5897524F"/>
    <w:rsid w:val="58B15E8A"/>
    <w:rsid w:val="58BA45A1"/>
    <w:rsid w:val="58C25462"/>
    <w:rsid w:val="591E42C6"/>
    <w:rsid w:val="593535CF"/>
    <w:rsid w:val="595219A0"/>
    <w:rsid w:val="59526109"/>
    <w:rsid w:val="596276A7"/>
    <w:rsid w:val="59642E7C"/>
    <w:rsid w:val="596A51F2"/>
    <w:rsid w:val="597005C0"/>
    <w:rsid w:val="59B018A4"/>
    <w:rsid w:val="59B22A5A"/>
    <w:rsid w:val="59C90EDB"/>
    <w:rsid w:val="59FA17CC"/>
    <w:rsid w:val="59FE3B24"/>
    <w:rsid w:val="5A0200C2"/>
    <w:rsid w:val="5A1F6067"/>
    <w:rsid w:val="5A217462"/>
    <w:rsid w:val="5A3A14C7"/>
    <w:rsid w:val="5A4A099F"/>
    <w:rsid w:val="5A4E1CA9"/>
    <w:rsid w:val="5A516EA5"/>
    <w:rsid w:val="5A650A1D"/>
    <w:rsid w:val="5A6A3844"/>
    <w:rsid w:val="5A776550"/>
    <w:rsid w:val="5A781F79"/>
    <w:rsid w:val="5A8E79A0"/>
    <w:rsid w:val="5A9624EB"/>
    <w:rsid w:val="5AA73DFE"/>
    <w:rsid w:val="5AE825BC"/>
    <w:rsid w:val="5B2F332C"/>
    <w:rsid w:val="5B5B183F"/>
    <w:rsid w:val="5B6431F1"/>
    <w:rsid w:val="5B692B86"/>
    <w:rsid w:val="5B773940"/>
    <w:rsid w:val="5B8A0B3C"/>
    <w:rsid w:val="5B90093E"/>
    <w:rsid w:val="5B9601D2"/>
    <w:rsid w:val="5B9A2471"/>
    <w:rsid w:val="5BBB710D"/>
    <w:rsid w:val="5BC546AB"/>
    <w:rsid w:val="5BC6142C"/>
    <w:rsid w:val="5BCB5381"/>
    <w:rsid w:val="5BD87384"/>
    <w:rsid w:val="5BE070D2"/>
    <w:rsid w:val="5BE61256"/>
    <w:rsid w:val="5C1D392E"/>
    <w:rsid w:val="5C304B4D"/>
    <w:rsid w:val="5C3E3E63"/>
    <w:rsid w:val="5C7F2AAC"/>
    <w:rsid w:val="5C99207F"/>
    <w:rsid w:val="5C9F03B6"/>
    <w:rsid w:val="5D02154D"/>
    <w:rsid w:val="5D142F08"/>
    <w:rsid w:val="5D297418"/>
    <w:rsid w:val="5D2C5CEA"/>
    <w:rsid w:val="5D41498A"/>
    <w:rsid w:val="5D626FC9"/>
    <w:rsid w:val="5DB054A4"/>
    <w:rsid w:val="5DDF4559"/>
    <w:rsid w:val="5DE214BE"/>
    <w:rsid w:val="5DE97E7A"/>
    <w:rsid w:val="5DEEEDB2"/>
    <w:rsid w:val="5DEF4253"/>
    <w:rsid w:val="5DF81F3B"/>
    <w:rsid w:val="5DFC50BD"/>
    <w:rsid w:val="5E001545"/>
    <w:rsid w:val="5E0821D5"/>
    <w:rsid w:val="5E203FF8"/>
    <w:rsid w:val="5E257683"/>
    <w:rsid w:val="5E2C5051"/>
    <w:rsid w:val="5E6255EA"/>
    <w:rsid w:val="5E6524BA"/>
    <w:rsid w:val="5E7100B3"/>
    <w:rsid w:val="5E8A7E4C"/>
    <w:rsid w:val="5E975E09"/>
    <w:rsid w:val="5E9D4C47"/>
    <w:rsid w:val="5E9E5003"/>
    <w:rsid w:val="5EDC21AD"/>
    <w:rsid w:val="5EDD34B2"/>
    <w:rsid w:val="5EEA61D6"/>
    <w:rsid w:val="5F0720F8"/>
    <w:rsid w:val="5F1D47FE"/>
    <w:rsid w:val="5F242059"/>
    <w:rsid w:val="5F333167"/>
    <w:rsid w:val="5F4753F3"/>
    <w:rsid w:val="5F506981"/>
    <w:rsid w:val="5F6209AB"/>
    <w:rsid w:val="5F6F7CF9"/>
    <w:rsid w:val="5F76414F"/>
    <w:rsid w:val="5F860D1E"/>
    <w:rsid w:val="5F9F0851"/>
    <w:rsid w:val="5FB40A2F"/>
    <w:rsid w:val="5FC16FA8"/>
    <w:rsid w:val="5FC17557"/>
    <w:rsid w:val="5FD96E76"/>
    <w:rsid w:val="5FDC3D01"/>
    <w:rsid w:val="5FF564FD"/>
    <w:rsid w:val="5FFB2605"/>
    <w:rsid w:val="5FFD38D1"/>
    <w:rsid w:val="601A2EBA"/>
    <w:rsid w:val="60327E35"/>
    <w:rsid w:val="603B6C71"/>
    <w:rsid w:val="60665537"/>
    <w:rsid w:val="606B50F6"/>
    <w:rsid w:val="606D6BFB"/>
    <w:rsid w:val="6090437A"/>
    <w:rsid w:val="60B24332"/>
    <w:rsid w:val="60D235C8"/>
    <w:rsid w:val="60E411CE"/>
    <w:rsid w:val="60F410C5"/>
    <w:rsid w:val="60FA37D1"/>
    <w:rsid w:val="61001EB2"/>
    <w:rsid w:val="610A4623"/>
    <w:rsid w:val="61140B53"/>
    <w:rsid w:val="611B0C2B"/>
    <w:rsid w:val="614C118F"/>
    <w:rsid w:val="615F7CCE"/>
    <w:rsid w:val="61632614"/>
    <w:rsid w:val="61842912"/>
    <w:rsid w:val="61890B12"/>
    <w:rsid w:val="619C23D7"/>
    <w:rsid w:val="61DC2B1A"/>
    <w:rsid w:val="61DC4880"/>
    <w:rsid w:val="61E048A5"/>
    <w:rsid w:val="61ED3A01"/>
    <w:rsid w:val="61F12AC0"/>
    <w:rsid w:val="61F44A2E"/>
    <w:rsid w:val="621E4888"/>
    <w:rsid w:val="62224971"/>
    <w:rsid w:val="623E513D"/>
    <w:rsid w:val="62683102"/>
    <w:rsid w:val="62985048"/>
    <w:rsid w:val="62A01FB9"/>
    <w:rsid w:val="62B31073"/>
    <w:rsid w:val="62B37719"/>
    <w:rsid w:val="62C52A98"/>
    <w:rsid w:val="62D67F8E"/>
    <w:rsid w:val="62F87114"/>
    <w:rsid w:val="630E4191"/>
    <w:rsid w:val="633F7569"/>
    <w:rsid w:val="635B0A49"/>
    <w:rsid w:val="635B0C34"/>
    <w:rsid w:val="636840F4"/>
    <w:rsid w:val="636F1917"/>
    <w:rsid w:val="63A03A38"/>
    <w:rsid w:val="63A8690E"/>
    <w:rsid w:val="63B15315"/>
    <w:rsid w:val="63C94B3F"/>
    <w:rsid w:val="63CD1DB6"/>
    <w:rsid w:val="63E85179"/>
    <w:rsid w:val="64075A48"/>
    <w:rsid w:val="640B532D"/>
    <w:rsid w:val="640C15AE"/>
    <w:rsid w:val="642F2C88"/>
    <w:rsid w:val="6450200D"/>
    <w:rsid w:val="64523EA9"/>
    <w:rsid w:val="646734C9"/>
    <w:rsid w:val="646E2E54"/>
    <w:rsid w:val="64793BED"/>
    <w:rsid w:val="64955D06"/>
    <w:rsid w:val="64996585"/>
    <w:rsid w:val="649A4C93"/>
    <w:rsid w:val="64A62235"/>
    <w:rsid w:val="64B07140"/>
    <w:rsid w:val="64B30D25"/>
    <w:rsid w:val="64B435C8"/>
    <w:rsid w:val="64B63EC6"/>
    <w:rsid w:val="64BC5151"/>
    <w:rsid w:val="64CC31ED"/>
    <w:rsid w:val="64E1790F"/>
    <w:rsid w:val="64F031D4"/>
    <w:rsid w:val="65035AA2"/>
    <w:rsid w:val="6511265D"/>
    <w:rsid w:val="651D737D"/>
    <w:rsid w:val="651E21A6"/>
    <w:rsid w:val="6538251C"/>
    <w:rsid w:val="65410C2D"/>
    <w:rsid w:val="65A50952"/>
    <w:rsid w:val="65B03134"/>
    <w:rsid w:val="65C50576"/>
    <w:rsid w:val="65FE0FE0"/>
    <w:rsid w:val="66150C06"/>
    <w:rsid w:val="663D13FE"/>
    <w:rsid w:val="664C3979"/>
    <w:rsid w:val="66730101"/>
    <w:rsid w:val="66751F24"/>
    <w:rsid w:val="667E199A"/>
    <w:rsid w:val="669929BC"/>
    <w:rsid w:val="66A01E6F"/>
    <w:rsid w:val="66CE16B9"/>
    <w:rsid w:val="66E04E56"/>
    <w:rsid w:val="66F92532"/>
    <w:rsid w:val="67115625"/>
    <w:rsid w:val="672023BD"/>
    <w:rsid w:val="67290ACE"/>
    <w:rsid w:val="672A6F03"/>
    <w:rsid w:val="673D069E"/>
    <w:rsid w:val="674442AC"/>
    <w:rsid w:val="674A58DC"/>
    <w:rsid w:val="675A5379"/>
    <w:rsid w:val="67605A5A"/>
    <w:rsid w:val="676B3D84"/>
    <w:rsid w:val="67CA573A"/>
    <w:rsid w:val="67D86DFF"/>
    <w:rsid w:val="67DA37FE"/>
    <w:rsid w:val="67E071E6"/>
    <w:rsid w:val="67F95923"/>
    <w:rsid w:val="67FC4329"/>
    <w:rsid w:val="681D1DF9"/>
    <w:rsid w:val="68277CAA"/>
    <w:rsid w:val="682A51A4"/>
    <w:rsid w:val="68406F23"/>
    <w:rsid w:val="686007CB"/>
    <w:rsid w:val="6861446E"/>
    <w:rsid w:val="68696EDC"/>
    <w:rsid w:val="686B2D87"/>
    <w:rsid w:val="68A84F83"/>
    <w:rsid w:val="68EA60AB"/>
    <w:rsid w:val="693578A9"/>
    <w:rsid w:val="696562A7"/>
    <w:rsid w:val="69821BA7"/>
    <w:rsid w:val="69962DC6"/>
    <w:rsid w:val="69AD29EB"/>
    <w:rsid w:val="69B13D98"/>
    <w:rsid w:val="69B4144F"/>
    <w:rsid w:val="69C0748D"/>
    <w:rsid w:val="69E42BBC"/>
    <w:rsid w:val="6A016C65"/>
    <w:rsid w:val="6A075622"/>
    <w:rsid w:val="6A333127"/>
    <w:rsid w:val="6A510F7A"/>
    <w:rsid w:val="6A53227F"/>
    <w:rsid w:val="6A7214AF"/>
    <w:rsid w:val="6A775937"/>
    <w:rsid w:val="6AA8059C"/>
    <w:rsid w:val="6AC02C0D"/>
    <w:rsid w:val="6AD97F5A"/>
    <w:rsid w:val="6ADD43E2"/>
    <w:rsid w:val="6AF17923"/>
    <w:rsid w:val="6B560E7C"/>
    <w:rsid w:val="6B62243D"/>
    <w:rsid w:val="6B7450E2"/>
    <w:rsid w:val="6B7D73AA"/>
    <w:rsid w:val="6B9F44AA"/>
    <w:rsid w:val="6BA21BA1"/>
    <w:rsid w:val="6BA97ABD"/>
    <w:rsid w:val="6BAE515B"/>
    <w:rsid w:val="6BB336D6"/>
    <w:rsid w:val="6BC32F6B"/>
    <w:rsid w:val="6BCF4E86"/>
    <w:rsid w:val="6BF33A84"/>
    <w:rsid w:val="6C0E4753"/>
    <w:rsid w:val="6C0E7A8F"/>
    <w:rsid w:val="6C110C02"/>
    <w:rsid w:val="6C136D6D"/>
    <w:rsid w:val="6C196368"/>
    <w:rsid w:val="6C4507AB"/>
    <w:rsid w:val="6C7E3D0B"/>
    <w:rsid w:val="6C8D7CBC"/>
    <w:rsid w:val="6C963990"/>
    <w:rsid w:val="6C9D6941"/>
    <w:rsid w:val="6CAA37F9"/>
    <w:rsid w:val="6CB92DB2"/>
    <w:rsid w:val="6CC4450B"/>
    <w:rsid w:val="6CD6671B"/>
    <w:rsid w:val="6CF25111"/>
    <w:rsid w:val="6D0217EA"/>
    <w:rsid w:val="6D1F38CC"/>
    <w:rsid w:val="6D26086E"/>
    <w:rsid w:val="6D263022"/>
    <w:rsid w:val="6D30394E"/>
    <w:rsid w:val="6D496A5A"/>
    <w:rsid w:val="6D5157E5"/>
    <w:rsid w:val="6D725524"/>
    <w:rsid w:val="6D8A2D46"/>
    <w:rsid w:val="6DC56E14"/>
    <w:rsid w:val="6DC8529E"/>
    <w:rsid w:val="6DD42637"/>
    <w:rsid w:val="6DDC72CD"/>
    <w:rsid w:val="6DFA2FFA"/>
    <w:rsid w:val="6E016706"/>
    <w:rsid w:val="6E02353D"/>
    <w:rsid w:val="6E032F34"/>
    <w:rsid w:val="6E0D7EC3"/>
    <w:rsid w:val="6E0E4166"/>
    <w:rsid w:val="6E0F378E"/>
    <w:rsid w:val="6E156E6D"/>
    <w:rsid w:val="6E8029A2"/>
    <w:rsid w:val="6EA16D7B"/>
    <w:rsid w:val="6EAB7730"/>
    <w:rsid w:val="6EB17B44"/>
    <w:rsid w:val="6EBA6FC6"/>
    <w:rsid w:val="6EEC6834"/>
    <w:rsid w:val="6EF12074"/>
    <w:rsid w:val="6F1104C5"/>
    <w:rsid w:val="6F157782"/>
    <w:rsid w:val="6F1A0ED3"/>
    <w:rsid w:val="6F5B5BB3"/>
    <w:rsid w:val="6F8B5D0F"/>
    <w:rsid w:val="6F903C9C"/>
    <w:rsid w:val="6F972233"/>
    <w:rsid w:val="6FA15840"/>
    <w:rsid w:val="6FFF5534"/>
    <w:rsid w:val="70065659"/>
    <w:rsid w:val="702334CF"/>
    <w:rsid w:val="702F5FCF"/>
    <w:rsid w:val="70344EA3"/>
    <w:rsid w:val="70362A18"/>
    <w:rsid w:val="709D2305"/>
    <w:rsid w:val="70A23E26"/>
    <w:rsid w:val="70BE0478"/>
    <w:rsid w:val="70C10156"/>
    <w:rsid w:val="70DB6A4D"/>
    <w:rsid w:val="70F353BF"/>
    <w:rsid w:val="70F74C48"/>
    <w:rsid w:val="71454F3E"/>
    <w:rsid w:val="71523AD0"/>
    <w:rsid w:val="71597204"/>
    <w:rsid w:val="71891F52"/>
    <w:rsid w:val="718F2DF7"/>
    <w:rsid w:val="71C43440"/>
    <w:rsid w:val="71D136B5"/>
    <w:rsid w:val="720C514A"/>
    <w:rsid w:val="724E6817"/>
    <w:rsid w:val="725352F2"/>
    <w:rsid w:val="72906B0D"/>
    <w:rsid w:val="7293038E"/>
    <w:rsid w:val="72A22A1E"/>
    <w:rsid w:val="72A22CF7"/>
    <w:rsid w:val="72AD63D7"/>
    <w:rsid w:val="72BB5CB4"/>
    <w:rsid w:val="72BF77FF"/>
    <w:rsid w:val="72C5775B"/>
    <w:rsid w:val="72D30C6F"/>
    <w:rsid w:val="72E66BAC"/>
    <w:rsid w:val="72EB2E2F"/>
    <w:rsid w:val="730A22AD"/>
    <w:rsid w:val="73283F7C"/>
    <w:rsid w:val="73285E09"/>
    <w:rsid w:val="732C5072"/>
    <w:rsid w:val="7332230D"/>
    <w:rsid w:val="73431B4D"/>
    <w:rsid w:val="734D44D8"/>
    <w:rsid w:val="735B0206"/>
    <w:rsid w:val="735D2FC3"/>
    <w:rsid w:val="73731777"/>
    <w:rsid w:val="737465FA"/>
    <w:rsid w:val="737B1559"/>
    <w:rsid w:val="7380460B"/>
    <w:rsid w:val="739946B3"/>
    <w:rsid w:val="73C62B81"/>
    <w:rsid w:val="73DF077C"/>
    <w:rsid w:val="740C41EF"/>
    <w:rsid w:val="74116902"/>
    <w:rsid w:val="74294699"/>
    <w:rsid w:val="742B6B02"/>
    <w:rsid w:val="7431442E"/>
    <w:rsid w:val="744352B5"/>
    <w:rsid w:val="74597B71"/>
    <w:rsid w:val="746D6812"/>
    <w:rsid w:val="74807A31"/>
    <w:rsid w:val="748C2E25"/>
    <w:rsid w:val="74A44C3E"/>
    <w:rsid w:val="74C958A7"/>
    <w:rsid w:val="74E30360"/>
    <w:rsid w:val="751B4639"/>
    <w:rsid w:val="754172BE"/>
    <w:rsid w:val="75507C28"/>
    <w:rsid w:val="75650AAD"/>
    <w:rsid w:val="758C6C69"/>
    <w:rsid w:val="75956274"/>
    <w:rsid w:val="75B23626"/>
    <w:rsid w:val="75D06459"/>
    <w:rsid w:val="75E9548E"/>
    <w:rsid w:val="76186A41"/>
    <w:rsid w:val="762F6473"/>
    <w:rsid w:val="76322C7A"/>
    <w:rsid w:val="76380CAE"/>
    <w:rsid w:val="764A7E3F"/>
    <w:rsid w:val="7668404E"/>
    <w:rsid w:val="766E2A8E"/>
    <w:rsid w:val="767945B8"/>
    <w:rsid w:val="768947FB"/>
    <w:rsid w:val="76DC01F4"/>
    <w:rsid w:val="76EC58E1"/>
    <w:rsid w:val="7705443B"/>
    <w:rsid w:val="77133D1D"/>
    <w:rsid w:val="771976F5"/>
    <w:rsid w:val="7729410C"/>
    <w:rsid w:val="774849C1"/>
    <w:rsid w:val="775466A8"/>
    <w:rsid w:val="77815E20"/>
    <w:rsid w:val="77881F27"/>
    <w:rsid w:val="77AE7BE8"/>
    <w:rsid w:val="77C5560F"/>
    <w:rsid w:val="77CF6E25"/>
    <w:rsid w:val="77E2713E"/>
    <w:rsid w:val="77E5622B"/>
    <w:rsid w:val="77F7553D"/>
    <w:rsid w:val="780E553D"/>
    <w:rsid w:val="78512C75"/>
    <w:rsid w:val="78577EFC"/>
    <w:rsid w:val="787E1020"/>
    <w:rsid w:val="7890494D"/>
    <w:rsid w:val="78B91B66"/>
    <w:rsid w:val="78D74515"/>
    <w:rsid w:val="78E24696"/>
    <w:rsid w:val="7907369D"/>
    <w:rsid w:val="790F432D"/>
    <w:rsid w:val="79202AC9"/>
    <w:rsid w:val="79212A70"/>
    <w:rsid w:val="79326048"/>
    <w:rsid w:val="794477D0"/>
    <w:rsid w:val="795D34C2"/>
    <w:rsid w:val="797A0159"/>
    <w:rsid w:val="79930852"/>
    <w:rsid w:val="79A2131D"/>
    <w:rsid w:val="79B538DD"/>
    <w:rsid w:val="79BC3A9B"/>
    <w:rsid w:val="79C23DD0"/>
    <w:rsid w:val="79C310BE"/>
    <w:rsid w:val="79C9375B"/>
    <w:rsid w:val="79FA77AD"/>
    <w:rsid w:val="7A073420"/>
    <w:rsid w:val="7A5358BD"/>
    <w:rsid w:val="7A676605"/>
    <w:rsid w:val="7A6C67E7"/>
    <w:rsid w:val="7A84368B"/>
    <w:rsid w:val="7A990D85"/>
    <w:rsid w:val="7AB4005E"/>
    <w:rsid w:val="7ABB1DEA"/>
    <w:rsid w:val="7AFE5424"/>
    <w:rsid w:val="7B063163"/>
    <w:rsid w:val="7B227A29"/>
    <w:rsid w:val="7B3D10BE"/>
    <w:rsid w:val="7B481255"/>
    <w:rsid w:val="7B497095"/>
    <w:rsid w:val="7B65620F"/>
    <w:rsid w:val="7B7B0AAF"/>
    <w:rsid w:val="7B7C1EA8"/>
    <w:rsid w:val="7B812AAC"/>
    <w:rsid w:val="7B935746"/>
    <w:rsid w:val="7B9C10D8"/>
    <w:rsid w:val="7B9E283E"/>
    <w:rsid w:val="7BA81442"/>
    <w:rsid w:val="7BAB1A9F"/>
    <w:rsid w:val="7BBEE1BE"/>
    <w:rsid w:val="7BEA6C58"/>
    <w:rsid w:val="7C041EBA"/>
    <w:rsid w:val="7C0D1227"/>
    <w:rsid w:val="7C26489A"/>
    <w:rsid w:val="7C2E3ECA"/>
    <w:rsid w:val="7C3A64E7"/>
    <w:rsid w:val="7C585004"/>
    <w:rsid w:val="7C7D4904"/>
    <w:rsid w:val="7C975E78"/>
    <w:rsid w:val="7C99137B"/>
    <w:rsid w:val="7CB54B1C"/>
    <w:rsid w:val="7CBB26C4"/>
    <w:rsid w:val="7CF1528D"/>
    <w:rsid w:val="7D007AE0"/>
    <w:rsid w:val="7D1F7055"/>
    <w:rsid w:val="7D2D2D04"/>
    <w:rsid w:val="7D383835"/>
    <w:rsid w:val="7D520650"/>
    <w:rsid w:val="7D5D6B3A"/>
    <w:rsid w:val="7D6961D0"/>
    <w:rsid w:val="7D6A28DA"/>
    <w:rsid w:val="7D742A1B"/>
    <w:rsid w:val="7D7D4E70"/>
    <w:rsid w:val="7D915109"/>
    <w:rsid w:val="7D9677FD"/>
    <w:rsid w:val="7D9A699F"/>
    <w:rsid w:val="7DA01411"/>
    <w:rsid w:val="7DE15CAB"/>
    <w:rsid w:val="7DE33CC0"/>
    <w:rsid w:val="7DE3B3D3"/>
    <w:rsid w:val="7E20467A"/>
    <w:rsid w:val="7E2255FE"/>
    <w:rsid w:val="7E412630"/>
    <w:rsid w:val="7E490D14"/>
    <w:rsid w:val="7E4E7768"/>
    <w:rsid w:val="7E805998"/>
    <w:rsid w:val="7E90429D"/>
    <w:rsid w:val="7EAC5562"/>
    <w:rsid w:val="7ED00B7F"/>
    <w:rsid w:val="7EDC75E9"/>
    <w:rsid w:val="7EE52CF2"/>
    <w:rsid w:val="7EF068CC"/>
    <w:rsid w:val="7EFBAE8A"/>
    <w:rsid w:val="7F132679"/>
    <w:rsid w:val="7F253F27"/>
    <w:rsid w:val="7F3379FA"/>
    <w:rsid w:val="7F3F59BF"/>
    <w:rsid w:val="7F4075F9"/>
    <w:rsid w:val="7F5B3A01"/>
    <w:rsid w:val="7F605EE5"/>
    <w:rsid w:val="7F667CE5"/>
    <w:rsid w:val="7F7726AD"/>
    <w:rsid w:val="7FD064B2"/>
    <w:rsid w:val="9FFDAD7A"/>
    <w:rsid w:val="ABED406B"/>
    <w:rsid w:val="ABF9B811"/>
    <w:rsid w:val="B6E3BB78"/>
    <w:rsid w:val="BFBCC6A3"/>
    <w:rsid w:val="CAFFA450"/>
    <w:rsid w:val="CEC76C68"/>
    <w:rsid w:val="D9FB629F"/>
    <w:rsid w:val="DFFF85AE"/>
    <w:rsid w:val="EF77F9CF"/>
    <w:rsid w:val="EFEF7BE1"/>
    <w:rsid w:val="F43EAC2D"/>
    <w:rsid w:val="FFEF3166"/>
    <w:rsid w:val="FFFB5E9E"/>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nhideWhenUsed="0" w:uiPriority="0" w:semiHidden="0" w:name="heading 3"/>
    <w:lsdException w:qFormat="1" w:uiPriority="9"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qFormat="1" w:uiPriority="99" w:name="footnote reference"/>
    <w:lsdException w:qFormat="1" w:uiPriority="99" w:semiHidden="0" w:name="annotation reference"/>
    <w:lsdException w:uiPriority="99" w:name="line number"/>
    <w:lsdException w:uiPriority="99" w:name="page number"/>
    <w:lsdException w:qFormat="1" w:uiPriority="99" w:name="endnote reference"/>
    <w:lsdException w:qFormat="1"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qFormat="1"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29"/>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33"/>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1"/>
    <w:link w:val="30"/>
    <w:qFormat/>
    <w:uiPriority w:val="0"/>
    <w:pPr>
      <w:keepNext/>
      <w:keepLines/>
      <w:spacing w:before="260" w:after="260" w:line="416" w:lineRule="auto"/>
      <w:outlineLvl w:val="2"/>
    </w:pPr>
    <w:rPr>
      <w:rFonts w:ascii="Times New Roman" w:hAnsi="Times New Roman" w:eastAsia="宋体" w:cs="Times New Roman"/>
      <w:b/>
      <w:bCs/>
      <w:sz w:val="32"/>
      <w:szCs w:val="32"/>
    </w:rPr>
  </w:style>
  <w:style w:type="paragraph" w:styleId="5">
    <w:name w:val="heading 4"/>
    <w:basedOn w:val="1"/>
    <w:next w:val="1"/>
    <w:link w:val="36"/>
    <w:unhideWhenUsed/>
    <w:qFormat/>
    <w:uiPriority w:val="9"/>
    <w:pPr>
      <w:keepNext/>
      <w:keepLines/>
      <w:spacing w:before="280" w:after="290" w:line="376" w:lineRule="auto"/>
      <w:outlineLvl w:val="3"/>
    </w:pPr>
    <w:rPr>
      <w:rFonts w:asciiTheme="majorHAnsi" w:hAnsiTheme="majorHAnsi" w:eastAsiaTheme="majorEastAsia" w:cstheme="majorBidi"/>
      <w:b/>
      <w:bCs/>
      <w:sz w:val="28"/>
      <w:szCs w:val="28"/>
    </w:rPr>
  </w:style>
  <w:style w:type="character" w:default="1" w:styleId="21">
    <w:name w:val="Default Paragraph Font"/>
    <w:semiHidden/>
    <w:unhideWhenUsed/>
    <w:qFormat/>
    <w:uiPriority w:val="1"/>
  </w:style>
  <w:style w:type="table" w:default="1" w:styleId="19">
    <w:name w:val="Normal Table"/>
    <w:semiHidden/>
    <w:unhideWhenUsed/>
    <w:qFormat/>
    <w:uiPriority w:val="99"/>
    <w:tblPr>
      <w:tblCellMar>
        <w:top w:w="0" w:type="dxa"/>
        <w:left w:w="108" w:type="dxa"/>
        <w:bottom w:w="0" w:type="dxa"/>
        <w:right w:w="108" w:type="dxa"/>
      </w:tblCellMar>
    </w:tblPr>
  </w:style>
  <w:style w:type="paragraph" w:styleId="6">
    <w:name w:val="Document Map"/>
    <w:basedOn w:val="1"/>
    <w:link w:val="42"/>
    <w:semiHidden/>
    <w:unhideWhenUsed/>
    <w:qFormat/>
    <w:uiPriority w:val="99"/>
    <w:rPr>
      <w:rFonts w:ascii="宋体" w:eastAsia="宋体"/>
      <w:sz w:val="18"/>
      <w:szCs w:val="18"/>
    </w:rPr>
  </w:style>
  <w:style w:type="paragraph" w:styleId="7">
    <w:name w:val="annotation text"/>
    <w:basedOn w:val="1"/>
    <w:link w:val="31"/>
    <w:unhideWhenUsed/>
    <w:qFormat/>
    <w:uiPriority w:val="99"/>
    <w:pPr>
      <w:jc w:val="left"/>
    </w:pPr>
  </w:style>
  <w:style w:type="paragraph" w:styleId="8">
    <w:name w:val="toc 3"/>
    <w:basedOn w:val="1"/>
    <w:next w:val="1"/>
    <w:unhideWhenUsed/>
    <w:qFormat/>
    <w:uiPriority w:val="39"/>
    <w:pPr>
      <w:ind w:left="840" w:leftChars="400"/>
    </w:pPr>
  </w:style>
  <w:style w:type="paragraph" w:styleId="9">
    <w:name w:val="endnote text"/>
    <w:basedOn w:val="1"/>
    <w:link w:val="35"/>
    <w:semiHidden/>
    <w:unhideWhenUsed/>
    <w:qFormat/>
    <w:uiPriority w:val="99"/>
    <w:pPr>
      <w:snapToGrid w:val="0"/>
      <w:jc w:val="left"/>
    </w:pPr>
  </w:style>
  <w:style w:type="paragraph" w:styleId="10">
    <w:name w:val="Balloon Text"/>
    <w:basedOn w:val="1"/>
    <w:link w:val="34"/>
    <w:semiHidden/>
    <w:unhideWhenUsed/>
    <w:qFormat/>
    <w:uiPriority w:val="99"/>
    <w:rPr>
      <w:sz w:val="18"/>
      <w:szCs w:val="18"/>
    </w:rPr>
  </w:style>
  <w:style w:type="paragraph" w:styleId="11">
    <w:name w:val="footer"/>
    <w:basedOn w:val="1"/>
    <w:link w:val="28"/>
    <w:unhideWhenUsed/>
    <w:qFormat/>
    <w:uiPriority w:val="99"/>
    <w:pPr>
      <w:tabs>
        <w:tab w:val="center" w:pos="4153"/>
        <w:tab w:val="right" w:pos="8306"/>
      </w:tabs>
      <w:snapToGrid w:val="0"/>
      <w:jc w:val="left"/>
    </w:pPr>
    <w:rPr>
      <w:sz w:val="18"/>
      <w:szCs w:val="18"/>
    </w:rPr>
  </w:style>
  <w:style w:type="paragraph" w:styleId="12">
    <w:name w:val="header"/>
    <w:basedOn w:val="1"/>
    <w:link w:val="27"/>
    <w:unhideWhenUsed/>
    <w:qFormat/>
    <w:uiPriority w:val="99"/>
    <w:pPr>
      <w:pBdr>
        <w:bottom w:val="single" w:color="auto" w:sz="6" w:space="1"/>
      </w:pBdr>
      <w:tabs>
        <w:tab w:val="center" w:pos="4153"/>
        <w:tab w:val="right" w:pos="8306"/>
      </w:tabs>
      <w:snapToGrid w:val="0"/>
      <w:jc w:val="center"/>
    </w:pPr>
    <w:rPr>
      <w:sz w:val="18"/>
      <w:szCs w:val="18"/>
    </w:rPr>
  </w:style>
  <w:style w:type="paragraph" w:styleId="13">
    <w:name w:val="toc 1"/>
    <w:basedOn w:val="1"/>
    <w:next w:val="1"/>
    <w:unhideWhenUsed/>
    <w:qFormat/>
    <w:uiPriority w:val="39"/>
    <w:pPr>
      <w:tabs>
        <w:tab w:val="right" w:leader="dot" w:pos="8296"/>
      </w:tabs>
    </w:pPr>
    <w:rPr>
      <w:rFonts w:ascii="Times New Roman" w:hAnsi="Times New Roman" w:eastAsia="方正仿宋简体"/>
      <w:b/>
    </w:rPr>
  </w:style>
  <w:style w:type="paragraph" w:styleId="14">
    <w:name w:val="footnote text"/>
    <w:basedOn w:val="1"/>
    <w:semiHidden/>
    <w:unhideWhenUsed/>
    <w:qFormat/>
    <w:uiPriority w:val="99"/>
    <w:pPr>
      <w:snapToGrid w:val="0"/>
      <w:jc w:val="left"/>
    </w:pPr>
    <w:rPr>
      <w:sz w:val="18"/>
    </w:rPr>
  </w:style>
  <w:style w:type="paragraph" w:styleId="15">
    <w:name w:val="toc 2"/>
    <w:basedOn w:val="1"/>
    <w:next w:val="1"/>
    <w:unhideWhenUsed/>
    <w:qFormat/>
    <w:uiPriority w:val="39"/>
    <w:pPr>
      <w:ind w:left="420" w:leftChars="200"/>
    </w:pPr>
  </w:style>
  <w:style w:type="paragraph" w:styleId="16">
    <w:name w:val="Normal (Web)"/>
    <w:basedOn w:val="1"/>
    <w:semiHidden/>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17">
    <w:name w:val="Title"/>
    <w:basedOn w:val="1"/>
    <w:next w:val="1"/>
    <w:link w:val="37"/>
    <w:qFormat/>
    <w:uiPriority w:val="10"/>
    <w:pPr>
      <w:spacing w:before="240" w:after="60" w:line="360" w:lineRule="auto"/>
      <w:ind w:firstLine="200" w:firstLineChars="200"/>
      <w:jc w:val="center"/>
      <w:outlineLvl w:val="0"/>
    </w:pPr>
    <w:rPr>
      <w:rFonts w:ascii="Cambria" w:hAnsi="Cambria" w:eastAsia="楷体" w:cs="Times New Roman"/>
      <w:b/>
      <w:sz w:val="36"/>
      <w:szCs w:val="20"/>
    </w:rPr>
  </w:style>
  <w:style w:type="paragraph" w:styleId="18">
    <w:name w:val="annotation subject"/>
    <w:basedOn w:val="7"/>
    <w:next w:val="7"/>
    <w:link w:val="38"/>
    <w:semiHidden/>
    <w:unhideWhenUsed/>
    <w:qFormat/>
    <w:uiPriority w:val="99"/>
    <w:rPr>
      <w:b/>
      <w:bCs/>
    </w:rPr>
  </w:style>
  <w:style w:type="table" w:styleId="20">
    <w:name w:val="Table Grid"/>
    <w:basedOn w:val="1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2">
    <w:name w:val="Strong"/>
    <w:basedOn w:val="21"/>
    <w:qFormat/>
    <w:uiPriority w:val="22"/>
    <w:rPr>
      <w:b/>
    </w:rPr>
  </w:style>
  <w:style w:type="character" w:styleId="23">
    <w:name w:val="endnote reference"/>
    <w:basedOn w:val="21"/>
    <w:semiHidden/>
    <w:unhideWhenUsed/>
    <w:qFormat/>
    <w:uiPriority w:val="99"/>
    <w:rPr>
      <w:vertAlign w:val="superscript"/>
    </w:rPr>
  </w:style>
  <w:style w:type="character" w:styleId="24">
    <w:name w:val="Hyperlink"/>
    <w:basedOn w:val="21"/>
    <w:unhideWhenUsed/>
    <w:qFormat/>
    <w:uiPriority w:val="99"/>
    <w:rPr>
      <w:color w:val="0000FF" w:themeColor="hyperlink"/>
      <w:u w:val="single"/>
      <w14:textFill>
        <w14:solidFill>
          <w14:schemeClr w14:val="hlink"/>
        </w14:solidFill>
      </w14:textFill>
    </w:rPr>
  </w:style>
  <w:style w:type="character" w:styleId="25">
    <w:name w:val="annotation reference"/>
    <w:basedOn w:val="21"/>
    <w:unhideWhenUsed/>
    <w:qFormat/>
    <w:uiPriority w:val="99"/>
    <w:rPr>
      <w:sz w:val="21"/>
      <w:szCs w:val="21"/>
    </w:rPr>
  </w:style>
  <w:style w:type="character" w:styleId="26">
    <w:name w:val="footnote reference"/>
    <w:basedOn w:val="21"/>
    <w:semiHidden/>
    <w:unhideWhenUsed/>
    <w:qFormat/>
    <w:uiPriority w:val="99"/>
    <w:rPr>
      <w:vertAlign w:val="superscript"/>
    </w:rPr>
  </w:style>
  <w:style w:type="character" w:customStyle="1" w:styleId="27">
    <w:name w:val="页眉 字符"/>
    <w:basedOn w:val="21"/>
    <w:link w:val="12"/>
    <w:qFormat/>
    <w:uiPriority w:val="99"/>
    <w:rPr>
      <w:sz w:val="18"/>
      <w:szCs w:val="18"/>
    </w:rPr>
  </w:style>
  <w:style w:type="character" w:customStyle="1" w:styleId="28">
    <w:name w:val="页脚 字符"/>
    <w:basedOn w:val="21"/>
    <w:link w:val="11"/>
    <w:qFormat/>
    <w:uiPriority w:val="99"/>
    <w:rPr>
      <w:sz w:val="18"/>
      <w:szCs w:val="18"/>
    </w:rPr>
  </w:style>
  <w:style w:type="character" w:customStyle="1" w:styleId="29">
    <w:name w:val="标题 1 字符"/>
    <w:basedOn w:val="21"/>
    <w:link w:val="2"/>
    <w:qFormat/>
    <w:uiPriority w:val="9"/>
    <w:rPr>
      <w:b/>
      <w:bCs/>
      <w:kern w:val="44"/>
      <w:sz w:val="44"/>
      <w:szCs w:val="44"/>
    </w:rPr>
  </w:style>
  <w:style w:type="character" w:customStyle="1" w:styleId="30">
    <w:name w:val="标题 3 字符"/>
    <w:basedOn w:val="21"/>
    <w:link w:val="4"/>
    <w:qFormat/>
    <w:uiPriority w:val="0"/>
    <w:rPr>
      <w:rFonts w:ascii="Times New Roman" w:hAnsi="Times New Roman" w:eastAsia="宋体" w:cs="Times New Roman"/>
      <w:b/>
      <w:bCs/>
      <w:sz w:val="32"/>
      <w:szCs w:val="32"/>
    </w:rPr>
  </w:style>
  <w:style w:type="character" w:customStyle="1" w:styleId="31">
    <w:name w:val="批注文字 字符"/>
    <w:basedOn w:val="21"/>
    <w:link w:val="7"/>
    <w:qFormat/>
    <w:uiPriority w:val="99"/>
  </w:style>
  <w:style w:type="character" w:customStyle="1" w:styleId="32">
    <w:name w:val="style_kwd1"/>
    <w:basedOn w:val="21"/>
    <w:qFormat/>
    <w:uiPriority w:val="0"/>
    <w:rPr>
      <w:shd w:val="clear" w:color="auto" w:fill="FFFFA6"/>
    </w:rPr>
  </w:style>
  <w:style w:type="character" w:customStyle="1" w:styleId="33">
    <w:name w:val="标题 2 字符"/>
    <w:basedOn w:val="21"/>
    <w:link w:val="3"/>
    <w:qFormat/>
    <w:uiPriority w:val="9"/>
    <w:rPr>
      <w:rFonts w:asciiTheme="majorHAnsi" w:hAnsiTheme="majorHAnsi" w:eastAsiaTheme="majorEastAsia" w:cstheme="majorBidi"/>
      <w:b/>
      <w:bCs/>
      <w:sz w:val="32"/>
      <w:szCs w:val="32"/>
    </w:rPr>
  </w:style>
  <w:style w:type="character" w:customStyle="1" w:styleId="34">
    <w:name w:val="批注框文本 字符"/>
    <w:basedOn w:val="21"/>
    <w:link w:val="10"/>
    <w:semiHidden/>
    <w:qFormat/>
    <w:uiPriority w:val="99"/>
    <w:rPr>
      <w:sz w:val="18"/>
      <w:szCs w:val="18"/>
    </w:rPr>
  </w:style>
  <w:style w:type="character" w:customStyle="1" w:styleId="35">
    <w:name w:val="尾注文本 字符"/>
    <w:basedOn w:val="21"/>
    <w:link w:val="9"/>
    <w:semiHidden/>
    <w:qFormat/>
    <w:uiPriority w:val="99"/>
  </w:style>
  <w:style w:type="character" w:customStyle="1" w:styleId="36">
    <w:name w:val="标题 4 字符"/>
    <w:basedOn w:val="21"/>
    <w:link w:val="5"/>
    <w:qFormat/>
    <w:uiPriority w:val="9"/>
    <w:rPr>
      <w:rFonts w:asciiTheme="majorHAnsi" w:hAnsiTheme="majorHAnsi" w:eastAsiaTheme="majorEastAsia" w:cstheme="majorBidi"/>
      <w:b/>
      <w:bCs/>
      <w:sz w:val="28"/>
      <w:szCs w:val="28"/>
    </w:rPr>
  </w:style>
  <w:style w:type="character" w:customStyle="1" w:styleId="37">
    <w:name w:val="标题 字符"/>
    <w:basedOn w:val="21"/>
    <w:link w:val="17"/>
    <w:qFormat/>
    <w:uiPriority w:val="10"/>
    <w:rPr>
      <w:rFonts w:ascii="Cambria" w:hAnsi="Cambria" w:eastAsia="楷体" w:cs="Times New Roman"/>
      <w:b/>
      <w:sz w:val="36"/>
      <w:szCs w:val="20"/>
    </w:rPr>
  </w:style>
  <w:style w:type="character" w:customStyle="1" w:styleId="38">
    <w:name w:val="批注主题 字符"/>
    <w:basedOn w:val="31"/>
    <w:link w:val="18"/>
    <w:semiHidden/>
    <w:qFormat/>
    <w:uiPriority w:val="99"/>
    <w:rPr>
      <w:b/>
      <w:bCs/>
    </w:rPr>
  </w:style>
  <w:style w:type="paragraph" w:customStyle="1" w:styleId="39">
    <w:name w:val="修订1"/>
    <w:hidden/>
    <w:semiHidden/>
    <w:qFormat/>
    <w:uiPriority w:val="99"/>
    <w:rPr>
      <w:rFonts w:asciiTheme="minorHAnsi" w:hAnsiTheme="minorHAnsi" w:eastAsiaTheme="minorEastAsia" w:cstheme="minorBidi"/>
      <w:kern w:val="2"/>
      <w:sz w:val="21"/>
      <w:szCs w:val="22"/>
      <w:lang w:val="en-US" w:eastAsia="zh-CN" w:bidi="ar-SA"/>
    </w:rPr>
  </w:style>
  <w:style w:type="paragraph" w:styleId="40">
    <w:name w:val="List Paragraph"/>
    <w:basedOn w:val="1"/>
    <w:link w:val="44"/>
    <w:qFormat/>
    <w:uiPriority w:val="34"/>
    <w:pPr>
      <w:ind w:firstLine="420" w:firstLineChars="200"/>
    </w:pPr>
  </w:style>
  <w:style w:type="paragraph" w:customStyle="1" w:styleId="41">
    <w:name w:val="Default"/>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character" w:customStyle="1" w:styleId="42">
    <w:name w:val="文档结构图 字符"/>
    <w:basedOn w:val="21"/>
    <w:link w:val="6"/>
    <w:semiHidden/>
    <w:qFormat/>
    <w:uiPriority w:val="99"/>
    <w:rPr>
      <w:rFonts w:ascii="宋体" w:eastAsia="宋体"/>
      <w:kern w:val="2"/>
      <w:sz w:val="18"/>
      <w:szCs w:val="18"/>
    </w:rPr>
  </w:style>
  <w:style w:type="paragraph" w:customStyle="1" w:styleId="43">
    <w:name w:val="修订2"/>
    <w:hidden/>
    <w:unhideWhenUsed/>
    <w:qFormat/>
    <w:uiPriority w:val="99"/>
    <w:rPr>
      <w:rFonts w:asciiTheme="minorHAnsi" w:hAnsiTheme="minorHAnsi" w:eastAsiaTheme="minorEastAsia" w:cstheme="minorBidi"/>
      <w:kern w:val="2"/>
      <w:sz w:val="21"/>
      <w:szCs w:val="22"/>
      <w:lang w:val="en-US" w:eastAsia="zh-CN" w:bidi="ar-SA"/>
    </w:rPr>
  </w:style>
  <w:style w:type="character" w:customStyle="1" w:styleId="44">
    <w:name w:val="列表段落 字符"/>
    <w:link w:val="40"/>
    <w:qFormat/>
    <w:uiPriority w:val="34"/>
    <w:rPr>
      <w:rFonts w:asciiTheme="minorHAnsi" w:hAnsiTheme="minorHAnsi" w:eastAsiaTheme="minorEastAsia" w:cstheme="minorBidi"/>
      <w:kern w:val="2"/>
      <w:sz w:val="21"/>
      <w:szCs w:val="22"/>
    </w:rPr>
  </w:style>
  <w:style w:type="paragraph" w:customStyle="1" w:styleId="45">
    <w:name w:val="修订3"/>
    <w:hidden/>
    <w:semiHidden/>
    <w:qFormat/>
    <w:uiPriority w:val="99"/>
    <w:rPr>
      <w:rFonts w:asciiTheme="minorHAnsi" w:hAnsiTheme="minorHAnsi" w:eastAsiaTheme="minorEastAsia" w:cstheme="minorBidi"/>
      <w:kern w:val="2"/>
      <w:sz w:val="21"/>
      <w:szCs w:val="22"/>
      <w:lang w:val="en-US" w:eastAsia="zh-CN" w:bidi="ar-SA"/>
    </w:rPr>
  </w:style>
  <w:style w:type="paragraph" w:customStyle="1" w:styleId="46">
    <w:name w:val="_Style 9"/>
    <w:basedOn w:val="1"/>
    <w:next w:val="40"/>
    <w:qFormat/>
    <w:uiPriority w:val="34"/>
    <w:pPr>
      <w:ind w:firstLine="420" w:firstLineChars="200"/>
    </w:pPr>
    <w:rPr>
      <w:rFonts w:ascii="Times New Roman" w:hAnsi="Times New Roman" w:eastAsia="宋体" w:cs="Times New Roman"/>
      <w:szCs w:val="24"/>
      <w:lang w:val="zh-CN"/>
    </w:rPr>
  </w:style>
  <w:style w:type="character" w:customStyle="1" w:styleId="47">
    <w:name w:val="font71"/>
    <w:basedOn w:val="21"/>
    <w:qFormat/>
    <w:uiPriority w:val="0"/>
    <w:rPr>
      <w:rFonts w:hint="eastAsia" w:ascii="宋体" w:hAnsi="宋体" w:eastAsia="宋体" w:cs="宋体"/>
      <w:color w:val="000000"/>
      <w:sz w:val="21"/>
      <w:szCs w:val="21"/>
      <w:u w:val="none"/>
    </w:rPr>
  </w:style>
  <w:style w:type="character" w:customStyle="1" w:styleId="48">
    <w:name w:val="font81"/>
    <w:basedOn w:val="21"/>
    <w:qFormat/>
    <w:uiPriority w:val="0"/>
    <w:rPr>
      <w:rFonts w:hint="eastAsia" w:ascii="宋体" w:hAnsi="宋体" w:eastAsia="宋体" w:cs="宋体"/>
      <w:b/>
      <w:bCs/>
      <w:color w:val="000000"/>
      <w:sz w:val="22"/>
      <w:szCs w:val="22"/>
      <w:u w:val="none"/>
    </w:rPr>
  </w:style>
  <w:style w:type="character" w:customStyle="1" w:styleId="49">
    <w:name w:val="15"/>
    <w:basedOn w:val="21"/>
    <w:qFormat/>
    <w:uiPriority w:val="0"/>
  </w:style>
  <w:style w:type="character" w:customStyle="1" w:styleId="50">
    <w:name w:val="fontstyle01"/>
    <w:basedOn w:val="21"/>
    <w:qFormat/>
    <w:uiPriority w:val="0"/>
    <w:rPr>
      <w:rFonts w:ascii="仿宋_GB2312" w:hAnsi="仿宋_GB2312" w:eastAsia="仿宋_GB2312" w:cs="仿宋_GB2312"/>
      <w:color w:val="000000"/>
      <w:sz w:val="30"/>
      <w:szCs w:val="30"/>
    </w:rPr>
  </w:style>
  <w:style w:type="character" w:customStyle="1" w:styleId="51">
    <w:name w:val="fontstyle11"/>
    <w:basedOn w:val="21"/>
    <w:qFormat/>
    <w:uiPriority w:val="0"/>
    <w:rPr>
      <w:rFonts w:ascii="TimesNewRomanPSMT" w:hAnsi="TimesNewRomanPSMT" w:eastAsia="TimesNewRomanPSMT" w:cs="TimesNewRomanPSMT"/>
      <w:color w:val="000000"/>
      <w:sz w:val="30"/>
      <w:szCs w:val="30"/>
    </w:rPr>
  </w:style>
  <w:style w:type="paragraph" w:customStyle="1" w:styleId="52">
    <w:name w:val="Revision"/>
    <w:hidden/>
    <w:unhideWhenUsed/>
    <w:qFormat/>
    <w:uiPriority w:val="99"/>
    <w:rPr>
      <w:rFonts w:asciiTheme="minorHAnsi" w:hAnsiTheme="minorHAnsi" w:eastAsiaTheme="minorEastAsia" w:cstheme="minorBidi"/>
      <w:kern w:val="2"/>
      <w:sz w:val="21"/>
      <w:szCs w:val="2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header" Target="header4.xml"/><Relationship Id="rId8" Type="http://schemas.openxmlformats.org/officeDocument/2006/relationships/header" Target="head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2.xml"/><Relationship Id="rId4" Type="http://schemas.openxmlformats.org/officeDocument/2006/relationships/header" Target="header1.xml"/><Relationship Id="rId3" Type="http://schemas.openxmlformats.org/officeDocument/2006/relationships/footnotes" Target="footnotes.xml"/><Relationship Id="rId27" Type="http://schemas.openxmlformats.org/officeDocument/2006/relationships/fontTable" Target="fontTable.xml"/><Relationship Id="rId26" Type="http://schemas.openxmlformats.org/officeDocument/2006/relationships/numbering" Target="numbering.xml"/><Relationship Id="rId25" Type="http://schemas.openxmlformats.org/officeDocument/2006/relationships/customXml" Target="../customXml/item1.xml"/><Relationship Id="rId24" Type="http://schemas.openxmlformats.org/officeDocument/2006/relationships/image" Target="media/image2.png"/><Relationship Id="rId23" Type="http://schemas.openxmlformats.org/officeDocument/2006/relationships/image" Target="media/image1.png"/><Relationship Id="rId22" Type="http://schemas.openxmlformats.org/officeDocument/2006/relationships/theme" Target="theme/theme1.xml"/><Relationship Id="rId21" Type="http://schemas.openxmlformats.org/officeDocument/2006/relationships/footer" Target="footer7.xml"/><Relationship Id="rId20" Type="http://schemas.openxmlformats.org/officeDocument/2006/relationships/footer" Target="footer6.xml"/><Relationship Id="rId2" Type="http://schemas.openxmlformats.org/officeDocument/2006/relationships/settings" Target="settings.xml"/><Relationship Id="rId19" Type="http://schemas.openxmlformats.org/officeDocument/2006/relationships/footer" Target="footer5.xml"/><Relationship Id="rId18" Type="http://schemas.openxmlformats.org/officeDocument/2006/relationships/header" Target="header11.xml"/><Relationship Id="rId17" Type="http://schemas.openxmlformats.org/officeDocument/2006/relationships/header" Target="header10.xml"/><Relationship Id="rId16" Type="http://schemas.openxmlformats.org/officeDocument/2006/relationships/header" Target="header9.xml"/><Relationship Id="rId15" Type="http://schemas.openxmlformats.org/officeDocument/2006/relationships/footer" Target="footer4.xml"/><Relationship Id="rId14" Type="http://schemas.openxmlformats.org/officeDocument/2006/relationships/header" Target="header8.xml"/><Relationship Id="rId13" Type="http://schemas.openxmlformats.org/officeDocument/2006/relationships/header" Target="header7.xml"/><Relationship Id="rId12" Type="http://schemas.openxmlformats.org/officeDocument/2006/relationships/header" Target="header6.xml"/><Relationship Id="rId11" Type="http://schemas.openxmlformats.org/officeDocument/2006/relationships/footer" Target="footer3.xml"/><Relationship Id="rId10" Type="http://schemas.openxmlformats.org/officeDocument/2006/relationships/header" Target="header5.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extobjs>
    <extobj name="ECB019B1-382A-4266-B25C-5B523AA43C14-1">
      <extobjdata type="ECB019B1-382A-4266-B25C-5B523AA43C14" data="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"/>
    </extobj>
    <extobj name="ECB019B1-382A-4266-B25C-5B523AA43C14-2">
      <extobjdata type="ECB019B1-382A-4266-B25C-5B523AA43C14" data="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"/>
    </extobj>
  </extobj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61</Pages>
  <Words>17658</Words>
  <Characters>18233</Characters>
  <Lines>208</Lines>
  <Paragraphs>58</Paragraphs>
  <TotalTime>7</TotalTime>
  <ScaleCrop>false</ScaleCrop>
  <LinksUpToDate>false</LinksUpToDate>
  <CharactersWithSpaces>18933</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2025-12-30T22:24:00Z</dcterms:created>
  <dc:creator>sse</dc:creator>
  <cp:lastModifiedBy>whxu</cp:lastModifiedBy>
  <cp:lastPrinted>2025-06-15T01:44:00Z</cp:lastPrinted>
  <dcterms:modified xsi:type="dcterms:W3CDTF">2026-03-09T06:24:59Z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0x010100BFF86933982D954699BF75D6EEFACEE401008F598E7BA4788947AF492DCDF6522C8E</vt:lpwstr>
  </property>
  <property fmtid="{D5CDD505-2E9C-101B-9397-08002B2CF9AE}" pid="3" name="ClassificationOfTheGenus">
    <vt:lpwstr>291;#业务|8a57136d-fdc4-42df-9576-bb5b0cdcc0d0;#402;#所级发文|e93199f0-cd75-467e-a7e7-410daf94f5a9</vt:lpwstr>
  </property>
  <property fmtid="{D5CDD505-2E9C-101B-9397-08002B2CF9AE}" pid="4" name="DraftingDepartment">
    <vt:lpwstr/>
  </property>
  <property fmtid="{D5CDD505-2E9C-101B-9397-08002B2CF9AE}" pid="5" name="KSOProductBuildVer">
    <vt:lpwstr>2052-12.1.0.25225</vt:lpwstr>
  </property>
  <property fmtid="{D5CDD505-2E9C-101B-9397-08002B2CF9AE}" pid="6" name="ICV">
    <vt:lpwstr>6359780D3D34C5FF491F5269B5E6B83F_43</vt:lpwstr>
  </property>
  <property fmtid="{D5CDD505-2E9C-101B-9397-08002B2CF9AE}" pid="7" name="KSOTemplateDocerSaveRecord">
    <vt:lpwstr>eyJoZGlkIjoiMzkyMDA3YjgzOGJiZWQ3MDQzODIyNWZlMDExMGViMDYiLCJ1c2VySWQiOiI0MTAwNTg2ODQifQ==</vt:lpwstr>
  </property>
</Properties>
</file>