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5B6B" w:rsidRDefault="00AB5B6B">
      <w:pPr>
        <w:widowControl/>
        <w:spacing w:line="408" w:lineRule="auto"/>
        <w:rPr>
          <w:rFonts w:ascii="仿宋_GB2312" w:eastAsia="仿宋_GB2312" w:hint="eastAsia"/>
          <w:sz w:val="30"/>
          <w:szCs w:val="30"/>
        </w:rPr>
      </w:pPr>
    </w:p>
    <w:p w:rsidR="00AB5B6B" w:rsidRDefault="00AB5B6B">
      <w:pPr>
        <w:widowControl/>
        <w:spacing w:line="408" w:lineRule="auto"/>
        <w:jc w:val="center"/>
        <w:rPr>
          <w:rFonts w:ascii="黑体" w:eastAsia="黑体" w:hAnsi="宋体" w:cs="宋体" w:hint="eastAsia"/>
          <w:b/>
          <w:bCs/>
          <w:kern w:val="0"/>
          <w:sz w:val="52"/>
          <w:szCs w:val="52"/>
        </w:rPr>
      </w:pPr>
    </w:p>
    <w:p w:rsidR="00EC7AD8" w:rsidRDefault="00AB5B6B" w:rsidP="00EC7AD8">
      <w:pPr>
        <w:widowControl/>
        <w:spacing w:line="408" w:lineRule="auto"/>
        <w:jc w:val="center"/>
        <w:rPr>
          <w:rFonts w:ascii="黑体" w:eastAsia="黑体" w:hAnsi="宋体" w:cs="宋体" w:hint="eastAsia"/>
          <w:b/>
          <w:bCs/>
          <w:kern w:val="0"/>
          <w:sz w:val="52"/>
          <w:szCs w:val="52"/>
        </w:rPr>
      </w:pPr>
      <w:r>
        <w:rPr>
          <w:rFonts w:ascii="黑体" w:eastAsia="黑体" w:hAnsi="宋体" w:cs="宋体" w:hint="eastAsia"/>
          <w:b/>
          <w:bCs/>
          <w:kern w:val="0"/>
          <w:sz w:val="52"/>
          <w:szCs w:val="52"/>
        </w:rPr>
        <w:t>上海证券交易所</w:t>
      </w:r>
    </w:p>
    <w:p w:rsidR="00EC7AD8" w:rsidRDefault="00AB5B6B" w:rsidP="00EC7AD8">
      <w:pPr>
        <w:widowControl/>
        <w:spacing w:line="408" w:lineRule="auto"/>
        <w:jc w:val="center"/>
        <w:rPr>
          <w:rFonts w:ascii="黑体" w:eastAsia="黑体" w:hAnsi="宋体" w:cs="宋体" w:hint="eastAsia"/>
          <w:b/>
          <w:bCs/>
          <w:kern w:val="0"/>
          <w:sz w:val="52"/>
          <w:szCs w:val="52"/>
        </w:rPr>
      </w:pPr>
      <w:r>
        <w:rPr>
          <w:rFonts w:ascii="黑体" w:eastAsia="黑体" w:hAnsi="宋体" w:cs="宋体" w:hint="eastAsia"/>
          <w:b/>
          <w:bCs/>
          <w:kern w:val="0"/>
          <w:sz w:val="52"/>
          <w:szCs w:val="52"/>
        </w:rPr>
        <w:t>证券交易业务指南第</w:t>
      </w:r>
      <w:r w:rsidR="00123364">
        <w:rPr>
          <w:rFonts w:ascii="黑体" w:eastAsia="黑体" w:hAnsi="宋体" w:cs="宋体" w:hint="eastAsia"/>
          <w:b/>
          <w:bCs/>
          <w:kern w:val="0"/>
          <w:sz w:val="52"/>
          <w:szCs w:val="52"/>
        </w:rPr>
        <w:t>10</w:t>
      </w:r>
      <w:r>
        <w:rPr>
          <w:rFonts w:ascii="黑体" w:eastAsia="黑体" w:hAnsi="宋体" w:cs="宋体" w:hint="eastAsia"/>
          <w:b/>
          <w:bCs/>
          <w:kern w:val="0"/>
          <w:sz w:val="52"/>
          <w:szCs w:val="52"/>
        </w:rPr>
        <w:t>号</w:t>
      </w:r>
    </w:p>
    <w:p w:rsidR="00AB5B6B" w:rsidRDefault="00AA7D31" w:rsidP="00EC7AD8">
      <w:pPr>
        <w:widowControl/>
        <w:spacing w:line="408" w:lineRule="auto"/>
        <w:jc w:val="center"/>
        <w:rPr>
          <w:rFonts w:ascii="宋体" w:hAnsi="宋体" w:cs="宋体" w:hint="eastAsia"/>
          <w:b/>
          <w:kern w:val="0"/>
          <w:sz w:val="52"/>
          <w:szCs w:val="52"/>
        </w:rPr>
      </w:pPr>
      <w:r>
        <w:rPr>
          <w:rFonts w:ascii="黑体" w:eastAsia="黑体" w:hAnsi="宋体" w:cs="宋体" w:hint="eastAsia"/>
          <w:b/>
          <w:bCs/>
          <w:kern w:val="0"/>
          <w:sz w:val="52"/>
          <w:szCs w:val="52"/>
        </w:rPr>
        <w:t>——</w:t>
      </w:r>
      <w:r w:rsidR="00AB5B6B">
        <w:rPr>
          <w:rFonts w:ascii="黑体" w:eastAsia="黑体" w:hAnsi="宋体" w:cs="宋体" w:hint="eastAsia"/>
          <w:b/>
          <w:bCs/>
          <w:kern w:val="0"/>
          <w:sz w:val="52"/>
          <w:szCs w:val="52"/>
        </w:rPr>
        <w:t>转融通证券出借交易业务</w:t>
      </w:r>
      <w:r w:rsidR="00AB5B6B">
        <w:rPr>
          <w:rFonts w:ascii="黑体" w:eastAsia="黑体" w:hAnsi="宋体" w:cs="宋体" w:hint="eastAsia"/>
          <w:b/>
          <w:kern w:val="0"/>
          <w:sz w:val="52"/>
          <w:szCs w:val="52"/>
        </w:rPr>
        <w:br/>
      </w:r>
      <w:r w:rsidR="001F0ADC" w:rsidRPr="001F0ADC">
        <w:rPr>
          <w:rFonts w:ascii="黑体" w:eastAsia="黑体" w:hAnsi="宋体" w:cs="宋体" w:hint="eastAsia"/>
          <w:b/>
          <w:bCs/>
          <w:kern w:val="0"/>
          <w:sz w:val="52"/>
          <w:szCs w:val="52"/>
        </w:rPr>
        <w:t>（2023年11月修订）</w:t>
      </w:r>
    </w:p>
    <w:p w:rsidR="00AB5B6B" w:rsidRDefault="00AB5B6B">
      <w:pPr>
        <w:widowControl/>
        <w:spacing w:line="408" w:lineRule="auto"/>
        <w:jc w:val="center"/>
        <w:rPr>
          <w:rFonts w:ascii="仿宋_GB2312" w:eastAsia="仿宋_GB2312" w:hAnsi="仿宋_GB2312" w:cs="仿宋_GB2312" w:hint="eastAsia"/>
          <w:b/>
          <w:kern w:val="0"/>
          <w:sz w:val="44"/>
          <w:szCs w:val="44"/>
        </w:rPr>
      </w:pPr>
      <w:r>
        <w:rPr>
          <w:rFonts w:ascii="宋体" w:hAnsi="宋体" w:cs="宋体"/>
          <w:b/>
          <w:kern w:val="0"/>
          <w:sz w:val="32"/>
          <w:szCs w:val="32"/>
        </w:rPr>
        <w:br w:type="page"/>
      </w:r>
      <w:r>
        <w:rPr>
          <w:rFonts w:ascii="仿宋_GB2312" w:eastAsia="仿宋_GB2312" w:hAnsi="仿宋_GB2312" w:cs="仿宋_GB2312" w:hint="eastAsia"/>
          <w:b/>
          <w:kern w:val="0"/>
          <w:sz w:val="44"/>
          <w:szCs w:val="44"/>
        </w:rPr>
        <w:lastRenderedPageBreak/>
        <w:t>目     录</w:t>
      </w:r>
    </w:p>
    <w:p w:rsidR="00AB5B6B" w:rsidRDefault="00AB5B6B">
      <w:pPr>
        <w:widowControl/>
        <w:spacing w:line="408" w:lineRule="auto"/>
        <w:jc w:val="center"/>
        <w:rPr>
          <w:rFonts w:ascii="宋体" w:hAnsi="宋体" w:cs="宋体" w:hint="eastAsia"/>
          <w:b/>
          <w:kern w:val="0"/>
          <w:sz w:val="36"/>
          <w:szCs w:val="36"/>
        </w:rPr>
      </w:pPr>
    </w:p>
    <w:p w:rsidR="00AB5B6B" w:rsidRDefault="00AB5B6B">
      <w:pPr>
        <w:widowControl/>
        <w:spacing w:line="408" w:lineRule="auto"/>
        <w:jc w:val="center"/>
        <w:rPr>
          <w:rFonts w:ascii="宋体" w:hAnsi="宋体" w:cs="宋体" w:hint="eastAsia"/>
          <w:b/>
          <w:kern w:val="0"/>
          <w:sz w:val="36"/>
          <w:szCs w:val="36"/>
        </w:rPr>
      </w:pPr>
    </w:p>
    <w:p w:rsidR="00AB5B6B" w:rsidRDefault="00AB5B6B">
      <w:pPr>
        <w:pStyle w:val="1"/>
        <w:tabs>
          <w:tab w:val="right" w:leader="dot" w:pos="8296"/>
        </w:tabs>
        <w:spacing w:line="360" w:lineRule="auto"/>
        <w:rPr>
          <w:rFonts w:ascii="仿宋_GB2312" w:eastAsia="仿宋_GB2312" w:hAnsi="仿宋_GB2312" w:cs="仿宋_GB2312" w:hint="eastAsia"/>
          <w:sz w:val="24"/>
          <w:szCs w:val="28"/>
          <w:lang w:val="en-US" w:eastAsia="zh-CN"/>
        </w:rPr>
      </w:pPr>
      <w:r>
        <w:rPr>
          <w:rFonts w:ascii="宋体" w:hAnsi="宋体" w:cs="宋体"/>
          <w:b/>
          <w:i/>
          <w:iCs/>
          <w:kern w:val="0"/>
          <w:sz w:val="18"/>
        </w:rPr>
        <w:fldChar w:fldCharType="begin"/>
      </w:r>
      <w:r>
        <w:rPr>
          <w:rFonts w:ascii="宋体" w:hAnsi="宋体" w:cs="宋体"/>
          <w:b/>
          <w:i/>
          <w:iCs/>
          <w:kern w:val="0"/>
          <w:sz w:val="18"/>
        </w:rPr>
        <w:instrText xml:space="preserve"> </w:instrText>
      </w:r>
      <w:r>
        <w:rPr>
          <w:rFonts w:ascii="宋体" w:hAnsi="宋体" w:cs="宋体" w:hint="eastAsia"/>
          <w:b/>
          <w:i/>
          <w:iCs/>
          <w:kern w:val="0"/>
          <w:sz w:val="18"/>
        </w:rPr>
        <w:instrText>TOC \o "1-3" \h \z \u</w:instrText>
      </w:r>
      <w:r>
        <w:rPr>
          <w:rFonts w:ascii="宋体" w:hAnsi="宋体" w:cs="宋体"/>
          <w:b/>
          <w:i/>
          <w:iCs/>
          <w:kern w:val="0"/>
          <w:sz w:val="18"/>
        </w:rPr>
        <w:instrText xml:space="preserve"> </w:instrText>
      </w:r>
      <w:r>
        <w:rPr>
          <w:rFonts w:ascii="宋体" w:hAnsi="宋体" w:cs="宋体"/>
          <w:b/>
          <w:i/>
          <w:iCs/>
          <w:kern w:val="0"/>
          <w:sz w:val="18"/>
        </w:rPr>
        <w:fldChar w:fldCharType="separate"/>
      </w:r>
      <w:hyperlink w:anchor="_Toc349227391" w:history="1">
        <w:r>
          <w:rPr>
            <w:rStyle w:val="a9"/>
            <w:rFonts w:ascii="仿宋_GB2312" w:eastAsia="仿宋_GB2312" w:hAnsi="仿宋_GB2312" w:cs="仿宋_GB2312" w:hint="default"/>
            <w:b/>
            <w:bCs/>
            <w:sz w:val="24"/>
            <w:szCs w:val="32"/>
            <w:lang w:val="en-US" w:eastAsia="zh-CN"/>
          </w:rPr>
          <w:t>第一章  转融通证券出借交易业务概述</w:t>
        </w:r>
        <w:r>
          <w:rPr>
            <w:rFonts w:ascii="仿宋_GB2312" w:eastAsia="仿宋_GB2312" w:hAnsi="仿宋_GB2312" w:cs="仿宋_GB2312" w:hint="eastAsia"/>
            <w:sz w:val="24"/>
            <w:szCs w:val="32"/>
            <w:lang w:val="en-US" w:eastAsia="zh-CN"/>
          </w:rPr>
          <w:tab/>
        </w:r>
        <w:r>
          <w:rPr>
            <w:rFonts w:ascii="仿宋_GB2312" w:eastAsia="仿宋_GB2312" w:hAnsi="仿宋_GB2312" w:cs="仿宋_GB2312" w:hint="eastAsia"/>
            <w:sz w:val="24"/>
            <w:szCs w:val="32"/>
            <w:lang w:val="en-US" w:eastAsia="zh-CN"/>
          </w:rPr>
          <w:fldChar w:fldCharType="begin"/>
        </w:r>
        <w:r>
          <w:rPr>
            <w:rFonts w:ascii="仿宋_GB2312" w:eastAsia="仿宋_GB2312" w:hAnsi="仿宋_GB2312" w:cs="仿宋_GB2312" w:hint="eastAsia"/>
            <w:sz w:val="24"/>
            <w:szCs w:val="32"/>
            <w:lang w:val="en-US" w:eastAsia="zh-CN"/>
          </w:rPr>
          <w:instrText xml:space="preserve"> PAGEREF _Toc349227391 \h </w:instrText>
        </w:r>
        <w:r>
          <w:rPr>
            <w:rFonts w:ascii="仿宋_GB2312" w:eastAsia="仿宋_GB2312" w:hAnsi="仿宋_GB2312" w:cs="仿宋_GB2312" w:hint="eastAsia"/>
            <w:sz w:val="24"/>
            <w:szCs w:val="32"/>
            <w:lang w:val="en-US" w:eastAsia="zh-CN"/>
          </w:rPr>
          <w:fldChar w:fldCharType="separate"/>
        </w:r>
        <w:r>
          <w:rPr>
            <w:rFonts w:ascii="仿宋_GB2312" w:eastAsia="仿宋_GB2312" w:hAnsi="仿宋_GB2312" w:cs="仿宋_GB2312" w:hint="eastAsia"/>
            <w:sz w:val="24"/>
            <w:szCs w:val="32"/>
            <w:lang w:val="en-US" w:eastAsia="zh-CN"/>
          </w:rPr>
          <w:t>3</w:t>
        </w:r>
        <w:r>
          <w:rPr>
            <w:rFonts w:ascii="仿宋_GB2312" w:eastAsia="仿宋_GB2312" w:hAnsi="仿宋_GB2312" w:cs="仿宋_GB2312" w:hint="eastAsia"/>
            <w:sz w:val="24"/>
            <w:szCs w:val="32"/>
            <w:lang w:val="en-US" w:eastAsia="zh-CN"/>
          </w:rPr>
          <w:fldChar w:fldCharType="end"/>
        </w:r>
      </w:hyperlink>
    </w:p>
    <w:p w:rsidR="00AB5B6B" w:rsidRDefault="00AB5B6B">
      <w:pPr>
        <w:pStyle w:val="1"/>
        <w:tabs>
          <w:tab w:val="right" w:leader="dot" w:pos="8296"/>
        </w:tabs>
        <w:spacing w:line="360" w:lineRule="auto"/>
        <w:rPr>
          <w:rFonts w:ascii="仿宋_GB2312" w:eastAsia="仿宋_GB2312" w:hAnsi="仿宋_GB2312" w:cs="仿宋_GB2312" w:hint="eastAsia"/>
          <w:sz w:val="24"/>
          <w:szCs w:val="28"/>
          <w:lang w:val="en-US" w:eastAsia="zh-CN"/>
        </w:rPr>
      </w:pPr>
      <w:hyperlink w:anchor="_Toc349227392" w:history="1">
        <w:r>
          <w:rPr>
            <w:rStyle w:val="a9"/>
            <w:rFonts w:ascii="仿宋_GB2312" w:eastAsia="仿宋_GB2312" w:hAnsi="仿宋_GB2312" w:cs="仿宋_GB2312" w:hint="default"/>
            <w:b/>
            <w:bCs/>
            <w:sz w:val="24"/>
            <w:szCs w:val="32"/>
            <w:lang w:val="en-US" w:eastAsia="zh-CN"/>
          </w:rPr>
          <w:t>第二章  交易权限申请与客户证券账户报备</w:t>
        </w:r>
        <w:r>
          <w:rPr>
            <w:rFonts w:ascii="仿宋_GB2312" w:eastAsia="仿宋_GB2312" w:hAnsi="仿宋_GB2312" w:cs="仿宋_GB2312" w:hint="eastAsia"/>
            <w:sz w:val="24"/>
            <w:szCs w:val="32"/>
            <w:lang w:val="en-US" w:eastAsia="zh-CN"/>
          </w:rPr>
          <w:tab/>
        </w:r>
        <w:r>
          <w:rPr>
            <w:rFonts w:ascii="仿宋_GB2312" w:eastAsia="仿宋_GB2312" w:hAnsi="仿宋_GB2312" w:cs="仿宋_GB2312" w:hint="eastAsia"/>
            <w:sz w:val="24"/>
            <w:szCs w:val="32"/>
            <w:lang w:val="en-US" w:eastAsia="zh-CN"/>
          </w:rPr>
          <w:fldChar w:fldCharType="begin"/>
        </w:r>
        <w:r>
          <w:rPr>
            <w:rFonts w:ascii="仿宋_GB2312" w:eastAsia="仿宋_GB2312" w:hAnsi="仿宋_GB2312" w:cs="仿宋_GB2312" w:hint="eastAsia"/>
            <w:sz w:val="24"/>
            <w:szCs w:val="32"/>
            <w:lang w:val="en-US" w:eastAsia="zh-CN"/>
          </w:rPr>
          <w:instrText xml:space="preserve"> PAGEREF _Toc349227392 \h </w:instrText>
        </w:r>
        <w:r>
          <w:rPr>
            <w:rFonts w:ascii="仿宋_GB2312" w:eastAsia="仿宋_GB2312" w:hAnsi="仿宋_GB2312" w:cs="仿宋_GB2312" w:hint="eastAsia"/>
            <w:sz w:val="24"/>
            <w:szCs w:val="32"/>
            <w:lang w:val="en-US" w:eastAsia="zh-CN"/>
          </w:rPr>
          <w:fldChar w:fldCharType="separate"/>
        </w:r>
        <w:r>
          <w:rPr>
            <w:rFonts w:ascii="仿宋_GB2312" w:eastAsia="仿宋_GB2312" w:hAnsi="仿宋_GB2312" w:cs="仿宋_GB2312" w:hint="eastAsia"/>
            <w:sz w:val="24"/>
            <w:szCs w:val="32"/>
            <w:lang w:val="en-US" w:eastAsia="zh-CN"/>
          </w:rPr>
          <w:t>3</w:t>
        </w:r>
        <w:r>
          <w:rPr>
            <w:rFonts w:ascii="仿宋_GB2312" w:eastAsia="仿宋_GB2312" w:hAnsi="仿宋_GB2312" w:cs="仿宋_GB2312" w:hint="eastAsia"/>
            <w:sz w:val="24"/>
            <w:szCs w:val="32"/>
            <w:lang w:val="en-US" w:eastAsia="zh-CN"/>
          </w:rPr>
          <w:fldChar w:fldCharType="end"/>
        </w:r>
      </w:hyperlink>
    </w:p>
    <w:p w:rsidR="00AB5B6B" w:rsidRDefault="00AB5B6B">
      <w:pPr>
        <w:pStyle w:val="30"/>
        <w:tabs>
          <w:tab w:val="right" w:leader="dot" w:pos="8296"/>
        </w:tabs>
        <w:spacing w:line="360" w:lineRule="auto"/>
        <w:rPr>
          <w:rFonts w:ascii="仿宋_GB2312" w:eastAsia="仿宋_GB2312" w:hAnsi="仿宋_GB2312" w:cs="仿宋_GB2312" w:hint="eastAsia"/>
          <w:sz w:val="24"/>
          <w:szCs w:val="28"/>
          <w:lang w:val="en-US" w:eastAsia="zh-CN"/>
        </w:rPr>
      </w:pPr>
      <w:hyperlink w:anchor="_Toc349227393" w:history="1">
        <w:r>
          <w:rPr>
            <w:rStyle w:val="a9"/>
            <w:rFonts w:ascii="仿宋_GB2312" w:eastAsia="仿宋_GB2312" w:hAnsi="仿宋_GB2312" w:cs="仿宋_GB2312" w:hint="default"/>
            <w:sz w:val="24"/>
            <w:szCs w:val="32"/>
            <w:lang w:val="en-US" w:eastAsia="zh-CN"/>
          </w:rPr>
          <w:t>一、交易权限申请</w:t>
        </w:r>
        <w:r>
          <w:rPr>
            <w:rFonts w:ascii="仿宋_GB2312" w:eastAsia="仿宋_GB2312" w:hAnsi="仿宋_GB2312" w:cs="仿宋_GB2312" w:hint="eastAsia"/>
            <w:sz w:val="24"/>
            <w:szCs w:val="32"/>
            <w:lang w:val="en-US" w:eastAsia="zh-CN"/>
          </w:rPr>
          <w:tab/>
        </w:r>
        <w:r>
          <w:rPr>
            <w:rFonts w:ascii="仿宋_GB2312" w:eastAsia="仿宋_GB2312" w:hAnsi="仿宋_GB2312" w:cs="仿宋_GB2312" w:hint="eastAsia"/>
            <w:sz w:val="24"/>
            <w:szCs w:val="32"/>
            <w:lang w:val="en-US" w:eastAsia="zh-CN"/>
          </w:rPr>
          <w:fldChar w:fldCharType="begin"/>
        </w:r>
        <w:r>
          <w:rPr>
            <w:rFonts w:ascii="仿宋_GB2312" w:eastAsia="仿宋_GB2312" w:hAnsi="仿宋_GB2312" w:cs="仿宋_GB2312" w:hint="eastAsia"/>
            <w:sz w:val="24"/>
            <w:szCs w:val="32"/>
            <w:lang w:val="en-US" w:eastAsia="zh-CN"/>
          </w:rPr>
          <w:instrText xml:space="preserve"> PAGEREF _Toc349227393 \h </w:instrText>
        </w:r>
        <w:r>
          <w:rPr>
            <w:rFonts w:ascii="仿宋_GB2312" w:eastAsia="仿宋_GB2312" w:hAnsi="仿宋_GB2312" w:cs="仿宋_GB2312" w:hint="eastAsia"/>
            <w:sz w:val="24"/>
            <w:szCs w:val="32"/>
            <w:lang w:val="en-US" w:eastAsia="zh-CN"/>
          </w:rPr>
          <w:fldChar w:fldCharType="separate"/>
        </w:r>
        <w:r>
          <w:rPr>
            <w:rFonts w:ascii="仿宋_GB2312" w:eastAsia="仿宋_GB2312" w:hAnsi="仿宋_GB2312" w:cs="仿宋_GB2312" w:hint="eastAsia"/>
            <w:sz w:val="24"/>
            <w:szCs w:val="32"/>
            <w:lang w:val="en-US" w:eastAsia="zh-CN"/>
          </w:rPr>
          <w:t>4</w:t>
        </w:r>
        <w:r>
          <w:rPr>
            <w:rFonts w:ascii="仿宋_GB2312" w:eastAsia="仿宋_GB2312" w:hAnsi="仿宋_GB2312" w:cs="仿宋_GB2312" w:hint="eastAsia"/>
            <w:sz w:val="24"/>
            <w:szCs w:val="32"/>
            <w:lang w:val="en-US" w:eastAsia="zh-CN"/>
          </w:rPr>
          <w:fldChar w:fldCharType="end"/>
        </w:r>
      </w:hyperlink>
    </w:p>
    <w:p w:rsidR="00AB5B6B" w:rsidRDefault="00AB5B6B">
      <w:pPr>
        <w:pStyle w:val="30"/>
        <w:tabs>
          <w:tab w:val="right" w:leader="dot" w:pos="8296"/>
        </w:tabs>
        <w:spacing w:line="360" w:lineRule="auto"/>
        <w:rPr>
          <w:rFonts w:ascii="仿宋_GB2312" w:eastAsia="仿宋_GB2312" w:hAnsi="仿宋_GB2312" w:cs="仿宋_GB2312" w:hint="eastAsia"/>
          <w:sz w:val="24"/>
          <w:szCs w:val="28"/>
          <w:lang w:val="en-US" w:eastAsia="zh-CN"/>
        </w:rPr>
      </w:pPr>
      <w:hyperlink w:anchor="_Toc349227394" w:history="1">
        <w:r>
          <w:rPr>
            <w:rStyle w:val="a9"/>
            <w:rFonts w:ascii="仿宋_GB2312" w:eastAsia="仿宋_GB2312" w:hAnsi="仿宋_GB2312" w:cs="仿宋_GB2312" w:hint="default"/>
            <w:sz w:val="24"/>
            <w:szCs w:val="32"/>
            <w:lang w:val="en-US" w:eastAsia="zh-CN"/>
          </w:rPr>
          <w:t>二、证券出借业务会员客户证券账户报备</w:t>
        </w:r>
        <w:r>
          <w:rPr>
            <w:rFonts w:ascii="仿宋_GB2312" w:eastAsia="仿宋_GB2312" w:hAnsi="仿宋_GB2312" w:cs="仿宋_GB2312" w:hint="eastAsia"/>
            <w:sz w:val="24"/>
            <w:szCs w:val="32"/>
            <w:lang w:val="en-US" w:eastAsia="zh-CN"/>
          </w:rPr>
          <w:tab/>
        </w:r>
        <w:r>
          <w:rPr>
            <w:rFonts w:ascii="仿宋_GB2312" w:eastAsia="仿宋_GB2312" w:hAnsi="仿宋_GB2312" w:cs="仿宋_GB2312" w:hint="eastAsia"/>
            <w:sz w:val="24"/>
            <w:szCs w:val="32"/>
            <w:lang w:val="en-US" w:eastAsia="zh-CN"/>
          </w:rPr>
          <w:fldChar w:fldCharType="begin"/>
        </w:r>
        <w:r>
          <w:rPr>
            <w:rFonts w:ascii="仿宋_GB2312" w:eastAsia="仿宋_GB2312" w:hAnsi="仿宋_GB2312" w:cs="仿宋_GB2312" w:hint="eastAsia"/>
            <w:sz w:val="24"/>
            <w:szCs w:val="32"/>
            <w:lang w:val="en-US" w:eastAsia="zh-CN"/>
          </w:rPr>
          <w:instrText xml:space="preserve"> PAGEREF _Toc349227394 \h </w:instrText>
        </w:r>
        <w:r>
          <w:rPr>
            <w:rFonts w:ascii="仿宋_GB2312" w:eastAsia="仿宋_GB2312" w:hAnsi="仿宋_GB2312" w:cs="仿宋_GB2312" w:hint="eastAsia"/>
            <w:sz w:val="24"/>
            <w:szCs w:val="32"/>
            <w:lang w:val="en-US" w:eastAsia="zh-CN"/>
          </w:rPr>
          <w:fldChar w:fldCharType="separate"/>
        </w:r>
        <w:r>
          <w:rPr>
            <w:rFonts w:ascii="仿宋_GB2312" w:eastAsia="仿宋_GB2312" w:hAnsi="仿宋_GB2312" w:cs="仿宋_GB2312" w:hint="eastAsia"/>
            <w:sz w:val="24"/>
            <w:szCs w:val="32"/>
            <w:lang w:val="en-US" w:eastAsia="zh-CN"/>
          </w:rPr>
          <w:t>5</w:t>
        </w:r>
        <w:r>
          <w:rPr>
            <w:rFonts w:ascii="仿宋_GB2312" w:eastAsia="仿宋_GB2312" w:hAnsi="仿宋_GB2312" w:cs="仿宋_GB2312" w:hint="eastAsia"/>
            <w:sz w:val="24"/>
            <w:szCs w:val="32"/>
            <w:lang w:val="en-US" w:eastAsia="zh-CN"/>
          </w:rPr>
          <w:fldChar w:fldCharType="end"/>
        </w:r>
      </w:hyperlink>
    </w:p>
    <w:p w:rsidR="00AB5B6B" w:rsidRDefault="00AB5B6B">
      <w:pPr>
        <w:pStyle w:val="1"/>
        <w:tabs>
          <w:tab w:val="right" w:leader="dot" w:pos="8296"/>
        </w:tabs>
        <w:spacing w:line="360" w:lineRule="auto"/>
        <w:rPr>
          <w:rFonts w:ascii="仿宋_GB2312" w:eastAsia="仿宋_GB2312" w:hAnsi="仿宋_GB2312" w:cs="仿宋_GB2312" w:hint="eastAsia"/>
          <w:sz w:val="24"/>
          <w:szCs w:val="28"/>
          <w:lang w:val="en-US" w:eastAsia="zh-CN"/>
        </w:rPr>
      </w:pPr>
      <w:hyperlink w:anchor="_Toc349227395" w:history="1">
        <w:r>
          <w:rPr>
            <w:rStyle w:val="a9"/>
            <w:rFonts w:ascii="仿宋_GB2312" w:eastAsia="仿宋_GB2312" w:hAnsi="仿宋_GB2312" w:cs="仿宋_GB2312" w:hint="default"/>
            <w:b/>
            <w:bCs/>
            <w:sz w:val="24"/>
            <w:szCs w:val="32"/>
            <w:lang w:val="en-US" w:eastAsia="zh-CN"/>
          </w:rPr>
          <w:t>第三章  交易流程</w:t>
        </w:r>
        <w:r>
          <w:rPr>
            <w:rFonts w:ascii="仿宋_GB2312" w:eastAsia="仿宋_GB2312" w:hAnsi="仿宋_GB2312" w:cs="仿宋_GB2312" w:hint="eastAsia"/>
            <w:sz w:val="24"/>
            <w:szCs w:val="32"/>
            <w:lang w:val="en-US" w:eastAsia="zh-CN"/>
          </w:rPr>
          <w:tab/>
        </w:r>
        <w:r>
          <w:rPr>
            <w:rFonts w:ascii="仿宋_GB2312" w:eastAsia="仿宋_GB2312" w:hAnsi="仿宋_GB2312" w:cs="仿宋_GB2312" w:hint="eastAsia"/>
            <w:sz w:val="24"/>
            <w:szCs w:val="32"/>
            <w:lang w:val="en-US" w:eastAsia="zh-CN"/>
          </w:rPr>
          <w:fldChar w:fldCharType="begin"/>
        </w:r>
        <w:r>
          <w:rPr>
            <w:rFonts w:ascii="仿宋_GB2312" w:eastAsia="仿宋_GB2312" w:hAnsi="仿宋_GB2312" w:cs="仿宋_GB2312" w:hint="eastAsia"/>
            <w:sz w:val="24"/>
            <w:szCs w:val="32"/>
            <w:lang w:val="en-US" w:eastAsia="zh-CN"/>
          </w:rPr>
          <w:instrText xml:space="preserve"> PAGEREF _Toc349227395 \h </w:instrText>
        </w:r>
        <w:r>
          <w:rPr>
            <w:rFonts w:ascii="仿宋_GB2312" w:eastAsia="仿宋_GB2312" w:hAnsi="仿宋_GB2312" w:cs="仿宋_GB2312" w:hint="eastAsia"/>
            <w:sz w:val="24"/>
            <w:szCs w:val="32"/>
            <w:lang w:val="en-US" w:eastAsia="zh-CN"/>
          </w:rPr>
          <w:fldChar w:fldCharType="separate"/>
        </w:r>
        <w:r>
          <w:rPr>
            <w:rFonts w:ascii="仿宋_GB2312" w:eastAsia="仿宋_GB2312" w:hAnsi="仿宋_GB2312" w:cs="仿宋_GB2312" w:hint="eastAsia"/>
            <w:sz w:val="24"/>
            <w:szCs w:val="32"/>
            <w:lang w:val="en-US" w:eastAsia="zh-CN"/>
          </w:rPr>
          <w:t>5</w:t>
        </w:r>
        <w:r>
          <w:rPr>
            <w:rFonts w:ascii="仿宋_GB2312" w:eastAsia="仿宋_GB2312" w:hAnsi="仿宋_GB2312" w:cs="仿宋_GB2312" w:hint="eastAsia"/>
            <w:sz w:val="24"/>
            <w:szCs w:val="32"/>
            <w:lang w:val="en-US" w:eastAsia="zh-CN"/>
          </w:rPr>
          <w:fldChar w:fldCharType="end"/>
        </w:r>
      </w:hyperlink>
    </w:p>
    <w:p w:rsidR="00AB5B6B" w:rsidRDefault="00AB5B6B">
      <w:pPr>
        <w:pStyle w:val="30"/>
        <w:tabs>
          <w:tab w:val="right" w:leader="dot" w:pos="8296"/>
        </w:tabs>
        <w:spacing w:line="360" w:lineRule="auto"/>
        <w:rPr>
          <w:rFonts w:ascii="仿宋_GB2312" w:eastAsia="仿宋_GB2312" w:hAnsi="仿宋_GB2312" w:cs="仿宋_GB2312" w:hint="eastAsia"/>
          <w:sz w:val="24"/>
          <w:szCs w:val="28"/>
          <w:lang w:val="en-US" w:eastAsia="zh-CN"/>
        </w:rPr>
      </w:pPr>
      <w:hyperlink w:anchor="_Toc349227396" w:history="1">
        <w:r>
          <w:rPr>
            <w:rStyle w:val="a9"/>
            <w:rFonts w:ascii="仿宋_GB2312" w:eastAsia="仿宋_GB2312" w:hAnsi="仿宋_GB2312" w:cs="仿宋_GB2312" w:hint="default"/>
            <w:sz w:val="24"/>
            <w:szCs w:val="32"/>
            <w:lang w:val="en-US" w:eastAsia="zh-CN"/>
          </w:rPr>
          <w:t>一、委托与申报</w:t>
        </w:r>
        <w:r>
          <w:rPr>
            <w:rFonts w:ascii="仿宋_GB2312" w:eastAsia="仿宋_GB2312" w:hAnsi="仿宋_GB2312" w:cs="仿宋_GB2312" w:hint="eastAsia"/>
            <w:sz w:val="24"/>
            <w:szCs w:val="32"/>
            <w:lang w:val="en-US" w:eastAsia="zh-CN"/>
          </w:rPr>
          <w:tab/>
        </w:r>
        <w:r>
          <w:rPr>
            <w:rFonts w:ascii="仿宋_GB2312" w:eastAsia="仿宋_GB2312" w:hAnsi="仿宋_GB2312" w:cs="仿宋_GB2312" w:hint="eastAsia"/>
            <w:sz w:val="24"/>
            <w:szCs w:val="32"/>
            <w:lang w:val="en-US" w:eastAsia="zh-CN"/>
          </w:rPr>
          <w:fldChar w:fldCharType="begin"/>
        </w:r>
        <w:r>
          <w:rPr>
            <w:rFonts w:ascii="仿宋_GB2312" w:eastAsia="仿宋_GB2312" w:hAnsi="仿宋_GB2312" w:cs="仿宋_GB2312" w:hint="eastAsia"/>
            <w:sz w:val="24"/>
            <w:szCs w:val="32"/>
            <w:lang w:val="en-US" w:eastAsia="zh-CN"/>
          </w:rPr>
          <w:instrText xml:space="preserve"> PAGEREF _Toc349227396 \h </w:instrText>
        </w:r>
        <w:r>
          <w:rPr>
            <w:rFonts w:ascii="仿宋_GB2312" w:eastAsia="仿宋_GB2312" w:hAnsi="仿宋_GB2312" w:cs="仿宋_GB2312" w:hint="eastAsia"/>
            <w:sz w:val="24"/>
            <w:szCs w:val="32"/>
            <w:lang w:val="en-US" w:eastAsia="zh-CN"/>
          </w:rPr>
          <w:fldChar w:fldCharType="separate"/>
        </w:r>
        <w:r>
          <w:rPr>
            <w:rFonts w:ascii="仿宋_GB2312" w:eastAsia="仿宋_GB2312" w:hAnsi="仿宋_GB2312" w:cs="仿宋_GB2312" w:hint="eastAsia"/>
            <w:sz w:val="24"/>
            <w:szCs w:val="32"/>
            <w:lang w:val="en-US" w:eastAsia="zh-CN"/>
          </w:rPr>
          <w:t>5</w:t>
        </w:r>
        <w:r>
          <w:rPr>
            <w:rFonts w:ascii="仿宋_GB2312" w:eastAsia="仿宋_GB2312" w:hAnsi="仿宋_GB2312" w:cs="仿宋_GB2312" w:hint="eastAsia"/>
            <w:sz w:val="24"/>
            <w:szCs w:val="32"/>
            <w:lang w:val="en-US" w:eastAsia="zh-CN"/>
          </w:rPr>
          <w:fldChar w:fldCharType="end"/>
        </w:r>
      </w:hyperlink>
    </w:p>
    <w:p w:rsidR="00AB5B6B" w:rsidRDefault="00AB5B6B">
      <w:pPr>
        <w:pStyle w:val="30"/>
        <w:tabs>
          <w:tab w:val="right" w:leader="dot" w:pos="8296"/>
        </w:tabs>
        <w:spacing w:line="360" w:lineRule="auto"/>
        <w:rPr>
          <w:rFonts w:ascii="仿宋_GB2312" w:eastAsia="仿宋_GB2312" w:hAnsi="仿宋_GB2312" w:cs="仿宋_GB2312" w:hint="eastAsia"/>
          <w:sz w:val="24"/>
          <w:szCs w:val="28"/>
          <w:lang w:val="en-US" w:eastAsia="zh-CN"/>
        </w:rPr>
      </w:pPr>
      <w:hyperlink w:anchor="_Toc349227397" w:history="1">
        <w:r>
          <w:rPr>
            <w:rStyle w:val="a9"/>
            <w:rFonts w:ascii="仿宋_GB2312" w:eastAsia="仿宋_GB2312" w:hAnsi="仿宋_GB2312" w:cs="仿宋_GB2312" w:hint="default"/>
            <w:sz w:val="24"/>
            <w:szCs w:val="32"/>
            <w:lang w:val="en-US" w:eastAsia="zh-CN"/>
          </w:rPr>
          <w:t>二、交易前端控制</w:t>
        </w:r>
        <w:r>
          <w:rPr>
            <w:rFonts w:ascii="仿宋_GB2312" w:eastAsia="仿宋_GB2312" w:hAnsi="仿宋_GB2312" w:cs="仿宋_GB2312" w:hint="eastAsia"/>
            <w:sz w:val="24"/>
            <w:szCs w:val="32"/>
            <w:lang w:val="en-US" w:eastAsia="zh-CN"/>
          </w:rPr>
          <w:tab/>
        </w:r>
        <w:r>
          <w:rPr>
            <w:rFonts w:ascii="仿宋_GB2312" w:eastAsia="仿宋_GB2312" w:hAnsi="仿宋_GB2312" w:cs="仿宋_GB2312" w:hint="eastAsia"/>
            <w:sz w:val="24"/>
            <w:szCs w:val="32"/>
            <w:lang w:val="en-US" w:eastAsia="zh-CN"/>
          </w:rPr>
          <w:fldChar w:fldCharType="begin"/>
        </w:r>
        <w:r>
          <w:rPr>
            <w:rFonts w:ascii="仿宋_GB2312" w:eastAsia="仿宋_GB2312" w:hAnsi="仿宋_GB2312" w:cs="仿宋_GB2312" w:hint="eastAsia"/>
            <w:sz w:val="24"/>
            <w:szCs w:val="32"/>
            <w:lang w:val="en-US" w:eastAsia="zh-CN"/>
          </w:rPr>
          <w:instrText xml:space="preserve"> PAGEREF _Toc349227397 \h </w:instrText>
        </w:r>
        <w:r>
          <w:rPr>
            <w:rFonts w:ascii="仿宋_GB2312" w:eastAsia="仿宋_GB2312" w:hAnsi="仿宋_GB2312" w:cs="仿宋_GB2312" w:hint="eastAsia"/>
            <w:sz w:val="24"/>
            <w:szCs w:val="32"/>
            <w:lang w:val="en-US" w:eastAsia="zh-CN"/>
          </w:rPr>
          <w:fldChar w:fldCharType="separate"/>
        </w:r>
        <w:r>
          <w:rPr>
            <w:rFonts w:ascii="仿宋_GB2312" w:eastAsia="仿宋_GB2312" w:hAnsi="仿宋_GB2312" w:cs="仿宋_GB2312" w:hint="eastAsia"/>
            <w:sz w:val="24"/>
            <w:szCs w:val="32"/>
            <w:lang w:val="en-US" w:eastAsia="zh-CN"/>
          </w:rPr>
          <w:t>6</w:t>
        </w:r>
        <w:r>
          <w:rPr>
            <w:rFonts w:ascii="仿宋_GB2312" w:eastAsia="仿宋_GB2312" w:hAnsi="仿宋_GB2312" w:cs="仿宋_GB2312" w:hint="eastAsia"/>
            <w:sz w:val="24"/>
            <w:szCs w:val="32"/>
            <w:lang w:val="en-US" w:eastAsia="zh-CN"/>
          </w:rPr>
          <w:fldChar w:fldCharType="end"/>
        </w:r>
      </w:hyperlink>
    </w:p>
    <w:p w:rsidR="00AB5B6B" w:rsidRDefault="00AB5B6B">
      <w:pPr>
        <w:pStyle w:val="30"/>
        <w:tabs>
          <w:tab w:val="right" w:leader="dot" w:pos="8296"/>
        </w:tabs>
        <w:spacing w:line="360" w:lineRule="auto"/>
        <w:rPr>
          <w:rFonts w:ascii="仿宋_GB2312" w:eastAsia="仿宋_GB2312" w:hAnsi="仿宋_GB2312" w:cs="仿宋_GB2312" w:hint="eastAsia"/>
          <w:sz w:val="24"/>
          <w:szCs w:val="28"/>
          <w:lang w:val="en-US" w:eastAsia="zh-CN"/>
        </w:rPr>
      </w:pPr>
      <w:hyperlink w:anchor="_Toc349227398" w:history="1">
        <w:r>
          <w:rPr>
            <w:rStyle w:val="a9"/>
            <w:rFonts w:ascii="仿宋_GB2312" w:eastAsia="仿宋_GB2312" w:hAnsi="仿宋_GB2312" w:cs="仿宋_GB2312" w:hint="default"/>
            <w:sz w:val="24"/>
            <w:szCs w:val="32"/>
            <w:lang w:val="en-US" w:eastAsia="zh-CN"/>
          </w:rPr>
          <w:t>三、成交</w:t>
        </w:r>
        <w:r>
          <w:rPr>
            <w:rFonts w:ascii="仿宋_GB2312" w:eastAsia="仿宋_GB2312" w:hAnsi="仿宋_GB2312" w:cs="仿宋_GB2312" w:hint="eastAsia"/>
            <w:sz w:val="24"/>
            <w:szCs w:val="32"/>
            <w:lang w:val="en-US" w:eastAsia="zh-CN"/>
          </w:rPr>
          <w:tab/>
        </w:r>
        <w:r>
          <w:rPr>
            <w:rFonts w:ascii="仿宋_GB2312" w:eastAsia="仿宋_GB2312" w:hAnsi="仿宋_GB2312" w:cs="仿宋_GB2312" w:hint="eastAsia"/>
            <w:sz w:val="24"/>
            <w:szCs w:val="32"/>
            <w:lang w:val="en-US" w:eastAsia="zh-CN"/>
          </w:rPr>
          <w:fldChar w:fldCharType="begin"/>
        </w:r>
        <w:r>
          <w:rPr>
            <w:rFonts w:ascii="仿宋_GB2312" w:eastAsia="仿宋_GB2312" w:hAnsi="仿宋_GB2312" w:cs="仿宋_GB2312" w:hint="eastAsia"/>
            <w:sz w:val="24"/>
            <w:szCs w:val="32"/>
            <w:lang w:val="en-US" w:eastAsia="zh-CN"/>
          </w:rPr>
          <w:instrText xml:space="preserve"> PAGEREF _Toc349227398 \h </w:instrText>
        </w:r>
        <w:r>
          <w:rPr>
            <w:rFonts w:ascii="仿宋_GB2312" w:eastAsia="仿宋_GB2312" w:hAnsi="仿宋_GB2312" w:cs="仿宋_GB2312" w:hint="eastAsia"/>
            <w:sz w:val="24"/>
            <w:szCs w:val="32"/>
            <w:lang w:val="en-US" w:eastAsia="zh-CN"/>
          </w:rPr>
          <w:fldChar w:fldCharType="separate"/>
        </w:r>
        <w:r>
          <w:rPr>
            <w:rFonts w:ascii="仿宋_GB2312" w:eastAsia="仿宋_GB2312" w:hAnsi="仿宋_GB2312" w:cs="仿宋_GB2312" w:hint="eastAsia"/>
            <w:sz w:val="24"/>
            <w:szCs w:val="32"/>
            <w:lang w:val="en-US" w:eastAsia="zh-CN"/>
          </w:rPr>
          <w:t>7</w:t>
        </w:r>
        <w:r>
          <w:rPr>
            <w:rFonts w:ascii="仿宋_GB2312" w:eastAsia="仿宋_GB2312" w:hAnsi="仿宋_GB2312" w:cs="仿宋_GB2312" w:hint="eastAsia"/>
            <w:sz w:val="24"/>
            <w:szCs w:val="32"/>
            <w:lang w:val="en-US" w:eastAsia="zh-CN"/>
          </w:rPr>
          <w:fldChar w:fldCharType="end"/>
        </w:r>
      </w:hyperlink>
    </w:p>
    <w:p w:rsidR="00AB5B6B" w:rsidRDefault="00AB5B6B">
      <w:pPr>
        <w:pStyle w:val="30"/>
        <w:tabs>
          <w:tab w:val="right" w:leader="dot" w:pos="8296"/>
        </w:tabs>
        <w:spacing w:line="360" w:lineRule="auto"/>
        <w:rPr>
          <w:rFonts w:ascii="仿宋_GB2312" w:eastAsia="仿宋_GB2312" w:hAnsi="仿宋_GB2312" w:cs="仿宋_GB2312" w:hint="eastAsia"/>
          <w:sz w:val="24"/>
          <w:szCs w:val="28"/>
          <w:lang w:val="en-US" w:eastAsia="zh-CN"/>
        </w:rPr>
      </w:pPr>
      <w:hyperlink w:anchor="_Toc349227399" w:history="1">
        <w:r>
          <w:rPr>
            <w:rStyle w:val="a9"/>
            <w:rFonts w:ascii="仿宋_GB2312" w:eastAsia="仿宋_GB2312" w:hAnsi="仿宋_GB2312" w:cs="仿宋_GB2312" w:hint="default"/>
            <w:sz w:val="24"/>
            <w:szCs w:val="32"/>
            <w:lang w:val="en-US" w:eastAsia="zh-CN"/>
          </w:rPr>
          <w:t>四、出借证券的归还、权益补偿和借券费用支付</w:t>
        </w:r>
        <w:r>
          <w:rPr>
            <w:rFonts w:ascii="仿宋_GB2312" w:eastAsia="仿宋_GB2312" w:hAnsi="仿宋_GB2312" w:cs="仿宋_GB2312" w:hint="eastAsia"/>
            <w:sz w:val="24"/>
            <w:szCs w:val="32"/>
            <w:lang w:val="en-US" w:eastAsia="zh-CN"/>
          </w:rPr>
          <w:tab/>
        </w:r>
        <w:r>
          <w:rPr>
            <w:rFonts w:ascii="仿宋_GB2312" w:eastAsia="仿宋_GB2312" w:hAnsi="仿宋_GB2312" w:cs="仿宋_GB2312" w:hint="eastAsia"/>
            <w:sz w:val="24"/>
            <w:szCs w:val="32"/>
            <w:lang w:val="en-US" w:eastAsia="zh-CN"/>
          </w:rPr>
          <w:fldChar w:fldCharType="begin"/>
        </w:r>
        <w:r>
          <w:rPr>
            <w:rFonts w:ascii="仿宋_GB2312" w:eastAsia="仿宋_GB2312" w:hAnsi="仿宋_GB2312" w:cs="仿宋_GB2312" w:hint="eastAsia"/>
            <w:sz w:val="24"/>
            <w:szCs w:val="32"/>
            <w:lang w:val="en-US" w:eastAsia="zh-CN"/>
          </w:rPr>
          <w:instrText xml:space="preserve"> PAGEREF _Toc349227399 \h </w:instrText>
        </w:r>
        <w:r>
          <w:rPr>
            <w:rFonts w:ascii="仿宋_GB2312" w:eastAsia="仿宋_GB2312" w:hAnsi="仿宋_GB2312" w:cs="仿宋_GB2312" w:hint="eastAsia"/>
            <w:sz w:val="24"/>
            <w:szCs w:val="32"/>
            <w:lang w:val="en-US" w:eastAsia="zh-CN"/>
          </w:rPr>
          <w:fldChar w:fldCharType="separate"/>
        </w:r>
        <w:r>
          <w:rPr>
            <w:rFonts w:ascii="仿宋_GB2312" w:eastAsia="仿宋_GB2312" w:hAnsi="仿宋_GB2312" w:cs="仿宋_GB2312" w:hint="eastAsia"/>
            <w:sz w:val="24"/>
            <w:szCs w:val="32"/>
            <w:lang w:val="en-US" w:eastAsia="zh-CN"/>
          </w:rPr>
          <w:t>7</w:t>
        </w:r>
        <w:r>
          <w:rPr>
            <w:rFonts w:ascii="仿宋_GB2312" w:eastAsia="仿宋_GB2312" w:hAnsi="仿宋_GB2312" w:cs="仿宋_GB2312" w:hint="eastAsia"/>
            <w:sz w:val="24"/>
            <w:szCs w:val="32"/>
            <w:lang w:val="en-US" w:eastAsia="zh-CN"/>
          </w:rPr>
          <w:fldChar w:fldCharType="end"/>
        </w:r>
      </w:hyperlink>
    </w:p>
    <w:p w:rsidR="00AB5B6B" w:rsidRDefault="00AB5B6B">
      <w:pPr>
        <w:pStyle w:val="1"/>
        <w:tabs>
          <w:tab w:val="right" w:leader="dot" w:pos="8296"/>
        </w:tabs>
        <w:spacing w:line="360" w:lineRule="auto"/>
        <w:rPr>
          <w:rFonts w:ascii="仿宋_GB2312" w:eastAsia="仿宋_GB2312" w:hAnsi="仿宋_GB2312" w:cs="仿宋_GB2312" w:hint="eastAsia"/>
          <w:sz w:val="24"/>
          <w:szCs w:val="28"/>
          <w:lang w:val="en-US" w:eastAsia="zh-CN"/>
        </w:rPr>
      </w:pPr>
      <w:hyperlink w:anchor="_Toc349227400" w:history="1">
        <w:r>
          <w:rPr>
            <w:rStyle w:val="a9"/>
            <w:rFonts w:ascii="仿宋_GB2312" w:eastAsia="仿宋_GB2312" w:hAnsi="仿宋_GB2312" w:cs="仿宋_GB2312" w:hint="default"/>
            <w:b/>
            <w:bCs/>
            <w:sz w:val="24"/>
            <w:szCs w:val="32"/>
            <w:lang w:val="en-US" w:eastAsia="zh-CN"/>
          </w:rPr>
          <w:t>第四章  标的证券、期限与费率</w:t>
        </w:r>
        <w:r>
          <w:rPr>
            <w:rFonts w:ascii="仿宋_GB2312" w:eastAsia="仿宋_GB2312" w:hAnsi="仿宋_GB2312" w:cs="仿宋_GB2312" w:hint="eastAsia"/>
            <w:sz w:val="24"/>
            <w:szCs w:val="32"/>
            <w:lang w:val="en-US" w:eastAsia="zh-CN"/>
          </w:rPr>
          <w:tab/>
        </w:r>
        <w:r>
          <w:rPr>
            <w:rFonts w:ascii="仿宋_GB2312" w:eastAsia="仿宋_GB2312" w:hAnsi="仿宋_GB2312" w:cs="仿宋_GB2312" w:hint="eastAsia"/>
            <w:sz w:val="24"/>
            <w:szCs w:val="32"/>
            <w:lang w:val="en-US" w:eastAsia="zh-CN"/>
          </w:rPr>
          <w:fldChar w:fldCharType="begin"/>
        </w:r>
        <w:r>
          <w:rPr>
            <w:rFonts w:ascii="仿宋_GB2312" w:eastAsia="仿宋_GB2312" w:hAnsi="仿宋_GB2312" w:cs="仿宋_GB2312" w:hint="eastAsia"/>
            <w:sz w:val="24"/>
            <w:szCs w:val="32"/>
            <w:lang w:val="en-US" w:eastAsia="zh-CN"/>
          </w:rPr>
          <w:instrText xml:space="preserve"> PAGEREF _Toc349227400 \h </w:instrText>
        </w:r>
        <w:r>
          <w:rPr>
            <w:rFonts w:ascii="仿宋_GB2312" w:eastAsia="仿宋_GB2312" w:hAnsi="仿宋_GB2312" w:cs="仿宋_GB2312" w:hint="eastAsia"/>
            <w:sz w:val="24"/>
            <w:szCs w:val="32"/>
            <w:lang w:val="en-US" w:eastAsia="zh-CN"/>
          </w:rPr>
          <w:fldChar w:fldCharType="separate"/>
        </w:r>
        <w:r>
          <w:rPr>
            <w:rFonts w:ascii="仿宋_GB2312" w:eastAsia="仿宋_GB2312" w:hAnsi="仿宋_GB2312" w:cs="仿宋_GB2312" w:hint="eastAsia"/>
            <w:sz w:val="24"/>
            <w:szCs w:val="32"/>
            <w:lang w:val="en-US" w:eastAsia="zh-CN"/>
          </w:rPr>
          <w:t>7</w:t>
        </w:r>
        <w:r>
          <w:rPr>
            <w:rFonts w:ascii="仿宋_GB2312" w:eastAsia="仿宋_GB2312" w:hAnsi="仿宋_GB2312" w:cs="仿宋_GB2312" w:hint="eastAsia"/>
            <w:sz w:val="24"/>
            <w:szCs w:val="32"/>
            <w:lang w:val="en-US" w:eastAsia="zh-CN"/>
          </w:rPr>
          <w:fldChar w:fldCharType="end"/>
        </w:r>
      </w:hyperlink>
    </w:p>
    <w:p w:rsidR="00AB5B6B" w:rsidRDefault="00AB5B6B">
      <w:pPr>
        <w:pStyle w:val="30"/>
        <w:tabs>
          <w:tab w:val="right" w:leader="dot" w:pos="8296"/>
        </w:tabs>
        <w:spacing w:line="360" w:lineRule="auto"/>
        <w:rPr>
          <w:rFonts w:ascii="仿宋_GB2312" w:eastAsia="仿宋_GB2312" w:hAnsi="仿宋_GB2312" w:cs="仿宋_GB2312" w:hint="eastAsia"/>
          <w:sz w:val="24"/>
          <w:szCs w:val="28"/>
          <w:lang w:val="en-US" w:eastAsia="zh-CN"/>
        </w:rPr>
      </w:pPr>
      <w:hyperlink w:anchor="_Toc349227401" w:history="1">
        <w:r>
          <w:rPr>
            <w:rStyle w:val="a9"/>
            <w:rFonts w:ascii="仿宋_GB2312" w:eastAsia="仿宋_GB2312" w:hAnsi="仿宋_GB2312" w:cs="仿宋_GB2312" w:hint="default"/>
            <w:sz w:val="24"/>
            <w:szCs w:val="32"/>
            <w:lang w:val="en-US" w:eastAsia="zh-CN"/>
          </w:rPr>
          <w:t>一、标的证券与期限</w:t>
        </w:r>
        <w:r>
          <w:rPr>
            <w:rFonts w:ascii="仿宋_GB2312" w:eastAsia="仿宋_GB2312" w:hAnsi="仿宋_GB2312" w:cs="仿宋_GB2312" w:hint="eastAsia"/>
            <w:sz w:val="24"/>
            <w:szCs w:val="32"/>
            <w:lang w:val="en-US" w:eastAsia="zh-CN"/>
          </w:rPr>
          <w:tab/>
        </w:r>
        <w:r>
          <w:rPr>
            <w:rFonts w:ascii="仿宋_GB2312" w:eastAsia="仿宋_GB2312" w:hAnsi="仿宋_GB2312" w:cs="仿宋_GB2312" w:hint="eastAsia"/>
            <w:sz w:val="24"/>
            <w:szCs w:val="32"/>
            <w:lang w:val="en-US" w:eastAsia="zh-CN"/>
          </w:rPr>
          <w:fldChar w:fldCharType="begin"/>
        </w:r>
        <w:r>
          <w:rPr>
            <w:rFonts w:ascii="仿宋_GB2312" w:eastAsia="仿宋_GB2312" w:hAnsi="仿宋_GB2312" w:cs="仿宋_GB2312" w:hint="eastAsia"/>
            <w:sz w:val="24"/>
            <w:szCs w:val="32"/>
            <w:lang w:val="en-US" w:eastAsia="zh-CN"/>
          </w:rPr>
          <w:instrText xml:space="preserve"> PAGEREF _Toc349227401 \h </w:instrText>
        </w:r>
        <w:r>
          <w:rPr>
            <w:rFonts w:ascii="仿宋_GB2312" w:eastAsia="仿宋_GB2312" w:hAnsi="仿宋_GB2312" w:cs="仿宋_GB2312" w:hint="eastAsia"/>
            <w:sz w:val="24"/>
            <w:szCs w:val="32"/>
            <w:lang w:val="en-US" w:eastAsia="zh-CN"/>
          </w:rPr>
          <w:fldChar w:fldCharType="separate"/>
        </w:r>
        <w:r>
          <w:rPr>
            <w:rFonts w:ascii="仿宋_GB2312" w:eastAsia="仿宋_GB2312" w:hAnsi="仿宋_GB2312" w:cs="仿宋_GB2312" w:hint="eastAsia"/>
            <w:sz w:val="24"/>
            <w:szCs w:val="32"/>
            <w:lang w:val="en-US" w:eastAsia="zh-CN"/>
          </w:rPr>
          <w:t>8</w:t>
        </w:r>
        <w:r>
          <w:rPr>
            <w:rFonts w:ascii="仿宋_GB2312" w:eastAsia="仿宋_GB2312" w:hAnsi="仿宋_GB2312" w:cs="仿宋_GB2312" w:hint="eastAsia"/>
            <w:sz w:val="24"/>
            <w:szCs w:val="32"/>
            <w:lang w:val="en-US" w:eastAsia="zh-CN"/>
          </w:rPr>
          <w:fldChar w:fldCharType="end"/>
        </w:r>
      </w:hyperlink>
    </w:p>
    <w:p w:rsidR="00AB5B6B" w:rsidRDefault="00AB5B6B">
      <w:pPr>
        <w:pStyle w:val="30"/>
        <w:tabs>
          <w:tab w:val="right" w:leader="dot" w:pos="8296"/>
        </w:tabs>
        <w:spacing w:line="360" w:lineRule="auto"/>
        <w:rPr>
          <w:rFonts w:ascii="仿宋_GB2312" w:eastAsia="仿宋_GB2312" w:hAnsi="仿宋_GB2312" w:cs="仿宋_GB2312" w:hint="eastAsia"/>
          <w:sz w:val="24"/>
          <w:szCs w:val="28"/>
          <w:lang w:val="en-US" w:eastAsia="zh-CN"/>
        </w:rPr>
      </w:pPr>
      <w:hyperlink w:anchor="_Toc349227402" w:history="1">
        <w:r>
          <w:rPr>
            <w:rStyle w:val="a9"/>
            <w:rFonts w:ascii="仿宋_GB2312" w:eastAsia="仿宋_GB2312" w:hAnsi="仿宋_GB2312" w:cs="仿宋_GB2312" w:hint="default"/>
            <w:sz w:val="24"/>
            <w:szCs w:val="32"/>
            <w:lang w:val="en-US" w:eastAsia="zh-CN"/>
          </w:rPr>
          <w:t>二、费率</w:t>
        </w:r>
        <w:r>
          <w:rPr>
            <w:rFonts w:ascii="仿宋_GB2312" w:eastAsia="仿宋_GB2312" w:hAnsi="仿宋_GB2312" w:cs="仿宋_GB2312" w:hint="eastAsia"/>
            <w:sz w:val="24"/>
            <w:szCs w:val="32"/>
            <w:lang w:val="en-US" w:eastAsia="zh-CN"/>
          </w:rPr>
          <w:tab/>
        </w:r>
        <w:r>
          <w:rPr>
            <w:rFonts w:ascii="仿宋_GB2312" w:eastAsia="仿宋_GB2312" w:hAnsi="仿宋_GB2312" w:cs="仿宋_GB2312" w:hint="eastAsia"/>
            <w:sz w:val="24"/>
            <w:szCs w:val="32"/>
            <w:lang w:val="en-US" w:eastAsia="zh-CN"/>
          </w:rPr>
          <w:fldChar w:fldCharType="begin"/>
        </w:r>
        <w:r>
          <w:rPr>
            <w:rFonts w:ascii="仿宋_GB2312" w:eastAsia="仿宋_GB2312" w:hAnsi="仿宋_GB2312" w:cs="仿宋_GB2312" w:hint="eastAsia"/>
            <w:sz w:val="24"/>
            <w:szCs w:val="32"/>
            <w:lang w:val="en-US" w:eastAsia="zh-CN"/>
          </w:rPr>
          <w:instrText xml:space="preserve"> PAGEREF _Toc349227402 \h </w:instrText>
        </w:r>
        <w:r>
          <w:rPr>
            <w:rFonts w:ascii="仿宋_GB2312" w:eastAsia="仿宋_GB2312" w:hAnsi="仿宋_GB2312" w:cs="仿宋_GB2312" w:hint="eastAsia"/>
            <w:sz w:val="24"/>
            <w:szCs w:val="32"/>
            <w:lang w:val="en-US" w:eastAsia="zh-CN"/>
          </w:rPr>
          <w:fldChar w:fldCharType="separate"/>
        </w:r>
        <w:r>
          <w:rPr>
            <w:rFonts w:ascii="仿宋_GB2312" w:eastAsia="仿宋_GB2312" w:hAnsi="仿宋_GB2312" w:cs="仿宋_GB2312" w:hint="eastAsia"/>
            <w:sz w:val="24"/>
            <w:szCs w:val="32"/>
            <w:lang w:val="en-US" w:eastAsia="zh-CN"/>
          </w:rPr>
          <w:t>8</w:t>
        </w:r>
        <w:r>
          <w:rPr>
            <w:rFonts w:ascii="仿宋_GB2312" w:eastAsia="仿宋_GB2312" w:hAnsi="仿宋_GB2312" w:cs="仿宋_GB2312" w:hint="eastAsia"/>
            <w:sz w:val="24"/>
            <w:szCs w:val="32"/>
            <w:lang w:val="en-US" w:eastAsia="zh-CN"/>
          </w:rPr>
          <w:fldChar w:fldCharType="end"/>
        </w:r>
      </w:hyperlink>
    </w:p>
    <w:p w:rsidR="00AB5B6B" w:rsidRDefault="00AB5B6B">
      <w:pPr>
        <w:pStyle w:val="1"/>
        <w:tabs>
          <w:tab w:val="right" w:leader="dot" w:pos="8296"/>
        </w:tabs>
        <w:spacing w:line="360" w:lineRule="auto"/>
        <w:rPr>
          <w:rFonts w:ascii="仿宋_GB2312" w:eastAsia="仿宋_GB2312" w:hAnsi="仿宋_GB2312" w:cs="仿宋_GB2312" w:hint="eastAsia"/>
          <w:sz w:val="24"/>
          <w:szCs w:val="28"/>
          <w:lang w:val="en-US" w:eastAsia="zh-CN"/>
        </w:rPr>
      </w:pPr>
      <w:hyperlink w:anchor="_Toc349227403" w:history="1">
        <w:r>
          <w:rPr>
            <w:rStyle w:val="a9"/>
            <w:rFonts w:ascii="仿宋_GB2312" w:eastAsia="仿宋_GB2312" w:hAnsi="仿宋_GB2312" w:cs="仿宋_GB2312" w:hint="default"/>
            <w:b/>
            <w:bCs/>
            <w:sz w:val="24"/>
            <w:szCs w:val="32"/>
            <w:lang w:val="en-US" w:eastAsia="zh-CN"/>
          </w:rPr>
          <w:t>第五章  交易信息披露</w:t>
        </w:r>
        <w:r>
          <w:rPr>
            <w:rFonts w:ascii="仿宋_GB2312" w:eastAsia="仿宋_GB2312" w:hAnsi="仿宋_GB2312" w:cs="仿宋_GB2312" w:hint="eastAsia"/>
            <w:sz w:val="24"/>
            <w:szCs w:val="32"/>
            <w:lang w:val="en-US" w:eastAsia="zh-CN"/>
          </w:rPr>
          <w:tab/>
        </w:r>
        <w:r>
          <w:rPr>
            <w:rFonts w:ascii="仿宋_GB2312" w:eastAsia="仿宋_GB2312" w:hAnsi="仿宋_GB2312" w:cs="仿宋_GB2312" w:hint="eastAsia"/>
            <w:sz w:val="24"/>
            <w:szCs w:val="32"/>
            <w:lang w:val="en-US" w:eastAsia="zh-CN"/>
          </w:rPr>
          <w:fldChar w:fldCharType="begin"/>
        </w:r>
        <w:r>
          <w:rPr>
            <w:rFonts w:ascii="仿宋_GB2312" w:eastAsia="仿宋_GB2312" w:hAnsi="仿宋_GB2312" w:cs="仿宋_GB2312" w:hint="eastAsia"/>
            <w:sz w:val="24"/>
            <w:szCs w:val="32"/>
            <w:lang w:val="en-US" w:eastAsia="zh-CN"/>
          </w:rPr>
          <w:instrText xml:space="preserve"> PAGEREF _Toc349227403 \h </w:instrText>
        </w:r>
        <w:r>
          <w:rPr>
            <w:rFonts w:ascii="仿宋_GB2312" w:eastAsia="仿宋_GB2312" w:hAnsi="仿宋_GB2312" w:cs="仿宋_GB2312" w:hint="eastAsia"/>
            <w:sz w:val="24"/>
            <w:szCs w:val="32"/>
            <w:lang w:val="en-US" w:eastAsia="zh-CN"/>
          </w:rPr>
          <w:fldChar w:fldCharType="separate"/>
        </w:r>
        <w:r>
          <w:rPr>
            <w:rFonts w:ascii="仿宋_GB2312" w:eastAsia="仿宋_GB2312" w:hAnsi="仿宋_GB2312" w:cs="仿宋_GB2312" w:hint="eastAsia"/>
            <w:sz w:val="24"/>
            <w:szCs w:val="32"/>
            <w:lang w:val="en-US" w:eastAsia="zh-CN"/>
          </w:rPr>
          <w:t>9</w:t>
        </w:r>
        <w:r>
          <w:rPr>
            <w:rFonts w:ascii="仿宋_GB2312" w:eastAsia="仿宋_GB2312" w:hAnsi="仿宋_GB2312" w:cs="仿宋_GB2312" w:hint="eastAsia"/>
            <w:sz w:val="24"/>
            <w:szCs w:val="32"/>
            <w:lang w:val="en-US" w:eastAsia="zh-CN"/>
          </w:rPr>
          <w:fldChar w:fldCharType="end"/>
        </w:r>
      </w:hyperlink>
    </w:p>
    <w:p w:rsidR="00AB5B6B" w:rsidRDefault="00AB5B6B">
      <w:pPr>
        <w:pStyle w:val="1"/>
        <w:tabs>
          <w:tab w:val="right" w:leader="dot" w:pos="8296"/>
        </w:tabs>
        <w:spacing w:line="360" w:lineRule="auto"/>
        <w:rPr>
          <w:rFonts w:ascii="仿宋_GB2312" w:eastAsia="仿宋_GB2312" w:hAnsi="仿宋_GB2312" w:cs="仿宋_GB2312" w:hint="eastAsia"/>
          <w:sz w:val="24"/>
          <w:szCs w:val="28"/>
          <w:lang w:val="en-US" w:eastAsia="zh-CN"/>
        </w:rPr>
      </w:pPr>
      <w:hyperlink w:anchor="_Toc349227404" w:history="1">
        <w:r>
          <w:rPr>
            <w:rStyle w:val="a9"/>
            <w:rFonts w:ascii="仿宋_GB2312" w:eastAsia="仿宋_GB2312" w:hAnsi="仿宋_GB2312" w:cs="仿宋_GB2312" w:hint="default"/>
            <w:b/>
            <w:bCs/>
            <w:sz w:val="24"/>
            <w:szCs w:val="32"/>
            <w:lang w:val="en-US" w:eastAsia="zh-CN"/>
          </w:rPr>
          <w:t>第六章  会员内部控制</w:t>
        </w:r>
        <w:r>
          <w:rPr>
            <w:rFonts w:ascii="仿宋_GB2312" w:eastAsia="仿宋_GB2312" w:hAnsi="仿宋_GB2312" w:cs="仿宋_GB2312" w:hint="eastAsia"/>
            <w:sz w:val="24"/>
            <w:szCs w:val="32"/>
            <w:lang w:val="en-US" w:eastAsia="zh-CN"/>
          </w:rPr>
          <w:tab/>
        </w:r>
        <w:r>
          <w:rPr>
            <w:rFonts w:ascii="仿宋_GB2312" w:eastAsia="仿宋_GB2312" w:hAnsi="仿宋_GB2312" w:cs="仿宋_GB2312" w:hint="eastAsia"/>
            <w:sz w:val="24"/>
            <w:szCs w:val="32"/>
            <w:lang w:val="en-US" w:eastAsia="zh-CN"/>
          </w:rPr>
          <w:fldChar w:fldCharType="begin"/>
        </w:r>
        <w:r>
          <w:rPr>
            <w:rFonts w:ascii="仿宋_GB2312" w:eastAsia="仿宋_GB2312" w:hAnsi="仿宋_GB2312" w:cs="仿宋_GB2312" w:hint="eastAsia"/>
            <w:sz w:val="24"/>
            <w:szCs w:val="32"/>
            <w:lang w:val="en-US" w:eastAsia="zh-CN"/>
          </w:rPr>
          <w:instrText xml:space="preserve"> PAGEREF _Toc349227404 \h </w:instrText>
        </w:r>
        <w:r>
          <w:rPr>
            <w:rFonts w:ascii="仿宋_GB2312" w:eastAsia="仿宋_GB2312" w:hAnsi="仿宋_GB2312" w:cs="仿宋_GB2312" w:hint="eastAsia"/>
            <w:sz w:val="24"/>
            <w:szCs w:val="32"/>
            <w:lang w:val="en-US" w:eastAsia="zh-CN"/>
          </w:rPr>
          <w:fldChar w:fldCharType="separate"/>
        </w:r>
        <w:r>
          <w:rPr>
            <w:rFonts w:ascii="仿宋_GB2312" w:eastAsia="仿宋_GB2312" w:hAnsi="仿宋_GB2312" w:cs="仿宋_GB2312" w:hint="eastAsia"/>
            <w:sz w:val="24"/>
            <w:szCs w:val="32"/>
            <w:lang w:val="en-US" w:eastAsia="zh-CN"/>
          </w:rPr>
          <w:t>10</w:t>
        </w:r>
        <w:r>
          <w:rPr>
            <w:rFonts w:ascii="仿宋_GB2312" w:eastAsia="仿宋_GB2312" w:hAnsi="仿宋_GB2312" w:cs="仿宋_GB2312" w:hint="eastAsia"/>
            <w:sz w:val="24"/>
            <w:szCs w:val="32"/>
            <w:lang w:val="en-US" w:eastAsia="zh-CN"/>
          </w:rPr>
          <w:fldChar w:fldCharType="end"/>
        </w:r>
      </w:hyperlink>
    </w:p>
    <w:p w:rsidR="00AB5B6B" w:rsidRDefault="00AB5B6B">
      <w:pPr>
        <w:pStyle w:val="30"/>
        <w:tabs>
          <w:tab w:val="right" w:leader="dot" w:pos="8296"/>
        </w:tabs>
        <w:spacing w:line="360" w:lineRule="auto"/>
        <w:rPr>
          <w:rFonts w:ascii="仿宋_GB2312" w:eastAsia="仿宋_GB2312" w:hAnsi="仿宋_GB2312" w:cs="仿宋_GB2312" w:hint="eastAsia"/>
          <w:sz w:val="24"/>
          <w:szCs w:val="28"/>
          <w:lang w:val="en-US" w:eastAsia="zh-CN"/>
        </w:rPr>
      </w:pPr>
      <w:hyperlink w:anchor="_Toc349227405" w:history="1">
        <w:r>
          <w:rPr>
            <w:rStyle w:val="a9"/>
            <w:rFonts w:ascii="仿宋_GB2312" w:eastAsia="仿宋_GB2312" w:hAnsi="仿宋_GB2312" w:cs="仿宋_GB2312" w:hint="default"/>
            <w:sz w:val="24"/>
            <w:szCs w:val="32"/>
            <w:lang w:val="en-US" w:eastAsia="zh-CN"/>
          </w:rPr>
          <w:t>一、会员业务管理制度</w:t>
        </w:r>
        <w:r>
          <w:rPr>
            <w:rFonts w:ascii="仿宋_GB2312" w:eastAsia="仿宋_GB2312" w:hAnsi="仿宋_GB2312" w:cs="仿宋_GB2312" w:hint="eastAsia"/>
            <w:sz w:val="24"/>
            <w:szCs w:val="32"/>
            <w:lang w:val="en-US" w:eastAsia="zh-CN"/>
          </w:rPr>
          <w:tab/>
        </w:r>
        <w:r>
          <w:rPr>
            <w:rFonts w:ascii="仿宋_GB2312" w:eastAsia="仿宋_GB2312" w:hAnsi="仿宋_GB2312" w:cs="仿宋_GB2312" w:hint="eastAsia"/>
            <w:sz w:val="24"/>
            <w:szCs w:val="32"/>
            <w:lang w:val="en-US" w:eastAsia="zh-CN"/>
          </w:rPr>
          <w:fldChar w:fldCharType="begin"/>
        </w:r>
        <w:r>
          <w:rPr>
            <w:rFonts w:ascii="仿宋_GB2312" w:eastAsia="仿宋_GB2312" w:hAnsi="仿宋_GB2312" w:cs="仿宋_GB2312" w:hint="eastAsia"/>
            <w:sz w:val="24"/>
            <w:szCs w:val="32"/>
            <w:lang w:val="en-US" w:eastAsia="zh-CN"/>
          </w:rPr>
          <w:instrText xml:space="preserve"> PAGEREF _Toc349227405 \h </w:instrText>
        </w:r>
        <w:r>
          <w:rPr>
            <w:rFonts w:ascii="仿宋_GB2312" w:eastAsia="仿宋_GB2312" w:hAnsi="仿宋_GB2312" w:cs="仿宋_GB2312" w:hint="eastAsia"/>
            <w:sz w:val="24"/>
            <w:szCs w:val="32"/>
            <w:lang w:val="en-US" w:eastAsia="zh-CN"/>
          </w:rPr>
          <w:fldChar w:fldCharType="separate"/>
        </w:r>
        <w:r>
          <w:rPr>
            <w:rFonts w:ascii="仿宋_GB2312" w:eastAsia="仿宋_GB2312" w:hAnsi="仿宋_GB2312" w:cs="仿宋_GB2312" w:hint="eastAsia"/>
            <w:sz w:val="24"/>
            <w:szCs w:val="32"/>
            <w:lang w:val="en-US" w:eastAsia="zh-CN"/>
          </w:rPr>
          <w:t>10</w:t>
        </w:r>
        <w:r>
          <w:rPr>
            <w:rFonts w:ascii="仿宋_GB2312" w:eastAsia="仿宋_GB2312" w:hAnsi="仿宋_GB2312" w:cs="仿宋_GB2312" w:hint="eastAsia"/>
            <w:sz w:val="24"/>
            <w:szCs w:val="32"/>
            <w:lang w:val="en-US" w:eastAsia="zh-CN"/>
          </w:rPr>
          <w:fldChar w:fldCharType="end"/>
        </w:r>
      </w:hyperlink>
    </w:p>
    <w:p w:rsidR="00AB5B6B" w:rsidRDefault="00AB5B6B">
      <w:pPr>
        <w:pStyle w:val="30"/>
        <w:tabs>
          <w:tab w:val="right" w:leader="dot" w:pos="8296"/>
        </w:tabs>
        <w:spacing w:line="360" w:lineRule="auto"/>
        <w:rPr>
          <w:rFonts w:ascii="仿宋_GB2312" w:eastAsia="仿宋_GB2312" w:hAnsi="仿宋_GB2312" w:cs="仿宋_GB2312" w:hint="eastAsia"/>
          <w:sz w:val="24"/>
          <w:szCs w:val="28"/>
          <w:lang w:val="en-US" w:eastAsia="zh-CN"/>
        </w:rPr>
      </w:pPr>
      <w:hyperlink w:anchor="_Toc349227406" w:history="1">
        <w:r>
          <w:rPr>
            <w:rStyle w:val="a9"/>
            <w:rFonts w:ascii="仿宋_GB2312" w:eastAsia="仿宋_GB2312" w:hAnsi="仿宋_GB2312" w:cs="仿宋_GB2312" w:hint="default"/>
            <w:sz w:val="24"/>
            <w:szCs w:val="32"/>
            <w:lang w:val="en-US" w:eastAsia="zh-CN"/>
          </w:rPr>
          <w:t>二、会员对标的证券的管理</w:t>
        </w:r>
        <w:r>
          <w:rPr>
            <w:rFonts w:ascii="仿宋_GB2312" w:eastAsia="仿宋_GB2312" w:hAnsi="仿宋_GB2312" w:cs="仿宋_GB2312" w:hint="eastAsia"/>
            <w:sz w:val="24"/>
            <w:szCs w:val="32"/>
            <w:lang w:val="en-US" w:eastAsia="zh-CN"/>
          </w:rPr>
          <w:tab/>
        </w:r>
        <w:r>
          <w:rPr>
            <w:rFonts w:ascii="仿宋_GB2312" w:eastAsia="仿宋_GB2312" w:hAnsi="仿宋_GB2312" w:cs="仿宋_GB2312" w:hint="eastAsia"/>
            <w:sz w:val="24"/>
            <w:szCs w:val="32"/>
            <w:lang w:val="en-US" w:eastAsia="zh-CN"/>
          </w:rPr>
          <w:fldChar w:fldCharType="begin"/>
        </w:r>
        <w:r>
          <w:rPr>
            <w:rFonts w:ascii="仿宋_GB2312" w:eastAsia="仿宋_GB2312" w:hAnsi="仿宋_GB2312" w:cs="仿宋_GB2312" w:hint="eastAsia"/>
            <w:sz w:val="24"/>
            <w:szCs w:val="32"/>
            <w:lang w:val="en-US" w:eastAsia="zh-CN"/>
          </w:rPr>
          <w:instrText xml:space="preserve"> PAGEREF _Toc349227406 \h </w:instrText>
        </w:r>
        <w:r>
          <w:rPr>
            <w:rFonts w:ascii="仿宋_GB2312" w:eastAsia="仿宋_GB2312" w:hAnsi="仿宋_GB2312" w:cs="仿宋_GB2312" w:hint="eastAsia"/>
            <w:sz w:val="24"/>
            <w:szCs w:val="32"/>
            <w:lang w:val="en-US" w:eastAsia="zh-CN"/>
          </w:rPr>
          <w:fldChar w:fldCharType="separate"/>
        </w:r>
        <w:r>
          <w:rPr>
            <w:rFonts w:ascii="仿宋_GB2312" w:eastAsia="仿宋_GB2312" w:hAnsi="仿宋_GB2312" w:cs="仿宋_GB2312" w:hint="eastAsia"/>
            <w:sz w:val="24"/>
            <w:szCs w:val="32"/>
            <w:lang w:val="en-US" w:eastAsia="zh-CN"/>
          </w:rPr>
          <w:t>11</w:t>
        </w:r>
        <w:r>
          <w:rPr>
            <w:rFonts w:ascii="仿宋_GB2312" w:eastAsia="仿宋_GB2312" w:hAnsi="仿宋_GB2312" w:cs="仿宋_GB2312" w:hint="eastAsia"/>
            <w:sz w:val="24"/>
            <w:szCs w:val="32"/>
            <w:lang w:val="en-US" w:eastAsia="zh-CN"/>
          </w:rPr>
          <w:fldChar w:fldCharType="end"/>
        </w:r>
      </w:hyperlink>
    </w:p>
    <w:p w:rsidR="00AB5B6B" w:rsidRDefault="00AB5B6B">
      <w:pPr>
        <w:pStyle w:val="30"/>
        <w:tabs>
          <w:tab w:val="right" w:leader="dot" w:pos="8296"/>
        </w:tabs>
        <w:spacing w:line="360" w:lineRule="auto"/>
        <w:rPr>
          <w:rFonts w:ascii="仿宋_GB2312" w:eastAsia="仿宋_GB2312" w:hAnsi="仿宋_GB2312" w:cs="仿宋_GB2312" w:hint="eastAsia"/>
          <w:sz w:val="24"/>
          <w:szCs w:val="28"/>
          <w:lang w:val="en-US" w:eastAsia="zh-CN"/>
        </w:rPr>
      </w:pPr>
      <w:hyperlink w:anchor="_Toc349227407" w:history="1">
        <w:r>
          <w:rPr>
            <w:rStyle w:val="a9"/>
            <w:rFonts w:ascii="仿宋_GB2312" w:eastAsia="仿宋_GB2312" w:hAnsi="仿宋_GB2312" w:cs="仿宋_GB2312" w:hint="default"/>
            <w:sz w:val="24"/>
            <w:szCs w:val="32"/>
            <w:lang w:val="en-US" w:eastAsia="zh-CN"/>
          </w:rPr>
          <w:t>三、会员对证券出借的管理</w:t>
        </w:r>
        <w:r>
          <w:rPr>
            <w:rFonts w:ascii="仿宋_GB2312" w:eastAsia="仿宋_GB2312" w:hAnsi="仿宋_GB2312" w:cs="仿宋_GB2312" w:hint="eastAsia"/>
            <w:sz w:val="24"/>
            <w:szCs w:val="32"/>
            <w:lang w:val="en-US" w:eastAsia="zh-CN"/>
          </w:rPr>
          <w:tab/>
        </w:r>
        <w:r>
          <w:rPr>
            <w:rFonts w:ascii="仿宋_GB2312" w:eastAsia="仿宋_GB2312" w:hAnsi="仿宋_GB2312" w:cs="仿宋_GB2312" w:hint="eastAsia"/>
            <w:sz w:val="24"/>
            <w:szCs w:val="32"/>
            <w:lang w:val="en-US" w:eastAsia="zh-CN"/>
          </w:rPr>
          <w:fldChar w:fldCharType="begin"/>
        </w:r>
        <w:r>
          <w:rPr>
            <w:rFonts w:ascii="仿宋_GB2312" w:eastAsia="仿宋_GB2312" w:hAnsi="仿宋_GB2312" w:cs="仿宋_GB2312" w:hint="eastAsia"/>
            <w:sz w:val="24"/>
            <w:szCs w:val="32"/>
            <w:lang w:val="en-US" w:eastAsia="zh-CN"/>
          </w:rPr>
          <w:instrText xml:space="preserve"> PAGEREF _Toc349227407 \h </w:instrText>
        </w:r>
        <w:r>
          <w:rPr>
            <w:rFonts w:ascii="仿宋_GB2312" w:eastAsia="仿宋_GB2312" w:hAnsi="仿宋_GB2312" w:cs="仿宋_GB2312" w:hint="eastAsia"/>
            <w:sz w:val="24"/>
            <w:szCs w:val="32"/>
            <w:lang w:val="en-US" w:eastAsia="zh-CN"/>
          </w:rPr>
          <w:fldChar w:fldCharType="separate"/>
        </w:r>
        <w:r>
          <w:rPr>
            <w:rFonts w:ascii="仿宋_GB2312" w:eastAsia="仿宋_GB2312" w:hAnsi="仿宋_GB2312" w:cs="仿宋_GB2312" w:hint="eastAsia"/>
            <w:sz w:val="24"/>
            <w:szCs w:val="32"/>
            <w:lang w:val="en-US" w:eastAsia="zh-CN"/>
          </w:rPr>
          <w:t>11</w:t>
        </w:r>
        <w:r>
          <w:rPr>
            <w:rFonts w:ascii="仿宋_GB2312" w:eastAsia="仿宋_GB2312" w:hAnsi="仿宋_GB2312" w:cs="仿宋_GB2312" w:hint="eastAsia"/>
            <w:sz w:val="24"/>
            <w:szCs w:val="32"/>
            <w:lang w:val="en-US" w:eastAsia="zh-CN"/>
          </w:rPr>
          <w:fldChar w:fldCharType="end"/>
        </w:r>
      </w:hyperlink>
    </w:p>
    <w:p w:rsidR="00AB5B6B" w:rsidRDefault="00AB5B6B">
      <w:pPr>
        <w:pStyle w:val="30"/>
        <w:tabs>
          <w:tab w:val="right" w:leader="dot" w:pos="8296"/>
        </w:tabs>
        <w:spacing w:line="360" w:lineRule="auto"/>
        <w:rPr>
          <w:rFonts w:ascii="仿宋_GB2312" w:eastAsia="仿宋_GB2312" w:hAnsi="仿宋_GB2312" w:cs="仿宋_GB2312" w:hint="eastAsia"/>
          <w:sz w:val="24"/>
          <w:szCs w:val="28"/>
          <w:lang w:val="en-US" w:eastAsia="zh-CN"/>
        </w:rPr>
      </w:pPr>
      <w:hyperlink w:anchor="_Toc349227408" w:history="1">
        <w:r>
          <w:rPr>
            <w:rStyle w:val="a9"/>
            <w:rFonts w:ascii="仿宋_GB2312" w:eastAsia="仿宋_GB2312" w:hAnsi="仿宋_GB2312" w:cs="仿宋_GB2312" w:hint="default"/>
            <w:sz w:val="24"/>
            <w:szCs w:val="32"/>
            <w:lang w:val="en-US" w:eastAsia="zh-CN"/>
          </w:rPr>
          <w:t>四、会员信息报送制度</w:t>
        </w:r>
        <w:r>
          <w:rPr>
            <w:rFonts w:ascii="仿宋_GB2312" w:eastAsia="仿宋_GB2312" w:hAnsi="仿宋_GB2312" w:cs="仿宋_GB2312" w:hint="eastAsia"/>
            <w:sz w:val="24"/>
            <w:szCs w:val="32"/>
            <w:lang w:val="en-US" w:eastAsia="zh-CN"/>
          </w:rPr>
          <w:tab/>
        </w:r>
        <w:r>
          <w:rPr>
            <w:rFonts w:ascii="仿宋_GB2312" w:eastAsia="仿宋_GB2312" w:hAnsi="仿宋_GB2312" w:cs="仿宋_GB2312" w:hint="eastAsia"/>
            <w:sz w:val="24"/>
            <w:szCs w:val="32"/>
            <w:lang w:val="en-US" w:eastAsia="zh-CN"/>
          </w:rPr>
          <w:fldChar w:fldCharType="begin"/>
        </w:r>
        <w:r>
          <w:rPr>
            <w:rFonts w:ascii="仿宋_GB2312" w:eastAsia="仿宋_GB2312" w:hAnsi="仿宋_GB2312" w:cs="仿宋_GB2312" w:hint="eastAsia"/>
            <w:sz w:val="24"/>
            <w:szCs w:val="32"/>
            <w:lang w:val="en-US" w:eastAsia="zh-CN"/>
          </w:rPr>
          <w:instrText xml:space="preserve"> PAGEREF _Toc349227408 \h </w:instrText>
        </w:r>
        <w:r>
          <w:rPr>
            <w:rFonts w:ascii="仿宋_GB2312" w:eastAsia="仿宋_GB2312" w:hAnsi="仿宋_GB2312" w:cs="仿宋_GB2312" w:hint="eastAsia"/>
            <w:sz w:val="24"/>
            <w:szCs w:val="32"/>
            <w:lang w:val="en-US" w:eastAsia="zh-CN"/>
          </w:rPr>
          <w:fldChar w:fldCharType="separate"/>
        </w:r>
        <w:r>
          <w:rPr>
            <w:rFonts w:ascii="仿宋_GB2312" w:eastAsia="仿宋_GB2312" w:hAnsi="仿宋_GB2312" w:cs="仿宋_GB2312" w:hint="eastAsia"/>
            <w:sz w:val="24"/>
            <w:szCs w:val="32"/>
            <w:lang w:val="en-US" w:eastAsia="zh-CN"/>
          </w:rPr>
          <w:t>12</w:t>
        </w:r>
        <w:r>
          <w:rPr>
            <w:rFonts w:ascii="仿宋_GB2312" w:eastAsia="仿宋_GB2312" w:hAnsi="仿宋_GB2312" w:cs="仿宋_GB2312" w:hint="eastAsia"/>
            <w:sz w:val="24"/>
            <w:szCs w:val="32"/>
            <w:lang w:val="en-US" w:eastAsia="zh-CN"/>
          </w:rPr>
          <w:fldChar w:fldCharType="end"/>
        </w:r>
      </w:hyperlink>
    </w:p>
    <w:p w:rsidR="00AB5B6B" w:rsidRDefault="00AB5B6B">
      <w:pPr>
        <w:pStyle w:val="30"/>
        <w:tabs>
          <w:tab w:val="right" w:leader="dot" w:pos="8296"/>
        </w:tabs>
        <w:spacing w:line="360" w:lineRule="auto"/>
        <w:rPr>
          <w:rFonts w:ascii="仿宋_GB2312" w:eastAsia="仿宋_GB2312" w:hAnsi="仿宋_GB2312" w:cs="仿宋_GB2312" w:hint="eastAsia"/>
          <w:sz w:val="24"/>
          <w:szCs w:val="28"/>
          <w:lang w:val="en-US" w:eastAsia="zh-CN"/>
        </w:rPr>
      </w:pPr>
      <w:hyperlink w:anchor="_Toc349227409" w:history="1">
        <w:r>
          <w:rPr>
            <w:rStyle w:val="a9"/>
            <w:rFonts w:ascii="仿宋_GB2312" w:eastAsia="仿宋_GB2312" w:hAnsi="仿宋_GB2312" w:cs="仿宋_GB2312" w:hint="default"/>
            <w:sz w:val="24"/>
            <w:szCs w:val="32"/>
            <w:lang w:val="en-US" w:eastAsia="zh-CN"/>
          </w:rPr>
          <w:t>五、会员相关技术系统的运行管理</w:t>
        </w:r>
        <w:r>
          <w:rPr>
            <w:rFonts w:ascii="仿宋_GB2312" w:eastAsia="仿宋_GB2312" w:hAnsi="仿宋_GB2312" w:cs="仿宋_GB2312" w:hint="eastAsia"/>
            <w:sz w:val="24"/>
            <w:szCs w:val="32"/>
            <w:lang w:val="en-US" w:eastAsia="zh-CN"/>
          </w:rPr>
          <w:tab/>
        </w:r>
        <w:r>
          <w:rPr>
            <w:rFonts w:ascii="仿宋_GB2312" w:eastAsia="仿宋_GB2312" w:hAnsi="仿宋_GB2312" w:cs="仿宋_GB2312" w:hint="eastAsia"/>
            <w:sz w:val="24"/>
            <w:szCs w:val="32"/>
            <w:lang w:val="en-US" w:eastAsia="zh-CN"/>
          </w:rPr>
          <w:fldChar w:fldCharType="begin"/>
        </w:r>
        <w:r>
          <w:rPr>
            <w:rFonts w:ascii="仿宋_GB2312" w:eastAsia="仿宋_GB2312" w:hAnsi="仿宋_GB2312" w:cs="仿宋_GB2312" w:hint="eastAsia"/>
            <w:sz w:val="24"/>
            <w:szCs w:val="32"/>
            <w:lang w:val="en-US" w:eastAsia="zh-CN"/>
          </w:rPr>
          <w:instrText xml:space="preserve"> PAGEREF _Toc349227409 \h </w:instrText>
        </w:r>
        <w:r>
          <w:rPr>
            <w:rFonts w:ascii="仿宋_GB2312" w:eastAsia="仿宋_GB2312" w:hAnsi="仿宋_GB2312" w:cs="仿宋_GB2312" w:hint="eastAsia"/>
            <w:sz w:val="24"/>
            <w:szCs w:val="32"/>
            <w:lang w:val="en-US" w:eastAsia="zh-CN"/>
          </w:rPr>
          <w:fldChar w:fldCharType="separate"/>
        </w:r>
        <w:r>
          <w:rPr>
            <w:rFonts w:ascii="仿宋_GB2312" w:eastAsia="仿宋_GB2312" w:hAnsi="仿宋_GB2312" w:cs="仿宋_GB2312" w:hint="eastAsia"/>
            <w:sz w:val="24"/>
            <w:szCs w:val="32"/>
            <w:lang w:val="en-US" w:eastAsia="zh-CN"/>
          </w:rPr>
          <w:t>12</w:t>
        </w:r>
        <w:r>
          <w:rPr>
            <w:rFonts w:ascii="仿宋_GB2312" w:eastAsia="仿宋_GB2312" w:hAnsi="仿宋_GB2312" w:cs="仿宋_GB2312" w:hint="eastAsia"/>
            <w:sz w:val="24"/>
            <w:szCs w:val="32"/>
            <w:lang w:val="en-US" w:eastAsia="zh-CN"/>
          </w:rPr>
          <w:fldChar w:fldCharType="end"/>
        </w:r>
      </w:hyperlink>
    </w:p>
    <w:p w:rsidR="00AB5B6B" w:rsidRDefault="00AB5B6B">
      <w:pPr>
        <w:pStyle w:val="1"/>
        <w:tabs>
          <w:tab w:val="right" w:leader="dot" w:pos="8296"/>
        </w:tabs>
        <w:spacing w:line="360" w:lineRule="auto"/>
        <w:rPr>
          <w:rFonts w:ascii="仿宋_GB2312" w:eastAsia="仿宋_GB2312" w:hAnsi="仿宋_GB2312" w:cs="仿宋_GB2312" w:hint="eastAsia"/>
          <w:sz w:val="24"/>
          <w:szCs w:val="28"/>
          <w:lang w:val="en-US" w:eastAsia="zh-CN"/>
        </w:rPr>
      </w:pPr>
      <w:hyperlink w:anchor="_Toc349227410" w:history="1">
        <w:r>
          <w:rPr>
            <w:rStyle w:val="a9"/>
            <w:rFonts w:ascii="仿宋_GB2312" w:eastAsia="仿宋_GB2312" w:hAnsi="仿宋_GB2312" w:cs="仿宋_GB2312" w:hint="default"/>
            <w:b/>
            <w:bCs/>
            <w:sz w:val="24"/>
            <w:szCs w:val="32"/>
            <w:lang w:val="en-US" w:eastAsia="zh-CN"/>
          </w:rPr>
          <w:t>第七章  权益类信息披露及相关事务</w:t>
        </w:r>
        <w:r>
          <w:rPr>
            <w:rFonts w:ascii="仿宋_GB2312" w:eastAsia="仿宋_GB2312" w:hAnsi="仿宋_GB2312" w:cs="仿宋_GB2312" w:hint="eastAsia"/>
            <w:sz w:val="24"/>
            <w:szCs w:val="32"/>
            <w:lang w:val="en-US" w:eastAsia="zh-CN"/>
          </w:rPr>
          <w:tab/>
        </w:r>
        <w:r>
          <w:rPr>
            <w:rFonts w:ascii="仿宋_GB2312" w:eastAsia="仿宋_GB2312" w:hAnsi="仿宋_GB2312" w:cs="仿宋_GB2312" w:hint="eastAsia"/>
            <w:sz w:val="24"/>
            <w:szCs w:val="32"/>
            <w:lang w:val="en-US" w:eastAsia="zh-CN"/>
          </w:rPr>
          <w:fldChar w:fldCharType="begin"/>
        </w:r>
        <w:r>
          <w:rPr>
            <w:rFonts w:ascii="仿宋_GB2312" w:eastAsia="仿宋_GB2312" w:hAnsi="仿宋_GB2312" w:cs="仿宋_GB2312" w:hint="eastAsia"/>
            <w:sz w:val="24"/>
            <w:szCs w:val="32"/>
            <w:lang w:val="en-US" w:eastAsia="zh-CN"/>
          </w:rPr>
          <w:instrText xml:space="preserve"> PAGEREF _Toc349227410 \h </w:instrText>
        </w:r>
        <w:r>
          <w:rPr>
            <w:rFonts w:ascii="仿宋_GB2312" w:eastAsia="仿宋_GB2312" w:hAnsi="仿宋_GB2312" w:cs="仿宋_GB2312" w:hint="eastAsia"/>
            <w:sz w:val="24"/>
            <w:szCs w:val="32"/>
            <w:lang w:val="en-US" w:eastAsia="zh-CN"/>
          </w:rPr>
          <w:fldChar w:fldCharType="separate"/>
        </w:r>
        <w:r>
          <w:rPr>
            <w:rFonts w:ascii="仿宋_GB2312" w:eastAsia="仿宋_GB2312" w:hAnsi="仿宋_GB2312" w:cs="仿宋_GB2312" w:hint="eastAsia"/>
            <w:sz w:val="24"/>
            <w:szCs w:val="32"/>
            <w:lang w:val="en-US" w:eastAsia="zh-CN"/>
          </w:rPr>
          <w:t>13</w:t>
        </w:r>
        <w:r>
          <w:rPr>
            <w:rFonts w:ascii="仿宋_GB2312" w:eastAsia="仿宋_GB2312" w:hAnsi="仿宋_GB2312" w:cs="仿宋_GB2312" w:hint="eastAsia"/>
            <w:sz w:val="24"/>
            <w:szCs w:val="32"/>
            <w:lang w:val="en-US" w:eastAsia="zh-CN"/>
          </w:rPr>
          <w:fldChar w:fldCharType="end"/>
        </w:r>
      </w:hyperlink>
    </w:p>
    <w:p w:rsidR="00AB5B6B" w:rsidRDefault="00AB5B6B">
      <w:pPr>
        <w:pStyle w:val="1"/>
        <w:tabs>
          <w:tab w:val="right" w:leader="dot" w:pos="8296"/>
        </w:tabs>
        <w:spacing w:line="360" w:lineRule="auto"/>
        <w:rPr>
          <w:rFonts w:ascii="Calibri" w:hAnsi="Calibri"/>
          <w:szCs w:val="22"/>
          <w:lang w:val="en-US" w:eastAsia="zh-CN"/>
        </w:rPr>
      </w:pPr>
    </w:p>
    <w:p w:rsidR="00AB5B6B" w:rsidRDefault="00AB5B6B">
      <w:pPr>
        <w:widowControl/>
        <w:adjustRightInd w:val="0"/>
        <w:snapToGrid w:val="0"/>
        <w:spacing w:line="408" w:lineRule="auto"/>
        <w:ind w:firstLineChars="200" w:firstLine="361"/>
        <w:jc w:val="left"/>
        <w:rPr>
          <w:rFonts w:ascii="宋体" w:hAnsi="宋体" w:cs="宋体" w:hint="eastAsia"/>
          <w:b/>
          <w:i/>
          <w:iCs/>
          <w:kern w:val="0"/>
          <w:sz w:val="18"/>
        </w:rPr>
      </w:pPr>
      <w:r>
        <w:rPr>
          <w:rFonts w:ascii="宋体" w:hAnsi="宋体" w:cs="宋体"/>
          <w:b/>
          <w:i/>
          <w:iCs/>
          <w:kern w:val="0"/>
          <w:sz w:val="18"/>
        </w:rPr>
        <w:fldChar w:fldCharType="end"/>
      </w:r>
    </w:p>
    <w:p w:rsidR="00AB5B6B" w:rsidRDefault="00AB5B6B">
      <w:pPr>
        <w:widowControl/>
        <w:adjustRightInd w:val="0"/>
        <w:snapToGrid w:val="0"/>
        <w:spacing w:line="408" w:lineRule="auto"/>
        <w:ind w:firstLineChars="200" w:firstLine="480"/>
        <w:jc w:val="left"/>
        <w:rPr>
          <w:rFonts w:ascii="宋体" w:hAnsi="宋体" w:cs="宋体" w:hint="eastAsia"/>
          <w:kern w:val="0"/>
          <w:sz w:val="24"/>
        </w:rPr>
      </w:pPr>
    </w:p>
    <w:p w:rsidR="00AB5B6B" w:rsidRDefault="00AB5B6B">
      <w:pPr>
        <w:ind w:firstLineChars="200" w:firstLine="420"/>
        <w:rPr>
          <w:rFonts w:hint="eastAsia"/>
        </w:rPr>
      </w:pPr>
    </w:p>
    <w:p w:rsidR="00AB5B6B" w:rsidRDefault="00AB5B6B">
      <w:pPr>
        <w:spacing w:line="560" w:lineRule="exact"/>
        <w:rPr>
          <w:rFonts w:ascii="仿宋_GB2312" w:eastAsia="仿宋_GB2312"/>
          <w:sz w:val="30"/>
          <w:szCs w:val="30"/>
        </w:rPr>
        <w:sectPr w:rsidR="00AB5B6B">
          <w:footerReference w:type="even" r:id="rId6"/>
          <w:footerReference w:type="default" r:id="rId7"/>
          <w:footerReference w:type="first" r:id="rId8"/>
          <w:pgSz w:w="11906" w:h="16838"/>
          <w:pgMar w:top="1440" w:right="1800" w:bottom="1440" w:left="1800" w:header="851" w:footer="992" w:gutter="0"/>
          <w:cols w:space="720"/>
          <w:docGrid w:type="lines" w:linePitch="312"/>
        </w:sectPr>
      </w:pPr>
    </w:p>
    <w:p w:rsidR="00AB5B6B" w:rsidRDefault="00AB5B6B">
      <w:pPr>
        <w:spacing w:line="600" w:lineRule="exact"/>
        <w:ind w:firstLineChars="200" w:firstLine="600"/>
        <w:rPr>
          <w:rFonts w:ascii="仿宋_GB2312" w:eastAsia="仿宋_GB2312" w:hint="eastAsia"/>
          <w:sz w:val="30"/>
          <w:szCs w:val="30"/>
        </w:rPr>
      </w:pPr>
      <w:r>
        <w:rPr>
          <w:rFonts w:ascii="仿宋_GB2312" w:eastAsia="仿宋_GB2312" w:hint="eastAsia"/>
          <w:sz w:val="30"/>
        </w:rPr>
        <w:lastRenderedPageBreak/>
        <w:t>为了促进转融通业务顺利开展，保障证券出借人与证券借入人通过上海证券交易所（以下简称本所）的转融通证券出借交易有序进行，根据中国证券监督管理委员会（以下简称中国证监会）《转融通业务监督管理试行办法》</w:t>
      </w:r>
      <w:r>
        <w:rPr>
          <w:rFonts w:ascii="仿宋_GB2312" w:eastAsia="仿宋_GB2312" w:hint="eastAsia"/>
          <w:sz w:val="30"/>
          <w:szCs w:val="30"/>
        </w:rPr>
        <w:t>和《上海证券交易所转融通证券出借交易实施办法（试行）（2023年修订）》（以下简称《实施办法》）和相关规定，制定本指南。</w:t>
      </w:r>
      <w:bookmarkStart w:id="0" w:name="_Toc212023244"/>
    </w:p>
    <w:p w:rsidR="00AB5B6B" w:rsidRDefault="00AB5B6B">
      <w:pPr>
        <w:spacing w:line="600" w:lineRule="exact"/>
        <w:rPr>
          <w:rFonts w:ascii="仿宋_GB2312" w:eastAsia="仿宋_GB2312" w:hint="eastAsia"/>
          <w:sz w:val="30"/>
          <w:szCs w:val="30"/>
        </w:rPr>
      </w:pPr>
    </w:p>
    <w:p w:rsidR="00AB5B6B" w:rsidRDefault="00AB5B6B">
      <w:pPr>
        <w:spacing w:line="600" w:lineRule="exact"/>
        <w:jc w:val="center"/>
        <w:outlineLvl w:val="0"/>
        <w:rPr>
          <w:rFonts w:eastAsia="黑体" w:hint="eastAsia"/>
          <w:b/>
          <w:bCs/>
          <w:sz w:val="30"/>
        </w:rPr>
      </w:pPr>
      <w:bookmarkStart w:id="1" w:name="_Toc349227391"/>
      <w:r>
        <w:rPr>
          <w:rFonts w:eastAsia="黑体" w:hint="eastAsia"/>
          <w:b/>
          <w:bCs/>
          <w:sz w:val="30"/>
        </w:rPr>
        <w:t>第一章</w:t>
      </w:r>
      <w:bookmarkStart w:id="2" w:name="_Toc211418695"/>
      <w:r>
        <w:rPr>
          <w:rFonts w:eastAsia="黑体" w:hint="eastAsia"/>
          <w:b/>
          <w:bCs/>
          <w:sz w:val="30"/>
        </w:rPr>
        <w:t xml:space="preserve">  </w:t>
      </w:r>
      <w:r>
        <w:rPr>
          <w:rFonts w:eastAsia="黑体" w:hint="eastAsia"/>
          <w:b/>
          <w:bCs/>
          <w:sz w:val="30"/>
        </w:rPr>
        <w:t>转融通证券出借交易业务概述</w:t>
      </w:r>
      <w:bookmarkEnd w:id="1"/>
      <w:bookmarkEnd w:id="2"/>
    </w:p>
    <w:p w:rsidR="00AB5B6B" w:rsidRDefault="00AB5B6B">
      <w:pPr>
        <w:spacing w:line="600" w:lineRule="exact"/>
        <w:ind w:firstLineChars="200" w:firstLine="600"/>
        <w:rPr>
          <w:rFonts w:ascii="仿宋_GB2312" w:eastAsia="仿宋_GB2312" w:hint="eastAsia"/>
          <w:sz w:val="30"/>
          <w:szCs w:val="30"/>
        </w:rPr>
      </w:pPr>
      <w:r>
        <w:rPr>
          <w:rFonts w:ascii="仿宋_GB2312" w:eastAsia="仿宋_GB2312" w:hint="eastAsia"/>
          <w:sz w:val="30"/>
          <w:szCs w:val="30"/>
        </w:rPr>
        <w:t>本指南所称</w:t>
      </w:r>
      <w:r>
        <w:rPr>
          <w:rFonts w:ascii="仿宋_GB2312" w:eastAsia="仿宋_GB2312" w:hint="eastAsia"/>
          <w:sz w:val="30"/>
        </w:rPr>
        <w:t>转融通证券出借交易业务（以下简称证券出借），是指证券出借人（以下简称出借人）以一定的费率通过本所综合业务平台向证券借入人（以下简称借入人）出借本所上市证券，借入人到期归还所借证券及其相应权益补偿并支付费用的业务。中国证券金融股份有限公司（以下简称证券金融公司）是证券出借的借入人。</w:t>
      </w:r>
    </w:p>
    <w:p w:rsidR="00AB5B6B" w:rsidRDefault="00AB5B6B">
      <w:pPr>
        <w:spacing w:line="600" w:lineRule="exact"/>
        <w:ind w:firstLineChars="200" w:firstLine="600"/>
        <w:rPr>
          <w:rFonts w:ascii="仿宋_GB2312" w:eastAsia="仿宋_GB2312" w:hint="eastAsia"/>
          <w:sz w:val="30"/>
          <w:szCs w:val="30"/>
        </w:rPr>
      </w:pPr>
      <w:r>
        <w:rPr>
          <w:rFonts w:ascii="仿宋_GB2312" w:eastAsia="仿宋_GB2312" w:hint="eastAsia"/>
          <w:sz w:val="30"/>
          <w:szCs w:val="30"/>
        </w:rPr>
        <w:t>会员及其客户，</w:t>
      </w:r>
      <w:r>
        <w:rPr>
          <w:rFonts w:ascii="仿宋_GB2312" w:eastAsia="仿宋_GB2312" w:hint="eastAsia"/>
          <w:sz w:val="30"/>
        </w:rPr>
        <w:t>持有、租用本所交易单元的其他交易参与人（以下简称其他交易参与人）</w:t>
      </w:r>
      <w:r>
        <w:rPr>
          <w:rFonts w:ascii="仿宋_GB2312" w:eastAsia="仿宋_GB2312" w:hint="eastAsia"/>
          <w:sz w:val="30"/>
          <w:szCs w:val="30"/>
        </w:rPr>
        <w:t>办理与本所相关的证券出借业务，适用本指南。</w:t>
      </w:r>
    </w:p>
    <w:p w:rsidR="00AB5B6B" w:rsidRDefault="00AB5B6B">
      <w:pPr>
        <w:spacing w:line="600" w:lineRule="exact"/>
        <w:ind w:firstLineChars="200" w:firstLine="600"/>
        <w:rPr>
          <w:rFonts w:ascii="仿宋_GB2312" w:eastAsia="仿宋_GB2312" w:hint="eastAsia"/>
          <w:sz w:val="30"/>
          <w:szCs w:val="30"/>
        </w:rPr>
      </w:pPr>
      <w:r>
        <w:rPr>
          <w:rFonts w:ascii="仿宋_GB2312" w:eastAsia="仿宋_GB2312" w:hint="eastAsia"/>
          <w:sz w:val="30"/>
          <w:szCs w:val="30"/>
        </w:rPr>
        <w:t>证券出借的清算、交收、权益补偿、归还等业务，由中国证券登记结算有限责任公司根据有关规定办理。</w:t>
      </w:r>
    </w:p>
    <w:p w:rsidR="00AB5B6B" w:rsidRDefault="00AB5B6B" w:rsidP="00A6229F">
      <w:pPr>
        <w:spacing w:line="600" w:lineRule="exact"/>
        <w:ind w:firstLineChars="200" w:firstLine="600"/>
        <w:rPr>
          <w:rFonts w:ascii="仿宋_GB2312" w:eastAsia="仿宋_GB2312" w:hint="eastAsia"/>
          <w:b/>
          <w:sz w:val="30"/>
          <w:szCs w:val="30"/>
        </w:rPr>
      </w:pPr>
    </w:p>
    <w:p w:rsidR="00AB5B6B" w:rsidRDefault="00AB5B6B">
      <w:pPr>
        <w:spacing w:line="600" w:lineRule="exact"/>
        <w:jc w:val="center"/>
        <w:outlineLvl w:val="0"/>
        <w:rPr>
          <w:rFonts w:eastAsia="黑体" w:hint="eastAsia"/>
          <w:b/>
          <w:bCs/>
          <w:sz w:val="30"/>
        </w:rPr>
      </w:pPr>
      <w:bookmarkStart w:id="3" w:name="_Toc349227392"/>
      <w:r>
        <w:rPr>
          <w:rFonts w:eastAsia="黑体" w:hint="eastAsia"/>
          <w:b/>
          <w:bCs/>
          <w:sz w:val="30"/>
        </w:rPr>
        <w:t>第二章</w:t>
      </w:r>
      <w:r>
        <w:rPr>
          <w:rFonts w:eastAsia="黑体" w:hint="eastAsia"/>
          <w:b/>
          <w:bCs/>
          <w:sz w:val="30"/>
        </w:rPr>
        <w:t xml:space="preserve">  </w:t>
      </w:r>
      <w:r>
        <w:rPr>
          <w:rFonts w:eastAsia="黑体" w:hint="eastAsia"/>
          <w:b/>
          <w:bCs/>
          <w:sz w:val="30"/>
        </w:rPr>
        <w:t>交易权限申请</w:t>
      </w:r>
      <w:bookmarkEnd w:id="0"/>
      <w:r>
        <w:rPr>
          <w:rFonts w:eastAsia="黑体" w:hint="eastAsia"/>
          <w:b/>
          <w:bCs/>
          <w:sz w:val="30"/>
        </w:rPr>
        <w:t>与客户证券账户报备</w:t>
      </w:r>
      <w:bookmarkEnd w:id="3"/>
    </w:p>
    <w:p w:rsidR="00AB5B6B" w:rsidRDefault="00AB5B6B" w:rsidP="00A6229F">
      <w:pPr>
        <w:spacing w:line="520" w:lineRule="exact"/>
        <w:ind w:firstLineChars="200" w:firstLine="600"/>
        <w:rPr>
          <w:rFonts w:ascii="仿宋_GB2312" w:eastAsia="仿宋_GB2312" w:hAnsi="宋体" w:hint="eastAsia"/>
          <w:b/>
          <w:color w:val="000000"/>
          <w:kern w:val="0"/>
          <w:sz w:val="30"/>
          <w:szCs w:val="30"/>
        </w:rPr>
      </w:pPr>
      <w:bookmarkStart w:id="4" w:name="_Toc349227393"/>
      <w:r>
        <w:rPr>
          <w:rFonts w:ascii="仿宋_GB2312" w:eastAsia="仿宋_GB2312" w:hAnsi="宋体" w:hint="eastAsia"/>
          <w:b/>
          <w:color w:val="000000"/>
          <w:kern w:val="0"/>
          <w:sz w:val="30"/>
          <w:szCs w:val="30"/>
        </w:rPr>
        <w:t>一、交易权限申请</w:t>
      </w:r>
      <w:bookmarkEnd w:id="4"/>
    </w:p>
    <w:p w:rsidR="00AB5B6B" w:rsidRDefault="00AB5B6B">
      <w:pPr>
        <w:spacing w:line="600" w:lineRule="exact"/>
        <w:ind w:firstLineChars="230" w:firstLine="690"/>
        <w:rPr>
          <w:rFonts w:ascii="仿宋_GB2312" w:eastAsia="仿宋_GB2312" w:hint="eastAsia"/>
          <w:sz w:val="30"/>
          <w:szCs w:val="30"/>
        </w:rPr>
      </w:pPr>
      <w:r>
        <w:rPr>
          <w:rFonts w:ascii="仿宋_GB2312" w:eastAsia="仿宋_GB2312" w:hint="eastAsia"/>
          <w:sz w:val="30"/>
        </w:rPr>
        <w:t>会员为其客户提供证券出借代理服务的，应当在按照借入</w:t>
      </w:r>
      <w:r>
        <w:rPr>
          <w:rFonts w:ascii="仿宋_GB2312" w:eastAsia="仿宋_GB2312" w:hint="eastAsia"/>
          <w:sz w:val="30"/>
        </w:rPr>
        <w:lastRenderedPageBreak/>
        <w:t>人要求完成有关准备工作后，向本所申请交易权限</w:t>
      </w:r>
      <w:r>
        <w:rPr>
          <w:rFonts w:ascii="仿宋_GB2312" w:eastAsia="仿宋_GB2312" w:hint="eastAsia"/>
          <w:sz w:val="30"/>
          <w:szCs w:val="30"/>
        </w:rPr>
        <w:t>，需向本所会员部提交以下材料：</w:t>
      </w:r>
    </w:p>
    <w:p w:rsidR="00AB5B6B" w:rsidRDefault="00AB5B6B">
      <w:pPr>
        <w:spacing w:line="600" w:lineRule="exact"/>
        <w:ind w:firstLineChars="200" w:firstLine="600"/>
        <w:rPr>
          <w:rFonts w:ascii="仿宋_GB2312" w:eastAsia="仿宋_GB2312" w:hint="eastAsia"/>
          <w:sz w:val="30"/>
          <w:szCs w:val="30"/>
        </w:rPr>
      </w:pPr>
      <w:r>
        <w:rPr>
          <w:rFonts w:ascii="仿宋_GB2312" w:eastAsia="仿宋_GB2312" w:hint="eastAsia"/>
          <w:sz w:val="30"/>
          <w:szCs w:val="30"/>
        </w:rPr>
        <w:t>（一）</w:t>
      </w:r>
      <w:r>
        <w:rPr>
          <w:rFonts w:ascii="仿宋_GB2312" w:eastAsia="仿宋_GB2312" w:hint="eastAsia"/>
          <w:sz w:val="30"/>
        </w:rPr>
        <w:t>书面申请报告；</w:t>
      </w:r>
      <w:r>
        <w:rPr>
          <w:rFonts w:ascii="仿宋_GB2312" w:eastAsia="仿宋_GB2312" w:hint="eastAsia"/>
          <w:sz w:val="30"/>
          <w:szCs w:val="30"/>
        </w:rPr>
        <w:t xml:space="preserve"> </w:t>
      </w:r>
    </w:p>
    <w:p w:rsidR="00AB5B6B" w:rsidRDefault="00AB5B6B">
      <w:pPr>
        <w:spacing w:line="600" w:lineRule="exact"/>
        <w:ind w:firstLineChars="200" w:firstLine="600"/>
        <w:rPr>
          <w:rFonts w:ascii="仿宋_GB2312" w:eastAsia="仿宋_GB2312" w:hint="eastAsia"/>
          <w:sz w:val="30"/>
        </w:rPr>
      </w:pPr>
      <w:r>
        <w:rPr>
          <w:rFonts w:ascii="仿宋_GB2312" w:eastAsia="仿宋_GB2312" w:hint="eastAsia"/>
          <w:sz w:val="30"/>
          <w:szCs w:val="30"/>
        </w:rPr>
        <w:t>（二）</w:t>
      </w:r>
      <w:r>
        <w:rPr>
          <w:rFonts w:ascii="仿宋_GB2312" w:eastAsia="仿宋_GB2312" w:hint="eastAsia"/>
          <w:sz w:val="30"/>
        </w:rPr>
        <w:t>证券出借代理的内部管理制度；</w:t>
      </w:r>
    </w:p>
    <w:p w:rsidR="00AB5B6B" w:rsidRDefault="00AB5B6B">
      <w:pPr>
        <w:tabs>
          <w:tab w:val="left" w:pos="0"/>
          <w:tab w:val="left" w:pos="1680"/>
        </w:tabs>
        <w:spacing w:line="600" w:lineRule="exact"/>
        <w:ind w:firstLineChars="200" w:firstLine="600"/>
        <w:rPr>
          <w:rFonts w:ascii="仿宋_GB2312" w:eastAsia="仿宋_GB2312" w:hint="eastAsia"/>
          <w:sz w:val="30"/>
        </w:rPr>
      </w:pPr>
      <w:r>
        <w:rPr>
          <w:rFonts w:ascii="仿宋_GB2312" w:eastAsia="仿宋_GB2312" w:hint="eastAsia"/>
          <w:sz w:val="30"/>
        </w:rPr>
        <w:t>（三）负责证券出借的高级管理人员与业务人员名单及其联系方式；</w:t>
      </w:r>
    </w:p>
    <w:p w:rsidR="00AB5B6B" w:rsidRDefault="00AB5B6B">
      <w:pPr>
        <w:tabs>
          <w:tab w:val="left" w:pos="4980"/>
        </w:tabs>
        <w:spacing w:line="600" w:lineRule="exact"/>
        <w:ind w:firstLineChars="200" w:firstLine="600"/>
        <w:rPr>
          <w:rFonts w:ascii="仿宋_GB2312" w:eastAsia="仿宋_GB2312" w:hint="eastAsia"/>
          <w:sz w:val="30"/>
          <w:szCs w:val="30"/>
        </w:rPr>
      </w:pPr>
      <w:r>
        <w:rPr>
          <w:rFonts w:ascii="仿宋_GB2312" w:eastAsia="仿宋_GB2312" w:hint="eastAsia"/>
          <w:sz w:val="30"/>
        </w:rPr>
        <w:t>（四）</w:t>
      </w:r>
      <w:r>
        <w:rPr>
          <w:rFonts w:ascii="仿宋_GB2312" w:eastAsia="仿宋_GB2312" w:hint="eastAsia"/>
          <w:sz w:val="30"/>
          <w:szCs w:val="30"/>
        </w:rPr>
        <w:t>本所</w:t>
      </w:r>
      <w:r>
        <w:rPr>
          <w:rFonts w:ascii="仿宋_GB2312" w:eastAsia="仿宋_GB2312" w:hint="eastAsia"/>
          <w:sz w:val="30"/>
        </w:rPr>
        <w:t>要求提交的</w:t>
      </w:r>
      <w:r>
        <w:rPr>
          <w:rFonts w:ascii="仿宋_GB2312" w:eastAsia="仿宋_GB2312" w:hint="eastAsia"/>
          <w:sz w:val="30"/>
          <w:szCs w:val="30"/>
        </w:rPr>
        <w:t>其他材料。</w:t>
      </w:r>
    </w:p>
    <w:p w:rsidR="00AB5B6B" w:rsidRDefault="00AB5B6B">
      <w:pPr>
        <w:tabs>
          <w:tab w:val="left" w:pos="4980"/>
        </w:tabs>
        <w:spacing w:line="600" w:lineRule="exact"/>
        <w:ind w:firstLineChars="200" w:firstLine="600"/>
        <w:rPr>
          <w:rFonts w:ascii="仿宋_GB2312" w:eastAsia="仿宋_GB2312" w:hint="eastAsia"/>
          <w:sz w:val="30"/>
          <w:szCs w:val="30"/>
        </w:rPr>
      </w:pPr>
      <w:r>
        <w:rPr>
          <w:rFonts w:ascii="仿宋_GB2312" w:eastAsia="仿宋_GB2312" w:hint="eastAsia"/>
          <w:sz w:val="30"/>
        </w:rPr>
        <w:t>其他交易参与人如要向本所申请交易权限的，除上述材料外，还应当提交已知晓并理解相关证券出借风险的承诺函。</w:t>
      </w:r>
    </w:p>
    <w:p w:rsidR="00AB5B6B" w:rsidRDefault="00AB5B6B">
      <w:pPr>
        <w:tabs>
          <w:tab w:val="left" w:pos="4980"/>
        </w:tabs>
        <w:spacing w:line="600" w:lineRule="exact"/>
        <w:ind w:firstLineChars="200" w:firstLine="600"/>
        <w:rPr>
          <w:rFonts w:ascii="仿宋_GB2312" w:eastAsia="仿宋_GB2312" w:hint="eastAsia"/>
          <w:sz w:val="30"/>
          <w:szCs w:val="30"/>
        </w:rPr>
      </w:pPr>
      <w:r>
        <w:rPr>
          <w:rFonts w:ascii="仿宋_GB2312" w:eastAsia="仿宋_GB2312" w:hint="eastAsia"/>
          <w:sz w:val="30"/>
          <w:szCs w:val="30"/>
        </w:rPr>
        <w:t>上述申请材料应以</w:t>
      </w:r>
      <w:r>
        <w:rPr>
          <w:rFonts w:ascii="仿宋_GB2312" w:eastAsia="仿宋_GB2312"/>
          <w:sz w:val="30"/>
          <w:szCs w:val="30"/>
        </w:rPr>
        <w:t>电子文件</w:t>
      </w:r>
      <w:r>
        <w:rPr>
          <w:rFonts w:ascii="仿宋_GB2312" w:eastAsia="仿宋_GB2312" w:hint="eastAsia"/>
          <w:sz w:val="30"/>
          <w:szCs w:val="30"/>
        </w:rPr>
        <w:t>报送本所，其中，申请材料（一）及</w:t>
      </w:r>
      <w:r>
        <w:rPr>
          <w:rFonts w:ascii="仿宋_GB2312" w:eastAsia="仿宋_GB2312" w:hint="eastAsia"/>
          <w:sz w:val="30"/>
        </w:rPr>
        <w:t>承诺函</w:t>
      </w:r>
      <w:r>
        <w:rPr>
          <w:rFonts w:ascii="仿宋_GB2312" w:eastAsia="仿宋_GB2312" w:hint="eastAsia"/>
          <w:sz w:val="30"/>
          <w:szCs w:val="30"/>
        </w:rPr>
        <w:t>应加盖申请</w:t>
      </w:r>
      <w:r>
        <w:rPr>
          <w:rFonts w:ascii="仿宋_GB2312" w:eastAsia="仿宋_GB2312" w:hint="eastAsia"/>
          <w:sz w:val="30"/>
        </w:rPr>
        <w:t>人</w:t>
      </w:r>
      <w:r>
        <w:rPr>
          <w:rFonts w:ascii="仿宋_GB2312" w:eastAsia="仿宋_GB2312" w:hint="eastAsia"/>
          <w:sz w:val="30"/>
          <w:szCs w:val="30"/>
        </w:rPr>
        <w:t>公章。</w:t>
      </w:r>
    </w:p>
    <w:p w:rsidR="00AB5B6B" w:rsidRDefault="00AB5B6B">
      <w:pPr>
        <w:tabs>
          <w:tab w:val="left" w:pos="4980"/>
        </w:tabs>
        <w:spacing w:line="600" w:lineRule="exact"/>
        <w:ind w:firstLineChars="200" w:firstLine="600"/>
        <w:rPr>
          <w:rFonts w:ascii="仿宋_GB2312" w:eastAsia="仿宋_GB2312" w:hint="eastAsia"/>
          <w:sz w:val="30"/>
        </w:rPr>
      </w:pPr>
      <w:r>
        <w:rPr>
          <w:rFonts w:ascii="仿宋_GB2312" w:eastAsia="仿宋_GB2312" w:hint="eastAsia"/>
          <w:sz w:val="30"/>
        </w:rPr>
        <w:t>会员及其他交易参与人向本所申请交易权限前，应先与证券金融公司实现技术系统连接，按证券金融公司要求报备相关信息，并按照证券金融公司要求完成有关准备工作。</w:t>
      </w:r>
    </w:p>
    <w:p w:rsidR="00AB5B6B" w:rsidRDefault="00AB5B6B">
      <w:pPr>
        <w:spacing w:line="600" w:lineRule="exact"/>
        <w:ind w:firstLineChars="200" w:firstLine="600"/>
        <w:rPr>
          <w:rFonts w:ascii="仿宋_GB2312" w:eastAsia="仿宋_GB2312" w:hint="eastAsia"/>
          <w:sz w:val="30"/>
          <w:szCs w:val="30"/>
        </w:rPr>
      </w:pPr>
      <w:r>
        <w:rPr>
          <w:rFonts w:ascii="仿宋_GB2312" w:eastAsia="仿宋_GB2312" w:hint="eastAsia"/>
          <w:sz w:val="30"/>
          <w:szCs w:val="30"/>
        </w:rPr>
        <w:t>本所经审核，认为</w:t>
      </w:r>
      <w:r>
        <w:rPr>
          <w:rFonts w:ascii="仿宋_GB2312" w:eastAsia="仿宋_GB2312" w:hint="eastAsia"/>
          <w:sz w:val="30"/>
        </w:rPr>
        <w:t>会员及其他交易参与人</w:t>
      </w:r>
      <w:r>
        <w:rPr>
          <w:rFonts w:ascii="仿宋_GB2312" w:eastAsia="仿宋_GB2312" w:hint="eastAsia"/>
          <w:sz w:val="30"/>
          <w:szCs w:val="30"/>
        </w:rPr>
        <w:t>申请符合规定的，将向其发出确认其转融通出借交易权限的书面通知。</w:t>
      </w:r>
    </w:p>
    <w:p w:rsidR="00AB5B6B" w:rsidRDefault="00AB5B6B">
      <w:pPr>
        <w:spacing w:line="600" w:lineRule="exact"/>
        <w:ind w:firstLineChars="200" w:firstLine="600"/>
        <w:rPr>
          <w:rFonts w:ascii="仿宋_GB2312" w:eastAsia="仿宋_GB2312" w:hint="eastAsia"/>
          <w:sz w:val="30"/>
          <w:szCs w:val="30"/>
        </w:rPr>
      </w:pPr>
      <w:r>
        <w:rPr>
          <w:rFonts w:ascii="仿宋_GB2312" w:eastAsia="仿宋_GB2312" w:hint="eastAsia"/>
          <w:sz w:val="30"/>
          <w:szCs w:val="30"/>
        </w:rPr>
        <w:t>本所可根据需要，对</w:t>
      </w:r>
      <w:r>
        <w:rPr>
          <w:rFonts w:ascii="仿宋_GB2312" w:eastAsia="仿宋_GB2312" w:hint="eastAsia"/>
          <w:sz w:val="30"/>
        </w:rPr>
        <w:t>会员及其他交易参与人</w:t>
      </w:r>
      <w:r>
        <w:rPr>
          <w:rFonts w:ascii="仿宋_GB2312" w:eastAsia="仿宋_GB2312" w:hint="eastAsia"/>
          <w:sz w:val="30"/>
          <w:szCs w:val="30"/>
        </w:rPr>
        <w:t>转融通出借业务相关的内部控制制度、业务操作规范、风险管理措施、交易技术系统的安全运行状况</w:t>
      </w:r>
      <w:r>
        <w:rPr>
          <w:rFonts w:ascii="仿宋_GB2312" w:eastAsia="仿宋_GB2312" w:hint="eastAsia"/>
          <w:sz w:val="30"/>
        </w:rPr>
        <w:t>、本所相关规则的执行</w:t>
      </w:r>
      <w:r>
        <w:rPr>
          <w:rFonts w:ascii="仿宋_GB2312" w:eastAsia="仿宋_GB2312" w:hint="eastAsia"/>
          <w:sz w:val="30"/>
          <w:szCs w:val="30"/>
        </w:rPr>
        <w:t>等进行检查，作为转融通出借交易权限审核依据之一。</w:t>
      </w:r>
    </w:p>
    <w:p w:rsidR="00AB5B6B" w:rsidRDefault="00AB5B6B" w:rsidP="00A6229F">
      <w:pPr>
        <w:pStyle w:val="3"/>
        <w:tabs>
          <w:tab w:val="clear" w:pos="1280"/>
        </w:tabs>
        <w:spacing w:before="0" w:after="0" w:line="520" w:lineRule="exact"/>
        <w:ind w:left="0" w:firstLineChars="199" w:firstLine="597"/>
        <w:rPr>
          <w:rFonts w:ascii="仿宋_GB2312" w:eastAsia="仿宋_GB2312" w:hAnsi="宋体" w:hint="eastAsia"/>
          <w:bCs w:val="0"/>
          <w:color w:val="000000"/>
          <w:kern w:val="0"/>
          <w:sz w:val="30"/>
          <w:szCs w:val="30"/>
        </w:rPr>
      </w:pPr>
      <w:bookmarkStart w:id="5" w:name="_Toc349227394"/>
      <w:r>
        <w:rPr>
          <w:rFonts w:ascii="仿宋_GB2312" w:eastAsia="仿宋_GB2312" w:hAnsi="宋体" w:hint="eastAsia"/>
          <w:bCs w:val="0"/>
          <w:color w:val="000000"/>
          <w:kern w:val="0"/>
          <w:sz w:val="30"/>
          <w:szCs w:val="30"/>
        </w:rPr>
        <w:t>二、证券出借业务会员客户证券账户报备</w:t>
      </w:r>
      <w:bookmarkEnd w:id="5"/>
    </w:p>
    <w:p w:rsidR="00AB5B6B" w:rsidRDefault="00AB5B6B">
      <w:pPr>
        <w:spacing w:line="600" w:lineRule="exact"/>
        <w:ind w:firstLineChars="200" w:firstLine="600"/>
        <w:rPr>
          <w:rFonts w:ascii="仿宋_GB2312" w:eastAsia="仿宋_GB2312" w:hint="eastAsia"/>
          <w:color w:val="000000"/>
          <w:sz w:val="30"/>
        </w:rPr>
      </w:pPr>
      <w:r>
        <w:rPr>
          <w:rFonts w:ascii="仿宋_GB2312" w:eastAsia="仿宋_GB2312" w:hint="eastAsia"/>
          <w:color w:val="000000"/>
          <w:sz w:val="30"/>
        </w:rPr>
        <w:t>会员与客户签订委托代理协议前，应当向客户充分揭示证券出借风险，并与客户签署风险揭示书。会员应当将与其签订委托</w:t>
      </w:r>
      <w:r>
        <w:rPr>
          <w:rFonts w:ascii="仿宋_GB2312" w:eastAsia="仿宋_GB2312" w:hint="eastAsia"/>
          <w:color w:val="000000"/>
          <w:sz w:val="30"/>
        </w:rPr>
        <w:lastRenderedPageBreak/>
        <w:t>代理协议的客户证券账户报本所备案。T日报备的证券账户，T+1日可参与证券出借。</w:t>
      </w:r>
    </w:p>
    <w:p w:rsidR="00AB5B6B" w:rsidRDefault="00AB5B6B">
      <w:pPr>
        <w:spacing w:line="600" w:lineRule="exact"/>
        <w:ind w:firstLineChars="200" w:firstLine="600"/>
        <w:rPr>
          <w:rFonts w:ascii="仿宋_GB2312" w:eastAsia="仿宋_GB2312" w:hAnsi="宋体" w:hint="eastAsia"/>
          <w:color w:val="000000"/>
          <w:sz w:val="30"/>
          <w:szCs w:val="30"/>
        </w:rPr>
      </w:pPr>
      <w:r>
        <w:rPr>
          <w:rFonts w:ascii="仿宋_GB2312" w:eastAsia="仿宋_GB2312" w:hAnsi="宋体" w:hint="eastAsia"/>
          <w:color w:val="000000"/>
          <w:sz w:val="30"/>
          <w:szCs w:val="30"/>
        </w:rPr>
        <w:t>报备路径：本所网站--一网通办--会员机构--业务办理--数据报送--转融通证券出借交易业务--会员客户证券账户报备。</w:t>
      </w:r>
    </w:p>
    <w:p w:rsidR="00AB5B6B" w:rsidRDefault="00AB5B6B">
      <w:pPr>
        <w:spacing w:line="600" w:lineRule="exact"/>
        <w:ind w:leftChars="213" w:left="447" w:firstLineChars="50" w:firstLine="150"/>
        <w:rPr>
          <w:rFonts w:ascii="仿宋_GB2312" w:eastAsia="仿宋_GB2312" w:hAnsi="宋体" w:hint="eastAsia"/>
          <w:color w:val="000000"/>
          <w:sz w:val="30"/>
          <w:szCs w:val="30"/>
        </w:rPr>
      </w:pPr>
      <w:r>
        <w:rPr>
          <w:rFonts w:ascii="仿宋_GB2312" w:eastAsia="仿宋_GB2312" w:hAnsi="宋体" w:hint="eastAsia"/>
          <w:color w:val="000000"/>
          <w:sz w:val="30"/>
          <w:szCs w:val="30"/>
        </w:rPr>
        <w:t>权限：共用融资融券的EKEY权限。</w:t>
      </w:r>
    </w:p>
    <w:p w:rsidR="00AB5B6B" w:rsidRDefault="00AB5B6B">
      <w:pPr>
        <w:spacing w:line="600" w:lineRule="exact"/>
        <w:ind w:leftChars="213" w:left="447" w:firstLineChars="50" w:firstLine="150"/>
        <w:rPr>
          <w:rFonts w:ascii="仿宋_GB2312" w:eastAsia="仿宋_GB2312" w:hAnsi="宋体" w:hint="eastAsia"/>
          <w:color w:val="000000"/>
          <w:sz w:val="30"/>
          <w:szCs w:val="30"/>
        </w:rPr>
      </w:pPr>
      <w:r>
        <w:rPr>
          <w:rFonts w:ascii="仿宋_GB2312" w:eastAsia="仿宋_GB2312" w:hAnsi="宋体" w:hint="eastAsia"/>
          <w:color w:val="000000"/>
          <w:sz w:val="30"/>
          <w:szCs w:val="30"/>
        </w:rPr>
        <w:t>报送时间：每个交易日9:00-16:00。</w:t>
      </w:r>
    </w:p>
    <w:p w:rsidR="00AB5B6B" w:rsidRDefault="00AB5B6B">
      <w:pPr>
        <w:spacing w:line="600" w:lineRule="exact"/>
        <w:ind w:firstLineChars="200" w:firstLine="600"/>
        <w:rPr>
          <w:rFonts w:ascii="仿宋_GB2312" w:eastAsia="仿宋_GB2312" w:hAnsi="宋体" w:hint="eastAsia"/>
          <w:color w:val="000000"/>
          <w:sz w:val="30"/>
          <w:szCs w:val="30"/>
        </w:rPr>
      </w:pPr>
      <w:r>
        <w:rPr>
          <w:rFonts w:ascii="仿宋_GB2312" w:eastAsia="仿宋_GB2312" w:hAnsi="宋体" w:hint="eastAsia"/>
          <w:color w:val="000000"/>
          <w:sz w:val="30"/>
          <w:szCs w:val="30"/>
        </w:rPr>
        <w:t>说明：数据以增量方式报送，数据传送方向为单向上传，本所无应答文件反馈。</w:t>
      </w:r>
    </w:p>
    <w:p w:rsidR="00AB5B6B" w:rsidRDefault="00AB5B6B">
      <w:pPr>
        <w:spacing w:line="600" w:lineRule="exact"/>
        <w:ind w:firstLineChars="200" w:firstLine="600"/>
        <w:rPr>
          <w:rFonts w:ascii="仿宋_GB2312" w:eastAsia="仿宋_GB2312"/>
          <w:color w:val="000000"/>
          <w:sz w:val="30"/>
          <w:szCs w:val="30"/>
        </w:rPr>
      </w:pPr>
    </w:p>
    <w:p w:rsidR="00AB5B6B" w:rsidRDefault="00AB5B6B">
      <w:pPr>
        <w:spacing w:line="600" w:lineRule="exact"/>
        <w:jc w:val="center"/>
        <w:outlineLvl w:val="0"/>
        <w:rPr>
          <w:rFonts w:eastAsia="黑体" w:hint="eastAsia"/>
          <w:b/>
          <w:bCs/>
          <w:sz w:val="30"/>
        </w:rPr>
      </w:pPr>
      <w:bookmarkStart w:id="6" w:name="_Toc212023246"/>
      <w:bookmarkStart w:id="7" w:name="_Toc349227395"/>
      <w:r>
        <w:rPr>
          <w:rFonts w:eastAsia="黑体" w:hint="eastAsia"/>
          <w:b/>
          <w:bCs/>
          <w:sz w:val="30"/>
        </w:rPr>
        <w:t>第三章</w:t>
      </w:r>
      <w:r>
        <w:rPr>
          <w:rFonts w:eastAsia="黑体" w:hint="eastAsia"/>
          <w:b/>
          <w:bCs/>
          <w:sz w:val="30"/>
        </w:rPr>
        <w:t xml:space="preserve">  </w:t>
      </w:r>
      <w:r>
        <w:rPr>
          <w:rFonts w:eastAsia="黑体" w:hint="eastAsia"/>
          <w:b/>
          <w:bCs/>
          <w:sz w:val="30"/>
        </w:rPr>
        <w:t>交易</w:t>
      </w:r>
      <w:bookmarkEnd w:id="6"/>
      <w:r>
        <w:rPr>
          <w:rFonts w:eastAsia="黑体" w:hint="eastAsia"/>
          <w:b/>
          <w:bCs/>
          <w:sz w:val="30"/>
        </w:rPr>
        <w:t>流程</w:t>
      </w:r>
      <w:bookmarkEnd w:id="7"/>
    </w:p>
    <w:p w:rsidR="00AB5B6B" w:rsidRDefault="00AB5B6B" w:rsidP="00A6229F">
      <w:pPr>
        <w:pStyle w:val="3"/>
        <w:tabs>
          <w:tab w:val="clear" w:pos="1280"/>
        </w:tabs>
        <w:spacing w:before="0" w:after="0" w:line="520" w:lineRule="exact"/>
        <w:ind w:left="0" w:firstLineChars="199" w:firstLine="597"/>
        <w:rPr>
          <w:rFonts w:ascii="仿宋_GB2312" w:eastAsia="仿宋_GB2312" w:hAnsi="宋体" w:hint="eastAsia"/>
          <w:bCs w:val="0"/>
          <w:color w:val="000000"/>
          <w:kern w:val="0"/>
          <w:sz w:val="30"/>
          <w:szCs w:val="30"/>
        </w:rPr>
      </w:pPr>
      <w:bookmarkStart w:id="8" w:name="_Toc349227396"/>
      <w:bookmarkStart w:id="9" w:name="_Toc212023247"/>
      <w:r>
        <w:rPr>
          <w:rFonts w:ascii="仿宋_GB2312" w:eastAsia="仿宋_GB2312" w:hAnsi="宋体" w:hint="eastAsia"/>
          <w:bCs w:val="0"/>
          <w:color w:val="000000"/>
          <w:kern w:val="0"/>
          <w:sz w:val="30"/>
          <w:szCs w:val="30"/>
        </w:rPr>
        <w:t>一、委托与申报</w:t>
      </w:r>
      <w:bookmarkEnd w:id="8"/>
    </w:p>
    <w:p w:rsidR="00AB5B6B" w:rsidRDefault="00AB5B6B">
      <w:pPr>
        <w:spacing w:line="600" w:lineRule="exact"/>
        <w:ind w:firstLineChars="200" w:firstLine="600"/>
        <w:rPr>
          <w:rFonts w:ascii="仿宋_GB2312" w:eastAsia="仿宋_GB2312" w:hint="eastAsia"/>
          <w:sz w:val="30"/>
          <w:szCs w:val="30"/>
        </w:rPr>
      </w:pPr>
      <w:r>
        <w:rPr>
          <w:rFonts w:ascii="仿宋_GB2312" w:eastAsia="仿宋_GB2312" w:hint="eastAsia"/>
          <w:sz w:val="30"/>
          <w:szCs w:val="30"/>
        </w:rPr>
        <w:t>会员可以接受客户普通证券账户的证券出借委托。其他交易参与人可以直接通过其交易单元进行证券出借申报。借入人直接通过其交易单元进行证券借入申报。</w:t>
      </w:r>
    </w:p>
    <w:p w:rsidR="00AB5B6B" w:rsidRDefault="00AB5B6B">
      <w:pPr>
        <w:spacing w:line="600" w:lineRule="exact"/>
        <w:ind w:firstLineChars="200" w:firstLine="600"/>
        <w:rPr>
          <w:rFonts w:ascii="仿宋_GB2312" w:eastAsia="仿宋_GB2312" w:hint="eastAsia"/>
          <w:sz w:val="30"/>
          <w:szCs w:val="30"/>
        </w:rPr>
      </w:pPr>
      <w:r>
        <w:rPr>
          <w:rFonts w:ascii="仿宋_GB2312" w:eastAsia="仿宋_GB2312" w:hint="eastAsia"/>
          <w:sz w:val="30"/>
          <w:szCs w:val="30"/>
        </w:rPr>
        <w:t>证券出借委托与申报分为非约定申报和约定申报两种类型。会员接受客户证券出借委托，应当按照本所规定的格式申报。其他交易参与人和借入人应当按照本所规定的格式申报。</w:t>
      </w:r>
    </w:p>
    <w:p w:rsidR="00AB5B6B" w:rsidRDefault="00AB5B6B">
      <w:pPr>
        <w:spacing w:line="600" w:lineRule="exact"/>
        <w:ind w:firstLineChars="200" w:firstLine="600"/>
        <w:rPr>
          <w:rFonts w:ascii="仿宋_GB2312" w:eastAsia="仿宋_GB2312" w:hint="eastAsia"/>
          <w:sz w:val="30"/>
          <w:szCs w:val="30"/>
        </w:rPr>
      </w:pPr>
      <w:r>
        <w:rPr>
          <w:rFonts w:ascii="仿宋_GB2312" w:eastAsia="仿宋_GB2312" w:hint="eastAsia"/>
          <w:sz w:val="30"/>
          <w:szCs w:val="30"/>
        </w:rPr>
        <w:t>非约定申报指令，应当包括证券账号、证券代码、期限、出借或借入、费率、证券数量、交易单元代码等内容。方向为F的，表示借入申报；方向为G的，表示借出申报。</w:t>
      </w:r>
    </w:p>
    <w:p w:rsidR="00AB5B6B" w:rsidRDefault="00AB5B6B">
      <w:pPr>
        <w:spacing w:line="600" w:lineRule="exact"/>
        <w:ind w:firstLineChars="200" w:firstLine="600"/>
        <w:rPr>
          <w:rFonts w:ascii="仿宋_GB2312" w:eastAsia="仿宋_GB2312" w:hint="eastAsia"/>
          <w:sz w:val="30"/>
          <w:szCs w:val="30"/>
        </w:rPr>
      </w:pPr>
      <w:r>
        <w:rPr>
          <w:rFonts w:ascii="仿宋_GB2312" w:eastAsia="仿宋_GB2312" w:hint="eastAsia"/>
          <w:sz w:val="30"/>
          <w:szCs w:val="30"/>
        </w:rPr>
        <w:t>约定申报指令，应当包括证券账号、证券代码、期限、出借或借入、费率、证券数量、本方交易单元代码、对手方交易单元代码、约定号等内容。约定号由借入人统一分发。方向为F的，</w:t>
      </w:r>
      <w:r>
        <w:rPr>
          <w:rFonts w:ascii="仿宋_GB2312" w:eastAsia="仿宋_GB2312" w:hint="eastAsia"/>
          <w:sz w:val="30"/>
          <w:szCs w:val="30"/>
        </w:rPr>
        <w:lastRenderedPageBreak/>
        <w:t>表示借入申报；方向为G的，表示借出申报。</w:t>
      </w:r>
    </w:p>
    <w:p w:rsidR="00AB5B6B" w:rsidRDefault="00AB5B6B" w:rsidP="00A6229F">
      <w:pPr>
        <w:pStyle w:val="3"/>
        <w:tabs>
          <w:tab w:val="clear" w:pos="1280"/>
        </w:tabs>
        <w:spacing w:before="0" w:after="0" w:line="520" w:lineRule="exact"/>
        <w:ind w:left="0" w:firstLineChars="199" w:firstLine="597"/>
        <w:rPr>
          <w:rFonts w:ascii="仿宋_GB2312" w:eastAsia="仿宋_GB2312" w:hAnsi="宋体" w:hint="eastAsia"/>
          <w:bCs w:val="0"/>
          <w:color w:val="000000"/>
          <w:kern w:val="0"/>
          <w:sz w:val="30"/>
          <w:szCs w:val="30"/>
        </w:rPr>
      </w:pPr>
      <w:bookmarkStart w:id="10" w:name="_Toc349227397"/>
      <w:r>
        <w:rPr>
          <w:rFonts w:ascii="仿宋_GB2312" w:eastAsia="仿宋_GB2312" w:hAnsi="宋体" w:hint="eastAsia"/>
          <w:bCs w:val="0"/>
          <w:color w:val="000000"/>
          <w:kern w:val="0"/>
          <w:sz w:val="30"/>
          <w:szCs w:val="30"/>
        </w:rPr>
        <w:t>二、交易前端控制</w:t>
      </w:r>
      <w:bookmarkEnd w:id="10"/>
    </w:p>
    <w:p w:rsidR="00AB5B6B" w:rsidRDefault="00AB5B6B">
      <w:pPr>
        <w:spacing w:line="600" w:lineRule="exact"/>
        <w:ind w:firstLineChars="200" w:firstLine="600"/>
        <w:rPr>
          <w:rFonts w:ascii="仿宋_GB2312" w:eastAsia="仿宋_GB2312" w:hint="eastAsia"/>
          <w:sz w:val="30"/>
          <w:szCs w:val="30"/>
        </w:rPr>
      </w:pPr>
      <w:r>
        <w:rPr>
          <w:rFonts w:ascii="仿宋_GB2312" w:eastAsia="仿宋_GB2312" w:hint="eastAsia"/>
          <w:sz w:val="30"/>
          <w:szCs w:val="30"/>
        </w:rPr>
        <w:t>会员和其他交易参与人应当建立由总部集中管理的证券出借业务技术系统，对证券出借业务的主要流程进行自动化管理，并在现有普通交易前端检查的基础上，增加对包括但不限于下列有关事项进行前端检查：</w:t>
      </w:r>
    </w:p>
    <w:p w:rsidR="00AB5B6B" w:rsidRDefault="00AB5B6B">
      <w:pPr>
        <w:spacing w:line="600" w:lineRule="exact"/>
        <w:ind w:firstLineChars="200" w:firstLine="600"/>
        <w:rPr>
          <w:rFonts w:ascii="仿宋_GB2312" w:eastAsia="仿宋_GB2312" w:hint="eastAsia"/>
          <w:sz w:val="30"/>
          <w:szCs w:val="30"/>
        </w:rPr>
      </w:pPr>
      <w:r>
        <w:rPr>
          <w:rFonts w:ascii="仿宋_GB2312" w:eastAsia="仿宋_GB2312" w:hint="eastAsia"/>
          <w:sz w:val="30"/>
          <w:szCs w:val="30"/>
        </w:rPr>
        <w:t>（一）对已申报出借的证券，在其撤销申报指令前限制其卖出或者另作他用；</w:t>
      </w:r>
    </w:p>
    <w:p w:rsidR="00AB5B6B" w:rsidRDefault="00AB5B6B">
      <w:pPr>
        <w:spacing w:line="600" w:lineRule="exact"/>
        <w:ind w:firstLineChars="200" w:firstLine="600"/>
        <w:rPr>
          <w:rFonts w:ascii="仿宋_GB2312" w:eastAsia="仿宋_GB2312" w:hint="eastAsia"/>
          <w:sz w:val="30"/>
          <w:szCs w:val="30"/>
        </w:rPr>
      </w:pPr>
      <w:r>
        <w:rPr>
          <w:rFonts w:ascii="仿宋_GB2312" w:eastAsia="仿宋_GB2312" w:hint="eastAsia"/>
          <w:sz w:val="30"/>
          <w:szCs w:val="30"/>
        </w:rPr>
        <w:t>（二）出借申报的数量应当为100股（份）的整数倍，最低单笔申报数量不得低于1000股（份），最大单笔申报数量不得超过1000万股（份）。</w:t>
      </w:r>
    </w:p>
    <w:p w:rsidR="00AB5B6B" w:rsidRDefault="00AB5B6B">
      <w:pPr>
        <w:spacing w:line="600" w:lineRule="exact"/>
        <w:ind w:firstLineChars="200" w:firstLine="600"/>
        <w:rPr>
          <w:rFonts w:ascii="仿宋_GB2312" w:eastAsia="仿宋_GB2312" w:hint="eastAsia"/>
          <w:sz w:val="30"/>
          <w:szCs w:val="30"/>
        </w:rPr>
      </w:pPr>
      <w:r>
        <w:rPr>
          <w:rFonts w:ascii="仿宋_GB2312" w:eastAsia="仿宋_GB2312" w:hint="eastAsia"/>
          <w:sz w:val="30"/>
          <w:szCs w:val="30"/>
        </w:rPr>
        <w:t>借入人应当建立相关技术系统，并制定相应的安全运行管理制度和应急处理预案。对证券借入交易业务的主要流程进行自动化管理，并对包括但不限于下列有关事项进行前端检查：</w:t>
      </w:r>
    </w:p>
    <w:p w:rsidR="00AB5B6B" w:rsidRDefault="00AB5B6B">
      <w:pPr>
        <w:spacing w:line="600" w:lineRule="exact"/>
        <w:ind w:firstLineChars="200" w:firstLine="600"/>
        <w:rPr>
          <w:rFonts w:ascii="仿宋_GB2312" w:eastAsia="仿宋_GB2312" w:hint="eastAsia"/>
          <w:sz w:val="30"/>
          <w:szCs w:val="30"/>
        </w:rPr>
      </w:pPr>
      <w:r>
        <w:rPr>
          <w:rFonts w:ascii="仿宋_GB2312" w:eastAsia="仿宋_GB2312" w:hint="eastAsia"/>
          <w:sz w:val="30"/>
          <w:szCs w:val="30"/>
        </w:rPr>
        <w:t>（一）借入申报的数量应当为100股（份）的整数倍，最低单笔申报数量不得低于1000股（份），最大单笔申报数量不得超过1亿股（份）；</w:t>
      </w:r>
    </w:p>
    <w:p w:rsidR="00AB5B6B" w:rsidRDefault="00AB5B6B">
      <w:pPr>
        <w:spacing w:line="600" w:lineRule="exact"/>
        <w:ind w:firstLineChars="200" w:firstLine="600"/>
        <w:rPr>
          <w:rFonts w:ascii="仿宋_GB2312" w:eastAsia="仿宋_GB2312" w:hint="eastAsia"/>
          <w:sz w:val="30"/>
          <w:szCs w:val="30"/>
        </w:rPr>
      </w:pPr>
      <w:r>
        <w:rPr>
          <w:rFonts w:ascii="仿宋_GB2312" w:eastAsia="仿宋_GB2312" w:hint="eastAsia"/>
          <w:sz w:val="30"/>
          <w:szCs w:val="30"/>
        </w:rPr>
        <w:t>（二）转融券专用证券账户不得借入除本所公布的融券卖出标的证券范围以外的证券。</w:t>
      </w:r>
    </w:p>
    <w:p w:rsidR="00AB5B6B" w:rsidRDefault="00AB5B6B">
      <w:pPr>
        <w:spacing w:line="600" w:lineRule="exact"/>
        <w:ind w:firstLineChars="200" w:firstLine="600"/>
        <w:rPr>
          <w:rFonts w:ascii="仿宋_GB2312" w:eastAsia="仿宋_GB2312" w:hint="eastAsia"/>
          <w:sz w:val="30"/>
          <w:szCs w:val="30"/>
        </w:rPr>
      </w:pPr>
      <w:r>
        <w:rPr>
          <w:rFonts w:ascii="仿宋_GB2312" w:eastAsia="仿宋_GB2312" w:hint="eastAsia"/>
          <w:sz w:val="30"/>
          <w:szCs w:val="30"/>
        </w:rPr>
        <w:t>本所对客户证券账户报备进行事后检查，会员应做好相关前端控制，确保只有报备过的证券账户才能进行证券出借。</w:t>
      </w:r>
    </w:p>
    <w:p w:rsidR="00AB5B6B" w:rsidRDefault="00AB5B6B">
      <w:pPr>
        <w:spacing w:line="600" w:lineRule="exact"/>
        <w:ind w:firstLineChars="200" w:firstLine="600"/>
        <w:rPr>
          <w:rFonts w:ascii="仿宋_GB2312" w:eastAsia="仿宋_GB2312" w:hint="eastAsia"/>
          <w:sz w:val="30"/>
          <w:szCs w:val="30"/>
        </w:rPr>
      </w:pPr>
      <w:r>
        <w:rPr>
          <w:rFonts w:ascii="仿宋_GB2312" w:eastAsia="仿宋_GB2312" w:hint="eastAsia"/>
          <w:sz w:val="30"/>
          <w:szCs w:val="30"/>
        </w:rPr>
        <w:t>本所对证券出借权限不实行技术前端控制，会员和其他交易参与人应做好相关前端控制，确保在完成与证券金融公司的技术</w:t>
      </w:r>
      <w:r>
        <w:rPr>
          <w:rFonts w:ascii="仿宋_GB2312" w:eastAsia="仿宋_GB2312" w:hint="eastAsia"/>
          <w:sz w:val="30"/>
          <w:szCs w:val="30"/>
        </w:rPr>
        <w:lastRenderedPageBreak/>
        <w:t>连接和完成本所交易权限申请之后才进行证券出借。</w:t>
      </w:r>
    </w:p>
    <w:p w:rsidR="00AB5B6B" w:rsidRDefault="00AB5B6B">
      <w:pPr>
        <w:spacing w:line="600" w:lineRule="exact"/>
        <w:ind w:firstLineChars="200" w:firstLine="600"/>
        <w:rPr>
          <w:rFonts w:ascii="仿宋_GB2312" w:eastAsia="仿宋_GB2312" w:hint="eastAsia"/>
          <w:sz w:val="30"/>
          <w:szCs w:val="30"/>
        </w:rPr>
      </w:pPr>
      <w:r>
        <w:rPr>
          <w:rFonts w:ascii="仿宋_GB2312" w:eastAsia="仿宋_GB2312" w:hint="eastAsia"/>
          <w:sz w:val="30"/>
          <w:szCs w:val="30"/>
        </w:rPr>
        <w:t>会员违反前端控制相关要求的，本所可视情况依据《实施办法》等规定对其采取相应监管措施或纪律处分。</w:t>
      </w:r>
    </w:p>
    <w:p w:rsidR="00AB5B6B" w:rsidRDefault="00AB5B6B" w:rsidP="00A6229F">
      <w:pPr>
        <w:pStyle w:val="3"/>
        <w:tabs>
          <w:tab w:val="clear" w:pos="1280"/>
        </w:tabs>
        <w:spacing w:before="0" w:after="0" w:line="520" w:lineRule="exact"/>
        <w:ind w:left="0" w:firstLineChars="199" w:firstLine="597"/>
        <w:rPr>
          <w:rFonts w:ascii="仿宋_GB2312" w:eastAsia="仿宋_GB2312" w:hAnsi="宋体" w:hint="eastAsia"/>
          <w:bCs w:val="0"/>
          <w:color w:val="000000"/>
          <w:kern w:val="0"/>
          <w:sz w:val="30"/>
          <w:szCs w:val="30"/>
        </w:rPr>
      </w:pPr>
      <w:bookmarkStart w:id="11" w:name="_Toc349227398"/>
      <w:r>
        <w:rPr>
          <w:rFonts w:ascii="仿宋_GB2312" w:eastAsia="仿宋_GB2312" w:hAnsi="宋体" w:hint="eastAsia"/>
          <w:bCs w:val="0"/>
          <w:color w:val="000000"/>
          <w:kern w:val="0"/>
          <w:sz w:val="30"/>
          <w:szCs w:val="30"/>
        </w:rPr>
        <w:t>三、成交</w:t>
      </w:r>
      <w:bookmarkEnd w:id="11"/>
    </w:p>
    <w:p w:rsidR="00AB5B6B" w:rsidRDefault="00AB5B6B">
      <w:pPr>
        <w:spacing w:line="600" w:lineRule="exact"/>
        <w:ind w:firstLineChars="200" w:firstLine="600"/>
        <w:rPr>
          <w:rFonts w:ascii="仿宋_GB2312" w:eastAsia="仿宋_GB2312" w:hint="eastAsia"/>
          <w:sz w:val="30"/>
          <w:szCs w:val="30"/>
        </w:rPr>
      </w:pPr>
      <w:r>
        <w:rPr>
          <w:rFonts w:ascii="仿宋_GB2312" w:eastAsia="仿宋_GB2312" w:hint="eastAsia"/>
          <w:sz w:val="30"/>
          <w:szCs w:val="30"/>
        </w:rPr>
        <w:t>对于证券出借业务，撮合成交后返回的成交回报为客户普通证券账户的成交记录。</w:t>
      </w:r>
    </w:p>
    <w:p w:rsidR="00AB5B6B" w:rsidRDefault="00AB5B6B">
      <w:pPr>
        <w:spacing w:line="600" w:lineRule="exact"/>
        <w:ind w:firstLineChars="200" w:firstLine="600"/>
        <w:rPr>
          <w:rFonts w:ascii="仿宋_GB2312" w:eastAsia="仿宋_GB2312" w:hint="eastAsia"/>
          <w:sz w:val="30"/>
          <w:szCs w:val="30"/>
        </w:rPr>
      </w:pPr>
      <w:r>
        <w:rPr>
          <w:rFonts w:ascii="仿宋_GB2312" w:eastAsia="仿宋_GB2312" w:hint="eastAsia"/>
          <w:sz w:val="30"/>
          <w:szCs w:val="30"/>
        </w:rPr>
        <w:t>本所发送的闭市过户文件将体现订单的业务类型。</w:t>
      </w:r>
    </w:p>
    <w:p w:rsidR="00AB5B6B" w:rsidRDefault="00AB5B6B">
      <w:pPr>
        <w:spacing w:line="600" w:lineRule="exact"/>
        <w:ind w:firstLineChars="200" w:firstLine="600"/>
        <w:rPr>
          <w:rFonts w:ascii="仿宋_GB2312" w:eastAsia="仿宋_GB2312" w:hint="eastAsia"/>
          <w:sz w:val="30"/>
          <w:szCs w:val="30"/>
        </w:rPr>
      </w:pPr>
      <w:r>
        <w:rPr>
          <w:rFonts w:ascii="仿宋_GB2312" w:eastAsia="仿宋_GB2312" w:hint="eastAsia"/>
          <w:sz w:val="30"/>
          <w:szCs w:val="30"/>
        </w:rPr>
        <w:t>相关技术细节详见《上海证券交易所综合业务平台市场参与者接口规格说明书》和《中国证券金融公司系统接口规格说明书》。</w:t>
      </w:r>
    </w:p>
    <w:p w:rsidR="00AB5B6B" w:rsidRDefault="00AB5B6B" w:rsidP="00A6229F">
      <w:pPr>
        <w:pStyle w:val="3"/>
        <w:tabs>
          <w:tab w:val="clear" w:pos="1280"/>
        </w:tabs>
        <w:spacing w:before="0" w:after="0" w:line="520" w:lineRule="exact"/>
        <w:ind w:left="0" w:firstLineChars="199" w:firstLine="597"/>
        <w:rPr>
          <w:rFonts w:ascii="仿宋_GB2312" w:eastAsia="仿宋_GB2312" w:hAnsi="宋体" w:hint="eastAsia"/>
          <w:bCs w:val="0"/>
          <w:color w:val="000000"/>
          <w:kern w:val="0"/>
          <w:sz w:val="30"/>
          <w:szCs w:val="30"/>
        </w:rPr>
      </w:pPr>
      <w:bookmarkStart w:id="12" w:name="_Toc349227399"/>
      <w:r>
        <w:rPr>
          <w:rFonts w:ascii="仿宋_GB2312" w:eastAsia="仿宋_GB2312" w:hAnsi="宋体" w:hint="eastAsia"/>
          <w:bCs w:val="0"/>
          <w:color w:val="000000"/>
          <w:kern w:val="0"/>
          <w:sz w:val="30"/>
          <w:szCs w:val="30"/>
        </w:rPr>
        <w:t>四、出借证券的归还、权益补偿和借券费用支付</w:t>
      </w:r>
      <w:bookmarkEnd w:id="12"/>
    </w:p>
    <w:p w:rsidR="00AB5B6B" w:rsidRDefault="00AB5B6B">
      <w:pPr>
        <w:spacing w:line="600" w:lineRule="exact"/>
        <w:ind w:firstLineChars="200" w:firstLine="600"/>
        <w:rPr>
          <w:rFonts w:ascii="仿宋_GB2312" w:eastAsia="仿宋_GB2312" w:hAnsi="宋体" w:hint="eastAsia"/>
          <w:color w:val="000000"/>
          <w:kern w:val="0"/>
          <w:sz w:val="30"/>
          <w:szCs w:val="30"/>
          <w:lang w:val="en-GB"/>
        </w:rPr>
      </w:pPr>
      <w:r>
        <w:rPr>
          <w:rFonts w:ascii="仿宋_GB2312" w:eastAsia="仿宋_GB2312" w:hint="eastAsia"/>
          <w:sz w:val="30"/>
          <w:szCs w:val="30"/>
        </w:rPr>
        <w:t>出借证券的归还、权益补偿和借券费用支付</w:t>
      </w:r>
      <w:r>
        <w:rPr>
          <w:rFonts w:ascii="仿宋_GB2312" w:eastAsia="仿宋_GB2312" w:hAnsi="宋体" w:hint="eastAsia"/>
          <w:color w:val="000000"/>
          <w:kern w:val="0"/>
          <w:sz w:val="30"/>
          <w:szCs w:val="30"/>
          <w:lang w:val="en-GB"/>
        </w:rPr>
        <w:t>，由中国证券登记结算有限责任公司根据证券金融公司的指令进行相关证券划转和资金划转。</w:t>
      </w:r>
    </w:p>
    <w:p w:rsidR="00AB5B6B" w:rsidRDefault="00AB5B6B">
      <w:pPr>
        <w:spacing w:line="600" w:lineRule="exact"/>
        <w:ind w:firstLineChars="200" w:firstLine="600"/>
        <w:rPr>
          <w:rFonts w:ascii="仿宋_GB2312" w:eastAsia="仿宋_GB2312" w:hAnsi="宋体" w:hint="eastAsia"/>
          <w:color w:val="000000"/>
          <w:kern w:val="0"/>
          <w:sz w:val="30"/>
          <w:szCs w:val="30"/>
          <w:lang w:val="en-GB"/>
        </w:rPr>
      </w:pPr>
    </w:p>
    <w:p w:rsidR="00AB5B6B" w:rsidRDefault="00AB5B6B">
      <w:pPr>
        <w:spacing w:line="600" w:lineRule="exact"/>
        <w:jc w:val="center"/>
        <w:outlineLvl w:val="0"/>
        <w:rPr>
          <w:rFonts w:eastAsia="黑体" w:hint="eastAsia"/>
          <w:b/>
          <w:bCs/>
          <w:sz w:val="30"/>
        </w:rPr>
      </w:pPr>
      <w:bookmarkStart w:id="13" w:name="_Toc349227400"/>
      <w:r>
        <w:rPr>
          <w:rFonts w:eastAsia="黑体" w:hint="eastAsia"/>
          <w:b/>
          <w:bCs/>
          <w:sz w:val="30"/>
        </w:rPr>
        <w:t>第四章</w:t>
      </w:r>
      <w:r>
        <w:rPr>
          <w:rFonts w:eastAsia="黑体" w:hint="eastAsia"/>
          <w:b/>
          <w:bCs/>
          <w:sz w:val="30"/>
        </w:rPr>
        <w:t xml:space="preserve">  </w:t>
      </w:r>
      <w:r>
        <w:rPr>
          <w:rFonts w:eastAsia="黑体" w:hint="eastAsia"/>
          <w:b/>
          <w:bCs/>
          <w:sz w:val="30"/>
        </w:rPr>
        <w:t>标的证券、期限与费率</w:t>
      </w:r>
      <w:bookmarkEnd w:id="9"/>
      <w:bookmarkEnd w:id="13"/>
    </w:p>
    <w:p w:rsidR="00AB5B6B" w:rsidRDefault="00AB5B6B" w:rsidP="00A6229F">
      <w:pPr>
        <w:pStyle w:val="3"/>
        <w:tabs>
          <w:tab w:val="clear" w:pos="1280"/>
        </w:tabs>
        <w:spacing w:before="0" w:after="0" w:line="520" w:lineRule="exact"/>
        <w:ind w:left="0" w:firstLineChars="199" w:firstLine="597"/>
        <w:rPr>
          <w:rFonts w:ascii="仿宋_GB2312" w:eastAsia="仿宋_GB2312" w:hAnsi="宋体" w:hint="eastAsia"/>
          <w:bCs w:val="0"/>
          <w:color w:val="000000"/>
          <w:kern w:val="0"/>
          <w:sz w:val="30"/>
          <w:szCs w:val="30"/>
        </w:rPr>
      </w:pPr>
      <w:bookmarkStart w:id="14" w:name="_Toc349227401"/>
      <w:r>
        <w:rPr>
          <w:rFonts w:ascii="仿宋_GB2312" w:eastAsia="仿宋_GB2312" w:hAnsi="宋体" w:hint="eastAsia"/>
          <w:bCs w:val="0"/>
          <w:color w:val="000000"/>
          <w:kern w:val="0"/>
          <w:sz w:val="30"/>
          <w:szCs w:val="30"/>
        </w:rPr>
        <w:t>一、标的证券与期限</w:t>
      </w:r>
      <w:bookmarkEnd w:id="14"/>
    </w:p>
    <w:p w:rsidR="00AB5B6B" w:rsidRDefault="00AB5B6B">
      <w:pPr>
        <w:tabs>
          <w:tab w:val="left" w:pos="0"/>
          <w:tab w:val="left" w:pos="1680"/>
        </w:tabs>
        <w:spacing w:line="600" w:lineRule="exact"/>
        <w:ind w:firstLineChars="200" w:firstLine="600"/>
        <w:rPr>
          <w:rFonts w:ascii="仿宋_GB2312" w:eastAsia="仿宋_GB2312" w:hint="eastAsia"/>
          <w:sz w:val="30"/>
        </w:rPr>
      </w:pPr>
      <w:r>
        <w:rPr>
          <w:rFonts w:ascii="仿宋_GB2312" w:eastAsia="仿宋_GB2312" w:hint="eastAsia"/>
          <w:sz w:val="30"/>
        </w:rPr>
        <w:t>证券出借标的证券（以下简称标的证券）的范围与本所公布的可融券卖出标的证券范围一致。</w:t>
      </w:r>
    </w:p>
    <w:p w:rsidR="00AB5B6B" w:rsidRDefault="00AB5B6B">
      <w:pPr>
        <w:tabs>
          <w:tab w:val="left" w:pos="0"/>
          <w:tab w:val="left" w:pos="1680"/>
        </w:tabs>
        <w:spacing w:line="600" w:lineRule="exact"/>
        <w:ind w:firstLineChars="200" w:firstLine="600"/>
        <w:rPr>
          <w:rFonts w:ascii="仿宋_GB2312" w:eastAsia="仿宋_GB2312" w:hint="eastAsia"/>
          <w:sz w:val="30"/>
        </w:rPr>
      </w:pPr>
      <w:r>
        <w:rPr>
          <w:rFonts w:ascii="仿宋_GB2312" w:eastAsia="仿宋_GB2312" w:hint="eastAsia"/>
          <w:sz w:val="30"/>
        </w:rPr>
        <w:t>证券被调整出标的证券范围的，在调整前未了结的证券出借合约仍然有效。</w:t>
      </w:r>
    </w:p>
    <w:p w:rsidR="00AB5B6B" w:rsidRDefault="00AB5B6B">
      <w:pPr>
        <w:tabs>
          <w:tab w:val="left" w:pos="0"/>
          <w:tab w:val="left" w:pos="1680"/>
        </w:tabs>
        <w:spacing w:line="600" w:lineRule="exact"/>
        <w:ind w:firstLineChars="200" w:firstLine="600"/>
        <w:rPr>
          <w:rFonts w:ascii="仿宋_GB2312" w:eastAsia="仿宋_GB2312" w:hint="eastAsia"/>
          <w:sz w:val="30"/>
        </w:rPr>
      </w:pPr>
      <w:r>
        <w:rPr>
          <w:rFonts w:ascii="仿宋_GB2312" w:eastAsia="仿宋_GB2312" w:hint="eastAsia"/>
          <w:sz w:val="30"/>
        </w:rPr>
        <w:t>通过约定申报方式参与证券出借的，证券出借期限可在1天至182天的区间内协商确定。</w:t>
      </w:r>
    </w:p>
    <w:p w:rsidR="00AB5B6B" w:rsidRDefault="00AB5B6B">
      <w:pPr>
        <w:tabs>
          <w:tab w:val="left" w:pos="0"/>
          <w:tab w:val="left" w:pos="1680"/>
        </w:tabs>
        <w:spacing w:line="600" w:lineRule="exact"/>
        <w:ind w:firstLineChars="200" w:firstLine="600"/>
        <w:rPr>
          <w:rFonts w:ascii="仿宋_GB2312" w:eastAsia="仿宋_GB2312" w:hint="eastAsia"/>
          <w:sz w:val="30"/>
        </w:rPr>
      </w:pPr>
      <w:r>
        <w:rPr>
          <w:rFonts w:ascii="仿宋_GB2312" w:eastAsia="仿宋_GB2312" w:hint="eastAsia"/>
          <w:sz w:val="30"/>
        </w:rPr>
        <w:lastRenderedPageBreak/>
        <w:t>通过非约定申报方式参与证券出借的，实行固定期限，分为3天、7天、14天、28天和182天共5个档次。</w:t>
      </w:r>
    </w:p>
    <w:p w:rsidR="00AB5B6B" w:rsidRDefault="00AB5B6B">
      <w:pPr>
        <w:tabs>
          <w:tab w:val="left" w:pos="0"/>
          <w:tab w:val="left" w:pos="1680"/>
        </w:tabs>
        <w:spacing w:line="600" w:lineRule="exact"/>
        <w:ind w:firstLineChars="200" w:firstLine="600"/>
        <w:rPr>
          <w:rFonts w:ascii="仿宋_GB2312" w:eastAsia="仿宋_GB2312" w:hint="eastAsia"/>
          <w:sz w:val="30"/>
        </w:rPr>
      </w:pPr>
      <w:r>
        <w:rPr>
          <w:rFonts w:ascii="仿宋_GB2312" w:eastAsia="仿宋_GB2312" w:hint="eastAsia"/>
          <w:sz w:val="30"/>
        </w:rPr>
        <w:t>本所可以根据市场情况，调整证券出借的期限。</w:t>
      </w:r>
    </w:p>
    <w:p w:rsidR="00AB5B6B" w:rsidRDefault="00AB5B6B">
      <w:pPr>
        <w:tabs>
          <w:tab w:val="left" w:pos="0"/>
          <w:tab w:val="left" w:pos="1680"/>
        </w:tabs>
        <w:spacing w:line="600" w:lineRule="exact"/>
        <w:ind w:firstLineChars="200" w:firstLine="600"/>
        <w:rPr>
          <w:rFonts w:ascii="仿宋_GB2312" w:eastAsia="仿宋_GB2312" w:hint="eastAsia"/>
          <w:sz w:val="30"/>
        </w:rPr>
      </w:pPr>
      <w:r>
        <w:rPr>
          <w:rFonts w:ascii="仿宋_GB2312" w:eastAsia="仿宋_GB2312" w:hint="eastAsia"/>
          <w:sz w:val="30"/>
        </w:rPr>
        <w:t>证券出借期限自成交之日起按自然日计算，归还日为到期日的下一日。归还日为非交易日的，顺延至下一个交易日。归还日标的证券全天停牌或停牌至收市的，顺延至该证券的复牌日。</w:t>
      </w:r>
    </w:p>
    <w:p w:rsidR="00AB5B6B" w:rsidRDefault="00AB5B6B" w:rsidP="00A6229F">
      <w:pPr>
        <w:pStyle w:val="3"/>
        <w:tabs>
          <w:tab w:val="clear" w:pos="1280"/>
        </w:tabs>
        <w:spacing w:before="0" w:after="0" w:line="520" w:lineRule="exact"/>
        <w:ind w:left="0" w:firstLineChars="199" w:firstLine="597"/>
        <w:rPr>
          <w:rFonts w:ascii="仿宋_GB2312" w:eastAsia="仿宋_GB2312" w:hAnsi="宋体" w:hint="eastAsia"/>
          <w:bCs w:val="0"/>
          <w:color w:val="000000"/>
          <w:kern w:val="0"/>
          <w:sz w:val="30"/>
          <w:szCs w:val="30"/>
        </w:rPr>
      </w:pPr>
      <w:bookmarkStart w:id="15" w:name="_Toc349227402"/>
      <w:r>
        <w:rPr>
          <w:rFonts w:ascii="仿宋_GB2312" w:eastAsia="仿宋_GB2312" w:hAnsi="宋体" w:hint="eastAsia"/>
          <w:bCs w:val="0"/>
          <w:color w:val="000000"/>
          <w:kern w:val="0"/>
          <w:sz w:val="30"/>
          <w:szCs w:val="30"/>
        </w:rPr>
        <w:t>二、费率</w:t>
      </w:r>
      <w:bookmarkEnd w:id="15"/>
    </w:p>
    <w:p w:rsidR="00AB5B6B" w:rsidRDefault="00AB5B6B">
      <w:pPr>
        <w:tabs>
          <w:tab w:val="left" w:pos="0"/>
          <w:tab w:val="left" w:pos="1680"/>
        </w:tabs>
        <w:spacing w:line="600" w:lineRule="exact"/>
        <w:ind w:firstLineChars="200" w:firstLine="600"/>
        <w:rPr>
          <w:rFonts w:ascii="仿宋_GB2312" w:eastAsia="仿宋_GB2312" w:hint="eastAsia"/>
          <w:sz w:val="30"/>
        </w:rPr>
      </w:pPr>
      <w:r>
        <w:rPr>
          <w:rFonts w:ascii="仿宋_GB2312" w:eastAsia="仿宋_GB2312" w:hint="eastAsia"/>
          <w:color w:val="000000"/>
          <w:sz w:val="30"/>
          <w:szCs w:val="30"/>
        </w:rPr>
        <w:t>通过约定申报方式参与证券出借的，可以协商确定出借费率。证券出借合约展期或提前了结的，可以协商调整出借费率。通过非约定申报方式参与证券出借的，</w:t>
      </w:r>
      <w:r>
        <w:rPr>
          <w:rFonts w:ascii="仿宋_GB2312" w:eastAsia="仿宋_GB2312" w:hAnsi="宋体" w:hint="eastAsia"/>
          <w:color w:val="000000"/>
          <w:sz w:val="30"/>
        </w:rPr>
        <w:t>借入人于</w:t>
      </w:r>
      <w:r>
        <w:rPr>
          <w:rFonts w:ascii="仿宋_GB2312" w:eastAsia="仿宋_GB2312" w:hint="eastAsia"/>
          <w:sz w:val="30"/>
        </w:rPr>
        <w:t>每一交易日开市前，向市场公布其当日有借入意向的标的证券对应的各期限的证券借入费率（以下简称“费率”）。当日公布的费率当日不得变更</w:t>
      </w:r>
      <w:r>
        <w:rPr>
          <w:rStyle w:val="aa"/>
          <w:rFonts w:hint="eastAsia"/>
        </w:rPr>
        <w:t>。</w:t>
      </w:r>
      <w:r>
        <w:rPr>
          <w:rFonts w:ascii="仿宋_GB2312" w:eastAsia="仿宋_GB2312" w:hint="eastAsia"/>
          <w:sz w:val="30"/>
        </w:rPr>
        <w:t>出借人接受该费率的，可以申报出借。申报指令中的费率应当与</w:t>
      </w:r>
      <w:r>
        <w:rPr>
          <w:rFonts w:ascii="仿宋_GB2312" w:eastAsia="仿宋_GB2312" w:hAnsi="宋体" w:hint="eastAsia"/>
          <w:sz w:val="30"/>
        </w:rPr>
        <w:t>借入人</w:t>
      </w:r>
      <w:r>
        <w:rPr>
          <w:rFonts w:ascii="仿宋_GB2312" w:eastAsia="仿宋_GB2312" w:hint="eastAsia"/>
          <w:sz w:val="30"/>
        </w:rPr>
        <w:t>当日向市场公布的费率一致。</w:t>
      </w:r>
    </w:p>
    <w:p w:rsidR="00AB5B6B" w:rsidRDefault="00AB5B6B">
      <w:pPr>
        <w:tabs>
          <w:tab w:val="left" w:pos="0"/>
          <w:tab w:val="left" w:pos="1680"/>
        </w:tabs>
        <w:spacing w:line="600" w:lineRule="exact"/>
        <w:ind w:firstLineChars="200" w:firstLine="600"/>
        <w:rPr>
          <w:rFonts w:ascii="仿宋_GB2312" w:eastAsia="仿宋_GB2312" w:hint="eastAsia"/>
          <w:sz w:val="30"/>
        </w:rPr>
      </w:pPr>
      <w:r>
        <w:rPr>
          <w:rFonts w:ascii="仿宋_GB2312" w:eastAsia="仿宋_GB2312" w:hint="eastAsia"/>
          <w:sz w:val="30"/>
        </w:rPr>
        <w:t>借券费用自证券出借成交之日起计算，归还日支付，归还日不计费用。</w:t>
      </w:r>
    </w:p>
    <w:p w:rsidR="00AB5B6B" w:rsidRDefault="00AB5B6B">
      <w:pPr>
        <w:tabs>
          <w:tab w:val="left" w:pos="0"/>
          <w:tab w:val="left" w:pos="1680"/>
        </w:tabs>
        <w:spacing w:line="600" w:lineRule="exact"/>
        <w:ind w:firstLineChars="200" w:firstLine="600"/>
        <w:rPr>
          <w:rFonts w:ascii="仿宋_GB2312" w:eastAsia="仿宋_GB2312" w:hint="eastAsia"/>
          <w:sz w:val="30"/>
        </w:rPr>
      </w:pPr>
      <w:r>
        <w:rPr>
          <w:rFonts w:ascii="仿宋_GB2312" w:eastAsia="仿宋_GB2312" w:hint="eastAsia"/>
          <w:sz w:val="30"/>
        </w:rPr>
        <w:t>证券出借期限顺延未超过30个自然日的，借入人按原费率和顺延自然日天数向出借人支付借券费用；顺延超过30个自然日的，借入人自第31个自然日起不再向出借人支付借券费用。</w:t>
      </w:r>
    </w:p>
    <w:p w:rsidR="00AB5B6B" w:rsidRDefault="00AB5B6B">
      <w:pPr>
        <w:tabs>
          <w:tab w:val="left" w:pos="0"/>
          <w:tab w:val="left" w:pos="1680"/>
        </w:tabs>
        <w:spacing w:line="600" w:lineRule="exact"/>
        <w:ind w:firstLineChars="200" w:firstLine="600"/>
        <w:rPr>
          <w:rFonts w:ascii="仿宋_GB2312" w:eastAsia="仿宋_GB2312" w:hAnsi="宋体" w:hint="eastAsia"/>
          <w:spacing w:val="-4"/>
          <w:sz w:val="30"/>
        </w:rPr>
      </w:pPr>
      <w:r>
        <w:rPr>
          <w:rFonts w:ascii="仿宋_GB2312" w:eastAsia="仿宋_GB2312" w:hint="eastAsia"/>
          <w:sz w:val="30"/>
        </w:rPr>
        <w:t>借券费用的计算公式为：借券费用=出借日证券收盘价×出借数量×费率×实际出借天数/360</w:t>
      </w:r>
    </w:p>
    <w:p w:rsidR="00AB5B6B" w:rsidRDefault="00AB5B6B">
      <w:pPr>
        <w:spacing w:line="600" w:lineRule="exact"/>
        <w:ind w:firstLineChars="200" w:firstLine="600"/>
        <w:rPr>
          <w:rFonts w:ascii="仿宋_GB2312" w:eastAsia="仿宋_GB2312" w:hAnsi="宋体" w:hint="eastAsia"/>
          <w:color w:val="000000"/>
          <w:kern w:val="0"/>
          <w:sz w:val="30"/>
          <w:szCs w:val="30"/>
        </w:rPr>
      </w:pPr>
    </w:p>
    <w:p w:rsidR="00AB5B6B" w:rsidRDefault="00AB5B6B">
      <w:pPr>
        <w:spacing w:line="600" w:lineRule="exact"/>
        <w:jc w:val="center"/>
        <w:outlineLvl w:val="0"/>
        <w:rPr>
          <w:rFonts w:eastAsia="黑体" w:hint="eastAsia"/>
          <w:b/>
          <w:bCs/>
          <w:sz w:val="30"/>
        </w:rPr>
      </w:pPr>
      <w:bookmarkStart w:id="16" w:name="_Toc349227403"/>
      <w:bookmarkStart w:id="17" w:name="_Toc212023253"/>
      <w:r>
        <w:rPr>
          <w:rFonts w:eastAsia="黑体" w:hint="eastAsia"/>
          <w:b/>
          <w:bCs/>
          <w:sz w:val="30"/>
        </w:rPr>
        <w:t>第五章</w:t>
      </w:r>
      <w:r>
        <w:rPr>
          <w:rFonts w:eastAsia="黑体" w:hint="eastAsia"/>
          <w:b/>
          <w:bCs/>
          <w:sz w:val="30"/>
        </w:rPr>
        <w:t xml:space="preserve">  </w:t>
      </w:r>
      <w:r>
        <w:rPr>
          <w:rFonts w:eastAsia="黑体" w:hint="eastAsia"/>
          <w:b/>
          <w:bCs/>
          <w:sz w:val="30"/>
        </w:rPr>
        <w:t>交易信息披露</w:t>
      </w:r>
      <w:bookmarkEnd w:id="16"/>
      <w:bookmarkEnd w:id="17"/>
    </w:p>
    <w:p w:rsidR="00AB5B6B" w:rsidRDefault="00AB5B6B">
      <w:pPr>
        <w:tabs>
          <w:tab w:val="left" w:pos="1560"/>
          <w:tab w:val="left" w:pos="2160"/>
          <w:tab w:val="left" w:pos="3963"/>
        </w:tabs>
        <w:spacing w:line="600" w:lineRule="exact"/>
        <w:ind w:firstLine="600"/>
        <w:rPr>
          <w:rFonts w:ascii="仿宋_GB2312" w:eastAsia="仿宋_GB2312" w:hint="eastAsia"/>
          <w:sz w:val="30"/>
          <w:szCs w:val="30"/>
        </w:rPr>
      </w:pPr>
      <w:r>
        <w:rPr>
          <w:rFonts w:ascii="仿宋_GB2312" w:eastAsia="仿宋_GB2312" w:hint="eastAsia"/>
          <w:sz w:val="30"/>
          <w:szCs w:val="30"/>
        </w:rPr>
        <w:lastRenderedPageBreak/>
        <w:t>一、每个交易日证券出借期间，本所通过行情系统发布出借人非约定申报的即时行情。</w:t>
      </w:r>
    </w:p>
    <w:p w:rsidR="00AB5B6B" w:rsidRDefault="00AB5B6B">
      <w:pPr>
        <w:tabs>
          <w:tab w:val="left" w:pos="0"/>
          <w:tab w:val="left" w:pos="1680"/>
        </w:tabs>
        <w:spacing w:line="600" w:lineRule="exact"/>
        <w:ind w:firstLineChars="200" w:firstLine="600"/>
        <w:rPr>
          <w:rFonts w:ascii="仿宋_GB2312" w:eastAsia="仿宋_GB2312" w:hint="eastAsia"/>
          <w:color w:val="000000"/>
          <w:sz w:val="30"/>
        </w:rPr>
      </w:pPr>
      <w:r>
        <w:rPr>
          <w:rFonts w:ascii="仿宋_GB2312" w:eastAsia="仿宋_GB2312" w:hint="eastAsia"/>
          <w:color w:val="000000"/>
          <w:sz w:val="30"/>
          <w:szCs w:val="30"/>
        </w:rPr>
        <w:t>二、通过非约定申报方式参与证券出借的，</w:t>
      </w:r>
      <w:r>
        <w:rPr>
          <w:rFonts w:ascii="仿宋_GB2312" w:eastAsia="仿宋_GB2312" w:hAnsi="宋体" w:hint="eastAsia"/>
          <w:color w:val="000000"/>
          <w:sz w:val="30"/>
        </w:rPr>
        <w:t>借入人应当于</w:t>
      </w:r>
      <w:r>
        <w:rPr>
          <w:rFonts w:ascii="仿宋_GB2312" w:eastAsia="仿宋_GB2312" w:hint="eastAsia"/>
          <w:color w:val="000000"/>
          <w:sz w:val="30"/>
        </w:rPr>
        <w:t>每一交易日开市前，向市场公布其当日有借入意向的标的证券对应的各期限的费率。当日公布的费率当日不得变更。</w:t>
      </w:r>
      <w:r>
        <w:rPr>
          <w:rFonts w:ascii="仿宋_GB2312" w:eastAsia="仿宋_GB2312" w:hAnsi="宋体" w:hint="eastAsia"/>
          <w:color w:val="000000"/>
          <w:sz w:val="30"/>
        </w:rPr>
        <w:t>借入人</w:t>
      </w:r>
      <w:r>
        <w:rPr>
          <w:rFonts w:ascii="仿宋_GB2312" w:eastAsia="仿宋_GB2312" w:hint="eastAsia"/>
          <w:color w:val="000000"/>
          <w:sz w:val="30"/>
        </w:rPr>
        <w:t>可以通过本所行情系统和网站向市场公布费率。</w:t>
      </w:r>
    </w:p>
    <w:p w:rsidR="00AB5B6B" w:rsidRDefault="00AB5B6B">
      <w:pPr>
        <w:tabs>
          <w:tab w:val="left" w:pos="0"/>
          <w:tab w:val="left" w:pos="1680"/>
        </w:tabs>
        <w:spacing w:line="600" w:lineRule="exact"/>
        <w:ind w:firstLineChars="200" w:firstLine="600"/>
        <w:rPr>
          <w:rFonts w:ascii="仿宋_GB2312" w:eastAsia="仿宋_GB2312" w:hint="eastAsia"/>
          <w:color w:val="000000"/>
          <w:sz w:val="30"/>
        </w:rPr>
      </w:pPr>
      <w:r>
        <w:rPr>
          <w:rFonts w:ascii="仿宋_GB2312" w:eastAsia="仿宋_GB2312" w:hint="eastAsia"/>
          <w:color w:val="000000"/>
          <w:sz w:val="30"/>
        </w:rPr>
        <w:t>路径：</w:t>
      </w:r>
      <w:r>
        <w:rPr>
          <w:rFonts w:ascii="仿宋_GB2312" w:eastAsia="仿宋_GB2312" w:hint="eastAsia"/>
          <w:color w:val="000000"/>
          <w:sz w:val="30"/>
          <w:szCs w:val="30"/>
        </w:rPr>
        <w:t>本所网站</w:t>
      </w:r>
      <w:r>
        <w:rPr>
          <w:rFonts w:ascii="仿宋_GB2312" w:eastAsia="仿宋_GB2312" w:hAnsi="宋体" w:hint="eastAsia"/>
          <w:color w:val="000000"/>
          <w:sz w:val="30"/>
          <w:szCs w:val="30"/>
        </w:rPr>
        <w:t>--服务--交易服务--融资融券--交易信息--转融通证券出借交易标的证券信息</w:t>
      </w:r>
      <w:r>
        <w:rPr>
          <w:rFonts w:ascii="仿宋_GB2312" w:eastAsia="仿宋_GB2312" w:hint="eastAsia"/>
          <w:color w:val="000000"/>
          <w:sz w:val="30"/>
        </w:rPr>
        <w:t>。</w:t>
      </w:r>
    </w:p>
    <w:p w:rsidR="00AB5B6B" w:rsidRDefault="00AB5B6B">
      <w:pPr>
        <w:tabs>
          <w:tab w:val="left" w:pos="1560"/>
          <w:tab w:val="left" w:pos="2160"/>
          <w:tab w:val="left" w:pos="3963"/>
        </w:tabs>
        <w:spacing w:line="600" w:lineRule="exact"/>
        <w:ind w:firstLine="600"/>
        <w:rPr>
          <w:rFonts w:ascii="仿宋_GB2312" w:eastAsia="仿宋_GB2312" w:hint="eastAsia"/>
          <w:sz w:val="30"/>
          <w:szCs w:val="30"/>
        </w:rPr>
      </w:pPr>
      <w:r>
        <w:rPr>
          <w:rFonts w:ascii="仿宋_GB2312" w:eastAsia="仿宋_GB2312" w:hint="eastAsia"/>
          <w:sz w:val="30"/>
          <w:szCs w:val="30"/>
        </w:rPr>
        <w:t>三、每个交易日开市前，本所通过网站发布前一交易日成交的证券出借的期限、费率、申报类型、成交数量信息。</w:t>
      </w:r>
    </w:p>
    <w:p w:rsidR="00AB5B6B" w:rsidRDefault="00AB5B6B">
      <w:pPr>
        <w:spacing w:line="600" w:lineRule="exact"/>
        <w:ind w:firstLineChars="200" w:firstLine="600"/>
        <w:rPr>
          <w:rFonts w:ascii="仿宋_GB2312" w:eastAsia="仿宋_GB2312" w:hint="eastAsia"/>
          <w:color w:val="000000"/>
          <w:sz w:val="30"/>
          <w:szCs w:val="30"/>
        </w:rPr>
      </w:pPr>
      <w:r>
        <w:rPr>
          <w:rFonts w:ascii="仿宋_GB2312" w:eastAsia="仿宋_GB2312" w:hint="eastAsia"/>
          <w:color w:val="000000"/>
          <w:sz w:val="30"/>
          <w:szCs w:val="30"/>
        </w:rPr>
        <w:t>路径：本所网站</w:t>
      </w:r>
      <w:r>
        <w:rPr>
          <w:rFonts w:ascii="仿宋_GB2312" w:eastAsia="仿宋_GB2312" w:hAnsi="宋体" w:hint="eastAsia"/>
          <w:color w:val="000000"/>
          <w:sz w:val="30"/>
          <w:szCs w:val="30"/>
        </w:rPr>
        <w:t>--</w:t>
      </w:r>
      <w:r>
        <w:rPr>
          <w:rFonts w:ascii="仿宋_GB2312" w:eastAsia="仿宋_GB2312" w:hint="eastAsia"/>
          <w:color w:val="000000"/>
          <w:sz w:val="30"/>
          <w:szCs w:val="30"/>
        </w:rPr>
        <w:t>服务</w:t>
      </w:r>
      <w:r>
        <w:rPr>
          <w:rFonts w:ascii="仿宋_GB2312" w:eastAsia="仿宋_GB2312" w:hAnsi="宋体" w:hint="eastAsia"/>
          <w:color w:val="000000"/>
          <w:sz w:val="30"/>
          <w:szCs w:val="30"/>
        </w:rPr>
        <w:t>--</w:t>
      </w:r>
      <w:r>
        <w:rPr>
          <w:rFonts w:ascii="仿宋_GB2312" w:eastAsia="仿宋_GB2312" w:hint="eastAsia"/>
          <w:color w:val="000000"/>
          <w:sz w:val="30"/>
          <w:szCs w:val="30"/>
        </w:rPr>
        <w:t>交易服务</w:t>
      </w:r>
      <w:r>
        <w:rPr>
          <w:rFonts w:ascii="仿宋_GB2312" w:eastAsia="仿宋_GB2312" w:hAnsi="宋体" w:hint="eastAsia"/>
          <w:color w:val="000000"/>
          <w:sz w:val="30"/>
          <w:szCs w:val="30"/>
        </w:rPr>
        <w:t>--</w:t>
      </w:r>
      <w:r>
        <w:rPr>
          <w:rFonts w:ascii="仿宋_GB2312" w:eastAsia="仿宋_GB2312" w:hint="eastAsia"/>
          <w:color w:val="000000"/>
          <w:sz w:val="30"/>
          <w:szCs w:val="30"/>
        </w:rPr>
        <w:t>融资融券业务</w:t>
      </w:r>
      <w:r>
        <w:rPr>
          <w:rFonts w:ascii="仿宋_GB2312" w:eastAsia="仿宋_GB2312" w:hAnsi="宋体" w:hint="eastAsia"/>
          <w:color w:val="000000"/>
          <w:sz w:val="30"/>
          <w:szCs w:val="30"/>
        </w:rPr>
        <w:t>--</w:t>
      </w:r>
      <w:r>
        <w:rPr>
          <w:rFonts w:ascii="仿宋_GB2312" w:eastAsia="仿宋_GB2312" w:hint="eastAsia"/>
          <w:color w:val="000000"/>
          <w:sz w:val="30"/>
          <w:szCs w:val="30"/>
        </w:rPr>
        <w:t>交易信息</w:t>
      </w:r>
      <w:r>
        <w:rPr>
          <w:rFonts w:ascii="仿宋_GB2312" w:eastAsia="仿宋_GB2312" w:hAnsi="宋体" w:hint="eastAsia"/>
          <w:color w:val="000000"/>
          <w:sz w:val="30"/>
          <w:szCs w:val="30"/>
        </w:rPr>
        <w:t>--</w:t>
      </w:r>
      <w:r>
        <w:rPr>
          <w:rFonts w:ascii="仿宋_GB2312" w:eastAsia="仿宋_GB2312" w:hint="eastAsia"/>
          <w:color w:val="000000"/>
          <w:sz w:val="30"/>
          <w:szCs w:val="30"/>
        </w:rPr>
        <w:t>转融通证券出借交易概况。</w:t>
      </w:r>
    </w:p>
    <w:p w:rsidR="00AB5B6B" w:rsidRDefault="00AB5B6B">
      <w:pPr>
        <w:spacing w:line="600" w:lineRule="exact"/>
        <w:ind w:firstLineChars="200" w:firstLine="600"/>
        <w:rPr>
          <w:rFonts w:ascii="仿宋_GB2312" w:eastAsia="仿宋_GB2312" w:hint="eastAsia"/>
          <w:color w:val="000000"/>
          <w:sz w:val="30"/>
          <w:szCs w:val="30"/>
        </w:rPr>
      </w:pPr>
      <w:r>
        <w:rPr>
          <w:rFonts w:ascii="仿宋_GB2312" w:eastAsia="仿宋_GB2312" w:hint="eastAsia"/>
          <w:color w:val="000000"/>
          <w:sz w:val="30"/>
          <w:szCs w:val="30"/>
        </w:rPr>
        <w:t>四、对于向战略投资者配售的，本所于每个交易日公布该股票限售流通股数量和无限售流通股数量，以及限售流通股可出借和限售流通股已出借且尚未归还的股票数量。</w:t>
      </w:r>
    </w:p>
    <w:p w:rsidR="00AB5B6B" w:rsidRDefault="00AB5B6B">
      <w:pPr>
        <w:spacing w:line="600" w:lineRule="exact"/>
        <w:ind w:firstLineChars="200" w:firstLine="600"/>
        <w:rPr>
          <w:rFonts w:ascii="仿宋_GB2312" w:eastAsia="仿宋_GB2312" w:hint="eastAsia"/>
          <w:color w:val="000000"/>
          <w:sz w:val="30"/>
          <w:szCs w:val="30"/>
        </w:rPr>
      </w:pPr>
      <w:r>
        <w:rPr>
          <w:rFonts w:ascii="仿宋_GB2312" w:eastAsia="仿宋_GB2312" w:hint="eastAsia"/>
          <w:color w:val="000000"/>
          <w:sz w:val="30"/>
          <w:szCs w:val="30"/>
        </w:rPr>
        <w:t>路径：本所网站--数据</w:t>
      </w:r>
      <w:r>
        <w:rPr>
          <w:rFonts w:ascii="仿宋_GB2312" w:eastAsia="仿宋_GB2312" w:hAnsi="宋体" w:hint="eastAsia"/>
          <w:color w:val="000000"/>
          <w:sz w:val="30"/>
          <w:szCs w:val="30"/>
        </w:rPr>
        <w:t>--</w:t>
      </w:r>
      <w:r>
        <w:rPr>
          <w:rStyle w:val="aa"/>
          <w:rFonts w:ascii="仿宋_GB2312" w:eastAsia="仿宋_GB2312" w:hint="eastAsia"/>
          <w:color w:val="000000"/>
          <w:sz w:val="30"/>
          <w:szCs w:val="30"/>
        </w:rPr>
        <w:t>其他数据</w:t>
      </w:r>
      <w:r>
        <w:rPr>
          <w:rFonts w:ascii="仿宋_GB2312" w:eastAsia="仿宋_GB2312" w:hAnsi="宋体" w:hint="eastAsia"/>
          <w:color w:val="000000"/>
          <w:sz w:val="30"/>
          <w:szCs w:val="30"/>
        </w:rPr>
        <w:t>--</w:t>
      </w:r>
      <w:r>
        <w:rPr>
          <w:rStyle w:val="aa"/>
          <w:rFonts w:ascii="仿宋_GB2312" w:eastAsia="仿宋_GB2312" w:hint="eastAsia"/>
          <w:color w:val="000000"/>
          <w:sz w:val="30"/>
          <w:szCs w:val="30"/>
        </w:rPr>
        <w:t>战略配售可出借信息</w:t>
      </w:r>
      <w:r>
        <w:rPr>
          <w:rFonts w:ascii="仿宋_GB2312" w:eastAsia="仿宋_GB2312" w:hint="eastAsia"/>
          <w:color w:val="000000"/>
          <w:sz w:val="30"/>
          <w:szCs w:val="30"/>
        </w:rPr>
        <w:t>。</w:t>
      </w:r>
    </w:p>
    <w:p w:rsidR="00AB5B6B" w:rsidRDefault="00AB5B6B">
      <w:pPr>
        <w:spacing w:line="600" w:lineRule="exact"/>
        <w:jc w:val="center"/>
        <w:outlineLvl w:val="0"/>
        <w:rPr>
          <w:rFonts w:eastAsia="黑体" w:hint="eastAsia"/>
          <w:b/>
          <w:bCs/>
          <w:sz w:val="30"/>
        </w:rPr>
      </w:pPr>
      <w:bookmarkStart w:id="18" w:name="_Toc349227404"/>
      <w:bookmarkStart w:id="19" w:name="_Toc305169920"/>
      <w:bookmarkStart w:id="20" w:name="_Toc212023255"/>
    </w:p>
    <w:p w:rsidR="00AB5B6B" w:rsidRDefault="00AB5B6B">
      <w:pPr>
        <w:spacing w:line="600" w:lineRule="exact"/>
        <w:jc w:val="center"/>
        <w:outlineLvl w:val="0"/>
        <w:rPr>
          <w:rFonts w:eastAsia="黑体" w:hint="eastAsia"/>
          <w:b/>
          <w:bCs/>
          <w:sz w:val="30"/>
        </w:rPr>
      </w:pPr>
      <w:r>
        <w:rPr>
          <w:rFonts w:eastAsia="黑体" w:hint="eastAsia"/>
          <w:b/>
          <w:bCs/>
          <w:sz w:val="30"/>
        </w:rPr>
        <w:t>第六章</w:t>
      </w:r>
      <w:r>
        <w:rPr>
          <w:rFonts w:eastAsia="黑体" w:hint="eastAsia"/>
          <w:b/>
          <w:bCs/>
          <w:sz w:val="30"/>
        </w:rPr>
        <w:t xml:space="preserve">  </w:t>
      </w:r>
      <w:r>
        <w:rPr>
          <w:rFonts w:eastAsia="黑体" w:hint="eastAsia"/>
          <w:b/>
          <w:bCs/>
          <w:sz w:val="30"/>
        </w:rPr>
        <w:t>会员内部控制</w:t>
      </w:r>
      <w:bookmarkEnd w:id="18"/>
      <w:bookmarkEnd w:id="19"/>
    </w:p>
    <w:p w:rsidR="00AB5B6B" w:rsidRDefault="00AB5B6B">
      <w:pPr>
        <w:spacing w:line="600" w:lineRule="exact"/>
        <w:ind w:firstLineChars="200" w:firstLine="600"/>
        <w:rPr>
          <w:rFonts w:ascii="仿宋_GB2312" w:eastAsia="仿宋_GB2312" w:hint="eastAsia"/>
          <w:sz w:val="30"/>
          <w:szCs w:val="30"/>
        </w:rPr>
      </w:pPr>
      <w:r>
        <w:rPr>
          <w:rFonts w:ascii="仿宋_GB2312" w:eastAsia="仿宋_GB2312" w:hint="eastAsia"/>
          <w:sz w:val="30"/>
          <w:szCs w:val="30"/>
        </w:rPr>
        <w:t>会员开展转融通证券出借代理业务（以下简称出借交易代理业务），应当按照《证券公司内部控制指引》和《实施办法》的规定，建立健全内部控制机制。</w:t>
      </w:r>
    </w:p>
    <w:p w:rsidR="00AB5B6B" w:rsidRDefault="00AB5B6B" w:rsidP="00A6229F">
      <w:pPr>
        <w:pStyle w:val="3"/>
        <w:tabs>
          <w:tab w:val="clear" w:pos="1280"/>
        </w:tabs>
        <w:spacing w:before="0" w:after="0" w:line="520" w:lineRule="exact"/>
        <w:ind w:left="0" w:firstLineChars="199" w:firstLine="597"/>
        <w:rPr>
          <w:rFonts w:ascii="仿宋_GB2312" w:eastAsia="仿宋_GB2312" w:hAnsi="宋体" w:hint="eastAsia"/>
          <w:bCs w:val="0"/>
          <w:color w:val="000000"/>
          <w:kern w:val="0"/>
          <w:sz w:val="30"/>
          <w:szCs w:val="30"/>
        </w:rPr>
      </w:pPr>
      <w:bookmarkStart w:id="21" w:name="_Toc349227405"/>
      <w:r>
        <w:rPr>
          <w:rFonts w:ascii="仿宋_GB2312" w:eastAsia="仿宋_GB2312" w:hAnsi="宋体" w:hint="eastAsia"/>
          <w:bCs w:val="0"/>
          <w:color w:val="000000"/>
          <w:kern w:val="0"/>
          <w:sz w:val="30"/>
          <w:szCs w:val="30"/>
        </w:rPr>
        <w:lastRenderedPageBreak/>
        <w:t>一、会员业务管理制度</w:t>
      </w:r>
      <w:bookmarkEnd w:id="21"/>
    </w:p>
    <w:p w:rsidR="00AB5B6B" w:rsidRDefault="00AB5B6B">
      <w:pPr>
        <w:widowControl/>
        <w:spacing w:line="600" w:lineRule="exact"/>
        <w:ind w:firstLineChars="200" w:firstLine="600"/>
        <w:jc w:val="left"/>
        <w:rPr>
          <w:rFonts w:ascii="仿宋_GB2312" w:eastAsia="仿宋_GB2312" w:hAnsi="宋体" w:hint="eastAsia"/>
          <w:color w:val="000000"/>
          <w:kern w:val="0"/>
          <w:sz w:val="30"/>
          <w:szCs w:val="30"/>
        </w:rPr>
      </w:pPr>
      <w:r>
        <w:rPr>
          <w:rFonts w:ascii="仿宋_GB2312" w:eastAsia="仿宋_GB2312" w:hAnsi="宋体" w:hint="eastAsia"/>
          <w:color w:val="000000"/>
          <w:kern w:val="0"/>
          <w:sz w:val="30"/>
          <w:szCs w:val="30"/>
        </w:rPr>
        <w:t>会员应当根据《内部控制指引》以及《实施办法》的要求，建立健全</w:t>
      </w:r>
      <w:r>
        <w:rPr>
          <w:rFonts w:ascii="仿宋_GB2312" w:eastAsia="仿宋_GB2312" w:hint="eastAsia"/>
          <w:sz w:val="30"/>
          <w:szCs w:val="30"/>
        </w:rPr>
        <w:t>出借交易代理业务</w:t>
      </w:r>
      <w:r>
        <w:rPr>
          <w:rFonts w:ascii="仿宋_GB2312" w:eastAsia="仿宋_GB2312" w:hAnsi="宋体" w:hint="eastAsia"/>
          <w:color w:val="000000"/>
          <w:kern w:val="0"/>
          <w:sz w:val="30"/>
          <w:szCs w:val="30"/>
        </w:rPr>
        <w:t>内部控制机制，防范</w:t>
      </w:r>
      <w:r>
        <w:rPr>
          <w:rFonts w:ascii="仿宋_GB2312" w:eastAsia="仿宋_GB2312" w:hint="eastAsia"/>
          <w:sz w:val="30"/>
          <w:szCs w:val="30"/>
        </w:rPr>
        <w:t>出借交易代理业务</w:t>
      </w:r>
      <w:r>
        <w:rPr>
          <w:rFonts w:ascii="仿宋_GB2312" w:eastAsia="仿宋_GB2312" w:hAnsi="宋体" w:hint="eastAsia"/>
          <w:color w:val="000000"/>
          <w:kern w:val="0"/>
          <w:sz w:val="30"/>
          <w:szCs w:val="30"/>
        </w:rPr>
        <w:t>各类风险。除《实施办法》要求建立的各项内部控制制度、操作流程和风险识别以及评估与控制体系以外，会员还应当针对包括但不限于下列有关事项建立相应的业务管理制度：</w:t>
      </w:r>
    </w:p>
    <w:p w:rsidR="00AB5B6B" w:rsidRDefault="00AB5B6B">
      <w:pPr>
        <w:widowControl/>
        <w:spacing w:line="600" w:lineRule="exact"/>
        <w:ind w:firstLineChars="200" w:firstLine="600"/>
        <w:jc w:val="left"/>
        <w:rPr>
          <w:rFonts w:ascii="仿宋_GB2312" w:eastAsia="仿宋_GB2312" w:hAnsi="宋体" w:hint="eastAsia"/>
          <w:color w:val="000000"/>
          <w:kern w:val="0"/>
          <w:sz w:val="30"/>
          <w:szCs w:val="30"/>
        </w:rPr>
      </w:pPr>
      <w:r>
        <w:rPr>
          <w:rFonts w:ascii="仿宋_GB2312" w:eastAsia="仿宋_GB2312" w:hAnsi="宋体" w:hint="eastAsia"/>
          <w:color w:val="000000"/>
          <w:kern w:val="0"/>
          <w:sz w:val="30"/>
          <w:szCs w:val="30"/>
        </w:rPr>
        <w:t>（一）会员应对参与转融通证券出借的客户进行适当性管理，制定相应的出借人准入条件；</w:t>
      </w:r>
    </w:p>
    <w:p w:rsidR="00AB5B6B" w:rsidRDefault="00AB5B6B">
      <w:pPr>
        <w:widowControl/>
        <w:spacing w:line="600" w:lineRule="exact"/>
        <w:ind w:firstLineChars="200" w:firstLine="600"/>
        <w:jc w:val="left"/>
        <w:rPr>
          <w:rFonts w:ascii="仿宋_GB2312" w:eastAsia="仿宋_GB2312" w:hAnsi="宋体" w:hint="eastAsia"/>
          <w:color w:val="000000"/>
          <w:kern w:val="0"/>
          <w:sz w:val="30"/>
          <w:szCs w:val="30"/>
        </w:rPr>
      </w:pPr>
      <w:r>
        <w:rPr>
          <w:rFonts w:ascii="仿宋_GB2312" w:eastAsia="仿宋_GB2312" w:hAnsi="宋体" w:hint="eastAsia"/>
          <w:color w:val="000000"/>
          <w:kern w:val="0"/>
          <w:sz w:val="30"/>
          <w:szCs w:val="30"/>
        </w:rPr>
        <w:t>（二）客户申请出借人资格的，会员应先向申请人进行投资者教育，包括讲解证券出借业务规则、合同条款及风险揭示等；</w:t>
      </w:r>
    </w:p>
    <w:p w:rsidR="00AB5B6B" w:rsidRDefault="00AB5B6B">
      <w:pPr>
        <w:widowControl/>
        <w:tabs>
          <w:tab w:val="left" w:pos="1701"/>
        </w:tabs>
        <w:spacing w:line="600" w:lineRule="exact"/>
        <w:ind w:firstLineChars="200" w:firstLine="600"/>
        <w:jc w:val="left"/>
        <w:rPr>
          <w:rFonts w:ascii="宋体" w:hAnsi="宋体" w:hint="eastAsia"/>
          <w:sz w:val="28"/>
          <w:szCs w:val="28"/>
        </w:rPr>
      </w:pPr>
      <w:r>
        <w:rPr>
          <w:rFonts w:ascii="仿宋_GB2312" w:eastAsia="仿宋_GB2312" w:hAnsi="宋体" w:hint="eastAsia"/>
          <w:color w:val="000000"/>
          <w:kern w:val="0"/>
          <w:sz w:val="30"/>
          <w:szCs w:val="30"/>
        </w:rPr>
        <w:t>（三）会员应与出借人签署《转融通证券出借交易委托代理协议及风险揭示书》并根据本所相关要求报备出借人证券账户；</w:t>
      </w:r>
    </w:p>
    <w:p w:rsidR="00AB5B6B" w:rsidRDefault="00AB5B6B">
      <w:pPr>
        <w:tabs>
          <w:tab w:val="left" w:pos="0"/>
          <w:tab w:val="left" w:pos="1701"/>
        </w:tabs>
        <w:spacing w:line="600" w:lineRule="exact"/>
        <w:ind w:firstLineChars="174" w:firstLine="522"/>
        <w:rPr>
          <w:rFonts w:ascii="仿宋_GB2312" w:eastAsia="仿宋_GB2312" w:hAnsi="宋体" w:hint="eastAsia"/>
          <w:color w:val="000000"/>
          <w:kern w:val="0"/>
          <w:sz w:val="30"/>
          <w:szCs w:val="30"/>
        </w:rPr>
      </w:pPr>
      <w:r>
        <w:rPr>
          <w:rFonts w:ascii="仿宋_GB2312" w:eastAsia="仿宋_GB2312" w:hAnsi="宋体" w:hint="eastAsia"/>
          <w:color w:val="000000"/>
          <w:kern w:val="0"/>
          <w:sz w:val="30"/>
          <w:szCs w:val="30"/>
        </w:rPr>
        <w:t>（四）会员应对出借人进行持续跟踪管理，包括出借人资格的暂停、终止及恢复；</w:t>
      </w:r>
    </w:p>
    <w:p w:rsidR="00AB5B6B" w:rsidRDefault="00AB5B6B">
      <w:pPr>
        <w:tabs>
          <w:tab w:val="left" w:pos="0"/>
        </w:tabs>
        <w:spacing w:line="600" w:lineRule="exact"/>
        <w:ind w:firstLineChars="174" w:firstLine="522"/>
        <w:rPr>
          <w:rFonts w:ascii="仿宋_GB2312" w:eastAsia="仿宋_GB2312" w:hAnsi="宋体" w:hint="eastAsia"/>
          <w:color w:val="000000"/>
          <w:kern w:val="0"/>
          <w:sz w:val="30"/>
          <w:szCs w:val="30"/>
        </w:rPr>
      </w:pPr>
      <w:r>
        <w:rPr>
          <w:rFonts w:ascii="仿宋_GB2312" w:eastAsia="仿宋_GB2312" w:hAnsi="宋体" w:hint="eastAsia"/>
          <w:color w:val="000000"/>
          <w:kern w:val="0"/>
          <w:sz w:val="30"/>
          <w:szCs w:val="30"/>
        </w:rPr>
        <w:t>（五）会员应与出借人约定，出借人拟向证券金融公司出借的证券，应当为其合法持有、有权处分且依法可流通的证券，未设定担保或者其他任何第三方权利，且未被国家有权机关采取财产保全等限制性措施；</w:t>
      </w:r>
    </w:p>
    <w:p w:rsidR="00AB5B6B" w:rsidRDefault="00AB5B6B">
      <w:pPr>
        <w:tabs>
          <w:tab w:val="left" w:pos="1560"/>
          <w:tab w:val="left" w:pos="1701"/>
          <w:tab w:val="left" w:pos="2160"/>
          <w:tab w:val="left" w:pos="4260"/>
        </w:tabs>
        <w:spacing w:line="600" w:lineRule="exact"/>
        <w:ind w:firstLineChars="142" w:firstLine="426"/>
        <w:rPr>
          <w:rFonts w:ascii="仿宋_GB2312" w:eastAsia="仿宋_GB2312" w:hint="eastAsia"/>
          <w:sz w:val="30"/>
          <w:szCs w:val="30"/>
        </w:rPr>
      </w:pPr>
      <w:r>
        <w:rPr>
          <w:rFonts w:ascii="仿宋_GB2312" w:eastAsia="仿宋_GB2312" w:hint="eastAsia"/>
          <w:sz w:val="30"/>
          <w:szCs w:val="30"/>
        </w:rPr>
        <w:t>（六）对于证券金融公司同意展期或提前了结的转融通合约，会员应联系出借人协商展期或提前了结事项；若出借人同意展期或提前了结的，会员代理出借人申报展期或提前了结指令；</w:t>
      </w:r>
    </w:p>
    <w:p w:rsidR="00AB5B6B" w:rsidRDefault="00AB5B6B">
      <w:pPr>
        <w:tabs>
          <w:tab w:val="left" w:pos="0"/>
          <w:tab w:val="left" w:pos="1701"/>
        </w:tabs>
        <w:spacing w:line="600" w:lineRule="exact"/>
        <w:ind w:firstLineChars="174" w:firstLine="522"/>
        <w:rPr>
          <w:rFonts w:ascii="仿宋_GB2312" w:eastAsia="仿宋_GB2312" w:hAnsi="宋体" w:hint="eastAsia"/>
          <w:color w:val="000000"/>
          <w:kern w:val="0"/>
          <w:sz w:val="30"/>
          <w:szCs w:val="30"/>
        </w:rPr>
      </w:pPr>
      <w:r>
        <w:rPr>
          <w:rFonts w:ascii="仿宋_GB2312" w:eastAsia="仿宋_GB2312" w:hAnsi="宋体" w:hint="eastAsia"/>
          <w:color w:val="000000"/>
          <w:kern w:val="0"/>
          <w:sz w:val="30"/>
          <w:szCs w:val="30"/>
        </w:rPr>
        <w:t>（七）会员应为出借人提供证券出借的清算与交收服务。</w:t>
      </w:r>
    </w:p>
    <w:p w:rsidR="00AB5B6B" w:rsidRDefault="00AB5B6B" w:rsidP="00A6229F">
      <w:pPr>
        <w:pStyle w:val="3"/>
        <w:tabs>
          <w:tab w:val="clear" w:pos="1280"/>
        </w:tabs>
        <w:spacing w:before="0" w:after="0" w:line="520" w:lineRule="exact"/>
        <w:ind w:left="0" w:firstLineChars="199" w:firstLine="597"/>
        <w:rPr>
          <w:rFonts w:ascii="仿宋_GB2312" w:eastAsia="仿宋_GB2312" w:hAnsi="宋体" w:hint="eastAsia"/>
          <w:bCs w:val="0"/>
          <w:color w:val="000000"/>
          <w:kern w:val="0"/>
          <w:sz w:val="30"/>
          <w:szCs w:val="30"/>
        </w:rPr>
      </w:pPr>
      <w:bookmarkStart w:id="22" w:name="_Toc349227406"/>
      <w:r>
        <w:rPr>
          <w:rFonts w:ascii="仿宋_GB2312" w:eastAsia="仿宋_GB2312" w:hAnsi="宋体" w:hint="eastAsia"/>
          <w:bCs w:val="0"/>
          <w:color w:val="000000"/>
          <w:kern w:val="0"/>
          <w:sz w:val="30"/>
          <w:szCs w:val="30"/>
        </w:rPr>
        <w:lastRenderedPageBreak/>
        <w:t>二、会员对标的证券的管理</w:t>
      </w:r>
      <w:bookmarkEnd w:id="22"/>
    </w:p>
    <w:p w:rsidR="00AB5B6B" w:rsidRDefault="00AB5B6B">
      <w:pPr>
        <w:tabs>
          <w:tab w:val="left" w:pos="1560"/>
          <w:tab w:val="left" w:pos="2160"/>
          <w:tab w:val="left" w:pos="4260"/>
        </w:tabs>
        <w:spacing w:line="600" w:lineRule="exact"/>
        <w:ind w:firstLineChars="200" w:firstLine="600"/>
        <w:rPr>
          <w:rFonts w:ascii="仿宋_GB2312" w:eastAsia="仿宋_GB2312" w:hint="eastAsia"/>
          <w:sz w:val="30"/>
          <w:szCs w:val="30"/>
        </w:rPr>
      </w:pPr>
      <w:r>
        <w:rPr>
          <w:rFonts w:ascii="仿宋_GB2312" w:eastAsia="仿宋_GB2312" w:hint="eastAsia"/>
          <w:sz w:val="30"/>
          <w:szCs w:val="30"/>
        </w:rPr>
        <w:t>会员应当与出借人在相关合同中具体约定标的证券长期停牌、终止上市或以终止上市为目的被收购的处置办法。</w:t>
      </w:r>
    </w:p>
    <w:p w:rsidR="00AB5B6B" w:rsidRDefault="00AB5B6B" w:rsidP="00A6229F">
      <w:pPr>
        <w:pStyle w:val="3"/>
        <w:tabs>
          <w:tab w:val="clear" w:pos="1280"/>
        </w:tabs>
        <w:spacing w:before="0" w:after="0" w:line="520" w:lineRule="exact"/>
        <w:ind w:left="0" w:firstLineChars="199" w:firstLine="597"/>
        <w:rPr>
          <w:rFonts w:ascii="仿宋_GB2312" w:eastAsia="仿宋_GB2312" w:hAnsi="宋体" w:hint="eastAsia"/>
          <w:bCs w:val="0"/>
          <w:color w:val="000000"/>
          <w:kern w:val="0"/>
          <w:sz w:val="30"/>
          <w:szCs w:val="30"/>
        </w:rPr>
      </w:pPr>
      <w:bookmarkStart w:id="23" w:name="_Toc349227407"/>
      <w:r>
        <w:rPr>
          <w:rFonts w:ascii="仿宋_GB2312" w:eastAsia="仿宋_GB2312" w:hAnsi="宋体" w:hint="eastAsia"/>
          <w:bCs w:val="0"/>
          <w:color w:val="000000"/>
          <w:kern w:val="0"/>
          <w:sz w:val="30"/>
          <w:szCs w:val="30"/>
        </w:rPr>
        <w:t>三、会员对证券出借的管理</w:t>
      </w:r>
      <w:bookmarkEnd w:id="23"/>
    </w:p>
    <w:p w:rsidR="00AB5B6B" w:rsidRDefault="00AB5B6B">
      <w:pPr>
        <w:tabs>
          <w:tab w:val="left" w:pos="1560"/>
          <w:tab w:val="left" w:pos="1701"/>
          <w:tab w:val="left" w:pos="2160"/>
          <w:tab w:val="left" w:pos="4260"/>
        </w:tabs>
        <w:spacing w:line="600" w:lineRule="exact"/>
        <w:ind w:firstLineChars="152" w:firstLine="456"/>
        <w:rPr>
          <w:rFonts w:ascii="仿宋_GB2312" w:eastAsia="仿宋_GB2312" w:hint="eastAsia"/>
          <w:sz w:val="30"/>
          <w:szCs w:val="30"/>
        </w:rPr>
      </w:pPr>
      <w:r>
        <w:rPr>
          <w:rFonts w:ascii="仿宋_GB2312" w:eastAsia="仿宋_GB2312" w:hint="eastAsia"/>
          <w:sz w:val="30"/>
          <w:szCs w:val="30"/>
        </w:rPr>
        <w:t>（一）会员应对出借人的申报指令进行如下前端检查：</w:t>
      </w:r>
    </w:p>
    <w:p w:rsidR="00AB5B6B" w:rsidRDefault="00AB5B6B">
      <w:pPr>
        <w:tabs>
          <w:tab w:val="left" w:pos="1560"/>
          <w:tab w:val="left" w:pos="2160"/>
          <w:tab w:val="left" w:pos="4260"/>
        </w:tabs>
        <w:spacing w:line="600" w:lineRule="exact"/>
        <w:ind w:firstLineChars="200" w:firstLine="600"/>
        <w:rPr>
          <w:rFonts w:ascii="仿宋_GB2312" w:eastAsia="仿宋_GB2312" w:hint="eastAsia"/>
          <w:sz w:val="30"/>
          <w:szCs w:val="30"/>
        </w:rPr>
      </w:pPr>
      <w:r>
        <w:rPr>
          <w:rFonts w:ascii="仿宋_GB2312" w:eastAsia="仿宋_GB2312" w:hint="eastAsia"/>
          <w:sz w:val="30"/>
          <w:szCs w:val="30"/>
        </w:rPr>
        <w:t>1.检查客户是否在合格出借人名单范围内；</w:t>
      </w:r>
    </w:p>
    <w:p w:rsidR="00AB5B6B" w:rsidRDefault="00AB5B6B">
      <w:pPr>
        <w:tabs>
          <w:tab w:val="left" w:pos="1560"/>
          <w:tab w:val="left" w:pos="2160"/>
          <w:tab w:val="left" w:pos="4260"/>
        </w:tabs>
        <w:spacing w:line="600" w:lineRule="exact"/>
        <w:ind w:firstLineChars="200" w:firstLine="600"/>
        <w:rPr>
          <w:rFonts w:ascii="仿宋_GB2312" w:eastAsia="仿宋_GB2312" w:hint="eastAsia"/>
          <w:sz w:val="30"/>
          <w:szCs w:val="30"/>
        </w:rPr>
      </w:pPr>
      <w:r>
        <w:rPr>
          <w:rFonts w:ascii="仿宋_GB2312" w:eastAsia="仿宋_GB2312" w:hint="eastAsia"/>
          <w:sz w:val="30"/>
          <w:szCs w:val="30"/>
        </w:rPr>
        <w:t>2.检查出借证券是否在标的证券范围内；</w:t>
      </w:r>
    </w:p>
    <w:p w:rsidR="00AB5B6B" w:rsidRDefault="00AB5B6B">
      <w:pPr>
        <w:tabs>
          <w:tab w:val="left" w:pos="1560"/>
          <w:tab w:val="left" w:pos="2160"/>
          <w:tab w:val="left" w:pos="4260"/>
        </w:tabs>
        <w:spacing w:line="600" w:lineRule="exact"/>
        <w:ind w:firstLineChars="200" w:firstLine="600"/>
        <w:rPr>
          <w:rFonts w:ascii="仿宋_GB2312" w:eastAsia="仿宋_GB2312" w:hint="eastAsia"/>
          <w:sz w:val="30"/>
          <w:szCs w:val="30"/>
        </w:rPr>
      </w:pPr>
      <w:r>
        <w:rPr>
          <w:rFonts w:ascii="仿宋_GB2312" w:eastAsia="仿宋_GB2312" w:hint="eastAsia"/>
          <w:sz w:val="30"/>
          <w:szCs w:val="30"/>
        </w:rPr>
        <w:t>3.检查出借人证券账户内是否拥有与申报数量相对应的证券；</w:t>
      </w:r>
    </w:p>
    <w:p w:rsidR="00AB5B6B" w:rsidRDefault="00AB5B6B">
      <w:pPr>
        <w:tabs>
          <w:tab w:val="left" w:pos="1560"/>
          <w:tab w:val="left" w:pos="2160"/>
          <w:tab w:val="left" w:pos="4260"/>
        </w:tabs>
        <w:spacing w:line="600" w:lineRule="exact"/>
        <w:ind w:firstLineChars="200" w:firstLine="600"/>
        <w:rPr>
          <w:rFonts w:ascii="仿宋_GB2312" w:eastAsia="仿宋_GB2312" w:hint="eastAsia"/>
          <w:sz w:val="30"/>
          <w:szCs w:val="30"/>
        </w:rPr>
      </w:pPr>
      <w:r>
        <w:rPr>
          <w:rFonts w:ascii="仿宋_GB2312" w:eastAsia="仿宋_GB2312" w:hint="eastAsia"/>
          <w:sz w:val="30"/>
          <w:szCs w:val="30"/>
        </w:rPr>
        <w:t>4.检查交收路径是否完整、准确；</w:t>
      </w:r>
    </w:p>
    <w:p w:rsidR="00AB5B6B" w:rsidRDefault="00AB5B6B">
      <w:pPr>
        <w:tabs>
          <w:tab w:val="left" w:pos="1560"/>
          <w:tab w:val="left" w:pos="2160"/>
          <w:tab w:val="left" w:pos="4260"/>
        </w:tabs>
        <w:spacing w:line="600" w:lineRule="exact"/>
        <w:ind w:firstLineChars="200" w:firstLine="600"/>
        <w:rPr>
          <w:rFonts w:ascii="仿宋_GB2312" w:eastAsia="仿宋_GB2312" w:hint="eastAsia"/>
          <w:sz w:val="30"/>
          <w:szCs w:val="30"/>
        </w:rPr>
      </w:pPr>
      <w:r>
        <w:rPr>
          <w:rFonts w:ascii="仿宋_GB2312" w:eastAsia="仿宋_GB2312" w:hint="eastAsia"/>
          <w:sz w:val="30"/>
          <w:szCs w:val="30"/>
        </w:rPr>
        <w:t>5.检查出借证券是否全天停牌或是否在临时停牌期间。</w:t>
      </w:r>
    </w:p>
    <w:p w:rsidR="00AB5B6B" w:rsidRDefault="00AB5B6B">
      <w:pPr>
        <w:tabs>
          <w:tab w:val="left" w:pos="1560"/>
          <w:tab w:val="left" w:pos="1701"/>
          <w:tab w:val="left" w:pos="2160"/>
          <w:tab w:val="left" w:pos="4260"/>
        </w:tabs>
        <w:spacing w:line="600" w:lineRule="exact"/>
        <w:ind w:firstLineChars="142" w:firstLine="426"/>
        <w:rPr>
          <w:rFonts w:ascii="仿宋_GB2312" w:eastAsia="仿宋_GB2312" w:hint="eastAsia"/>
          <w:sz w:val="30"/>
          <w:szCs w:val="30"/>
        </w:rPr>
      </w:pPr>
      <w:r>
        <w:rPr>
          <w:rFonts w:ascii="仿宋_GB2312" w:eastAsia="仿宋_GB2312" w:hint="eastAsia"/>
          <w:sz w:val="30"/>
          <w:szCs w:val="30"/>
        </w:rPr>
        <w:t>（二）会员为出借人申报证券出借指令之前，应在自身交易系统对相关证券进行冻结，限制该证券的卖出或划转。检查未通过的，会员应拒绝为出借人进行申报；</w:t>
      </w:r>
    </w:p>
    <w:p w:rsidR="00AB5B6B" w:rsidRDefault="00AB5B6B">
      <w:pPr>
        <w:tabs>
          <w:tab w:val="left" w:pos="1560"/>
          <w:tab w:val="left" w:pos="1701"/>
          <w:tab w:val="left" w:pos="2160"/>
          <w:tab w:val="left" w:pos="4260"/>
        </w:tabs>
        <w:spacing w:line="600" w:lineRule="exact"/>
        <w:ind w:firstLineChars="142" w:firstLine="426"/>
        <w:rPr>
          <w:rFonts w:ascii="仿宋_GB2312" w:eastAsia="仿宋_GB2312" w:hint="eastAsia"/>
          <w:sz w:val="30"/>
          <w:szCs w:val="30"/>
        </w:rPr>
      </w:pPr>
      <w:r>
        <w:rPr>
          <w:rFonts w:ascii="仿宋_GB2312" w:eastAsia="仿宋_GB2312" w:hint="eastAsia"/>
          <w:sz w:val="30"/>
          <w:szCs w:val="30"/>
        </w:rPr>
        <w:t>（三）出借人出借证券的申报数量应当符合交易所的相关规则，会员转融通业务系统应对出借人出借证券申报做好前端控制。本所调整申报相关标准的，公司应</w:t>
      </w:r>
      <w:r w:rsidR="00F22160">
        <w:rPr>
          <w:rFonts w:ascii="仿宋_GB2312" w:eastAsia="仿宋_GB2312" w:hint="eastAsia"/>
          <w:sz w:val="30"/>
          <w:szCs w:val="30"/>
        </w:rPr>
        <w:t>及时</w:t>
      </w:r>
      <w:r>
        <w:rPr>
          <w:rFonts w:ascii="仿宋_GB2312" w:eastAsia="仿宋_GB2312" w:hint="eastAsia"/>
          <w:sz w:val="30"/>
          <w:szCs w:val="30"/>
        </w:rPr>
        <w:t>调整系统相关业务参数。</w:t>
      </w:r>
    </w:p>
    <w:p w:rsidR="00AB5B6B" w:rsidRDefault="00AB5B6B" w:rsidP="00A6229F">
      <w:pPr>
        <w:pStyle w:val="3"/>
        <w:tabs>
          <w:tab w:val="clear" w:pos="1280"/>
        </w:tabs>
        <w:spacing w:before="0" w:after="0" w:line="520" w:lineRule="exact"/>
        <w:ind w:left="0" w:firstLineChars="199" w:firstLine="597"/>
        <w:rPr>
          <w:rFonts w:ascii="仿宋_GB2312" w:eastAsia="仿宋_GB2312" w:hAnsi="宋体" w:hint="eastAsia"/>
          <w:bCs w:val="0"/>
          <w:color w:val="000000"/>
          <w:kern w:val="0"/>
          <w:sz w:val="30"/>
          <w:szCs w:val="30"/>
        </w:rPr>
      </w:pPr>
      <w:bookmarkStart w:id="24" w:name="_Toc349227408"/>
      <w:r>
        <w:rPr>
          <w:rFonts w:ascii="仿宋_GB2312" w:eastAsia="仿宋_GB2312" w:hAnsi="宋体" w:hint="eastAsia"/>
          <w:bCs w:val="0"/>
          <w:color w:val="000000"/>
          <w:kern w:val="0"/>
          <w:sz w:val="30"/>
          <w:szCs w:val="30"/>
        </w:rPr>
        <w:t>四、会员信息报送制度</w:t>
      </w:r>
      <w:bookmarkEnd w:id="24"/>
    </w:p>
    <w:p w:rsidR="00AB5B6B" w:rsidRDefault="00AB5B6B">
      <w:pPr>
        <w:spacing w:line="600" w:lineRule="exact"/>
        <w:ind w:firstLineChars="200" w:firstLine="600"/>
        <w:rPr>
          <w:rFonts w:ascii="仿宋_GB2312" w:eastAsia="仿宋_GB2312" w:hint="eastAsia"/>
          <w:sz w:val="30"/>
          <w:szCs w:val="30"/>
        </w:rPr>
      </w:pPr>
      <w:r>
        <w:rPr>
          <w:rFonts w:ascii="仿宋_GB2312" w:eastAsia="仿宋_GB2312" w:hint="eastAsia"/>
          <w:sz w:val="30"/>
          <w:szCs w:val="30"/>
        </w:rPr>
        <w:t>会员应当指定专人根据本所要求进行证券出借相关信息数据报送，负责有关数据、信息的统计与复核，保证向本所报送的数据、信息真实、准确、完整。</w:t>
      </w:r>
    </w:p>
    <w:p w:rsidR="00AB5B6B" w:rsidRDefault="00AB5B6B" w:rsidP="00A6229F">
      <w:pPr>
        <w:pStyle w:val="3"/>
        <w:tabs>
          <w:tab w:val="clear" w:pos="1280"/>
        </w:tabs>
        <w:spacing w:before="0" w:after="0" w:line="520" w:lineRule="exact"/>
        <w:ind w:left="0" w:firstLineChars="199" w:firstLine="597"/>
        <w:rPr>
          <w:rFonts w:ascii="仿宋_GB2312" w:eastAsia="仿宋_GB2312" w:hAnsi="宋体" w:hint="eastAsia"/>
          <w:bCs w:val="0"/>
          <w:color w:val="000000"/>
          <w:kern w:val="0"/>
          <w:sz w:val="30"/>
          <w:szCs w:val="30"/>
        </w:rPr>
      </w:pPr>
      <w:bookmarkStart w:id="25" w:name="_Toc349227409"/>
      <w:r>
        <w:rPr>
          <w:rFonts w:ascii="仿宋_GB2312" w:eastAsia="仿宋_GB2312" w:hAnsi="宋体" w:hint="eastAsia"/>
          <w:bCs w:val="0"/>
          <w:color w:val="000000"/>
          <w:kern w:val="0"/>
          <w:sz w:val="30"/>
          <w:szCs w:val="30"/>
        </w:rPr>
        <w:lastRenderedPageBreak/>
        <w:t>五、会员相关技术系统的运行管理</w:t>
      </w:r>
      <w:bookmarkEnd w:id="25"/>
    </w:p>
    <w:p w:rsidR="00AB5B6B" w:rsidRDefault="00AB5B6B">
      <w:pPr>
        <w:spacing w:line="600" w:lineRule="exact"/>
        <w:ind w:firstLineChars="200" w:firstLine="600"/>
        <w:rPr>
          <w:rFonts w:ascii="仿宋_GB2312" w:eastAsia="仿宋_GB2312"/>
          <w:sz w:val="30"/>
          <w:szCs w:val="30"/>
        </w:rPr>
      </w:pPr>
      <w:r>
        <w:rPr>
          <w:rFonts w:ascii="仿宋_GB2312" w:eastAsia="仿宋_GB2312"/>
          <w:sz w:val="30"/>
          <w:szCs w:val="30"/>
        </w:rPr>
        <w:t>会员应当定期检查</w:t>
      </w:r>
      <w:r>
        <w:rPr>
          <w:rFonts w:ascii="仿宋_GB2312" w:eastAsia="仿宋_GB2312" w:hint="eastAsia"/>
          <w:sz w:val="30"/>
          <w:szCs w:val="30"/>
        </w:rPr>
        <w:t>证券出借代理业务相关技术系统</w:t>
      </w:r>
      <w:r>
        <w:rPr>
          <w:rFonts w:ascii="仿宋_GB2312" w:eastAsia="仿宋_GB2312"/>
          <w:sz w:val="30"/>
          <w:szCs w:val="30"/>
        </w:rPr>
        <w:t>的安全性、稳定性，制定应急预案，并根据本所的要求，进行定期或者临时应急演练。</w:t>
      </w:r>
      <w:r>
        <w:rPr>
          <w:rFonts w:ascii="仿宋_GB2312" w:eastAsia="仿宋_GB2312" w:hint="eastAsia"/>
          <w:sz w:val="30"/>
          <w:szCs w:val="30"/>
        </w:rPr>
        <w:t>会员对相关技术系统的检查内容包括但不限于以下方面：</w:t>
      </w:r>
    </w:p>
    <w:p w:rsidR="00AB5B6B" w:rsidRDefault="00AB5B6B">
      <w:pPr>
        <w:spacing w:line="600" w:lineRule="exact"/>
        <w:ind w:firstLineChars="200" w:firstLine="600"/>
        <w:rPr>
          <w:rFonts w:ascii="仿宋_GB2312" w:eastAsia="仿宋_GB2312"/>
          <w:sz w:val="30"/>
          <w:szCs w:val="30"/>
        </w:rPr>
      </w:pPr>
      <w:r>
        <w:rPr>
          <w:rFonts w:ascii="仿宋_GB2312" w:eastAsia="仿宋_GB2312" w:hint="eastAsia"/>
          <w:sz w:val="30"/>
          <w:szCs w:val="30"/>
        </w:rPr>
        <w:t>（一）是否存在缺陷和漏洞；</w:t>
      </w:r>
    </w:p>
    <w:p w:rsidR="00AB5B6B" w:rsidRDefault="00AB5B6B">
      <w:pPr>
        <w:spacing w:line="600" w:lineRule="exact"/>
        <w:ind w:firstLineChars="200" w:firstLine="600"/>
        <w:rPr>
          <w:rFonts w:ascii="仿宋_GB2312" w:eastAsia="仿宋_GB2312"/>
          <w:sz w:val="30"/>
          <w:szCs w:val="30"/>
        </w:rPr>
      </w:pPr>
      <w:r>
        <w:rPr>
          <w:rFonts w:ascii="仿宋_GB2312" w:eastAsia="仿宋_GB2312" w:hint="eastAsia"/>
          <w:sz w:val="30"/>
          <w:szCs w:val="30"/>
        </w:rPr>
        <w:t>（二）通过反例测试等方式，确认相关系统是否符合证监会、交易所和登记公司相关监管要求；</w:t>
      </w:r>
    </w:p>
    <w:p w:rsidR="00AB5B6B" w:rsidRDefault="00AB5B6B">
      <w:pPr>
        <w:spacing w:line="600" w:lineRule="exact"/>
        <w:ind w:firstLineChars="200" w:firstLine="600"/>
        <w:rPr>
          <w:rFonts w:ascii="仿宋_GB2312" w:eastAsia="仿宋_GB2312"/>
          <w:sz w:val="30"/>
          <w:szCs w:val="30"/>
        </w:rPr>
      </w:pPr>
      <w:r>
        <w:rPr>
          <w:rFonts w:ascii="仿宋_GB2312" w:eastAsia="仿宋_GB2312" w:hint="eastAsia"/>
          <w:sz w:val="30"/>
          <w:szCs w:val="30"/>
        </w:rPr>
        <w:t>（三）对技术系统的开发和升级是否有规范的管理流程；</w:t>
      </w:r>
    </w:p>
    <w:p w:rsidR="00AB5B6B" w:rsidRDefault="00AB5B6B">
      <w:pPr>
        <w:spacing w:line="600" w:lineRule="exact"/>
        <w:ind w:firstLineChars="200" w:firstLine="600"/>
        <w:rPr>
          <w:rFonts w:ascii="仿宋_GB2312" w:eastAsia="仿宋_GB2312"/>
          <w:sz w:val="30"/>
          <w:szCs w:val="30"/>
        </w:rPr>
      </w:pPr>
      <w:r>
        <w:rPr>
          <w:rFonts w:ascii="仿宋_GB2312" w:eastAsia="仿宋_GB2312" w:hint="eastAsia"/>
          <w:sz w:val="30"/>
          <w:szCs w:val="30"/>
        </w:rPr>
        <w:t>（四）技术系统升级后是否进行必要的测试，包括但不限于前端控制有效性测试、业务功能合规性测试等；</w:t>
      </w:r>
    </w:p>
    <w:p w:rsidR="00AB5B6B" w:rsidRDefault="00AB5B6B">
      <w:pPr>
        <w:spacing w:line="600" w:lineRule="exact"/>
        <w:ind w:firstLineChars="200" w:firstLine="600"/>
        <w:rPr>
          <w:rFonts w:ascii="仿宋_GB2312" w:eastAsia="仿宋_GB2312" w:hint="eastAsia"/>
          <w:sz w:val="30"/>
          <w:szCs w:val="30"/>
        </w:rPr>
      </w:pPr>
      <w:r>
        <w:rPr>
          <w:rFonts w:ascii="仿宋_GB2312" w:eastAsia="仿宋_GB2312" w:hint="eastAsia"/>
          <w:sz w:val="30"/>
          <w:szCs w:val="30"/>
        </w:rPr>
        <w:t>（五）对相关系统日常参数维护，是否有规范的业务流程和复核机制。</w:t>
      </w:r>
    </w:p>
    <w:p w:rsidR="00AB5B6B" w:rsidRDefault="00AB5B6B">
      <w:pPr>
        <w:spacing w:line="600" w:lineRule="exact"/>
        <w:ind w:firstLineChars="200" w:firstLine="600"/>
        <w:rPr>
          <w:rFonts w:ascii="仿宋_GB2312" w:eastAsia="仿宋_GB2312" w:hint="eastAsia"/>
          <w:sz w:val="30"/>
          <w:szCs w:val="30"/>
        </w:rPr>
      </w:pPr>
    </w:p>
    <w:p w:rsidR="00AB5B6B" w:rsidRDefault="00AB5B6B">
      <w:pPr>
        <w:spacing w:line="600" w:lineRule="exact"/>
        <w:jc w:val="center"/>
        <w:outlineLvl w:val="0"/>
        <w:rPr>
          <w:rFonts w:eastAsia="黑体" w:hint="eastAsia"/>
          <w:b/>
          <w:bCs/>
          <w:sz w:val="30"/>
        </w:rPr>
      </w:pPr>
      <w:bookmarkStart w:id="26" w:name="_Toc349227410"/>
      <w:r>
        <w:rPr>
          <w:rFonts w:eastAsia="黑体" w:hint="eastAsia"/>
          <w:b/>
          <w:bCs/>
          <w:sz w:val="30"/>
        </w:rPr>
        <w:t>第七章</w:t>
      </w:r>
      <w:r>
        <w:rPr>
          <w:rFonts w:eastAsia="黑体" w:hint="eastAsia"/>
          <w:b/>
          <w:bCs/>
          <w:sz w:val="30"/>
        </w:rPr>
        <w:t xml:space="preserve">  </w:t>
      </w:r>
      <w:r>
        <w:rPr>
          <w:rFonts w:eastAsia="黑体" w:hint="eastAsia"/>
          <w:b/>
          <w:bCs/>
          <w:sz w:val="30"/>
        </w:rPr>
        <w:t>权益类信息披露及相关事务</w:t>
      </w:r>
      <w:bookmarkEnd w:id="20"/>
      <w:bookmarkEnd w:id="26"/>
    </w:p>
    <w:p w:rsidR="00AB5B6B" w:rsidRDefault="00AB5B6B">
      <w:pPr>
        <w:tabs>
          <w:tab w:val="left" w:pos="0"/>
          <w:tab w:val="left" w:pos="1680"/>
        </w:tabs>
        <w:spacing w:line="600" w:lineRule="exact"/>
        <w:ind w:firstLineChars="200" w:firstLine="600"/>
        <w:rPr>
          <w:rFonts w:ascii="仿宋_GB2312" w:eastAsia="仿宋_GB2312" w:hint="eastAsia"/>
          <w:sz w:val="30"/>
        </w:rPr>
      </w:pPr>
      <w:r>
        <w:rPr>
          <w:rFonts w:ascii="仿宋_GB2312" w:eastAsia="仿宋_GB2312" w:hint="eastAsia"/>
          <w:sz w:val="30"/>
        </w:rPr>
        <w:t>出借人、</w:t>
      </w:r>
      <w:r>
        <w:rPr>
          <w:rFonts w:ascii="仿宋_GB2312" w:eastAsia="仿宋_GB2312" w:hAnsi="宋体" w:hint="eastAsia"/>
          <w:sz w:val="30"/>
        </w:rPr>
        <w:t>借入人</w:t>
      </w:r>
      <w:r>
        <w:rPr>
          <w:rFonts w:ascii="仿宋_GB2312" w:eastAsia="仿宋_GB2312" w:hint="eastAsia"/>
          <w:sz w:val="30"/>
        </w:rPr>
        <w:t>持有一家上市公司股票及其权益的数量或者其增减变动达到法定的比例时，应当依法履行相应的信息报告和披露义务。</w:t>
      </w:r>
    </w:p>
    <w:p w:rsidR="00AB5B6B" w:rsidRDefault="00AB5B6B">
      <w:pPr>
        <w:tabs>
          <w:tab w:val="left" w:pos="0"/>
          <w:tab w:val="left" w:pos="1680"/>
        </w:tabs>
        <w:spacing w:line="600" w:lineRule="exact"/>
        <w:ind w:firstLineChars="200" w:firstLine="600"/>
        <w:rPr>
          <w:rFonts w:ascii="仿宋_GB2312" w:eastAsia="仿宋_GB2312" w:hint="eastAsia"/>
          <w:sz w:val="30"/>
        </w:rPr>
      </w:pPr>
      <w:r>
        <w:rPr>
          <w:rFonts w:ascii="仿宋_GB2312" w:eastAsia="仿宋_GB2312" w:hint="eastAsia"/>
          <w:sz w:val="30"/>
        </w:rPr>
        <w:t>借入人通过转融通担保证券账户持有的证券不计入其自有证券，无须因该账户内证券数量的变动而履行信息报告、披露或者要约收购义务。</w:t>
      </w:r>
    </w:p>
    <w:p w:rsidR="00AB5B6B" w:rsidRPr="008F577C" w:rsidRDefault="00AB5B6B" w:rsidP="008F577C">
      <w:pPr>
        <w:spacing w:line="600" w:lineRule="exact"/>
        <w:ind w:firstLine="600"/>
        <w:rPr>
          <w:rFonts w:ascii="仿宋_GB2312" w:eastAsia="仿宋_GB2312"/>
          <w:sz w:val="30"/>
        </w:rPr>
      </w:pPr>
      <w:r>
        <w:rPr>
          <w:rFonts w:ascii="仿宋_GB2312" w:eastAsia="仿宋_GB2312" w:hint="eastAsia"/>
          <w:sz w:val="30"/>
        </w:rPr>
        <w:t>出借人仅因收回出借股票使其持股比例超过30%的，无须履行要约收购义务。</w:t>
      </w:r>
    </w:p>
    <w:sectPr w:rsidR="00AB5B6B" w:rsidRPr="008F577C">
      <w:footerReference w:type="even" r:id="rId9"/>
      <w:footerReference w:type="default" r:id="rId10"/>
      <w:pgSz w:w="11906" w:h="16838"/>
      <w:pgMar w:top="1440" w:right="1800" w:bottom="1440" w:left="1800" w:header="851" w:footer="992" w:gutter="0"/>
      <w:pgNumType w:start="3"/>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2D46" w:rsidRDefault="006E2D46" w:rsidP="00AB5B6B">
      <w:r>
        <w:separator/>
      </w:r>
    </w:p>
  </w:endnote>
  <w:endnote w:type="continuationSeparator" w:id="0">
    <w:p w:rsidR="006E2D46" w:rsidRDefault="006E2D46" w:rsidP="00AB5B6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Arial Unicode MS"/>
    <w:charset w:val="86"/>
    <w:family w:val="modern"/>
    <w:pitch w:val="fixed"/>
    <w:sig w:usb0="00000000" w:usb1="080E0000" w:usb2="00000010" w:usb3="00000000" w:csb0="00040000" w:csb1="00000000"/>
  </w:font>
  <w:font w:name="Calibri">
    <w:panose1 w:val="020F0502020204030204"/>
    <w:charset w:val="00"/>
    <w:family w:val="swiss"/>
    <w:pitch w:val="variable"/>
    <w:sig w:usb0="A00002EF" w:usb1="4000207B"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B6B" w:rsidRDefault="00AB5B6B">
    <w:pPr>
      <w:pStyle w:val="a5"/>
      <w:framePr w:wrap="around" w:vAnchor="text" w:hAnchor="margin" w:xAlign="center" w:y="1"/>
      <w:rPr>
        <w:rStyle w:val="a8"/>
      </w:rPr>
    </w:pPr>
  </w:p>
  <w:p w:rsidR="00AB5B6B" w:rsidRDefault="00AB5B6B">
    <w:pPr>
      <w:spacing w:line="400" w:lineRule="exact"/>
      <w:jc w:val="center"/>
      <w:rPr>
        <w:rFonts w:ascii="仿宋_GB2312" w:eastAsia="仿宋_GB2312" w:hint="eastAsia"/>
        <w:bCs/>
        <w:sz w:val="28"/>
      </w:rPr>
    </w:pPr>
    <w:r>
      <w:rPr>
        <w:rFonts w:ascii="仿宋_GB2312" w:eastAsia="仿宋_GB2312" w:hint="eastAsia"/>
        <w:bCs/>
        <w:sz w:val="28"/>
      </w:rPr>
      <w:t>－</w:t>
    </w:r>
    <w:r>
      <w:rPr>
        <w:sz w:val="28"/>
      </w:rPr>
      <w:fldChar w:fldCharType="begin"/>
    </w:r>
    <w:r>
      <w:rPr>
        <w:sz w:val="28"/>
      </w:rPr>
      <w:instrText xml:space="preserve"> PAGE </w:instrText>
    </w:r>
    <w:r>
      <w:rPr>
        <w:sz w:val="28"/>
      </w:rPr>
      <w:fldChar w:fldCharType="separate"/>
    </w:r>
    <w:r>
      <w:rPr>
        <w:sz w:val="28"/>
        <w:lang w:val="en-US" w:eastAsia="zh-CN"/>
      </w:rPr>
      <w:t>2</w:t>
    </w:r>
    <w:r>
      <w:rPr>
        <w:sz w:val="28"/>
      </w:rPr>
      <w:fldChar w:fldCharType="end"/>
    </w:r>
    <w:r>
      <w:rPr>
        <w:rFonts w:ascii="仿宋_GB2312" w:eastAsia="仿宋_GB2312" w:hint="eastAsia"/>
        <w:bCs/>
        <w:sz w:val="28"/>
      </w:rPr>
      <w:t>－</w:t>
    </w:r>
  </w:p>
  <w:p w:rsidR="00AB5B6B" w:rsidRDefault="00AB5B6B">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B6B" w:rsidRDefault="00AB5B6B">
    <w:pPr>
      <w:pStyle w:val="a5"/>
      <w:framePr w:wrap="around" w:vAnchor="text" w:hAnchor="margin" w:xAlign="center" w:y="1"/>
      <w:rPr>
        <w:rStyle w:val="a8"/>
      </w:rPr>
    </w:pPr>
  </w:p>
  <w:p w:rsidR="00AB5B6B" w:rsidRDefault="00AB5B6B">
    <w:pPr>
      <w:pStyle w:val="a5"/>
      <w:jc w:val="center"/>
      <w:rPr>
        <w:rFonts w:hint="eastAsia"/>
      </w:rPr>
    </w:pPr>
    <w:r>
      <w:rPr>
        <w:rFonts w:ascii="仿宋_GB2312" w:eastAsia="仿宋_GB2312" w:hint="eastAsia"/>
        <w:bCs/>
        <w:sz w:val="28"/>
      </w:rPr>
      <w:t>－</w:t>
    </w:r>
    <w:r>
      <w:rPr>
        <w:sz w:val="28"/>
      </w:rPr>
      <w:fldChar w:fldCharType="begin"/>
    </w:r>
    <w:r>
      <w:rPr>
        <w:sz w:val="28"/>
      </w:rPr>
      <w:instrText xml:space="preserve"> PAGE </w:instrText>
    </w:r>
    <w:r>
      <w:rPr>
        <w:sz w:val="28"/>
      </w:rPr>
      <w:fldChar w:fldCharType="separate"/>
    </w:r>
    <w:r w:rsidR="00A6229F">
      <w:rPr>
        <w:noProof/>
        <w:sz w:val="28"/>
      </w:rPr>
      <w:t>3</w:t>
    </w:r>
    <w:r>
      <w:rPr>
        <w:sz w:val="28"/>
      </w:rPr>
      <w:fldChar w:fldCharType="end"/>
    </w:r>
    <w:r>
      <w:rPr>
        <w:rFonts w:ascii="仿宋_GB2312" w:eastAsia="仿宋_GB2312" w:hint="eastAsia"/>
        <w:bCs/>
        <w:sz w:val="28"/>
      </w:rPr>
      <w: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B6B" w:rsidRDefault="00AB5B6B">
    <w:pPr>
      <w:pStyle w:val="a5"/>
      <w:jc w:val="right"/>
    </w:pPr>
    <w:r>
      <w:rPr>
        <w:rFonts w:ascii="仿宋_GB2312" w:eastAsia="仿宋_GB2312" w:hint="eastAsia"/>
        <w:bCs/>
        <w:sz w:val="28"/>
      </w:rPr>
      <w:t>－</w:t>
    </w:r>
    <w:r>
      <w:rPr>
        <w:sz w:val="28"/>
      </w:rPr>
      <w:fldChar w:fldCharType="begin"/>
    </w:r>
    <w:r>
      <w:rPr>
        <w:sz w:val="28"/>
      </w:rPr>
      <w:instrText xml:space="preserve"> PAGE </w:instrText>
    </w:r>
    <w:r>
      <w:rPr>
        <w:sz w:val="28"/>
      </w:rPr>
      <w:fldChar w:fldCharType="separate"/>
    </w:r>
    <w:r>
      <w:rPr>
        <w:sz w:val="28"/>
        <w:lang w:val="en-US" w:eastAsia="zh-CN"/>
      </w:rPr>
      <w:t>1</w:t>
    </w:r>
    <w:r>
      <w:rPr>
        <w:sz w:val="28"/>
      </w:rPr>
      <w:fldChar w:fldCharType="end"/>
    </w:r>
    <w:r>
      <w:rPr>
        <w:rFonts w:ascii="仿宋_GB2312" w:eastAsia="仿宋_GB2312" w:hint="eastAsia"/>
        <w:bCs/>
        <w:sz w:val="28"/>
      </w:rPr>
      <w:t>－</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B6B" w:rsidRDefault="00AB5B6B">
    <w:pPr>
      <w:spacing w:line="400" w:lineRule="exact"/>
      <w:jc w:val="center"/>
      <w:rPr>
        <w:rFonts w:ascii="仿宋_GB2312" w:eastAsia="仿宋_GB2312" w:hint="eastAsia"/>
        <w:bCs/>
        <w:sz w:val="28"/>
      </w:rPr>
    </w:pPr>
    <w:r>
      <w:rPr>
        <w:rFonts w:ascii="仿宋_GB2312" w:eastAsia="仿宋_GB2312" w:hint="eastAsia"/>
        <w:bCs/>
        <w:sz w:val="28"/>
      </w:rPr>
      <w:t>－</w:t>
    </w:r>
    <w:r>
      <w:rPr>
        <w:sz w:val="28"/>
      </w:rPr>
      <w:fldChar w:fldCharType="begin"/>
    </w:r>
    <w:r>
      <w:rPr>
        <w:sz w:val="28"/>
      </w:rPr>
      <w:instrText xml:space="preserve"> PAGE </w:instrText>
    </w:r>
    <w:r>
      <w:rPr>
        <w:sz w:val="28"/>
      </w:rPr>
      <w:fldChar w:fldCharType="separate"/>
    </w:r>
    <w:r>
      <w:rPr>
        <w:sz w:val="28"/>
        <w:lang w:val="en-US" w:eastAsia="zh-CN"/>
      </w:rPr>
      <w:t>14</w:t>
    </w:r>
    <w:r>
      <w:rPr>
        <w:sz w:val="28"/>
      </w:rPr>
      <w:fldChar w:fldCharType="end"/>
    </w:r>
    <w:r>
      <w:rPr>
        <w:rFonts w:ascii="仿宋_GB2312" w:eastAsia="仿宋_GB2312" w:hint="eastAsia"/>
        <w:bCs/>
        <w:sz w:val="28"/>
      </w:rPr>
      <w:t>－</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B6B" w:rsidRDefault="00AB5B6B">
    <w:pPr>
      <w:pStyle w:val="a5"/>
      <w:jc w:val="center"/>
      <w:rPr>
        <w:rFonts w:ascii="宋体" w:hAnsi="宋体" w:hint="eastAsia"/>
        <w:sz w:val="28"/>
      </w:rPr>
    </w:pPr>
    <w:r>
      <w:rPr>
        <w:rFonts w:ascii="仿宋_GB2312" w:eastAsia="仿宋_GB2312" w:hint="eastAsia"/>
        <w:bCs/>
        <w:sz w:val="28"/>
      </w:rPr>
      <w:t>－</w:t>
    </w:r>
    <w:r>
      <w:rPr>
        <w:sz w:val="28"/>
      </w:rPr>
      <w:fldChar w:fldCharType="begin"/>
    </w:r>
    <w:r>
      <w:rPr>
        <w:sz w:val="28"/>
      </w:rPr>
      <w:instrText xml:space="preserve"> PAGE </w:instrText>
    </w:r>
    <w:r>
      <w:rPr>
        <w:sz w:val="28"/>
      </w:rPr>
      <w:fldChar w:fldCharType="separate"/>
    </w:r>
    <w:r w:rsidR="00A6229F">
      <w:rPr>
        <w:noProof/>
        <w:sz w:val="28"/>
      </w:rPr>
      <w:t>12</w:t>
    </w:r>
    <w:r>
      <w:rPr>
        <w:sz w:val="28"/>
      </w:rPr>
      <w:fldChar w:fldCharType="end"/>
    </w:r>
    <w:r>
      <w:rPr>
        <w:rFonts w:ascii="仿宋_GB2312" w:eastAsia="仿宋_GB2312" w:hint="eastAsia"/>
        <w:bCs/>
        <w:sz w:val="28"/>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2D46" w:rsidRDefault="006E2D46" w:rsidP="00AB5B6B">
      <w:r>
        <w:separator/>
      </w:r>
    </w:p>
  </w:footnote>
  <w:footnote w:type="continuationSeparator" w:id="0">
    <w:p w:rsidR="006E2D46" w:rsidRDefault="006E2D46" w:rsidP="00AB5B6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E7D57"/>
    <w:rsid w:val="0000281F"/>
    <w:rsid w:val="00037611"/>
    <w:rsid w:val="0010530D"/>
    <w:rsid w:val="00123364"/>
    <w:rsid w:val="00165AED"/>
    <w:rsid w:val="001F0ADC"/>
    <w:rsid w:val="002614DB"/>
    <w:rsid w:val="002C2775"/>
    <w:rsid w:val="002D6BB1"/>
    <w:rsid w:val="00434E21"/>
    <w:rsid w:val="004E601B"/>
    <w:rsid w:val="00545E89"/>
    <w:rsid w:val="00572106"/>
    <w:rsid w:val="00580213"/>
    <w:rsid w:val="005F7061"/>
    <w:rsid w:val="00624781"/>
    <w:rsid w:val="00637C36"/>
    <w:rsid w:val="00691D64"/>
    <w:rsid w:val="006E2D46"/>
    <w:rsid w:val="007D2FC6"/>
    <w:rsid w:val="008228AE"/>
    <w:rsid w:val="00844D39"/>
    <w:rsid w:val="008C357E"/>
    <w:rsid w:val="008C3A2D"/>
    <w:rsid w:val="008D592E"/>
    <w:rsid w:val="008F577C"/>
    <w:rsid w:val="009F420C"/>
    <w:rsid w:val="00A6229F"/>
    <w:rsid w:val="00AA7D31"/>
    <w:rsid w:val="00AB5B6B"/>
    <w:rsid w:val="00B13C79"/>
    <w:rsid w:val="00B31A95"/>
    <w:rsid w:val="00BE7D57"/>
    <w:rsid w:val="00C06F1E"/>
    <w:rsid w:val="00C143E9"/>
    <w:rsid w:val="00CB3CD4"/>
    <w:rsid w:val="00DB2C15"/>
    <w:rsid w:val="00DC0CAD"/>
    <w:rsid w:val="00E474FF"/>
    <w:rsid w:val="00EC7AD8"/>
    <w:rsid w:val="00ED051C"/>
    <w:rsid w:val="00F21224"/>
    <w:rsid w:val="00F22160"/>
    <w:rsid w:val="00F32457"/>
    <w:rsid w:val="00F717A4"/>
    <w:rsid w:val="00F74A4D"/>
    <w:rsid w:val="026E270A"/>
    <w:rsid w:val="037A3A4F"/>
    <w:rsid w:val="04074C26"/>
    <w:rsid w:val="04364353"/>
    <w:rsid w:val="043A3F7F"/>
    <w:rsid w:val="04F7112F"/>
    <w:rsid w:val="05817D53"/>
    <w:rsid w:val="05B83875"/>
    <w:rsid w:val="06C16E21"/>
    <w:rsid w:val="06FA6ACF"/>
    <w:rsid w:val="071311AA"/>
    <w:rsid w:val="078758E5"/>
    <w:rsid w:val="08FB3249"/>
    <w:rsid w:val="09732BED"/>
    <w:rsid w:val="0B4152C3"/>
    <w:rsid w:val="0D0C53E6"/>
    <w:rsid w:val="0D4528D3"/>
    <w:rsid w:val="0D6F1519"/>
    <w:rsid w:val="0EBC5938"/>
    <w:rsid w:val="0EFF09AB"/>
    <w:rsid w:val="0F1D130A"/>
    <w:rsid w:val="0FE272D7"/>
    <w:rsid w:val="10C57DF6"/>
    <w:rsid w:val="10D77D27"/>
    <w:rsid w:val="11670B0A"/>
    <w:rsid w:val="126A037A"/>
    <w:rsid w:val="12E5437D"/>
    <w:rsid w:val="14006D68"/>
    <w:rsid w:val="143E580F"/>
    <w:rsid w:val="14BE790E"/>
    <w:rsid w:val="165F428D"/>
    <w:rsid w:val="170F094E"/>
    <w:rsid w:val="177D585E"/>
    <w:rsid w:val="17AB2E7C"/>
    <w:rsid w:val="182D597C"/>
    <w:rsid w:val="18E90EEB"/>
    <w:rsid w:val="1A612CD6"/>
    <w:rsid w:val="1C036F74"/>
    <w:rsid w:val="1C043B7D"/>
    <w:rsid w:val="1C136880"/>
    <w:rsid w:val="1D194148"/>
    <w:rsid w:val="1DAF11C4"/>
    <w:rsid w:val="1DD95F82"/>
    <w:rsid w:val="1E656766"/>
    <w:rsid w:val="1F8A3E6F"/>
    <w:rsid w:val="20474300"/>
    <w:rsid w:val="2084273E"/>
    <w:rsid w:val="208A3AF0"/>
    <w:rsid w:val="20EA0251"/>
    <w:rsid w:val="20FD36E7"/>
    <w:rsid w:val="21D04C97"/>
    <w:rsid w:val="22DC1103"/>
    <w:rsid w:val="23E864D2"/>
    <w:rsid w:val="24781895"/>
    <w:rsid w:val="24DA5939"/>
    <w:rsid w:val="258129BE"/>
    <w:rsid w:val="26D517BB"/>
    <w:rsid w:val="272D1F94"/>
    <w:rsid w:val="27673C73"/>
    <w:rsid w:val="27B04BAD"/>
    <w:rsid w:val="27FA04A4"/>
    <w:rsid w:val="28136E4F"/>
    <w:rsid w:val="29637A76"/>
    <w:rsid w:val="2A944F41"/>
    <w:rsid w:val="2A976B6E"/>
    <w:rsid w:val="2B2F386A"/>
    <w:rsid w:val="2B347CF1"/>
    <w:rsid w:val="2CCF1C91"/>
    <w:rsid w:val="2CF1183E"/>
    <w:rsid w:val="2D24719C"/>
    <w:rsid w:val="2DA61CF4"/>
    <w:rsid w:val="2E03680A"/>
    <w:rsid w:val="2E4278B8"/>
    <w:rsid w:val="2F794FBA"/>
    <w:rsid w:val="30715BF2"/>
    <w:rsid w:val="313640D6"/>
    <w:rsid w:val="313708CB"/>
    <w:rsid w:val="31F27CEE"/>
    <w:rsid w:val="334648D5"/>
    <w:rsid w:val="33541DC2"/>
    <w:rsid w:val="339D45E9"/>
    <w:rsid w:val="340238ED"/>
    <w:rsid w:val="34586FDF"/>
    <w:rsid w:val="35BE332D"/>
    <w:rsid w:val="36584064"/>
    <w:rsid w:val="37797999"/>
    <w:rsid w:val="378235AF"/>
    <w:rsid w:val="37DE5837"/>
    <w:rsid w:val="38E84D15"/>
    <w:rsid w:val="396E39C4"/>
    <w:rsid w:val="39BC3B6C"/>
    <w:rsid w:val="3A7D09AD"/>
    <w:rsid w:val="3AE07F36"/>
    <w:rsid w:val="3B4535CA"/>
    <w:rsid w:val="3BBD597A"/>
    <w:rsid w:val="3CB85690"/>
    <w:rsid w:val="3CF5356B"/>
    <w:rsid w:val="3D3F19E9"/>
    <w:rsid w:val="3D5C61B8"/>
    <w:rsid w:val="3D7604D6"/>
    <w:rsid w:val="3E7E5894"/>
    <w:rsid w:val="3F040ECF"/>
    <w:rsid w:val="3F4F1E6B"/>
    <w:rsid w:val="3FB8669C"/>
    <w:rsid w:val="40FD66AE"/>
    <w:rsid w:val="413E7F4F"/>
    <w:rsid w:val="41493AED"/>
    <w:rsid w:val="428A6D7F"/>
    <w:rsid w:val="42DF0DC2"/>
    <w:rsid w:val="436E01FE"/>
    <w:rsid w:val="437B3741"/>
    <w:rsid w:val="43C348B8"/>
    <w:rsid w:val="44E842E3"/>
    <w:rsid w:val="45560536"/>
    <w:rsid w:val="463311B9"/>
    <w:rsid w:val="46F30DEA"/>
    <w:rsid w:val="47012B0C"/>
    <w:rsid w:val="47063DA7"/>
    <w:rsid w:val="47135B6A"/>
    <w:rsid w:val="49423387"/>
    <w:rsid w:val="497A16CE"/>
    <w:rsid w:val="4A901A63"/>
    <w:rsid w:val="4A913C61"/>
    <w:rsid w:val="4A960462"/>
    <w:rsid w:val="4AF13892"/>
    <w:rsid w:val="4AFC3310"/>
    <w:rsid w:val="4BB47D18"/>
    <w:rsid w:val="4C0276DF"/>
    <w:rsid w:val="4D7A49A9"/>
    <w:rsid w:val="4D981DA3"/>
    <w:rsid w:val="4E8C23EA"/>
    <w:rsid w:val="4F791EF0"/>
    <w:rsid w:val="504C7CCA"/>
    <w:rsid w:val="507C77FC"/>
    <w:rsid w:val="50F4255F"/>
    <w:rsid w:val="51112862"/>
    <w:rsid w:val="51314F6E"/>
    <w:rsid w:val="51571481"/>
    <w:rsid w:val="52295F56"/>
    <w:rsid w:val="532C45FD"/>
    <w:rsid w:val="53427E33"/>
    <w:rsid w:val="53FC2A05"/>
    <w:rsid w:val="54AD00ED"/>
    <w:rsid w:val="56160ACB"/>
    <w:rsid w:val="56BC4AAD"/>
    <w:rsid w:val="57263899"/>
    <w:rsid w:val="573B502A"/>
    <w:rsid w:val="58AE4D13"/>
    <w:rsid w:val="58E91247"/>
    <w:rsid w:val="5AFE7E03"/>
    <w:rsid w:val="5B847874"/>
    <w:rsid w:val="5B9C7BC0"/>
    <w:rsid w:val="5BA2036A"/>
    <w:rsid w:val="5BDA20BB"/>
    <w:rsid w:val="5EB93D3A"/>
    <w:rsid w:val="5F0539D7"/>
    <w:rsid w:val="5F8B3350"/>
    <w:rsid w:val="5FEF75E8"/>
    <w:rsid w:val="60415200"/>
    <w:rsid w:val="606A7DEB"/>
    <w:rsid w:val="60944948"/>
    <w:rsid w:val="617B1742"/>
    <w:rsid w:val="61F40347"/>
    <w:rsid w:val="624438CC"/>
    <w:rsid w:val="629C5426"/>
    <w:rsid w:val="62F44BFE"/>
    <w:rsid w:val="630654EE"/>
    <w:rsid w:val="63A47F08"/>
    <w:rsid w:val="63E30CF1"/>
    <w:rsid w:val="64423289"/>
    <w:rsid w:val="648918C9"/>
    <w:rsid w:val="64E9279D"/>
    <w:rsid w:val="6511265D"/>
    <w:rsid w:val="65E76E3D"/>
    <w:rsid w:val="65F10232"/>
    <w:rsid w:val="6605241B"/>
    <w:rsid w:val="680613B6"/>
    <w:rsid w:val="684F5B2A"/>
    <w:rsid w:val="696E09DE"/>
    <w:rsid w:val="697E0FA2"/>
    <w:rsid w:val="6A474DA8"/>
    <w:rsid w:val="6A780BF1"/>
    <w:rsid w:val="6AB26742"/>
    <w:rsid w:val="6AC56D3B"/>
    <w:rsid w:val="6B3F59D0"/>
    <w:rsid w:val="6CD15B16"/>
    <w:rsid w:val="6E6526A9"/>
    <w:rsid w:val="6EA55434"/>
    <w:rsid w:val="6F1F0BF9"/>
    <w:rsid w:val="700A405F"/>
    <w:rsid w:val="70815599"/>
    <w:rsid w:val="709A6DBA"/>
    <w:rsid w:val="70DB4559"/>
    <w:rsid w:val="73D51B16"/>
    <w:rsid w:val="75213D37"/>
    <w:rsid w:val="754045EC"/>
    <w:rsid w:val="77193646"/>
    <w:rsid w:val="78850FF2"/>
    <w:rsid w:val="79032A98"/>
    <w:rsid w:val="79943AAA"/>
    <w:rsid w:val="79B045FD"/>
    <w:rsid w:val="7A345174"/>
    <w:rsid w:val="7B147EFA"/>
    <w:rsid w:val="7B9A6B62"/>
    <w:rsid w:val="7C5E4EB7"/>
    <w:rsid w:val="7C816AFE"/>
    <w:rsid w:val="7D755AD9"/>
    <w:rsid w:val="7DA37B8D"/>
    <w:rsid w:val="7DB940A9"/>
    <w:rsid w:val="7E2C201B"/>
    <w:rsid w:val="7F077744"/>
    <w:rsid w:val="7F51026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paragraph" w:styleId="3">
    <w:name w:val="heading 3"/>
    <w:basedOn w:val="a"/>
    <w:next w:val="a"/>
    <w:qFormat/>
    <w:pPr>
      <w:keepNext/>
      <w:keepLines/>
      <w:tabs>
        <w:tab w:val="left" w:pos="1280"/>
      </w:tabs>
      <w:spacing w:before="260" w:after="260" w:line="416" w:lineRule="auto"/>
      <w:ind w:left="1280" w:hanging="720"/>
      <w:outlineLvl w:val="2"/>
    </w:pPr>
    <w:rPr>
      <w:b/>
      <w:bCs/>
      <w:sz w:val="32"/>
      <w:szCs w:val="32"/>
    </w:rPr>
  </w:style>
  <w:style w:type="character" w:default="1" w:styleId="a0">
    <w:name w:val="Default Paragraph Font"/>
    <w:semiHidden/>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pPr>
      <w:jc w:val="left"/>
    </w:pPr>
  </w:style>
  <w:style w:type="character" w:customStyle="1" w:styleId="Char">
    <w:name w:val="批注文字 Char"/>
    <w:basedOn w:val="a0"/>
    <w:link w:val="a3"/>
    <w:rPr>
      <w:kern w:val="2"/>
      <w:sz w:val="21"/>
      <w:szCs w:val="24"/>
    </w:rPr>
  </w:style>
  <w:style w:type="paragraph" w:styleId="30">
    <w:name w:val="toc 3"/>
    <w:basedOn w:val="a"/>
    <w:next w:val="a"/>
    <w:pPr>
      <w:ind w:leftChars="400" w:left="840"/>
    </w:pPr>
  </w:style>
  <w:style w:type="paragraph" w:styleId="a4">
    <w:name w:val="Balloon Text"/>
    <w:basedOn w:val="a"/>
    <w:semiHidden/>
    <w:rPr>
      <w:sz w:val="18"/>
      <w:szCs w:val="18"/>
    </w:rPr>
  </w:style>
  <w:style w:type="paragraph" w:styleId="a5">
    <w:name w:val="footer"/>
    <w:basedOn w:val="a"/>
    <w:pPr>
      <w:tabs>
        <w:tab w:val="center" w:pos="4153"/>
        <w:tab w:val="right" w:pos="8306"/>
      </w:tabs>
      <w:snapToGrid w:val="0"/>
      <w:jc w:val="left"/>
    </w:pPr>
    <w:rPr>
      <w:sz w:val="18"/>
      <w:szCs w:val="18"/>
    </w:rPr>
  </w:style>
  <w:style w:type="paragraph" w:styleId="a6">
    <w:name w:val="header"/>
    <w:basedOn w:val="a"/>
    <w:link w:val="Char0"/>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rPr>
      <w:kern w:val="2"/>
      <w:sz w:val="18"/>
      <w:szCs w:val="18"/>
    </w:rPr>
  </w:style>
  <w:style w:type="paragraph" w:styleId="1">
    <w:name w:val="toc 1"/>
    <w:basedOn w:val="a"/>
    <w:next w:val="a"/>
  </w:style>
  <w:style w:type="paragraph" w:styleId="a7">
    <w:name w:val="annotation subject"/>
    <w:basedOn w:val="a3"/>
    <w:next w:val="a3"/>
    <w:link w:val="Char1"/>
    <w:rPr>
      <w:b/>
      <w:bCs/>
    </w:rPr>
  </w:style>
  <w:style w:type="character" w:customStyle="1" w:styleId="Char1">
    <w:name w:val="批注主题 Char"/>
    <w:basedOn w:val="Char"/>
    <w:link w:val="a7"/>
    <w:rPr>
      <w:b/>
      <w:bCs/>
    </w:rPr>
  </w:style>
  <w:style w:type="character" w:styleId="a8">
    <w:name w:val="page number"/>
    <w:basedOn w:val="a0"/>
  </w:style>
  <w:style w:type="character" w:styleId="a9">
    <w:name w:val="Hyperlink"/>
    <w:basedOn w:val="a0"/>
    <w:rPr>
      <w:rFonts w:ascii="宋体" w:eastAsia="宋体" w:hAnsi="宋体" w:hint="eastAsia"/>
      <w:color w:val="0000FF"/>
      <w:u w:val="single"/>
    </w:rPr>
  </w:style>
  <w:style w:type="character" w:styleId="aa">
    <w:name w:val="annotation reference"/>
    <w:basedOn w:val="a0"/>
    <w:rPr>
      <w:sz w:val="21"/>
      <w:szCs w:val="21"/>
    </w:rPr>
  </w:style>
  <w:style w:type="paragraph" w:customStyle="1" w:styleId="ab">
    <w:name w:val="条款"/>
    <w:basedOn w:val="a"/>
    <w:qFormat/>
    <w:pPr>
      <w:widowControl/>
      <w:wordWrap w:val="0"/>
      <w:adjustRightInd w:val="0"/>
      <w:spacing w:line="360" w:lineRule="auto"/>
      <w:ind w:right="272" w:firstLineChars="200" w:firstLine="560"/>
    </w:pPr>
    <w:rPr>
      <w:rFonts w:ascii="仿宋_GB2312" w:eastAsia="仿宋_GB2312" w:hAnsi="Calibri"/>
      <w:color w:val="000000"/>
      <w:kern w:val="0"/>
      <w:sz w:val="28"/>
      <w:szCs w:val="20"/>
    </w:rPr>
  </w:style>
  <w:style w:type="paragraph" w:styleId="ac">
    <w:name w:val="Revision"/>
    <w:uiPriority w:val="99"/>
    <w:unhideWhenUsed/>
    <w:rPr>
      <w:kern w:val="2"/>
      <w:sz w:val="21"/>
      <w:szCs w:val="24"/>
    </w:rPr>
  </w:style>
</w:styles>
</file>

<file path=word/webSettings.xml><?xml version="1.0" encoding="utf-8"?>
<w:webSettings xmlns:r="http://schemas.openxmlformats.org/officeDocument/2006/relationships" xmlns:w="http://schemas.openxmlformats.org/wordprocessingml/2006/main">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968</Words>
  <Characters>5519</Characters>
  <Application>Microsoft Office Word</Application>
  <DocSecurity>0</DocSecurity>
  <Lines>45</Lines>
  <Paragraphs>12</Paragraphs>
  <ScaleCrop>false</ScaleCrop>
  <Company/>
  <LinksUpToDate>false</LinksUpToDate>
  <CharactersWithSpaces>6475</CharactersWithSpaces>
  <SharedDoc>false</SharedDoc>
  <HLinks>
    <vt:vector size="120" baseType="variant">
      <vt:variant>
        <vt:i4>1507388</vt:i4>
      </vt:variant>
      <vt:variant>
        <vt:i4>116</vt:i4>
      </vt:variant>
      <vt:variant>
        <vt:i4>0</vt:i4>
      </vt:variant>
      <vt:variant>
        <vt:i4>5</vt:i4>
      </vt:variant>
      <vt:variant>
        <vt:lpwstr/>
      </vt:variant>
      <vt:variant>
        <vt:lpwstr>_Toc349227410</vt:lpwstr>
      </vt:variant>
      <vt:variant>
        <vt:i4>1441852</vt:i4>
      </vt:variant>
      <vt:variant>
        <vt:i4>110</vt:i4>
      </vt:variant>
      <vt:variant>
        <vt:i4>0</vt:i4>
      </vt:variant>
      <vt:variant>
        <vt:i4>5</vt:i4>
      </vt:variant>
      <vt:variant>
        <vt:lpwstr/>
      </vt:variant>
      <vt:variant>
        <vt:lpwstr>_Toc349227409</vt:lpwstr>
      </vt:variant>
      <vt:variant>
        <vt:i4>1441852</vt:i4>
      </vt:variant>
      <vt:variant>
        <vt:i4>104</vt:i4>
      </vt:variant>
      <vt:variant>
        <vt:i4>0</vt:i4>
      </vt:variant>
      <vt:variant>
        <vt:i4>5</vt:i4>
      </vt:variant>
      <vt:variant>
        <vt:lpwstr/>
      </vt:variant>
      <vt:variant>
        <vt:lpwstr>_Toc349227408</vt:lpwstr>
      </vt:variant>
      <vt:variant>
        <vt:i4>1441852</vt:i4>
      </vt:variant>
      <vt:variant>
        <vt:i4>98</vt:i4>
      </vt:variant>
      <vt:variant>
        <vt:i4>0</vt:i4>
      </vt:variant>
      <vt:variant>
        <vt:i4>5</vt:i4>
      </vt:variant>
      <vt:variant>
        <vt:lpwstr/>
      </vt:variant>
      <vt:variant>
        <vt:lpwstr>_Toc349227407</vt:lpwstr>
      </vt:variant>
      <vt:variant>
        <vt:i4>1441852</vt:i4>
      </vt:variant>
      <vt:variant>
        <vt:i4>92</vt:i4>
      </vt:variant>
      <vt:variant>
        <vt:i4>0</vt:i4>
      </vt:variant>
      <vt:variant>
        <vt:i4>5</vt:i4>
      </vt:variant>
      <vt:variant>
        <vt:lpwstr/>
      </vt:variant>
      <vt:variant>
        <vt:lpwstr>_Toc349227406</vt:lpwstr>
      </vt:variant>
      <vt:variant>
        <vt:i4>1441852</vt:i4>
      </vt:variant>
      <vt:variant>
        <vt:i4>86</vt:i4>
      </vt:variant>
      <vt:variant>
        <vt:i4>0</vt:i4>
      </vt:variant>
      <vt:variant>
        <vt:i4>5</vt:i4>
      </vt:variant>
      <vt:variant>
        <vt:lpwstr/>
      </vt:variant>
      <vt:variant>
        <vt:lpwstr>_Toc349227405</vt:lpwstr>
      </vt:variant>
      <vt:variant>
        <vt:i4>1441852</vt:i4>
      </vt:variant>
      <vt:variant>
        <vt:i4>80</vt:i4>
      </vt:variant>
      <vt:variant>
        <vt:i4>0</vt:i4>
      </vt:variant>
      <vt:variant>
        <vt:i4>5</vt:i4>
      </vt:variant>
      <vt:variant>
        <vt:lpwstr/>
      </vt:variant>
      <vt:variant>
        <vt:lpwstr>_Toc349227404</vt:lpwstr>
      </vt:variant>
      <vt:variant>
        <vt:i4>1441852</vt:i4>
      </vt:variant>
      <vt:variant>
        <vt:i4>74</vt:i4>
      </vt:variant>
      <vt:variant>
        <vt:i4>0</vt:i4>
      </vt:variant>
      <vt:variant>
        <vt:i4>5</vt:i4>
      </vt:variant>
      <vt:variant>
        <vt:lpwstr/>
      </vt:variant>
      <vt:variant>
        <vt:lpwstr>_Toc349227403</vt:lpwstr>
      </vt:variant>
      <vt:variant>
        <vt:i4>1441852</vt:i4>
      </vt:variant>
      <vt:variant>
        <vt:i4>68</vt:i4>
      </vt:variant>
      <vt:variant>
        <vt:i4>0</vt:i4>
      </vt:variant>
      <vt:variant>
        <vt:i4>5</vt:i4>
      </vt:variant>
      <vt:variant>
        <vt:lpwstr/>
      </vt:variant>
      <vt:variant>
        <vt:lpwstr>_Toc349227402</vt:lpwstr>
      </vt:variant>
      <vt:variant>
        <vt:i4>1441852</vt:i4>
      </vt:variant>
      <vt:variant>
        <vt:i4>62</vt:i4>
      </vt:variant>
      <vt:variant>
        <vt:i4>0</vt:i4>
      </vt:variant>
      <vt:variant>
        <vt:i4>5</vt:i4>
      </vt:variant>
      <vt:variant>
        <vt:lpwstr/>
      </vt:variant>
      <vt:variant>
        <vt:lpwstr>_Toc349227401</vt:lpwstr>
      </vt:variant>
      <vt:variant>
        <vt:i4>1441852</vt:i4>
      </vt:variant>
      <vt:variant>
        <vt:i4>56</vt:i4>
      </vt:variant>
      <vt:variant>
        <vt:i4>0</vt:i4>
      </vt:variant>
      <vt:variant>
        <vt:i4>5</vt:i4>
      </vt:variant>
      <vt:variant>
        <vt:lpwstr/>
      </vt:variant>
      <vt:variant>
        <vt:lpwstr>_Toc349227400</vt:lpwstr>
      </vt:variant>
      <vt:variant>
        <vt:i4>2031675</vt:i4>
      </vt:variant>
      <vt:variant>
        <vt:i4>50</vt:i4>
      </vt:variant>
      <vt:variant>
        <vt:i4>0</vt:i4>
      </vt:variant>
      <vt:variant>
        <vt:i4>5</vt:i4>
      </vt:variant>
      <vt:variant>
        <vt:lpwstr/>
      </vt:variant>
      <vt:variant>
        <vt:lpwstr>_Toc349227399</vt:lpwstr>
      </vt:variant>
      <vt:variant>
        <vt:i4>2031675</vt:i4>
      </vt:variant>
      <vt:variant>
        <vt:i4>44</vt:i4>
      </vt:variant>
      <vt:variant>
        <vt:i4>0</vt:i4>
      </vt:variant>
      <vt:variant>
        <vt:i4>5</vt:i4>
      </vt:variant>
      <vt:variant>
        <vt:lpwstr/>
      </vt:variant>
      <vt:variant>
        <vt:lpwstr>_Toc349227398</vt:lpwstr>
      </vt:variant>
      <vt:variant>
        <vt:i4>2031675</vt:i4>
      </vt:variant>
      <vt:variant>
        <vt:i4>38</vt:i4>
      </vt:variant>
      <vt:variant>
        <vt:i4>0</vt:i4>
      </vt:variant>
      <vt:variant>
        <vt:i4>5</vt:i4>
      </vt:variant>
      <vt:variant>
        <vt:lpwstr/>
      </vt:variant>
      <vt:variant>
        <vt:lpwstr>_Toc349227397</vt:lpwstr>
      </vt:variant>
      <vt:variant>
        <vt:i4>2031675</vt:i4>
      </vt:variant>
      <vt:variant>
        <vt:i4>32</vt:i4>
      </vt:variant>
      <vt:variant>
        <vt:i4>0</vt:i4>
      </vt:variant>
      <vt:variant>
        <vt:i4>5</vt:i4>
      </vt:variant>
      <vt:variant>
        <vt:lpwstr/>
      </vt:variant>
      <vt:variant>
        <vt:lpwstr>_Toc349227396</vt:lpwstr>
      </vt:variant>
      <vt:variant>
        <vt:i4>2031675</vt:i4>
      </vt:variant>
      <vt:variant>
        <vt:i4>26</vt:i4>
      </vt:variant>
      <vt:variant>
        <vt:i4>0</vt:i4>
      </vt:variant>
      <vt:variant>
        <vt:i4>5</vt:i4>
      </vt:variant>
      <vt:variant>
        <vt:lpwstr/>
      </vt:variant>
      <vt:variant>
        <vt:lpwstr>_Toc349227395</vt:lpwstr>
      </vt:variant>
      <vt:variant>
        <vt:i4>2031675</vt:i4>
      </vt:variant>
      <vt:variant>
        <vt:i4>20</vt:i4>
      </vt:variant>
      <vt:variant>
        <vt:i4>0</vt:i4>
      </vt:variant>
      <vt:variant>
        <vt:i4>5</vt:i4>
      </vt:variant>
      <vt:variant>
        <vt:lpwstr/>
      </vt:variant>
      <vt:variant>
        <vt:lpwstr>_Toc349227394</vt:lpwstr>
      </vt:variant>
      <vt:variant>
        <vt:i4>2031675</vt:i4>
      </vt:variant>
      <vt:variant>
        <vt:i4>14</vt:i4>
      </vt:variant>
      <vt:variant>
        <vt:i4>0</vt:i4>
      </vt:variant>
      <vt:variant>
        <vt:i4>5</vt:i4>
      </vt:variant>
      <vt:variant>
        <vt:lpwstr/>
      </vt:variant>
      <vt:variant>
        <vt:lpwstr>_Toc349227393</vt:lpwstr>
      </vt:variant>
      <vt:variant>
        <vt:i4>2031675</vt:i4>
      </vt:variant>
      <vt:variant>
        <vt:i4>8</vt:i4>
      </vt:variant>
      <vt:variant>
        <vt:i4>0</vt:i4>
      </vt:variant>
      <vt:variant>
        <vt:i4>5</vt:i4>
      </vt:variant>
      <vt:variant>
        <vt:lpwstr/>
      </vt:variant>
      <vt:variant>
        <vt:lpwstr>_Toc349227392</vt:lpwstr>
      </vt:variant>
      <vt:variant>
        <vt:i4>2031675</vt:i4>
      </vt:variant>
      <vt:variant>
        <vt:i4>2</vt:i4>
      </vt:variant>
      <vt:variant>
        <vt:i4>0</vt:i4>
      </vt:variant>
      <vt:variant>
        <vt:i4>5</vt:i4>
      </vt:variant>
      <vt:variant>
        <vt:lpwstr/>
      </vt:variant>
      <vt:variant>
        <vt:lpwstr>_Toc349227391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zxzhu</dc:creator>
  <cp:lastModifiedBy>user</cp:lastModifiedBy>
  <cp:revision>2</cp:revision>
  <cp:lastPrinted>2023-03-15T06:04:00Z</cp:lastPrinted>
  <dcterms:created xsi:type="dcterms:W3CDTF">2025-11-11T07:49:00Z</dcterms:created>
  <dcterms:modified xsi:type="dcterms:W3CDTF">2025-11-11T07:49:00Z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2BE8FCD969614574BC1EE1B9D99E0CD3</vt:lpwstr>
  </property>
</Properties>
</file>