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FC9680">
      <w:pPr>
        <w:spacing w:line="560" w:lineRule="exact"/>
        <w:jc w:val="center"/>
        <w:rPr>
          <w:rFonts w:ascii="Times New Roman" w:hAnsi="方正大标宋简体" w:eastAsia="方正大标宋简体" w:cs="Times New Roman"/>
          <w:bCs/>
          <w:color w:val="000000"/>
          <w:kern w:val="0"/>
          <w:sz w:val="44"/>
          <w:szCs w:val="44"/>
        </w:rPr>
      </w:pPr>
    </w:p>
    <w:p w14:paraId="42FA5D94">
      <w:pPr>
        <w:spacing w:line="560" w:lineRule="exact"/>
        <w:jc w:val="center"/>
        <w:rPr>
          <w:rFonts w:ascii="Times New Roman" w:hAnsi="方正大标宋简体" w:eastAsia="方正大标宋简体" w:cs="Times New Roman"/>
          <w:bCs/>
          <w:color w:val="000000"/>
          <w:kern w:val="0"/>
          <w:sz w:val="44"/>
          <w:szCs w:val="44"/>
        </w:rPr>
      </w:pPr>
    </w:p>
    <w:p w14:paraId="4987DCB7">
      <w:pPr>
        <w:spacing w:line="560" w:lineRule="exact"/>
        <w:jc w:val="center"/>
        <w:rPr>
          <w:rFonts w:ascii="Times New Roman" w:hAnsi="方正大标宋简体" w:eastAsia="方正大标宋简体" w:cs="Times New Roman"/>
          <w:bCs/>
          <w:color w:val="000000"/>
          <w:kern w:val="0"/>
          <w:sz w:val="44"/>
          <w:szCs w:val="44"/>
        </w:rPr>
      </w:pPr>
      <w:bookmarkStart w:id="367" w:name="_GoBack"/>
      <w:bookmarkEnd w:id="367"/>
    </w:p>
    <w:p w14:paraId="62E3F441">
      <w:pPr>
        <w:spacing w:line="560" w:lineRule="exact"/>
        <w:jc w:val="center"/>
        <w:rPr>
          <w:rFonts w:ascii="Times New Roman" w:hAnsi="方正大标宋简体" w:eastAsia="方正大标宋简体" w:cs="Times New Roman"/>
          <w:bCs/>
          <w:color w:val="000000"/>
          <w:kern w:val="0"/>
          <w:sz w:val="44"/>
          <w:szCs w:val="44"/>
        </w:rPr>
      </w:pPr>
    </w:p>
    <w:p w14:paraId="3BE2D239">
      <w:pPr>
        <w:spacing w:line="560" w:lineRule="exact"/>
        <w:jc w:val="center"/>
        <w:rPr>
          <w:rFonts w:ascii="Times New Roman" w:hAnsi="方正大标宋简体" w:eastAsia="方正大标宋简体" w:cs="Times New Roman"/>
          <w:bCs/>
          <w:color w:val="000000"/>
          <w:kern w:val="0"/>
          <w:sz w:val="44"/>
          <w:szCs w:val="44"/>
        </w:rPr>
      </w:pPr>
    </w:p>
    <w:p w14:paraId="0EDFA679">
      <w:pPr>
        <w:spacing w:line="560" w:lineRule="exact"/>
        <w:jc w:val="center"/>
        <w:rPr>
          <w:rFonts w:ascii="Times New Roman" w:hAnsi="方正大标宋简体" w:eastAsia="方正大标宋简体" w:cs="Times New Roman"/>
          <w:bCs/>
          <w:color w:val="000000"/>
          <w:kern w:val="0"/>
          <w:sz w:val="44"/>
          <w:szCs w:val="44"/>
        </w:rPr>
      </w:pPr>
    </w:p>
    <w:p w14:paraId="454383BA">
      <w:pPr>
        <w:spacing w:line="560" w:lineRule="exact"/>
        <w:jc w:val="center"/>
        <w:rPr>
          <w:rFonts w:ascii="Times New Roman" w:hAnsi="Times New Roman" w:eastAsia="方正大标宋简体" w:cs="Times New Roman"/>
          <w:bCs/>
          <w:color w:val="000000"/>
          <w:kern w:val="0"/>
          <w:sz w:val="44"/>
          <w:szCs w:val="44"/>
        </w:rPr>
      </w:pPr>
      <w:r>
        <w:rPr>
          <w:rFonts w:hint="eastAsia" w:ascii="Times New Roman" w:hAnsi="方正大标宋简体" w:eastAsia="方正大标宋简体" w:cs="Times New Roman"/>
          <w:bCs/>
          <w:color w:val="000000"/>
          <w:kern w:val="0"/>
          <w:sz w:val="44"/>
          <w:szCs w:val="44"/>
        </w:rPr>
        <w:t>上海证券交易所上市公司自律监管指南</w:t>
      </w:r>
    </w:p>
    <w:p w14:paraId="6443B916">
      <w:pPr>
        <w:spacing w:line="560" w:lineRule="exact"/>
        <w:jc w:val="center"/>
        <w:rPr>
          <w:rFonts w:ascii="Times New Roman" w:hAnsi="方正大标宋简体" w:eastAsia="方正大标宋简体" w:cs="Times New Roman"/>
          <w:bCs/>
          <w:color w:val="000000"/>
          <w:kern w:val="0"/>
          <w:sz w:val="44"/>
          <w:szCs w:val="44"/>
        </w:rPr>
      </w:pPr>
      <w:r>
        <w:rPr>
          <w:rFonts w:hint="eastAsia" w:ascii="Times New Roman" w:hAnsi="方正大标宋简体" w:eastAsia="方正大标宋简体" w:cs="Times New Roman"/>
          <w:bCs/>
          <w:color w:val="000000"/>
          <w:kern w:val="0"/>
          <w:sz w:val="44"/>
          <w:szCs w:val="44"/>
        </w:rPr>
        <w:t>第</w:t>
      </w:r>
      <w:r>
        <w:rPr>
          <w:rFonts w:ascii="Times New Roman" w:hAnsi="Times New Roman" w:eastAsia="方正大标宋简体" w:cs="Times New Roman"/>
          <w:bCs/>
          <w:color w:val="000000"/>
          <w:kern w:val="0"/>
          <w:sz w:val="44"/>
          <w:szCs w:val="44"/>
        </w:rPr>
        <w:t>4</w:t>
      </w:r>
      <w:r>
        <w:rPr>
          <w:rFonts w:hint="eastAsia" w:ascii="Times New Roman" w:hAnsi="方正大标宋简体" w:eastAsia="方正大标宋简体" w:cs="Times New Roman"/>
          <w:bCs/>
          <w:color w:val="000000"/>
          <w:kern w:val="0"/>
          <w:sz w:val="44"/>
          <w:szCs w:val="44"/>
        </w:rPr>
        <w:t>号——可持续发展报告编制</w:t>
      </w:r>
    </w:p>
    <w:p w14:paraId="3BEACB90">
      <w:pPr>
        <w:spacing w:line="560" w:lineRule="exact"/>
        <w:jc w:val="center"/>
        <w:rPr>
          <w:rFonts w:ascii="黑体" w:hAnsi="黑体" w:eastAsia="黑体" w:cs="Times New Roman"/>
          <w:b/>
          <w:bCs/>
          <w:sz w:val="36"/>
          <w:szCs w:val="36"/>
        </w:rPr>
      </w:pPr>
    </w:p>
    <w:p w14:paraId="3F81323F">
      <w:pPr>
        <w:spacing w:line="560" w:lineRule="exact"/>
        <w:jc w:val="center"/>
        <w:rPr>
          <w:rFonts w:ascii="黑体" w:hAnsi="黑体" w:eastAsia="黑体" w:cs="Times New Roman"/>
          <w:b/>
          <w:bCs/>
          <w:sz w:val="36"/>
          <w:szCs w:val="36"/>
        </w:rPr>
      </w:pPr>
    </w:p>
    <w:p w14:paraId="679B0806">
      <w:pPr>
        <w:spacing w:line="560" w:lineRule="exact"/>
        <w:jc w:val="center"/>
        <w:rPr>
          <w:rFonts w:ascii="黑体" w:hAnsi="黑体" w:eastAsia="黑体" w:cs="Times New Roman"/>
          <w:b/>
          <w:bCs/>
          <w:sz w:val="36"/>
          <w:szCs w:val="36"/>
        </w:rPr>
      </w:pPr>
    </w:p>
    <w:p w14:paraId="688FC4A5">
      <w:pPr>
        <w:spacing w:line="560" w:lineRule="exact"/>
        <w:jc w:val="center"/>
        <w:rPr>
          <w:rFonts w:ascii="黑体" w:hAnsi="黑体" w:eastAsia="黑体" w:cs="Times New Roman"/>
          <w:b/>
          <w:bCs/>
          <w:sz w:val="36"/>
          <w:szCs w:val="36"/>
        </w:rPr>
      </w:pPr>
      <w:r>
        <w:rPr>
          <w:rFonts w:hint="eastAsia" w:ascii="黑体" w:hAnsi="黑体" w:eastAsia="黑体" w:cs="Times New Roman"/>
          <w:b/>
          <w:bCs/>
          <w:sz w:val="36"/>
          <w:szCs w:val="36"/>
        </w:rPr>
        <w:t>第二号 应对气候变化</w:t>
      </w:r>
    </w:p>
    <w:p w14:paraId="72BF3117">
      <w:pPr>
        <w:jc w:val="left"/>
        <w:rPr>
          <w:rFonts w:ascii="黑体" w:hAnsi="黑体" w:eastAsia="黑体" w:cs="Times New Roman"/>
          <w:b/>
          <w:bCs/>
          <w:sz w:val="36"/>
          <w:szCs w:val="36"/>
        </w:rPr>
      </w:pPr>
      <w:r>
        <w:rPr>
          <w:rFonts w:hint="eastAsia" w:ascii="黑体" w:hAnsi="黑体" w:eastAsia="黑体" w:cs="Times New Roman"/>
          <w:b/>
          <w:bCs/>
          <w:sz w:val="36"/>
          <w:szCs w:val="36"/>
        </w:rPr>
        <w:br w:type="page"/>
      </w:r>
    </w:p>
    <w:sdt>
      <w:sdtPr>
        <w:rPr>
          <w:rFonts w:ascii="仿宋_GB2312" w:hAnsi="Times New Roman" w:cs="Times New Roman"/>
          <w:b/>
          <w:bCs/>
          <w:szCs w:val="30"/>
        </w:rPr>
        <w:id w:val="1475372"/>
        <w:docPartObj>
          <w:docPartGallery w:val="Table of Contents"/>
          <w:docPartUnique/>
        </w:docPartObj>
      </w:sdtPr>
      <w:sdtEndPr>
        <w:rPr>
          <w:rFonts w:ascii="黑体" w:hAnsi="黑体" w:eastAsia="黑体" w:cs="Times New Roman"/>
          <w:b/>
          <w:bCs/>
          <w:sz w:val="20"/>
          <w:szCs w:val="20"/>
        </w:rPr>
      </w:sdtEndPr>
      <w:sdtContent>
        <w:p w14:paraId="2F4B398A">
          <w:pPr>
            <w:keepNext/>
            <w:keepLines/>
            <w:widowControl/>
            <w:jc w:val="center"/>
            <w:rPr>
              <w:rFonts w:ascii="黑体" w:hAnsi="黑体" w:eastAsia="黑体" w:cs="Times New Roman"/>
              <w:b/>
              <w:bCs/>
              <w:sz w:val="20"/>
              <w:szCs w:val="20"/>
            </w:rPr>
          </w:pPr>
          <w:r>
            <w:rPr>
              <w:rFonts w:hint="eastAsia" w:ascii="黑体" w:hAnsi="黑体" w:eastAsia="黑体" w:cs="黑体"/>
              <w:b/>
              <w:bCs/>
              <w:szCs w:val="30"/>
            </w:rPr>
            <w:t>目  录</w:t>
          </w:r>
          <w:r>
            <w:rPr>
              <w:rFonts w:ascii="黑体" w:hAnsi="黑体" w:eastAsia="黑体" w:cs="Times New Roman"/>
              <w:iCs/>
              <w:sz w:val="20"/>
              <w:szCs w:val="20"/>
            </w:rPr>
            <w:fldChar w:fldCharType="begin"/>
          </w:r>
          <w:r>
            <w:rPr>
              <w:rFonts w:ascii="黑体" w:hAnsi="黑体" w:eastAsia="黑体" w:cs="Times New Roman"/>
              <w:sz w:val="20"/>
              <w:szCs w:val="20"/>
            </w:rPr>
            <w:instrText xml:space="preserve">TOC \o "1-3" \h \z \u</w:instrText>
          </w:r>
          <w:r>
            <w:rPr>
              <w:rFonts w:ascii="黑体" w:hAnsi="黑体" w:eastAsia="黑体" w:cs="Times New Roman"/>
              <w:iCs/>
              <w:sz w:val="20"/>
              <w:szCs w:val="20"/>
            </w:rPr>
            <w:fldChar w:fldCharType="separate"/>
          </w:r>
        </w:p>
        <w:p w14:paraId="345AB28B">
          <w:pPr>
            <w:pStyle w:val="17"/>
            <w:rPr>
              <w:rFonts w:ascii="黑体" w:hAnsi="黑体" w:eastAsia="黑体"/>
              <w:kern w:val="2"/>
            </w:rPr>
          </w:pPr>
          <w:r>
            <w:fldChar w:fldCharType="begin"/>
          </w:r>
          <w:r>
            <w:instrText xml:space="preserve"> HYPERLINK \l "_Toc187328647" </w:instrText>
          </w:r>
          <w:r>
            <w:fldChar w:fldCharType="separate"/>
          </w:r>
          <w:r>
            <w:rPr>
              <w:rStyle w:val="32"/>
              <w:rFonts w:ascii="黑体" w:hAnsi="黑体" w:eastAsia="黑体" w:cs="Times New Roman"/>
              <w:sz w:val="20"/>
              <w:szCs w:val="20"/>
            </w:rPr>
            <w:t>第一章 气候相关影响重要性评估</w:t>
          </w:r>
          <w:r>
            <w:rPr>
              <w:rFonts w:ascii="黑体" w:hAnsi="黑体" w:eastAsia="黑体"/>
            </w:rPr>
            <w:tab/>
          </w:r>
          <w:r>
            <w:rPr>
              <w:rFonts w:ascii="黑体" w:hAnsi="黑体" w:eastAsia="黑体"/>
            </w:rPr>
            <w:fldChar w:fldCharType="begin"/>
          </w:r>
          <w:r>
            <w:rPr>
              <w:rFonts w:ascii="黑体" w:hAnsi="黑体" w:eastAsia="黑体"/>
            </w:rPr>
            <w:instrText xml:space="preserve"> PAGEREF _Toc187328647 \h </w:instrText>
          </w:r>
          <w:r>
            <w:rPr>
              <w:rFonts w:ascii="黑体" w:hAnsi="黑体" w:eastAsia="黑体"/>
            </w:rPr>
            <w:fldChar w:fldCharType="separate"/>
          </w:r>
          <w:r>
            <w:rPr>
              <w:rFonts w:ascii="黑体" w:hAnsi="黑体" w:eastAsia="黑体"/>
            </w:rPr>
            <w:t>1</w:t>
          </w:r>
          <w:r>
            <w:rPr>
              <w:rFonts w:ascii="黑体" w:hAnsi="黑体" w:eastAsia="黑体"/>
            </w:rPr>
            <w:fldChar w:fldCharType="end"/>
          </w:r>
          <w:r>
            <w:rPr>
              <w:rFonts w:ascii="黑体" w:hAnsi="黑体" w:eastAsia="黑体"/>
            </w:rPr>
            <w:fldChar w:fldCharType="end"/>
          </w:r>
        </w:p>
        <w:p w14:paraId="2D650FDA">
          <w:pPr>
            <w:pStyle w:val="22"/>
            <w:rPr>
              <w:kern w:val="2"/>
            </w:rPr>
          </w:pPr>
          <w:r>
            <w:fldChar w:fldCharType="begin"/>
          </w:r>
          <w:r>
            <w:instrText xml:space="preserve"> HYPERLINK \l "_Toc187328648" </w:instrText>
          </w:r>
          <w:r>
            <w:fldChar w:fldCharType="separate"/>
          </w:r>
          <w:r>
            <w:rPr>
              <w:rStyle w:val="32"/>
            </w:rPr>
            <w:t>一、气候相关影响</w:t>
          </w:r>
          <w:r>
            <w:tab/>
          </w:r>
          <w:r>
            <w:fldChar w:fldCharType="begin"/>
          </w:r>
          <w:r>
            <w:instrText xml:space="preserve"> PAGEREF _Toc187328648 \h </w:instrText>
          </w:r>
          <w:r>
            <w:fldChar w:fldCharType="separate"/>
          </w:r>
          <w:r>
            <w:t>1</w:t>
          </w:r>
          <w:r>
            <w:fldChar w:fldCharType="end"/>
          </w:r>
          <w:r>
            <w:fldChar w:fldCharType="end"/>
          </w:r>
        </w:p>
        <w:p w14:paraId="43D6EA54">
          <w:pPr>
            <w:pStyle w:val="22"/>
            <w:rPr>
              <w:rFonts w:cstheme="minorBidi"/>
              <w:kern w:val="2"/>
            </w:rPr>
          </w:pPr>
          <w:r>
            <w:fldChar w:fldCharType="begin"/>
          </w:r>
          <w:r>
            <w:instrText xml:space="preserve"> HYPERLINK \l "_Toc187328649" </w:instrText>
          </w:r>
          <w:r>
            <w:fldChar w:fldCharType="separate"/>
          </w:r>
          <w:r>
            <w:rPr>
              <w:rStyle w:val="32"/>
            </w:rPr>
            <w:t>二、气候相关影响重要性评估流程</w:t>
          </w:r>
          <w:r>
            <w:tab/>
          </w:r>
          <w:r>
            <w:fldChar w:fldCharType="begin"/>
          </w:r>
          <w:r>
            <w:instrText xml:space="preserve"> PAGEREF _Toc187328649 \h </w:instrText>
          </w:r>
          <w:r>
            <w:fldChar w:fldCharType="separate"/>
          </w:r>
          <w:r>
            <w:t>1</w:t>
          </w:r>
          <w:r>
            <w:fldChar w:fldCharType="end"/>
          </w:r>
          <w:r>
            <w:fldChar w:fldCharType="end"/>
          </w:r>
        </w:p>
        <w:p w14:paraId="0F1188A2">
          <w:pPr>
            <w:pStyle w:val="17"/>
            <w:rPr>
              <w:rFonts w:ascii="黑体" w:hAnsi="黑体" w:eastAsia="黑体"/>
              <w:kern w:val="2"/>
            </w:rPr>
          </w:pPr>
          <w:r>
            <w:fldChar w:fldCharType="begin"/>
          </w:r>
          <w:r>
            <w:instrText xml:space="preserve"> HYPERLINK \l "_Toc187328654" </w:instrText>
          </w:r>
          <w:r>
            <w:fldChar w:fldCharType="separate"/>
          </w:r>
          <w:r>
            <w:rPr>
              <w:rStyle w:val="32"/>
              <w:rFonts w:ascii="黑体" w:hAnsi="黑体" w:eastAsia="黑体" w:cs="Times New Roman"/>
              <w:sz w:val="20"/>
              <w:szCs w:val="20"/>
            </w:rPr>
            <w:t>第二章 气候相关财务重要性评估</w:t>
          </w:r>
          <w:r>
            <w:rPr>
              <w:rFonts w:ascii="黑体" w:hAnsi="黑体" w:eastAsia="黑体"/>
            </w:rPr>
            <w:tab/>
          </w:r>
          <w:r>
            <w:rPr>
              <w:rFonts w:ascii="黑体" w:hAnsi="黑体" w:eastAsia="黑体"/>
            </w:rPr>
            <w:fldChar w:fldCharType="begin"/>
          </w:r>
          <w:r>
            <w:rPr>
              <w:rFonts w:ascii="黑体" w:hAnsi="黑体" w:eastAsia="黑体"/>
            </w:rPr>
            <w:instrText xml:space="preserve"> PAGEREF _Toc187328654 \h </w:instrText>
          </w:r>
          <w:r>
            <w:rPr>
              <w:rFonts w:ascii="黑体" w:hAnsi="黑体" w:eastAsia="黑体"/>
            </w:rPr>
            <w:fldChar w:fldCharType="separate"/>
          </w:r>
          <w:r>
            <w:rPr>
              <w:rFonts w:ascii="黑体" w:hAnsi="黑体" w:eastAsia="黑体"/>
            </w:rPr>
            <w:t>4</w:t>
          </w:r>
          <w:r>
            <w:rPr>
              <w:rFonts w:ascii="黑体" w:hAnsi="黑体" w:eastAsia="黑体"/>
            </w:rPr>
            <w:fldChar w:fldCharType="end"/>
          </w:r>
          <w:r>
            <w:rPr>
              <w:rFonts w:ascii="黑体" w:hAnsi="黑体" w:eastAsia="黑体"/>
            </w:rPr>
            <w:fldChar w:fldCharType="end"/>
          </w:r>
        </w:p>
        <w:p w14:paraId="082D68FA">
          <w:pPr>
            <w:pStyle w:val="22"/>
            <w:rPr>
              <w:kern w:val="2"/>
            </w:rPr>
          </w:pPr>
          <w:r>
            <w:fldChar w:fldCharType="begin"/>
          </w:r>
          <w:r>
            <w:instrText xml:space="preserve"> HYPERLINK \l "_Toc187328655" </w:instrText>
          </w:r>
          <w:r>
            <w:fldChar w:fldCharType="separate"/>
          </w:r>
          <w:r>
            <w:rPr>
              <w:rStyle w:val="32"/>
            </w:rPr>
            <w:t>一、气候相关风险和机遇</w:t>
          </w:r>
          <w:r>
            <w:tab/>
          </w:r>
          <w:r>
            <w:fldChar w:fldCharType="begin"/>
          </w:r>
          <w:r>
            <w:instrText xml:space="preserve"> PAGEREF _Toc187328655 \h </w:instrText>
          </w:r>
          <w:r>
            <w:fldChar w:fldCharType="separate"/>
          </w:r>
          <w:r>
            <w:t>4</w:t>
          </w:r>
          <w:r>
            <w:fldChar w:fldCharType="end"/>
          </w:r>
          <w:r>
            <w:fldChar w:fldCharType="end"/>
          </w:r>
        </w:p>
        <w:p w14:paraId="693CED63">
          <w:pPr>
            <w:pStyle w:val="10"/>
            <w:tabs>
              <w:tab w:val="right" w:leader="dot" w:pos="8296"/>
            </w:tabs>
            <w:ind w:left="1200"/>
            <w:rPr>
              <w:rFonts w:ascii="黑体" w:hAnsi="黑体" w:eastAsia="黑体" w:cstheme="minorBidi"/>
              <w:sz w:val="20"/>
              <w:szCs w:val="20"/>
            </w:rPr>
          </w:pPr>
          <w:r>
            <w:fldChar w:fldCharType="begin"/>
          </w:r>
          <w:r>
            <w:instrText xml:space="preserve"> HYPERLINK \l "_Toc187328656" </w:instrText>
          </w:r>
          <w:r>
            <w:fldChar w:fldCharType="separate"/>
          </w:r>
          <w:r>
            <w:rPr>
              <w:rStyle w:val="32"/>
              <w:rFonts w:ascii="黑体" w:hAnsi="黑体" w:eastAsia="黑体"/>
              <w:bCs/>
              <w:sz w:val="20"/>
              <w:szCs w:val="20"/>
            </w:rPr>
            <w:t>（一）气候相关物理风险</w:t>
          </w:r>
          <w:r>
            <w:rPr>
              <w:rFonts w:ascii="黑体" w:hAnsi="黑体" w:eastAsia="黑体"/>
              <w:sz w:val="20"/>
              <w:szCs w:val="20"/>
            </w:rPr>
            <w:tab/>
          </w:r>
          <w:r>
            <w:rPr>
              <w:rFonts w:ascii="黑体" w:hAnsi="黑体" w:eastAsia="黑体"/>
              <w:sz w:val="20"/>
              <w:szCs w:val="20"/>
            </w:rPr>
            <w:fldChar w:fldCharType="begin"/>
          </w:r>
          <w:r>
            <w:rPr>
              <w:rFonts w:ascii="黑体" w:hAnsi="黑体" w:eastAsia="黑体"/>
              <w:sz w:val="20"/>
              <w:szCs w:val="20"/>
            </w:rPr>
            <w:instrText xml:space="preserve"> PAGEREF _Toc187328656 \h </w:instrText>
          </w:r>
          <w:r>
            <w:rPr>
              <w:rFonts w:ascii="黑体" w:hAnsi="黑体" w:eastAsia="黑体"/>
              <w:sz w:val="20"/>
              <w:szCs w:val="20"/>
            </w:rPr>
            <w:fldChar w:fldCharType="separate"/>
          </w:r>
          <w:r>
            <w:rPr>
              <w:rFonts w:ascii="黑体" w:hAnsi="黑体" w:eastAsia="黑体"/>
              <w:sz w:val="20"/>
              <w:szCs w:val="20"/>
            </w:rPr>
            <w:t>4</w:t>
          </w:r>
          <w:r>
            <w:rPr>
              <w:rFonts w:ascii="黑体" w:hAnsi="黑体" w:eastAsia="黑体"/>
              <w:sz w:val="20"/>
              <w:szCs w:val="20"/>
            </w:rPr>
            <w:fldChar w:fldCharType="end"/>
          </w:r>
          <w:r>
            <w:rPr>
              <w:rFonts w:ascii="黑体" w:hAnsi="黑体" w:eastAsia="黑体"/>
              <w:sz w:val="20"/>
              <w:szCs w:val="20"/>
            </w:rPr>
            <w:fldChar w:fldCharType="end"/>
          </w:r>
        </w:p>
        <w:p w14:paraId="4A1111FE">
          <w:pPr>
            <w:pStyle w:val="10"/>
            <w:tabs>
              <w:tab w:val="right" w:leader="dot" w:pos="8296"/>
            </w:tabs>
            <w:ind w:left="1200"/>
            <w:rPr>
              <w:rFonts w:ascii="黑体" w:hAnsi="黑体" w:eastAsia="黑体" w:cstheme="minorBidi"/>
              <w:sz w:val="20"/>
              <w:szCs w:val="20"/>
            </w:rPr>
          </w:pPr>
          <w:r>
            <w:fldChar w:fldCharType="begin"/>
          </w:r>
          <w:r>
            <w:instrText xml:space="preserve"> HYPERLINK \l "_Toc187328657" </w:instrText>
          </w:r>
          <w:r>
            <w:fldChar w:fldCharType="separate"/>
          </w:r>
          <w:r>
            <w:rPr>
              <w:rStyle w:val="32"/>
              <w:rFonts w:ascii="黑体" w:hAnsi="黑体" w:eastAsia="黑体"/>
              <w:bCs/>
              <w:sz w:val="20"/>
              <w:szCs w:val="20"/>
            </w:rPr>
            <w:t>（二）气候相关转型风险</w:t>
          </w:r>
          <w:r>
            <w:rPr>
              <w:rFonts w:ascii="黑体" w:hAnsi="黑体" w:eastAsia="黑体"/>
              <w:sz w:val="20"/>
              <w:szCs w:val="20"/>
            </w:rPr>
            <w:tab/>
          </w:r>
          <w:r>
            <w:rPr>
              <w:rFonts w:ascii="黑体" w:hAnsi="黑体" w:eastAsia="黑体"/>
              <w:sz w:val="20"/>
              <w:szCs w:val="20"/>
            </w:rPr>
            <w:fldChar w:fldCharType="begin"/>
          </w:r>
          <w:r>
            <w:rPr>
              <w:rFonts w:ascii="黑体" w:hAnsi="黑体" w:eastAsia="黑体"/>
              <w:sz w:val="20"/>
              <w:szCs w:val="20"/>
            </w:rPr>
            <w:instrText xml:space="preserve"> PAGEREF _Toc187328657 \h </w:instrText>
          </w:r>
          <w:r>
            <w:rPr>
              <w:rFonts w:ascii="黑体" w:hAnsi="黑体" w:eastAsia="黑体"/>
              <w:sz w:val="20"/>
              <w:szCs w:val="20"/>
            </w:rPr>
            <w:fldChar w:fldCharType="separate"/>
          </w:r>
          <w:r>
            <w:rPr>
              <w:rFonts w:ascii="黑体" w:hAnsi="黑体" w:eastAsia="黑体"/>
              <w:sz w:val="20"/>
              <w:szCs w:val="20"/>
            </w:rPr>
            <w:t>4</w:t>
          </w:r>
          <w:r>
            <w:rPr>
              <w:rFonts w:ascii="黑体" w:hAnsi="黑体" w:eastAsia="黑体"/>
              <w:sz w:val="20"/>
              <w:szCs w:val="20"/>
            </w:rPr>
            <w:fldChar w:fldCharType="end"/>
          </w:r>
          <w:r>
            <w:rPr>
              <w:rFonts w:ascii="黑体" w:hAnsi="黑体" w:eastAsia="黑体"/>
              <w:sz w:val="20"/>
              <w:szCs w:val="20"/>
            </w:rPr>
            <w:fldChar w:fldCharType="end"/>
          </w:r>
        </w:p>
        <w:p w14:paraId="62AAE773">
          <w:pPr>
            <w:pStyle w:val="10"/>
            <w:tabs>
              <w:tab w:val="right" w:leader="dot" w:pos="8296"/>
            </w:tabs>
            <w:ind w:left="1200"/>
            <w:rPr>
              <w:rFonts w:ascii="黑体" w:hAnsi="黑体" w:eastAsia="黑体" w:cstheme="minorBidi"/>
              <w:sz w:val="20"/>
              <w:szCs w:val="20"/>
            </w:rPr>
          </w:pPr>
          <w:r>
            <w:fldChar w:fldCharType="begin"/>
          </w:r>
          <w:r>
            <w:instrText xml:space="preserve"> HYPERLINK \l "_Toc187328658" </w:instrText>
          </w:r>
          <w:r>
            <w:fldChar w:fldCharType="separate"/>
          </w:r>
          <w:r>
            <w:rPr>
              <w:rStyle w:val="32"/>
              <w:rFonts w:ascii="黑体" w:hAnsi="黑体" w:eastAsia="黑体"/>
              <w:bCs/>
              <w:sz w:val="20"/>
              <w:szCs w:val="20"/>
            </w:rPr>
            <w:t>（三）气候相关机遇</w:t>
          </w:r>
          <w:r>
            <w:rPr>
              <w:rFonts w:ascii="黑体" w:hAnsi="黑体" w:eastAsia="黑体"/>
              <w:sz w:val="20"/>
              <w:szCs w:val="20"/>
            </w:rPr>
            <w:tab/>
          </w:r>
          <w:r>
            <w:rPr>
              <w:rFonts w:ascii="黑体" w:hAnsi="黑体" w:eastAsia="黑体"/>
              <w:sz w:val="20"/>
              <w:szCs w:val="20"/>
            </w:rPr>
            <w:fldChar w:fldCharType="begin"/>
          </w:r>
          <w:r>
            <w:rPr>
              <w:rFonts w:ascii="黑体" w:hAnsi="黑体" w:eastAsia="黑体"/>
              <w:sz w:val="20"/>
              <w:szCs w:val="20"/>
            </w:rPr>
            <w:instrText xml:space="preserve"> PAGEREF _Toc187328658 \h </w:instrText>
          </w:r>
          <w:r>
            <w:rPr>
              <w:rFonts w:ascii="黑体" w:hAnsi="黑体" w:eastAsia="黑体"/>
              <w:sz w:val="20"/>
              <w:szCs w:val="20"/>
            </w:rPr>
            <w:fldChar w:fldCharType="separate"/>
          </w:r>
          <w:r>
            <w:rPr>
              <w:rFonts w:ascii="黑体" w:hAnsi="黑体" w:eastAsia="黑体"/>
              <w:sz w:val="20"/>
              <w:szCs w:val="20"/>
            </w:rPr>
            <w:t>5</w:t>
          </w:r>
          <w:r>
            <w:rPr>
              <w:rFonts w:ascii="黑体" w:hAnsi="黑体" w:eastAsia="黑体"/>
              <w:sz w:val="20"/>
              <w:szCs w:val="20"/>
            </w:rPr>
            <w:fldChar w:fldCharType="end"/>
          </w:r>
          <w:r>
            <w:rPr>
              <w:rFonts w:ascii="黑体" w:hAnsi="黑体" w:eastAsia="黑体"/>
              <w:sz w:val="20"/>
              <w:szCs w:val="20"/>
            </w:rPr>
            <w:fldChar w:fldCharType="end"/>
          </w:r>
        </w:p>
        <w:p w14:paraId="3D0785D4">
          <w:pPr>
            <w:pStyle w:val="22"/>
            <w:rPr>
              <w:kern w:val="2"/>
            </w:rPr>
          </w:pPr>
          <w:r>
            <w:fldChar w:fldCharType="begin"/>
          </w:r>
          <w:r>
            <w:instrText xml:space="preserve"> HYPERLINK \l "_Toc187328659" </w:instrText>
          </w:r>
          <w:r>
            <w:fldChar w:fldCharType="separate"/>
          </w:r>
          <w:r>
            <w:rPr>
              <w:rStyle w:val="32"/>
            </w:rPr>
            <w:t>二、气候相关风险和机遇对披露主体经营活动的影响</w:t>
          </w:r>
          <w:r>
            <w:tab/>
          </w:r>
          <w:r>
            <w:fldChar w:fldCharType="begin"/>
          </w:r>
          <w:r>
            <w:instrText xml:space="preserve"> PAGEREF _Toc187328659 \h </w:instrText>
          </w:r>
          <w:r>
            <w:fldChar w:fldCharType="separate"/>
          </w:r>
          <w:r>
            <w:t>5</w:t>
          </w:r>
          <w:r>
            <w:fldChar w:fldCharType="end"/>
          </w:r>
          <w:r>
            <w:fldChar w:fldCharType="end"/>
          </w:r>
        </w:p>
        <w:p w14:paraId="0D4BBF56">
          <w:pPr>
            <w:pStyle w:val="10"/>
            <w:tabs>
              <w:tab w:val="right" w:leader="dot" w:pos="8296"/>
            </w:tabs>
            <w:ind w:left="1200"/>
            <w:rPr>
              <w:rFonts w:ascii="黑体" w:hAnsi="黑体" w:eastAsia="黑体" w:cstheme="minorBidi"/>
              <w:sz w:val="20"/>
              <w:szCs w:val="20"/>
            </w:rPr>
          </w:pPr>
          <w:r>
            <w:fldChar w:fldCharType="begin"/>
          </w:r>
          <w:r>
            <w:instrText xml:space="preserve"> HYPERLINK \l "_Toc187328660" </w:instrText>
          </w:r>
          <w:r>
            <w:fldChar w:fldCharType="separate"/>
          </w:r>
          <w:r>
            <w:rPr>
              <w:rStyle w:val="32"/>
              <w:rFonts w:ascii="黑体" w:hAnsi="黑体" w:eastAsia="黑体"/>
              <w:bCs/>
              <w:sz w:val="20"/>
              <w:szCs w:val="20"/>
            </w:rPr>
            <w:t>（一）对披露主体商业模式和价值链的影响</w:t>
          </w:r>
          <w:r>
            <w:rPr>
              <w:rFonts w:ascii="黑体" w:hAnsi="黑体" w:eastAsia="黑体"/>
              <w:sz w:val="20"/>
              <w:szCs w:val="20"/>
            </w:rPr>
            <w:tab/>
          </w:r>
          <w:r>
            <w:rPr>
              <w:rFonts w:ascii="黑体" w:hAnsi="黑体" w:eastAsia="黑体"/>
              <w:sz w:val="20"/>
              <w:szCs w:val="20"/>
            </w:rPr>
            <w:fldChar w:fldCharType="begin"/>
          </w:r>
          <w:r>
            <w:rPr>
              <w:rFonts w:ascii="黑体" w:hAnsi="黑体" w:eastAsia="黑体"/>
              <w:sz w:val="20"/>
              <w:szCs w:val="20"/>
            </w:rPr>
            <w:instrText xml:space="preserve"> PAGEREF _Toc187328660 \h </w:instrText>
          </w:r>
          <w:r>
            <w:rPr>
              <w:rFonts w:ascii="黑体" w:hAnsi="黑体" w:eastAsia="黑体"/>
              <w:sz w:val="20"/>
              <w:szCs w:val="20"/>
            </w:rPr>
            <w:fldChar w:fldCharType="separate"/>
          </w:r>
          <w:r>
            <w:rPr>
              <w:rFonts w:ascii="黑体" w:hAnsi="黑体" w:eastAsia="黑体"/>
              <w:sz w:val="20"/>
              <w:szCs w:val="20"/>
            </w:rPr>
            <w:t>5</w:t>
          </w:r>
          <w:r>
            <w:rPr>
              <w:rFonts w:ascii="黑体" w:hAnsi="黑体" w:eastAsia="黑体"/>
              <w:sz w:val="20"/>
              <w:szCs w:val="20"/>
            </w:rPr>
            <w:fldChar w:fldCharType="end"/>
          </w:r>
          <w:r>
            <w:rPr>
              <w:rFonts w:ascii="黑体" w:hAnsi="黑体" w:eastAsia="黑体"/>
              <w:sz w:val="20"/>
              <w:szCs w:val="20"/>
            </w:rPr>
            <w:fldChar w:fldCharType="end"/>
          </w:r>
        </w:p>
        <w:p w14:paraId="7D7C5701">
          <w:pPr>
            <w:pStyle w:val="10"/>
            <w:tabs>
              <w:tab w:val="right" w:leader="dot" w:pos="8296"/>
            </w:tabs>
            <w:ind w:left="1200"/>
            <w:rPr>
              <w:rFonts w:ascii="黑体" w:hAnsi="黑体" w:eastAsia="黑体" w:cstheme="minorBidi"/>
              <w:sz w:val="20"/>
              <w:szCs w:val="20"/>
            </w:rPr>
          </w:pPr>
          <w:r>
            <w:fldChar w:fldCharType="begin"/>
          </w:r>
          <w:r>
            <w:instrText xml:space="preserve"> HYPERLINK \l "_Toc187328661" </w:instrText>
          </w:r>
          <w:r>
            <w:fldChar w:fldCharType="separate"/>
          </w:r>
          <w:r>
            <w:rPr>
              <w:rStyle w:val="32"/>
              <w:rFonts w:ascii="黑体" w:hAnsi="黑体" w:eastAsia="黑体"/>
              <w:bCs/>
              <w:sz w:val="20"/>
              <w:szCs w:val="20"/>
            </w:rPr>
            <w:t>（二）对披露主体战略和决策的影响</w:t>
          </w:r>
          <w:r>
            <w:rPr>
              <w:rFonts w:ascii="黑体" w:hAnsi="黑体" w:eastAsia="黑体"/>
              <w:sz w:val="20"/>
              <w:szCs w:val="20"/>
            </w:rPr>
            <w:tab/>
          </w:r>
          <w:r>
            <w:rPr>
              <w:rFonts w:ascii="黑体" w:hAnsi="黑体" w:eastAsia="黑体"/>
              <w:sz w:val="20"/>
              <w:szCs w:val="20"/>
            </w:rPr>
            <w:fldChar w:fldCharType="begin"/>
          </w:r>
          <w:r>
            <w:rPr>
              <w:rFonts w:ascii="黑体" w:hAnsi="黑体" w:eastAsia="黑体"/>
              <w:sz w:val="20"/>
              <w:szCs w:val="20"/>
            </w:rPr>
            <w:instrText xml:space="preserve"> PAGEREF _Toc187328661 \h </w:instrText>
          </w:r>
          <w:r>
            <w:rPr>
              <w:rFonts w:ascii="黑体" w:hAnsi="黑体" w:eastAsia="黑体"/>
              <w:sz w:val="20"/>
              <w:szCs w:val="20"/>
            </w:rPr>
            <w:fldChar w:fldCharType="separate"/>
          </w:r>
          <w:r>
            <w:rPr>
              <w:rFonts w:ascii="黑体" w:hAnsi="黑体" w:eastAsia="黑体"/>
              <w:sz w:val="20"/>
              <w:szCs w:val="20"/>
            </w:rPr>
            <w:t>6</w:t>
          </w:r>
          <w:r>
            <w:rPr>
              <w:rFonts w:ascii="黑体" w:hAnsi="黑体" w:eastAsia="黑体"/>
              <w:sz w:val="20"/>
              <w:szCs w:val="20"/>
            </w:rPr>
            <w:fldChar w:fldCharType="end"/>
          </w:r>
          <w:r>
            <w:rPr>
              <w:rFonts w:ascii="黑体" w:hAnsi="黑体" w:eastAsia="黑体"/>
              <w:sz w:val="20"/>
              <w:szCs w:val="20"/>
            </w:rPr>
            <w:fldChar w:fldCharType="end"/>
          </w:r>
        </w:p>
        <w:p w14:paraId="7DADF111">
          <w:pPr>
            <w:pStyle w:val="22"/>
            <w:rPr>
              <w:kern w:val="2"/>
            </w:rPr>
          </w:pPr>
          <w:r>
            <w:fldChar w:fldCharType="begin"/>
          </w:r>
          <w:r>
            <w:instrText xml:space="preserve"> HYPERLINK \l "_Toc187328662" </w:instrText>
          </w:r>
          <w:r>
            <w:fldChar w:fldCharType="separate"/>
          </w:r>
          <w:r>
            <w:rPr>
              <w:rStyle w:val="32"/>
            </w:rPr>
            <w:t>三、气候相关风险和机遇的财务影响</w:t>
          </w:r>
          <w:r>
            <w:tab/>
          </w:r>
          <w:r>
            <w:fldChar w:fldCharType="begin"/>
          </w:r>
          <w:r>
            <w:instrText xml:space="preserve"> PAGEREF _Toc187328662 \h </w:instrText>
          </w:r>
          <w:r>
            <w:fldChar w:fldCharType="separate"/>
          </w:r>
          <w:r>
            <w:t>7</w:t>
          </w:r>
          <w:r>
            <w:fldChar w:fldCharType="end"/>
          </w:r>
          <w:r>
            <w:fldChar w:fldCharType="end"/>
          </w:r>
        </w:p>
        <w:p w14:paraId="5D13D7A4">
          <w:pPr>
            <w:pStyle w:val="22"/>
            <w:rPr>
              <w:kern w:val="2"/>
            </w:rPr>
          </w:pPr>
          <w:r>
            <w:fldChar w:fldCharType="begin"/>
          </w:r>
          <w:r>
            <w:instrText xml:space="preserve"> HYPERLINK \l "_Toc187328663" </w:instrText>
          </w:r>
          <w:r>
            <w:fldChar w:fldCharType="separate"/>
          </w:r>
          <w:r>
            <w:rPr>
              <w:rStyle w:val="32"/>
            </w:rPr>
            <w:t>四、气候相关财务影响的评估流程</w:t>
          </w:r>
          <w:r>
            <w:tab/>
          </w:r>
          <w:r>
            <w:fldChar w:fldCharType="begin"/>
          </w:r>
          <w:r>
            <w:instrText xml:space="preserve"> PAGEREF _Toc187328663 \h </w:instrText>
          </w:r>
          <w:r>
            <w:fldChar w:fldCharType="separate"/>
          </w:r>
          <w:r>
            <w:t>10</w:t>
          </w:r>
          <w:r>
            <w:fldChar w:fldCharType="end"/>
          </w:r>
          <w:r>
            <w:fldChar w:fldCharType="end"/>
          </w:r>
        </w:p>
        <w:p w14:paraId="09685B5A">
          <w:pPr>
            <w:pStyle w:val="17"/>
            <w:rPr>
              <w:rFonts w:ascii="黑体" w:hAnsi="黑体" w:eastAsia="黑体"/>
              <w:kern w:val="2"/>
            </w:rPr>
          </w:pPr>
          <w:r>
            <w:fldChar w:fldCharType="begin"/>
          </w:r>
          <w:r>
            <w:instrText xml:space="preserve"> HYPERLINK \l "_Toc187328668" </w:instrText>
          </w:r>
          <w:r>
            <w:fldChar w:fldCharType="separate"/>
          </w:r>
          <w:r>
            <w:rPr>
              <w:rStyle w:val="32"/>
              <w:rFonts w:ascii="黑体" w:hAnsi="黑体" w:eastAsia="黑体" w:cs="Times New Roman"/>
              <w:sz w:val="20"/>
              <w:szCs w:val="20"/>
            </w:rPr>
            <w:t>第三章 气候适应性和气候相关情景分析</w:t>
          </w:r>
          <w:r>
            <w:rPr>
              <w:rFonts w:ascii="黑体" w:hAnsi="黑体" w:eastAsia="黑体"/>
            </w:rPr>
            <w:tab/>
          </w:r>
          <w:r>
            <w:rPr>
              <w:rFonts w:ascii="黑体" w:hAnsi="黑体" w:eastAsia="黑体"/>
            </w:rPr>
            <w:fldChar w:fldCharType="begin"/>
          </w:r>
          <w:r>
            <w:rPr>
              <w:rFonts w:ascii="黑体" w:hAnsi="黑体" w:eastAsia="黑体"/>
            </w:rPr>
            <w:instrText xml:space="preserve"> PAGEREF _Toc187328668 \h </w:instrText>
          </w:r>
          <w:r>
            <w:rPr>
              <w:rFonts w:ascii="黑体" w:hAnsi="黑体" w:eastAsia="黑体"/>
            </w:rPr>
            <w:fldChar w:fldCharType="separate"/>
          </w:r>
          <w:r>
            <w:rPr>
              <w:rFonts w:ascii="黑体" w:hAnsi="黑体" w:eastAsia="黑体"/>
            </w:rPr>
            <w:t>12</w:t>
          </w:r>
          <w:r>
            <w:rPr>
              <w:rFonts w:ascii="黑体" w:hAnsi="黑体" w:eastAsia="黑体"/>
            </w:rPr>
            <w:fldChar w:fldCharType="end"/>
          </w:r>
          <w:r>
            <w:rPr>
              <w:rFonts w:ascii="黑体" w:hAnsi="黑体" w:eastAsia="黑体"/>
            </w:rPr>
            <w:fldChar w:fldCharType="end"/>
          </w:r>
        </w:p>
        <w:p w14:paraId="25B53A55">
          <w:pPr>
            <w:pStyle w:val="22"/>
            <w:rPr>
              <w:kern w:val="2"/>
            </w:rPr>
          </w:pPr>
          <w:r>
            <w:fldChar w:fldCharType="begin"/>
          </w:r>
          <w:r>
            <w:instrText xml:space="preserve"> HYPERLINK \l "_Toc187328669" </w:instrText>
          </w:r>
          <w:r>
            <w:fldChar w:fldCharType="separate"/>
          </w:r>
          <w:r>
            <w:rPr>
              <w:rStyle w:val="32"/>
            </w:rPr>
            <w:t>一、气候适应性</w:t>
          </w:r>
          <w:r>
            <w:tab/>
          </w:r>
          <w:r>
            <w:fldChar w:fldCharType="begin"/>
          </w:r>
          <w:r>
            <w:instrText xml:space="preserve"> PAGEREF _Toc187328669 \h </w:instrText>
          </w:r>
          <w:r>
            <w:fldChar w:fldCharType="separate"/>
          </w:r>
          <w:r>
            <w:t>12</w:t>
          </w:r>
          <w:r>
            <w:fldChar w:fldCharType="end"/>
          </w:r>
          <w:r>
            <w:fldChar w:fldCharType="end"/>
          </w:r>
        </w:p>
        <w:p w14:paraId="757B2CFA">
          <w:pPr>
            <w:pStyle w:val="22"/>
            <w:rPr>
              <w:kern w:val="2"/>
            </w:rPr>
          </w:pPr>
          <w:r>
            <w:fldChar w:fldCharType="begin"/>
          </w:r>
          <w:r>
            <w:instrText xml:space="preserve"> HYPERLINK \l "_Toc187328670" </w:instrText>
          </w:r>
          <w:r>
            <w:fldChar w:fldCharType="separate"/>
          </w:r>
          <w:r>
            <w:rPr>
              <w:rStyle w:val="32"/>
            </w:rPr>
            <w:t>二、气候相关情景分析</w:t>
          </w:r>
          <w:r>
            <w:tab/>
          </w:r>
          <w:r>
            <w:fldChar w:fldCharType="begin"/>
          </w:r>
          <w:r>
            <w:instrText xml:space="preserve"> PAGEREF _Toc187328670 \h </w:instrText>
          </w:r>
          <w:r>
            <w:fldChar w:fldCharType="separate"/>
          </w:r>
          <w:r>
            <w:t>12</w:t>
          </w:r>
          <w:r>
            <w:fldChar w:fldCharType="end"/>
          </w:r>
          <w:r>
            <w:fldChar w:fldCharType="end"/>
          </w:r>
        </w:p>
        <w:p w14:paraId="6C5E9433">
          <w:pPr>
            <w:pStyle w:val="22"/>
            <w:rPr>
              <w:kern w:val="2"/>
            </w:rPr>
          </w:pPr>
          <w:r>
            <w:fldChar w:fldCharType="begin"/>
          </w:r>
          <w:r>
            <w:instrText xml:space="preserve"> HYPERLINK \l "_Toc187328671" </w:instrText>
          </w:r>
          <w:r>
            <w:fldChar w:fldCharType="separate"/>
          </w:r>
          <w:r>
            <w:rPr>
              <w:rStyle w:val="32"/>
            </w:rPr>
            <w:t>三、气候相关情景分析的一般流程</w:t>
          </w:r>
          <w:r>
            <w:tab/>
          </w:r>
          <w:r>
            <w:fldChar w:fldCharType="begin"/>
          </w:r>
          <w:r>
            <w:instrText xml:space="preserve"> PAGEREF _Toc187328671 \h </w:instrText>
          </w:r>
          <w:r>
            <w:fldChar w:fldCharType="separate"/>
          </w:r>
          <w:r>
            <w:t>13</w:t>
          </w:r>
          <w:r>
            <w:fldChar w:fldCharType="end"/>
          </w:r>
          <w:r>
            <w:fldChar w:fldCharType="end"/>
          </w:r>
        </w:p>
        <w:p w14:paraId="155C31BD">
          <w:pPr>
            <w:pStyle w:val="17"/>
            <w:rPr>
              <w:rFonts w:ascii="黑体" w:hAnsi="黑体" w:eastAsia="黑体"/>
              <w:kern w:val="2"/>
            </w:rPr>
          </w:pPr>
          <w:r>
            <w:fldChar w:fldCharType="begin"/>
          </w:r>
          <w:r>
            <w:instrText xml:space="preserve"> HYPERLINK \l "_Toc187328676" </w:instrText>
          </w:r>
          <w:r>
            <w:fldChar w:fldCharType="separate"/>
          </w:r>
          <w:r>
            <w:rPr>
              <w:rStyle w:val="32"/>
              <w:rFonts w:ascii="黑体" w:hAnsi="黑体" w:eastAsia="黑体" w:cs="Times New Roman"/>
              <w:sz w:val="20"/>
              <w:szCs w:val="20"/>
            </w:rPr>
            <w:t>第四章 核算温室气体排放量的流程和方法</w:t>
          </w:r>
          <w:r>
            <w:rPr>
              <w:rFonts w:ascii="黑体" w:hAnsi="黑体" w:eastAsia="黑体"/>
            </w:rPr>
            <w:tab/>
          </w:r>
          <w:r>
            <w:rPr>
              <w:rFonts w:ascii="黑体" w:hAnsi="黑体" w:eastAsia="黑体"/>
            </w:rPr>
            <w:fldChar w:fldCharType="begin"/>
          </w:r>
          <w:r>
            <w:rPr>
              <w:rFonts w:ascii="黑体" w:hAnsi="黑体" w:eastAsia="黑体"/>
            </w:rPr>
            <w:instrText xml:space="preserve"> PAGEREF _Toc187328676 \h </w:instrText>
          </w:r>
          <w:r>
            <w:rPr>
              <w:rFonts w:ascii="黑体" w:hAnsi="黑体" w:eastAsia="黑体"/>
            </w:rPr>
            <w:fldChar w:fldCharType="separate"/>
          </w:r>
          <w:r>
            <w:rPr>
              <w:rFonts w:ascii="黑体" w:hAnsi="黑体" w:eastAsia="黑体"/>
            </w:rPr>
            <w:t>17</w:t>
          </w:r>
          <w:r>
            <w:rPr>
              <w:rFonts w:ascii="黑体" w:hAnsi="黑体" w:eastAsia="黑体"/>
            </w:rPr>
            <w:fldChar w:fldCharType="end"/>
          </w:r>
          <w:r>
            <w:rPr>
              <w:rFonts w:ascii="黑体" w:hAnsi="黑体" w:eastAsia="黑体"/>
            </w:rPr>
            <w:fldChar w:fldCharType="end"/>
          </w:r>
        </w:p>
        <w:p w14:paraId="0E6C973B">
          <w:pPr>
            <w:pStyle w:val="22"/>
            <w:rPr>
              <w:kern w:val="2"/>
            </w:rPr>
          </w:pPr>
          <w:r>
            <w:fldChar w:fldCharType="begin"/>
          </w:r>
          <w:r>
            <w:instrText xml:space="preserve"> HYPERLINK \l "_Toc187328677" </w:instrText>
          </w:r>
          <w:r>
            <w:fldChar w:fldCharType="separate"/>
          </w:r>
          <w:r>
            <w:rPr>
              <w:rStyle w:val="32"/>
              <w:bCs/>
            </w:rPr>
            <w:t>一、</w:t>
          </w:r>
          <w:r>
            <w:rPr>
              <w:rStyle w:val="32"/>
            </w:rPr>
            <w:t>界定组织边界</w:t>
          </w:r>
          <w:r>
            <w:tab/>
          </w:r>
          <w:r>
            <w:fldChar w:fldCharType="begin"/>
          </w:r>
          <w:r>
            <w:instrText xml:space="preserve"> PAGEREF _Toc187328677 \h </w:instrText>
          </w:r>
          <w:r>
            <w:fldChar w:fldCharType="separate"/>
          </w:r>
          <w:r>
            <w:t>17</w:t>
          </w:r>
          <w:r>
            <w:fldChar w:fldCharType="end"/>
          </w:r>
          <w:r>
            <w:fldChar w:fldCharType="end"/>
          </w:r>
        </w:p>
        <w:p w14:paraId="3BD09220">
          <w:pPr>
            <w:pStyle w:val="22"/>
            <w:rPr>
              <w:kern w:val="2"/>
            </w:rPr>
          </w:pPr>
          <w:r>
            <w:fldChar w:fldCharType="begin"/>
          </w:r>
          <w:r>
            <w:instrText xml:space="preserve"> HYPERLINK \l "_Toc187328678" </w:instrText>
          </w:r>
          <w:r>
            <w:fldChar w:fldCharType="separate"/>
          </w:r>
          <w:r>
            <w:rPr>
              <w:rStyle w:val="32"/>
              <w:bCs/>
            </w:rPr>
            <w:t>二、界定运营边界</w:t>
          </w:r>
          <w:r>
            <w:tab/>
          </w:r>
          <w:r>
            <w:fldChar w:fldCharType="begin"/>
          </w:r>
          <w:r>
            <w:instrText xml:space="preserve"> PAGEREF _Toc187328678 \h </w:instrText>
          </w:r>
          <w:r>
            <w:fldChar w:fldCharType="separate"/>
          </w:r>
          <w:r>
            <w:t>17</w:t>
          </w:r>
          <w:r>
            <w:fldChar w:fldCharType="end"/>
          </w:r>
          <w:r>
            <w:fldChar w:fldCharType="end"/>
          </w:r>
        </w:p>
        <w:p w14:paraId="7DE6BDB7">
          <w:pPr>
            <w:pStyle w:val="22"/>
            <w:rPr>
              <w:kern w:val="2"/>
            </w:rPr>
          </w:pPr>
          <w:r>
            <w:fldChar w:fldCharType="begin"/>
          </w:r>
          <w:r>
            <w:instrText xml:space="preserve"> HYPERLINK \l "_Toc187328679" </w:instrText>
          </w:r>
          <w:r>
            <w:fldChar w:fldCharType="separate"/>
          </w:r>
          <w:r>
            <w:rPr>
              <w:rStyle w:val="32"/>
            </w:rPr>
            <w:t>三、界定时间范围</w:t>
          </w:r>
          <w:r>
            <w:tab/>
          </w:r>
          <w:r>
            <w:fldChar w:fldCharType="begin"/>
          </w:r>
          <w:r>
            <w:instrText xml:space="preserve"> PAGEREF _Toc187328679 \h </w:instrText>
          </w:r>
          <w:r>
            <w:fldChar w:fldCharType="separate"/>
          </w:r>
          <w:r>
            <w:t>18</w:t>
          </w:r>
          <w:r>
            <w:fldChar w:fldCharType="end"/>
          </w:r>
          <w:r>
            <w:fldChar w:fldCharType="end"/>
          </w:r>
        </w:p>
        <w:p w14:paraId="0935BE8D">
          <w:pPr>
            <w:pStyle w:val="22"/>
            <w:rPr>
              <w:kern w:val="2"/>
            </w:rPr>
          </w:pPr>
          <w:r>
            <w:fldChar w:fldCharType="begin"/>
          </w:r>
          <w:r>
            <w:instrText xml:space="preserve"> HYPERLINK \l "_Toc187328680" </w:instrText>
          </w:r>
          <w:r>
            <w:fldChar w:fldCharType="separate"/>
          </w:r>
          <w:r>
            <w:rPr>
              <w:rStyle w:val="32"/>
            </w:rPr>
            <w:t>四、识别温室气体排放源</w:t>
          </w:r>
          <w:r>
            <w:tab/>
          </w:r>
          <w:r>
            <w:fldChar w:fldCharType="begin"/>
          </w:r>
          <w:r>
            <w:instrText xml:space="preserve"> PAGEREF _Toc187328680 \h </w:instrText>
          </w:r>
          <w:r>
            <w:fldChar w:fldCharType="separate"/>
          </w:r>
          <w:r>
            <w:t>18</w:t>
          </w:r>
          <w:r>
            <w:fldChar w:fldCharType="end"/>
          </w:r>
          <w:r>
            <w:fldChar w:fldCharType="end"/>
          </w:r>
        </w:p>
        <w:p w14:paraId="245ED8DB">
          <w:pPr>
            <w:pStyle w:val="22"/>
            <w:rPr>
              <w:kern w:val="2"/>
            </w:rPr>
          </w:pPr>
          <w:r>
            <w:fldChar w:fldCharType="begin"/>
          </w:r>
          <w:r>
            <w:instrText xml:space="preserve"> HYPERLINK \l "_Toc187328681" </w:instrText>
          </w:r>
          <w:r>
            <w:fldChar w:fldCharType="separate"/>
          </w:r>
          <w:r>
            <w:rPr>
              <w:rStyle w:val="32"/>
            </w:rPr>
            <w:t>五、计算温室气体排放量</w:t>
          </w:r>
          <w:r>
            <w:tab/>
          </w:r>
          <w:r>
            <w:fldChar w:fldCharType="begin"/>
          </w:r>
          <w:r>
            <w:instrText xml:space="preserve"> PAGEREF _Toc187328681 \h </w:instrText>
          </w:r>
          <w:r>
            <w:fldChar w:fldCharType="separate"/>
          </w:r>
          <w:r>
            <w:t>19</w:t>
          </w:r>
          <w:r>
            <w:fldChar w:fldCharType="end"/>
          </w:r>
          <w:r>
            <w:fldChar w:fldCharType="end"/>
          </w:r>
        </w:p>
        <w:p w14:paraId="37967535">
          <w:pPr>
            <w:pStyle w:val="17"/>
            <w:rPr>
              <w:rFonts w:ascii="黑体" w:hAnsi="黑体" w:eastAsia="黑体"/>
              <w:kern w:val="2"/>
            </w:rPr>
          </w:pPr>
          <w:r>
            <w:fldChar w:fldCharType="begin"/>
          </w:r>
          <w:r>
            <w:instrText xml:space="preserve"> HYPERLINK \l "_Toc187328682" </w:instrText>
          </w:r>
          <w:r>
            <w:fldChar w:fldCharType="separate"/>
          </w:r>
          <w:r>
            <w:rPr>
              <w:rStyle w:val="32"/>
              <w:rFonts w:ascii="黑体" w:hAnsi="黑体" w:eastAsia="黑体" w:cs="Times New Roman"/>
              <w:sz w:val="20"/>
              <w:szCs w:val="20"/>
            </w:rPr>
            <w:t>第五章 气候相关转型计划</w:t>
          </w:r>
          <w:r>
            <w:rPr>
              <w:rFonts w:ascii="黑体" w:hAnsi="黑体" w:eastAsia="黑体"/>
            </w:rPr>
            <w:tab/>
          </w:r>
          <w:r>
            <w:rPr>
              <w:rFonts w:ascii="黑体" w:hAnsi="黑体" w:eastAsia="黑体"/>
            </w:rPr>
            <w:fldChar w:fldCharType="begin"/>
          </w:r>
          <w:r>
            <w:rPr>
              <w:rFonts w:ascii="黑体" w:hAnsi="黑体" w:eastAsia="黑体"/>
            </w:rPr>
            <w:instrText xml:space="preserve"> PAGEREF _Toc187328682 \h </w:instrText>
          </w:r>
          <w:r>
            <w:rPr>
              <w:rFonts w:ascii="黑体" w:hAnsi="黑体" w:eastAsia="黑体"/>
            </w:rPr>
            <w:fldChar w:fldCharType="separate"/>
          </w:r>
          <w:r>
            <w:rPr>
              <w:rFonts w:ascii="黑体" w:hAnsi="黑体" w:eastAsia="黑体"/>
            </w:rPr>
            <w:t>25</w:t>
          </w:r>
          <w:r>
            <w:rPr>
              <w:rFonts w:ascii="黑体" w:hAnsi="黑体" w:eastAsia="黑体"/>
            </w:rPr>
            <w:fldChar w:fldCharType="end"/>
          </w:r>
          <w:r>
            <w:rPr>
              <w:rFonts w:ascii="黑体" w:hAnsi="黑体" w:eastAsia="黑体"/>
            </w:rPr>
            <w:fldChar w:fldCharType="end"/>
          </w:r>
        </w:p>
        <w:p w14:paraId="0C2D5A8E">
          <w:pPr>
            <w:pStyle w:val="17"/>
            <w:rPr>
              <w:rFonts w:ascii="黑体" w:hAnsi="黑体" w:eastAsia="黑体"/>
              <w:kern w:val="2"/>
            </w:rPr>
          </w:pPr>
          <w:r>
            <w:fldChar w:fldCharType="begin"/>
          </w:r>
          <w:r>
            <w:instrText xml:space="preserve"> HYPERLINK \l "_Toc187328683" </w:instrText>
          </w:r>
          <w:r>
            <w:fldChar w:fldCharType="separate"/>
          </w:r>
          <w:r>
            <w:rPr>
              <w:rStyle w:val="32"/>
              <w:rFonts w:ascii="黑体" w:hAnsi="黑体" w:eastAsia="黑体" w:cs="Times New Roman"/>
              <w:sz w:val="20"/>
              <w:szCs w:val="20"/>
            </w:rPr>
            <w:t>第六章 披露要点</w:t>
          </w:r>
          <w:r>
            <w:rPr>
              <w:rFonts w:ascii="黑体" w:hAnsi="黑体" w:eastAsia="黑体"/>
            </w:rPr>
            <w:tab/>
          </w:r>
          <w:r>
            <w:rPr>
              <w:rFonts w:ascii="黑体" w:hAnsi="黑体" w:eastAsia="黑体"/>
            </w:rPr>
            <w:fldChar w:fldCharType="begin"/>
          </w:r>
          <w:r>
            <w:rPr>
              <w:rFonts w:ascii="黑体" w:hAnsi="黑体" w:eastAsia="黑体"/>
            </w:rPr>
            <w:instrText xml:space="preserve"> PAGEREF _Toc187328683 \h </w:instrText>
          </w:r>
          <w:r>
            <w:rPr>
              <w:rFonts w:ascii="黑体" w:hAnsi="黑体" w:eastAsia="黑体"/>
            </w:rPr>
            <w:fldChar w:fldCharType="separate"/>
          </w:r>
          <w:r>
            <w:rPr>
              <w:rFonts w:ascii="黑体" w:hAnsi="黑体" w:eastAsia="黑体"/>
            </w:rPr>
            <w:t>27</w:t>
          </w:r>
          <w:r>
            <w:rPr>
              <w:rFonts w:ascii="黑体" w:hAnsi="黑体" w:eastAsia="黑体"/>
            </w:rPr>
            <w:fldChar w:fldCharType="end"/>
          </w:r>
          <w:r>
            <w:rPr>
              <w:rFonts w:ascii="黑体" w:hAnsi="黑体" w:eastAsia="黑体"/>
            </w:rPr>
            <w:fldChar w:fldCharType="end"/>
          </w:r>
        </w:p>
        <w:p w14:paraId="64679D13">
          <w:pPr>
            <w:pStyle w:val="22"/>
            <w:rPr>
              <w:kern w:val="2"/>
            </w:rPr>
          </w:pPr>
          <w:r>
            <w:fldChar w:fldCharType="begin"/>
          </w:r>
          <w:r>
            <w:instrText xml:space="preserve"> HYPERLINK \l "_Toc187328684" </w:instrText>
          </w:r>
          <w:r>
            <w:fldChar w:fldCharType="separate"/>
          </w:r>
          <w:r>
            <w:rPr>
              <w:rStyle w:val="32"/>
            </w:rPr>
            <w:t>一、气候相关治理</w:t>
          </w:r>
          <w:r>
            <w:tab/>
          </w:r>
          <w:r>
            <w:fldChar w:fldCharType="begin"/>
          </w:r>
          <w:r>
            <w:instrText xml:space="preserve"> PAGEREF _Toc187328684 \h </w:instrText>
          </w:r>
          <w:r>
            <w:fldChar w:fldCharType="separate"/>
          </w:r>
          <w:r>
            <w:t>27</w:t>
          </w:r>
          <w:r>
            <w:fldChar w:fldCharType="end"/>
          </w:r>
          <w:r>
            <w:fldChar w:fldCharType="end"/>
          </w:r>
        </w:p>
        <w:p w14:paraId="413056FF">
          <w:pPr>
            <w:pStyle w:val="10"/>
            <w:tabs>
              <w:tab w:val="right" w:leader="dot" w:pos="8296"/>
            </w:tabs>
            <w:ind w:left="1200"/>
            <w:rPr>
              <w:rFonts w:ascii="黑体" w:hAnsi="黑体" w:eastAsia="黑体" w:cstheme="minorBidi"/>
              <w:sz w:val="20"/>
              <w:szCs w:val="20"/>
            </w:rPr>
          </w:pPr>
          <w:r>
            <w:fldChar w:fldCharType="begin"/>
          </w:r>
          <w:r>
            <w:instrText xml:space="preserve"> HYPERLINK \l "_Toc187328685" </w:instrText>
          </w:r>
          <w:r>
            <w:fldChar w:fldCharType="separate"/>
          </w:r>
          <w:r>
            <w:rPr>
              <w:rStyle w:val="32"/>
              <w:rFonts w:ascii="黑体" w:hAnsi="黑体" w:eastAsia="黑体" w:cs="黑体"/>
              <w:sz w:val="20"/>
              <w:szCs w:val="20"/>
            </w:rPr>
            <w:t>披露要点1 气候相关治理机构</w:t>
          </w:r>
          <w:r>
            <w:rPr>
              <w:rFonts w:ascii="黑体" w:hAnsi="黑体" w:eastAsia="黑体"/>
              <w:sz w:val="20"/>
              <w:szCs w:val="20"/>
            </w:rPr>
            <w:tab/>
          </w:r>
          <w:r>
            <w:rPr>
              <w:rFonts w:ascii="黑体" w:hAnsi="黑体" w:eastAsia="黑体"/>
              <w:sz w:val="20"/>
              <w:szCs w:val="20"/>
            </w:rPr>
            <w:fldChar w:fldCharType="begin"/>
          </w:r>
          <w:r>
            <w:rPr>
              <w:rFonts w:ascii="黑体" w:hAnsi="黑体" w:eastAsia="黑体"/>
              <w:sz w:val="20"/>
              <w:szCs w:val="20"/>
            </w:rPr>
            <w:instrText xml:space="preserve"> PAGEREF _Toc187328685 \h </w:instrText>
          </w:r>
          <w:r>
            <w:rPr>
              <w:rFonts w:ascii="黑体" w:hAnsi="黑体" w:eastAsia="黑体"/>
              <w:sz w:val="20"/>
              <w:szCs w:val="20"/>
            </w:rPr>
            <w:fldChar w:fldCharType="separate"/>
          </w:r>
          <w:r>
            <w:rPr>
              <w:rFonts w:ascii="黑体" w:hAnsi="黑体" w:eastAsia="黑体"/>
              <w:sz w:val="20"/>
              <w:szCs w:val="20"/>
            </w:rPr>
            <w:t>27</w:t>
          </w:r>
          <w:r>
            <w:rPr>
              <w:rFonts w:ascii="黑体" w:hAnsi="黑体" w:eastAsia="黑体"/>
              <w:sz w:val="20"/>
              <w:szCs w:val="20"/>
            </w:rPr>
            <w:fldChar w:fldCharType="end"/>
          </w:r>
          <w:r>
            <w:rPr>
              <w:rFonts w:ascii="黑体" w:hAnsi="黑体" w:eastAsia="黑体"/>
              <w:sz w:val="20"/>
              <w:szCs w:val="20"/>
            </w:rPr>
            <w:fldChar w:fldCharType="end"/>
          </w:r>
        </w:p>
        <w:p w14:paraId="495E680E">
          <w:pPr>
            <w:pStyle w:val="10"/>
            <w:tabs>
              <w:tab w:val="right" w:leader="dot" w:pos="8296"/>
            </w:tabs>
            <w:ind w:left="1200"/>
            <w:rPr>
              <w:rFonts w:ascii="黑体" w:hAnsi="黑体" w:eastAsia="黑体" w:cstheme="minorBidi"/>
              <w:sz w:val="20"/>
              <w:szCs w:val="20"/>
            </w:rPr>
          </w:pPr>
          <w:r>
            <w:fldChar w:fldCharType="begin"/>
          </w:r>
          <w:r>
            <w:instrText xml:space="preserve"> HYPERLINK \l "_Toc187328686" </w:instrText>
          </w:r>
          <w:r>
            <w:fldChar w:fldCharType="separate"/>
          </w:r>
          <w:r>
            <w:rPr>
              <w:rStyle w:val="32"/>
              <w:rFonts w:ascii="黑体" w:hAnsi="黑体" w:eastAsia="黑体" w:cs="黑体"/>
              <w:sz w:val="20"/>
              <w:szCs w:val="20"/>
            </w:rPr>
            <w:t>披露要点2 气候相关治理机构（人员）专业技能和能力</w:t>
          </w:r>
          <w:r>
            <w:rPr>
              <w:rFonts w:ascii="黑体" w:hAnsi="黑体" w:eastAsia="黑体"/>
              <w:sz w:val="20"/>
              <w:szCs w:val="20"/>
            </w:rPr>
            <w:tab/>
          </w:r>
          <w:r>
            <w:rPr>
              <w:rFonts w:ascii="黑体" w:hAnsi="黑体" w:eastAsia="黑体"/>
              <w:sz w:val="20"/>
              <w:szCs w:val="20"/>
            </w:rPr>
            <w:fldChar w:fldCharType="begin"/>
          </w:r>
          <w:r>
            <w:rPr>
              <w:rFonts w:ascii="黑体" w:hAnsi="黑体" w:eastAsia="黑体"/>
              <w:sz w:val="20"/>
              <w:szCs w:val="20"/>
            </w:rPr>
            <w:instrText xml:space="preserve"> PAGEREF _Toc187328686 \h </w:instrText>
          </w:r>
          <w:r>
            <w:rPr>
              <w:rFonts w:ascii="黑体" w:hAnsi="黑体" w:eastAsia="黑体"/>
              <w:sz w:val="20"/>
              <w:szCs w:val="20"/>
            </w:rPr>
            <w:fldChar w:fldCharType="separate"/>
          </w:r>
          <w:r>
            <w:rPr>
              <w:rFonts w:ascii="黑体" w:hAnsi="黑体" w:eastAsia="黑体"/>
              <w:sz w:val="20"/>
              <w:szCs w:val="20"/>
            </w:rPr>
            <w:t>27</w:t>
          </w:r>
          <w:r>
            <w:rPr>
              <w:rFonts w:ascii="黑体" w:hAnsi="黑体" w:eastAsia="黑体"/>
              <w:sz w:val="20"/>
              <w:szCs w:val="20"/>
            </w:rPr>
            <w:fldChar w:fldCharType="end"/>
          </w:r>
          <w:r>
            <w:rPr>
              <w:rFonts w:ascii="黑体" w:hAnsi="黑体" w:eastAsia="黑体"/>
              <w:sz w:val="20"/>
              <w:szCs w:val="20"/>
            </w:rPr>
            <w:fldChar w:fldCharType="end"/>
          </w:r>
        </w:p>
        <w:p w14:paraId="6E279C7E">
          <w:pPr>
            <w:pStyle w:val="10"/>
            <w:tabs>
              <w:tab w:val="right" w:leader="dot" w:pos="8296"/>
            </w:tabs>
            <w:ind w:left="1200"/>
            <w:rPr>
              <w:rFonts w:ascii="黑体" w:hAnsi="黑体" w:eastAsia="黑体" w:cstheme="minorBidi"/>
              <w:sz w:val="20"/>
              <w:szCs w:val="20"/>
            </w:rPr>
          </w:pPr>
          <w:r>
            <w:fldChar w:fldCharType="begin"/>
          </w:r>
          <w:r>
            <w:instrText xml:space="preserve"> HYPERLINK \l "_Toc187328687" </w:instrText>
          </w:r>
          <w:r>
            <w:fldChar w:fldCharType="separate"/>
          </w:r>
          <w:r>
            <w:rPr>
              <w:rStyle w:val="32"/>
              <w:rFonts w:ascii="黑体" w:hAnsi="黑体" w:eastAsia="黑体" w:cs="黑体"/>
              <w:sz w:val="20"/>
              <w:szCs w:val="20"/>
            </w:rPr>
            <w:t>披露要点3 气候相关治理机构（人员）获取信息的机制</w:t>
          </w:r>
          <w:r>
            <w:rPr>
              <w:rFonts w:ascii="黑体" w:hAnsi="黑体" w:eastAsia="黑体"/>
              <w:sz w:val="20"/>
              <w:szCs w:val="20"/>
            </w:rPr>
            <w:tab/>
          </w:r>
          <w:r>
            <w:rPr>
              <w:rFonts w:ascii="黑体" w:hAnsi="黑体" w:eastAsia="黑体"/>
              <w:sz w:val="20"/>
              <w:szCs w:val="20"/>
            </w:rPr>
            <w:fldChar w:fldCharType="begin"/>
          </w:r>
          <w:r>
            <w:rPr>
              <w:rFonts w:ascii="黑体" w:hAnsi="黑体" w:eastAsia="黑体"/>
              <w:sz w:val="20"/>
              <w:szCs w:val="20"/>
            </w:rPr>
            <w:instrText xml:space="preserve"> PAGEREF _Toc187328687 \h </w:instrText>
          </w:r>
          <w:r>
            <w:rPr>
              <w:rFonts w:ascii="黑体" w:hAnsi="黑体" w:eastAsia="黑体"/>
              <w:sz w:val="20"/>
              <w:szCs w:val="20"/>
            </w:rPr>
            <w:fldChar w:fldCharType="separate"/>
          </w:r>
          <w:r>
            <w:rPr>
              <w:rFonts w:ascii="黑体" w:hAnsi="黑体" w:eastAsia="黑体"/>
              <w:sz w:val="20"/>
              <w:szCs w:val="20"/>
            </w:rPr>
            <w:t>27</w:t>
          </w:r>
          <w:r>
            <w:rPr>
              <w:rFonts w:ascii="黑体" w:hAnsi="黑体" w:eastAsia="黑体"/>
              <w:sz w:val="20"/>
              <w:szCs w:val="20"/>
            </w:rPr>
            <w:fldChar w:fldCharType="end"/>
          </w:r>
          <w:r>
            <w:rPr>
              <w:rFonts w:ascii="黑体" w:hAnsi="黑体" w:eastAsia="黑体"/>
              <w:sz w:val="20"/>
              <w:szCs w:val="20"/>
            </w:rPr>
            <w:fldChar w:fldCharType="end"/>
          </w:r>
        </w:p>
        <w:p w14:paraId="383C90C0">
          <w:pPr>
            <w:pStyle w:val="10"/>
            <w:tabs>
              <w:tab w:val="right" w:leader="dot" w:pos="8296"/>
            </w:tabs>
            <w:ind w:left="1200"/>
            <w:rPr>
              <w:rFonts w:ascii="黑体" w:hAnsi="黑体" w:eastAsia="黑体" w:cstheme="minorBidi"/>
              <w:sz w:val="20"/>
              <w:szCs w:val="20"/>
            </w:rPr>
          </w:pPr>
          <w:r>
            <w:fldChar w:fldCharType="begin"/>
          </w:r>
          <w:r>
            <w:instrText xml:space="preserve"> HYPERLINK \l "_Toc187328688" </w:instrText>
          </w:r>
          <w:r>
            <w:fldChar w:fldCharType="separate"/>
          </w:r>
          <w:r>
            <w:rPr>
              <w:rStyle w:val="32"/>
              <w:rFonts w:ascii="黑体" w:hAnsi="黑体" w:eastAsia="黑体" w:cs="黑体"/>
              <w:sz w:val="20"/>
              <w:szCs w:val="20"/>
            </w:rPr>
            <w:t>披露要点4 气候相关治理机构（人员）监督情况</w:t>
          </w:r>
          <w:r>
            <w:rPr>
              <w:rFonts w:ascii="黑体" w:hAnsi="黑体" w:eastAsia="黑体"/>
              <w:sz w:val="20"/>
              <w:szCs w:val="20"/>
            </w:rPr>
            <w:tab/>
          </w:r>
          <w:r>
            <w:rPr>
              <w:rFonts w:ascii="黑体" w:hAnsi="黑体" w:eastAsia="黑体"/>
              <w:sz w:val="20"/>
              <w:szCs w:val="20"/>
            </w:rPr>
            <w:fldChar w:fldCharType="begin"/>
          </w:r>
          <w:r>
            <w:rPr>
              <w:rFonts w:ascii="黑体" w:hAnsi="黑体" w:eastAsia="黑体"/>
              <w:sz w:val="20"/>
              <w:szCs w:val="20"/>
            </w:rPr>
            <w:instrText xml:space="preserve"> PAGEREF _Toc187328688 \h </w:instrText>
          </w:r>
          <w:r>
            <w:rPr>
              <w:rFonts w:ascii="黑体" w:hAnsi="黑体" w:eastAsia="黑体"/>
              <w:sz w:val="20"/>
              <w:szCs w:val="20"/>
            </w:rPr>
            <w:fldChar w:fldCharType="separate"/>
          </w:r>
          <w:r>
            <w:rPr>
              <w:rFonts w:ascii="黑体" w:hAnsi="黑体" w:eastAsia="黑体"/>
              <w:sz w:val="20"/>
              <w:szCs w:val="20"/>
            </w:rPr>
            <w:t>27</w:t>
          </w:r>
          <w:r>
            <w:rPr>
              <w:rFonts w:ascii="黑体" w:hAnsi="黑体" w:eastAsia="黑体"/>
              <w:sz w:val="20"/>
              <w:szCs w:val="20"/>
            </w:rPr>
            <w:fldChar w:fldCharType="end"/>
          </w:r>
          <w:r>
            <w:rPr>
              <w:rFonts w:ascii="黑体" w:hAnsi="黑体" w:eastAsia="黑体"/>
              <w:sz w:val="20"/>
              <w:szCs w:val="20"/>
            </w:rPr>
            <w:fldChar w:fldCharType="end"/>
          </w:r>
        </w:p>
        <w:p w14:paraId="09536BD7">
          <w:pPr>
            <w:pStyle w:val="10"/>
            <w:tabs>
              <w:tab w:val="right" w:leader="dot" w:pos="8296"/>
            </w:tabs>
            <w:ind w:left="1200"/>
            <w:rPr>
              <w:rFonts w:ascii="黑体" w:hAnsi="黑体" w:eastAsia="黑体" w:cstheme="minorBidi"/>
              <w:sz w:val="20"/>
              <w:szCs w:val="20"/>
            </w:rPr>
          </w:pPr>
          <w:r>
            <w:fldChar w:fldCharType="begin"/>
          </w:r>
          <w:r>
            <w:instrText xml:space="preserve"> HYPERLINK \l "_Toc187328689" </w:instrText>
          </w:r>
          <w:r>
            <w:fldChar w:fldCharType="separate"/>
          </w:r>
          <w:r>
            <w:rPr>
              <w:rStyle w:val="32"/>
              <w:rFonts w:ascii="黑体" w:hAnsi="黑体" w:eastAsia="黑体" w:cs="黑体"/>
              <w:sz w:val="20"/>
              <w:szCs w:val="20"/>
            </w:rPr>
            <w:t>披露要点5 气候相关治理机构将气候相关因素纳入决策的情况</w:t>
          </w:r>
          <w:r>
            <w:rPr>
              <w:rFonts w:ascii="黑体" w:hAnsi="黑体" w:eastAsia="黑体"/>
              <w:sz w:val="20"/>
              <w:szCs w:val="20"/>
            </w:rPr>
            <w:tab/>
          </w:r>
          <w:r>
            <w:rPr>
              <w:rFonts w:ascii="黑体" w:hAnsi="黑体" w:eastAsia="黑体"/>
              <w:sz w:val="20"/>
              <w:szCs w:val="20"/>
            </w:rPr>
            <w:fldChar w:fldCharType="begin"/>
          </w:r>
          <w:r>
            <w:rPr>
              <w:rFonts w:ascii="黑体" w:hAnsi="黑体" w:eastAsia="黑体"/>
              <w:sz w:val="20"/>
              <w:szCs w:val="20"/>
            </w:rPr>
            <w:instrText xml:space="preserve"> PAGEREF _Toc187328689 \h </w:instrText>
          </w:r>
          <w:r>
            <w:rPr>
              <w:rFonts w:ascii="黑体" w:hAnsi="黑体" w:eastAsia="黑体"/>
              <w:sz w:val="20"/>
              <w:szCs w:val="20"/>
            </w:rPr>
            <w:fldChar w:fldCharType="separate"/>
          </w:r>
          <w:r>
            <w:rPr>
              <w:rFonts w:ascii="黑体" w:hAnsi="黑体" w:eastAsia="黑体"/>
              <w:sz w:val="20"/>
              <w:szCs w:val="20"/>
            </w:rPr>
            <w:t>28</w:t>
          </w:r>
          <w:r>
            <w:rPr>
              <w:rFonts w:ascii="黑体" w:hAnsi="黑体" w:eastAsia="黑体"/>
              <w:sz w:val="20"/>
              <w:szCs w:val="20"/>
            </w:rPr>
            <w:fldChar w:fldCharType="end"/>
          </w:r>
          <w:r>
            <w:rPr>
              <w:rFonts w:ascii="黑体" w:hAnsi="黑体" w:eastAsia="黑体"/>
              <w:sz w:val="20"/>
              <w:szCs w:val="20"/>
            </w:rPr>
            <w:fldChar w:fldCharType="end"/>
          </w:r>
        </w:p>
        <w:p w14:paraId="22F52D7C">
          <w:pPr>
            <w:pStyle w:val="22"/>
            <w:rPr>
              <w:kern w:val="2"/>
            </w:rPr>
          </w:pPr>
          <w:r>
            <w:fldChar w:fldCharType="begin"/>
          </w:r>
          <w:r>
            <w:instrText xml:space="preserve"> HYPERLINK \l "_Toc187328690" </w:instrText>
          </w:r>
          <w:r>
            <w:fldChar w:fldCharType="separate"/>
          </w:r>
          <w:r>
            <w:rPr>
              <w:rStyle w:val="32"/>
            </w:rPr>
            <w:t>二、气候相关战略</w:t>
          </w:r>
          <w:r>
            <w:tab/>
          </w:r>
          <w:r>
            <w:fldChar w:fldCharType="begin"/>
          </w:r>
          <w:r>
            <w:instrText xml:space="preserve"> PAGEREF _Toc187328690 \h </w:instrText>
          </w:r>
          <w:r>
            <w:fldChar w:fldCharType="separate"/>
          </w:r>
          <w:r>
            <w:t>28</w:t>
          </w:r>
          <w:r>
            <w:fldChar w:fldCharType="end"/>
          </w:r>
          <w:r>
            <w:fldChar w:fldCharType="end"/>
          </w:r>
        </w:p>
        <w:p w14:paraId="41099EFC">
          <w:pPr>
            <w:pStyle w:val="10"/>
            <w:tabs>
              <w:tab w:val="right" w:leader="dot" w:pos="8296"/>
            </w:tabs>
            <w:ind w:left="1200"/>
            <w:rPr>
              <w:rFonts w:asciiTheme="minorHAnsi" w:hAnsiTheme="minorHAnsi" w:eastAsiaTheme="minorEastAsia" w:cstheme="minorBidi"/>
              <w:sz w:val="20"/>
              <w:szCs w:val="20"/>
            </w:rPr>
          </w:pPr>
          <w:r>
            <w:fldChar w:fldCharType="begin"/>
          </w:r>
          <w:r>
            <w:instrText xml:space="preserve"> HYPERLINK \l "_Toc187328691" </w:instrText>
          </w:r>
          <w:r>
            <w:fldChar w:fldCharType="separate"/>
          </w:r>
          <w:r>
            <w:rPr>
              <w:rStyle w:val="32"/>
              <w:rFonts w:ascii="黑体" w:hAnsi="黑体" w:eastAsia="黑体" w:cs="黑体"/>
              <w:sz w:val="20"/>
              <w:szCs w:val="20"/>
            </w:rPr>
            <w:t>披露要点6 气候相关重大影响</w:t>
          </w:r>
          <w:r>
            <w:rPr>
              <w:rFonts w:ascii="黑体" w:hAnsi="黑体" w:eastAsia="黑体"/>
              <w:sz w:val="20"/>
              <w:szCs w:val="20"/>
            </w:rPr>
            <w:tab/>
          </w:r>
          <w:r>
            <w:rPr>
              <w:rFonts w:ascii="黑体" w:hAnsi="黑体" w:eastAsia="黑体"/>
              <w:sz w:val="20"/>
              <w:szCs w:val="20"/>
            </w:rPr>
            <w:fldChar w:fldCharType="begin"/>
          </w:r>
          <w:r>
            <w:rPr>
              <w:rFonts w:ascii="黑体" w:hAnsi="黑体" w:eastAsia="黑体"/>
              <w:sz w:val="20"/>
              <w:szCs w:val="20"/>
            </w:rPr>
            <w:instrText xml:space="preserve"> PAGEREF _Toc187328691 \h </w:instrText>
          </w:r>
          <w:r>
            <w:rPr>
              <w:rFonts w:ascii="黑体" w:hAnsi="黑体" w:eastAsia="黑体"/>
              <w:sz w:val="20"/>
              <w:szCs w:val="20"/>
            </w:rPr>
            <w:fldChar w:fldCharType="separate"/>
          </w:r>
          <w:r>
            <w:rPr>
              <w:rFonts w:ascii="黑体" w:hAnsi="黑体" w:eastAsia="黑体"/>
              <w:sz w:val="20"/>
              <w:szCs w:val="20"/>
            </w:rPr>
            <w:t>28</w:t>
          </w:r>
          <w:r>
            <w:rPr>
              <w:rFonts w:ascii="黑体" w:hAnsi="黑体" w:eastAsia="黑体"/>
              <w:sz w:val="20"/>
              <w:szCs w:val="20"/>
            </w:rPr>
            <w:fldChar w:fldCharType="end"/>
          </w:r>
          <w:r>
            <w:rPr>
              <w:rFonts w:ascii="黑体" w:hAnsi="黑体" w:eastAsia="黑体"/>
              <w:sz w:val="20"/>
              <w:szCs w:val="20"/>
            </w:rPr>
            <w:fldChar w:fldCharType="end"/>
          </w:r>
        </w:p>
        <w:p w14:paraId="6966FBBB">
          <w:pPr>
            <w:pStyle w:val="10"/>
            <w:tabs>
              <w:tab w:val="right" w:leader="dot" w:pos="8296"/>
            </w:tabs>
            <w:ind w:left="1200"/>
            <w:rPr>
              <w:rFonts w:ascii="黑体" w:hAnsi="黑体" w:eastAsia="黑体" w:cstheme="minorBidi"/>
              <w:sz w:val="20"/>
              <w:szCs w:val="20"/>
            </w:rPr>
          </w:pPr>
          <w:r>
            <w:fldChar w:fldCharType="begin"/>
          </w:r>
          <w:r>
            <w:instrText xml:space="preserve"> HYPERLINK \l "_Toc187328692" </w:instrText>
          </w:r>
          <w:r>
            <w:fldChar w:fldCharType="separate"/>
          </w:r>
          <w:r>
            <w:rPr>
              <w:rStyle w:val="32"/>
              <w:rFonts w:ascii="黑体" w:hAnsi="黑体" w:eastAsia="黑体" w:cs="黑体"/>
              <w:sz w:val="20"/>
              <w:szCs w:val="20"/>
            </w:rPr>
            <w:t>披露要点7 气候相关风险和机遇</w:t>
          </w:r>
          <w:r>
            <w:rPr>
              <w:rFonts w:ascii="黑体" w:hAnsi="黑体" w:eastAsia="黑体"/>
              <w:sz w:val="20"/>
              <w:szCs w:val="20"/>
            </w:rPr>
            <w:tab/>
          </w:r>
          <w:r>
            <w:rPr>
              <w:rFonts w:ascii="黑体" w:hAnsi="黑体" w:eastAsia="黑体"/>
              <w:sz w:val="20"/>
              <w:szCs w:val="20"/>
            </w:rPr>
            <w:fldChar w:fldCharType="begin"/>
          </w:r>
          <w:r>
            <w:rPr>
              <w:rFonts w:ascii="黑体" w:hAnsi="黑体" w:eastAsia="黑体"/>
              <w:sz w:val="20"/>
              <w:szCs w:val="20"/>
            </w:rPr>
            <w:instrText xml:space="preserve"> PAGEREF _Toc187328692 \h </w:instrText>
          </w:r>
          <w:r>
            <w:rPr>
              <w:rFonts w:ascii="黑体" w:hAnsi="黑体" w:eastAsia="黑体"/>
              <w:sz w:val="20"/>
              <w:szCs w:val="20"/>
            </w:rPr>
            <w:fldChar w:fldCharType="separate"/>
          </w:r>
          <w:r>
            <w:rPr>
              <w:rFonts w:ascii="黑体" w:hAnsi="黑体" w:eastAsia="黑体"/>
              <w:sz w:val="20"/>
              <w:szCs w:val="20"/>
            </w:rPr>
            <w:t>28</w:t>
          </w:r>
          <w:r>
            <w:rPr>
              <w:rFonts w:ascii="黑体" w:hAnsi="黑体" w:eastAsia="黑体"/>
              <w:sz w:val="20"/>
              <w:szCs w:val="20"/>
            </w:rPr>
            <w:fldChar w:fldCharType="end"/>
          </w:r>
          <w:r>
            <w:rPr>
              <w:rFonts w:ascii="黑体" w:hAnsi="黑体" w:eastAsia="黑体"/>
              <w:sz w:val="20"/>
              <w:szCs w:val="20"/>
            </w:rPr>
            <w:fldChar w:fldCharType="end"/>
          </w:r>
        </w:p>
        <w:p w14:paraId="6A197EE4">
          <w:pPr>
            <w:pStyle w:val="10"/>
            <w:tabs>
              <w:tab w:val="right" w:leader="dot" w:pos="8296"/>
            </w:tabs>
            <w:ind w:left="1200"/>
            <w:rPr>
              <w:rFonts w:ascii="黑体" w:hAnsi="黑体" w:eastAsia="黑体" w:cstheme="minorBidi"/>
              <w:sz w:val="20"/>
              <w:szCs w:val="20"/>
            </w:rPr>
          </w:pPr>
          <w:r>
            <w:fldChar w:fldCharType="begin"/>
          </w:r>
          <w:r>
            <w:instrText xml:space="preserve"> HYPERLINK \l "_Toc187328693" </w:instrText>
          </w:r>
          <w:r>
            <w:fldChar w:fldCharType="separate"/>
          </w:r>
          <w:r>
            <w:rPr>
              <w:rStyle w:val="32"/>
              <w:rFonts w:ascii="黑体" w:hAnsi="黑体" w:eastAsia="黑体" w:cs="黑体"/>
              <w:sz w:val="20"/>
              <w:szCs w:val="20"/>
            </w:rPr>
            <w:t>披露要点8 气候相关风险和机遇对商业模式和价值链的影响（鼓励）</w:t>
          </w:r>
          <w:r>
            <w:rPr>
              <w:rFonts w:ascii="黑体" w:hAnsi="黑体" w:eastAsia="黑体"/>
              <w:sz w:val="20"/>
              <w:szCs w:val="20"/>
            </w:rPr>
            <w:tab/>
          </w:r>
          <w:r>
            <w:rPr>
              <w:rFonts w:ascii="黑体" w:hAnsi="黑体" w:eastAsia="黑体"/>
              <w:sz w:val="20"/>
              <w:szCs w:val="20"/>
            </w:rPr>
            <w:fldChar w:fldCharType="begin"/>
          </w:r>
          <w:r>
            <w:rPr>
              <w:rFonts w:ascii="黑体" w:hAnsi="黑体" w:eastAsia="黑体"/>
              <w:sz w:val="20"/>
              <w:szCs w:val="20"/>
            </w:rPr>
            <w:instrText xml:space="preserve"> PAGEREF _Toc187328693 \h </w:instrText>
          </w:r>
          <w:r>
            <w:rPr>
              <w:rFonts w:ascii="黑体" w:hAnsi="黑体" w:eastAsia="黑体"/>
              <w:sz w:val="20"/>
              <w:szCs w:val="20"/>
            </w:rPr>
            <w:fldChar w:fldCharType="separate"/>
          </w:r>
          <w:r>
            <w:rPr>
              <w:rFonts w:ascii="黑体" w:hAnsi="黑体" w:eastAsia="黑体"/>
              <w:sz w:val="20"/>
              <w:szCs w:val="20"/>
            </w:rPr>
            <w:t>28</w:t>
          </w:r>
          <w:r>
            <w:rPr>
              <w:rFonts w:ascii="黑体" w:hAnsi="黑体" w:eastAsia="黑体"/>
              <w:sz w:val="20"/>
              <w:szCs w:val="20"/>
            </w:rPr>
            <w:fldChar w:fldCharType="end"/>
          </w:r>
          <w:r>
            <w:rPr>
              <w:rFonts w:ascii="黑体" w:hAnsi="黑体" w:eastAsia="黑体"/>
              <w:sz w:val="20"/>
              <w:szCs w:val="20"/>
            </w:rPr>
            <w:fldChar w:fldCharType="end"/>
          </w:r>
        </w:p>
        <w:p w14:paraId="70B15E0F">
          <w:pPr>
            <w:pStyle w:val="10"/>
            <w:tabs>
              <w:tab w:val="right" w:leader="dot" w:pos="8296"/>
            </w:tabs>
            <w:ind w:left="1200"/>
            <w:rPr>
              <w:rFonts w:ascii="黑体" w:hAnsi="黑体" w:eastAsia="黑体" w:cstheme="minorBidi"/>
              <w:sz w:val="20"/>
              <w:szCs w:val="20"/>
            </w:rPr>
          </w:pPr>
          <w:r>
            <w:fldChar w:fldCharType="begin"/>
          </w:r>
          <w:r>
            <w:instrText xml:space="preserve"> HYPERLINK \l "_Toc187328694" </w:instrText>
          </w:r>
          <w:r>
            <w:fldChar w:fldCharType="separate"/>
          </w:r>
          <w:r>
            <w:rPr>
              <w:rStyle w:val="32"/>
              <w:rFonts w:ascii="黑体" w:hAnsi="黑体" w:eastAsia="黑体" w:cs="黑体"/>
              <w:sz w:val="20"/>
              <w:szCs w:val="20"/>
            </w:rPr>
            <w:t>披露要点9 气候相关影响、风险和机遇对公司战略和决策的影响</w:t>
          </w:r>
          <w:r>
            <w:rPr>
              <w:rFonts w:ascii="黑体" w:hAnsi="黑体" w:eastAsia="黑体"/>
              <w:sz w:val="20"/>
              <w:szCs w:val="20"/>
            </w:rPr>
            <w:tab/>
          </w:r>
          <w:r>
            <w:rPr>
              <w:rFonts w:ascii="黑体" w:hAnsi="黑体" w:eastAsia="黑体"/>
              <w:sz w:val="20"/>
              <w:szCs w:val="20"/>
            </w:rPr>
            <w:fldChar w:fldCharType="begin"/>
          </w:r>
          <w:r>
            <w:rPr>
              <w:rFonts w:ascii="黑体" w:hAnsi="黑体" w:eastAsia="黑体"/>
              <w:sz w:val="20"/>
              <w:szCs w:val="20"/>
            </w:rPr>
            <w:instrText xml:space="preserve"> PAGEREF _Toc187328694 \h </w:instrText>
          </w:r>
          <w:r>
            <w:rPr>
              <w:rFonts w:ascii="黑体" w:hAnsi="黑体" w:eastAsia="黑体"/>
              <w:sz w:val="20"/>
              <w:szCs w:val="20"/>
            </w:rPr>
            <w:fldChar w:fldCharType="separate"/>
          </w:r>
          <w:r>
            <w:rPr>
              <w:rFonts w:ascii="黑体" w:hAnsi="黑体" w:eastAsia="黑体"/>
              <w:sz w:val="20"/>
              <w:szCs w:val="20"/>
            </w:rPr>
            <w:t>29</w:t>
          </w:r>
          <w:r>
            <w:rPr>
              <w:rFonts w:ascii="黑体" w:hAnsi="黑体" w:eastAsia="黑体"/>
              <w:sz w:val="20"/>
              <w:szCs w:val="20"/>
            </w:rPr>
            <w:fldChar w:fldCharType="end"/>
          </w:r>
          <w:r>
            <w:rPr>
              <w:rFonts w:ascii="黑体" w:hAnsi="黑体" w:eastAsia="黑体"/>
              <w:sz w:val="20"/>
              <w:szCs w:val="20"/>
            </w:rPr>
            <w:fldChar w:fldCharType="end"/>
          </w:r>
        </w:p>
        <w:p w14:paraId="33B2991C">
          <w:pPr>
            <w:pStyle w:val="10"/>
            <w:tabs>
              <w:tab w:val="right" w:leader="dot" w:pos="8296"/>
            </w:tabs>
            <w:ind w:left="1200"/>
            <w:rPr>
              <w:rFonts w:ascii="黑体" w:hAnsi="黑体" w:eastAsia="黑体" w:cstheme="minorBidi"/>
              <w:sz w:val="20"/>
              <w:szCs w:val="20"/>
            </w:rPr>
          </w:pPr>
          <w:r>
            <w:fldChar w:fldCharType="begin"/>
          </w:r>
          <w:r>
            <w:instrText xml:space="preserve"> HYPERLINK \l "_Toc187328695" </w:instrText>
          </w:r>
          <w:r>
            <w:fldChar w:fldCharType="separate"/>
          </w:r>
          <w:r>
            <w:rPr>
              <w:rStyle w:val="32"/>
              <w:rFonts w:ascii="黑体" w:hAnsi="黑体" w:eastAsia="黑体" w:cs="黑体"/>
              <w:sz w:val="20"/>
              <w:szCs w:val="20"/>
            </w:rPr>
            <w:t>披露要点10 气候相关转型计划</w:t>
          </w:r>
          <w:r>
            <w:rPr>
              <w:rFonts w:ascii="黑体" w:hAnsi="黑体" w:eastAsia="黑体"/>
              <w:sz w:val="20"/>
              <w:szCs w:val="20"/>
            </w:rPr>
            <w:tab/>
          </w:r>
          <w:r>
            <w:rPr>
              <w:rFonts w:ascii="黑体" w:hAnsi="黑体" w:eastAsia="黑体"/>
              <w:sz w:val="20"/>
              <w:szCs w:val="20"/>
            </w:rPr>
            <w:fldChar w:fldCharType="begin"/>
          </w:r>
          <w:r>
            <w:rPr>
              <w:rFonts w:ascii="黑体" w:hAnsi="黑体" w:eastAsia="黑体"/>
              <w:sz w:val="20"/>
              <w:szCs w:val="20"/>
            </w:rPr>
            <w:instrText xml:space="preserve"> PAGEREF _Toc187328695 \h </w:instrText>
          </w:r>
          <w:r>
            <w:rPr>
              <w:rFonts w:ascii="黑体" w:hAnsi="黑体" w:eastAsia="黑体"/>
              <w:sz w:val="20"/>
              <w:szCs w:val="20"/>
            </w:rPr>
            <w:fldChar w:fldCharType="separate"/>
          </w:r>
          <w:r>
            <w:rPr>
              <w:rFonts w:ascii="黑体" w:hAnsi="黑体" w:eastAsia="黑体"/>
              <w:sz w:val="20"/>
              <w:szCs w:val="20"/>
            </w:rPr>
            <w:t>29</w:t>
          </w:r>
          <w:r>
            <w:rPr>
              <w:rFonts w:ascii="黑体" w:hAnsi="黑体" w:eastAsia="黑体"/>
              <w:sz w:val="20"/>
              <w:szCs w:val="20"/>
            </w:rPr>
            <w:fldChar w:fldCharType="end"/>
          </w:r>
          <w:r>
            <w:rPr>
              <w:rFonts w:ascii="黑体" w:hAnsi="黑体" w:eastAsia="黑体"/>
              <w:sz w:val="20"/>
              <w:szCs w:val="20"/>
            </w:rPr>
            <w:fldChar w:fldCharType="end"/>
          </w:r>
        </w:p>
        <w:p w14:paraId="0A3EBC99">
          <w:pPr>
            <w:pStyle w:val="10"/>
            <w:tabs>
              <w:tab w:val="right" w:leader="dot" w:pos="8296"/>
            </w:tabs>
            <w:ind w:left="1200"/>
            <w:rPr>
              <w:rFonts w:ascii="黑体" w:hAnsi="黑体" w:eastAsia="黑体" w:cstheme="minorBidi"/>
              <w:sz w:val="20"/>
              <w:szCs w:val="20"/>
            </w:rPr>
          </w:pPr>
          <w:r>
            <w:fldChar w:fldCharType="begin"/>
          </w:r>
          <w:r>
            <w:instrText xml:space="preserve"> HYPERLINK \l "_Toc187328696" </w:instrText>
          </w:r>
          <w:r>
            <w:fldChar w:fldCharType="separate"/>
          </w:r>
          <w:r>
            <w:rPr>
              <w:rStyle w:val="32"/>
              <w:rFonts w:ascii="黑体" w:hAnsi="黑体" w:eastAsia="黑体" w:cs="黑体"/>
              <w:sz w:val="20"/>
              <w:szCs w:val="20"/>
            </w:rPr>
            <w:t>披露要点11 当期气候相关财务影响</w:t>
          </w:r>
          <w:r>
            <w:rPr>
              <w:rFonts w:ascii="黑体" w:hAnsi="黑体" w:eastAsia="黑体"/>
              <w:sz w:val="20"/>
              <w:szCs w:val="20"/>
            </w:rPr>
            <w:tab/>
          </w:r>
          <w:r>
            <w:rPr>
              <w:rFonts w:ascii="黑体" w:hAnsi="黑体" w:eastAsia="黑体"/>
              <w:sz w:val="20"/>
              <w:szCs w:val="20"/>
            </w:rPr>
            <w:fldChar w:fldCharType="begin"/>
          </w:r>
          <w:r>
            <w:rPr>
              <w:rFonts w:ascii="黑体" w:hAnsi="黑体" w:eastAsia="黑体"/>
              <w:sz w:val="20"/>
              <w:szCs w:val="20"/>
            </w:rPr>
            <w:instrText xml:space="preserve"> PAGEREF _Toc187328696 \h </w:instrText>
          </w:r>
          <w:r>
            <w:rPr>
              <w:rFonts w:ascii="黑体" w:hAnsi="黑体" w:eastAsia="黑体"/>
              <w:sz w:val="20"/>
              <w:szCs w:val="20"/>
            </w:rPr>
            <w:fldChar w:fldCharType="separate"/>
          </w:r>
          <w:r>
            <w:rPr>
              <w:rFonts w:ascii="黑体" w:hAnsi="黑体" w:eastAsia="黑体"/>
              <w:sz w:val="20"/>
              <w:szCs w:val="20"/>
            </w:rPr>
            <w:t>30</w:t>
          </w:r>
          <w:r>
            <w:rPr>
              <w:rFonts w:ascii="黑体" w:hAnsi="黑体" w:eastAsia="黑体"/>
              <w:sz w:val="20"/>
              <w:szCs w:val="20"/>
            </w:rPr>
            <w:fldChar w:fldCharType="end"/>
          </w:r>
          <w:r>
            <w:rPr>
              <w:rFonts w:ascii="黑体" w:hAnsi="黑体" w:eastAsia="黑体"/>
              <w:sz w:val="20"/>
              <w:szCs w:val="20"/>
            </w:rPr>
            <w:fldChar w:fldCharType="end"/>
          </w:r>
        </w:p>
        <w:p w14:paraId="52BBE038">
          <w:pPr>
            <w:pStyle w:val="10"/>
            <w:tabs>
              <w:tab w:val="right" w:leader="dot" w:pos="8296"/>
            </w:tabs>
            <w:ind w:left="1200"/>
            <w:rPr>
              <w:rFonts w:ascii="黑体" w:hAnsi="黑体" w:eastAsia="黑体" w:cstheme="minorBidi"/>
              <w:sz w:val="20"/>
              <w:szCs w:val="20"/>
            </w:rPr>
          </w:pPr>
          <w:r>
            <w:fldChar w:fldCharType="begin"/>
          </w:r>
          <w:r>
            <w:instrText xml:space="preserve"> HYPERLINK \l "_Toc187328697" </w:instrText>
          </w:r>
          <w:r>
            <w:fldChar w:fldCharType="separate"/>
          </w:r>
          <w:r>
            <w:rPr>
              <w:rStyle w:val="32"/>
              <w:rFonts w:ascii="黑体" w:hAnsi="黑体" w:eastAsia="黑体" w:cs="黑体"/>
              <w:sz w:val="20"/>
              <w:szCs w:val="20"/>
            </w:rPr>
            <w:t>披露要点12 预期气候相关财务影响（鼓励）</w:t>
          </w:r>
          <w:r>
            <w:rPr>
              <w:rFonts w:ascii="黑体" w:hAnsi="黑体" w:eastAsia="黑体"/>
              <w:sz w:val="20"/>
              <w:szCs w:val="20"/>
            </w:rPr>
            <w:tab/>
          </w:r>
          <w:r>
            <w:rPr>
              <w:rFonts w:ascii="黑体" w:hAnsi="黑体" w:eastAsia="黑体"/>
              <w:sz w:val="20"/>
              <w:szCs w:val="20"/>
            </w:rPr>
            <w:fldChar w:fldCharType="begin"/>
          </w:r>
          <w:r>
            <w:rPr>
              <w:rFonts w:ascii="黑体" w:hAnsi="黑体" w:eastAsia="黑体"/>
              <w:sz w:val="20"/>
              <w:szCs w:val="20"/>
            </w:rPr>
            <w:instrText xml:space="preserve"> PAGEREF _Toc187328697 \h </w:instrText>
          </w:r>
          <w:r>
            <w:rPr>
              <w:rFonts w:ascii="黑体" w:hAnsi="黑体" w:eastAsia="黑体"/>
              <w:sz w:val="20"/>
              <w:szCs w:val="20"/>
            </w:rPr>
            <w:fldChar w:fldCharType="separate"/>
          </w:r>
          <w:r>
            <w:rPr>
              <w:rFonts w:ascii="黑体" w:hAnsi="黑体" w:eastAsia="黑体"/>
              <w:sz w:val="20"/>
              <w:szCs w:val="20"/>
            </w:rPr>
            <w:t>30</w:t>
          </w:r>
          <w:r>
            <w:rPr>
              <w:rFonts w:ascii="黑体" w:hAnsi="黑体" w:eastAsia="黑体"/>
              <w:sz w:val="20"/>
              <w:szCs w:val="20"/>
            </w:rPr>
            <w:fldChar w:fldCharType="end"/>
          </w:r>
          <w:r>
            <w:rPr>
              <w:rFonts w:ascii="黑体" w:hAnsi="黑体" w:eastAsia="黑体"/>
              <w:sz w:val="20"/>
              <w:szCs w:val="20"/>
            </w:rPr>
            <w:fldChar w:fldCharType="end"/>
          </w:r>
        </w:p>
        <w:p w14:paraId="72F37ABE">
          <w:pPr>
            <w:pStyle w:val="10"/>
            <w:tabs>
              <w:tab w:val="right" w:leader="dot" w:pos="8296"/>
            </w:tabs>
            <w:ind w:left="1200"/>
            <w:rPr>
              <w:rFonts w:ascii="黑体" w:hAnsi="黑体" w:eastAsia="黑体" w:cstheme="minorBidi"/>
              <w:sz w:val="20"/>
              <w:szCs w:val="20"/>
            </w:rPr>
          </w:pPr>
          <w:r>
            <w:fldChar w:fldCharType="begin"/>
          </w:r>
          <w:r>
            <w:instrText xml:space="preserve"> HYPERLINK \l "_Toc187328698" </w:instrText>
          </w:r>
          <w:r>
            <w:fldChar w:fldCharType="separate"/>
          </w:r>
          <w:r>
            <w:rPr>
              <w:rStyle w:val="32"/>
              <w:rFonts w:ascii="黑体" w:hAnsi="黑体" w:eastAsia="黑体" w:cs="黑体"/>
              <w:sz w:val="20"/>
              <w:szCs w:val="20"/>
            </w:rPr>
            <w:t>披露要点13 气候适应性评估</w:t>
          </w:r>
          <w:r>
            <w:rPr>
              <w:rFonts w:ascii="黑体" w:hAnsi="黑体" w:eastAsia="黑体"/>
              <w:sz w:val="20"/>
              <w:szCs w:val="20"/>
            </w:rPr>
            <w:tab/>
          </w:r>
          <w:r>
            <w:rPr>
              <w:rFonts w:ascii="黑体" w:hAnsi="黑体" w:eastAsia="黑体"/>
              <w:sz w:val="20"/>
              <w:szCs w:val="20"/>
            </w:rPr>
            <w:fldChar w:fldCharType="begin"/>
          </w:r>
          <w:r>
            <w:rPr>
              <w:rFonts w:ascii="黑体" w:hAnsi="黑体" w:eastAsia="黑体"/>
              <w:sz w:val="20"/>
              <w:szCs w:val="20"/>
            </w:rPr>
            <w:instrText xml:space="preserve"> PAGEREF _Toc187328698 \h </w:instrText>
          </w:r>
          <w:r>
            <w:rPr>
              <w:rFonts w:ascii="黑体" w:hAnsi="黑体" w:eastAsia="黑体"/>
              <w:sz w:val="20"/>
              <w:szCs w:val="20"/>
            </w:rPr>
            <w:fldChar w:fldCharType="separate"/>
          </w:r>
          <w:r>
            <w:rPr>
              <w:rFonts w:ascii="黑体" w:hAnsi="黑体" w:eastAsia="黑体"/>
              <w:sz w:val="20"/>
              <w:szCs w:val="20"/>
            </w:rPr>
            <w:t>31</w:t>
          </w:r>
          <w:r>
            <w:rPr>
              <w:rFonts w:ascii="黑体" w:hAnsi="黑体" w:eastAsia="黑体"/>
              <w:sz w:val="20"/>
              <w:szCs w:val="20"/>
            </w:rPr>
            <w:fldChar w:fldCharType="end"/>
          </w:r>
          <w:r>
            <w:rPr>
              <w:rFonts w:ascii="黑体" w:hAnsi="黑体" w:eastAsia="黑体"/>
              <w:sz w:val="20"/>
              <w:szCs w:val="20"/>
            </w:rPr>
            <w:fldChar w:fldCharType="end"/>
          </w:r>
        </w:p>
        <w:p w14:paraId="37531D7E">
          <w:pPr>
            <w:pStyle w:val="22"/>
            <w:rPr>
              <w:kern w:val="2"/>
            </w:rPr>
          </w:pPr>
          <w:r>
            <w:fldChar w:fldCharType="begin"/>
          </w:r>
          <w:r>
            <w:instrText xml:space="preserve"> HYPERLINK \l "_Toc187328699" </w:instrText>
          </w:r>
          <w:r>
            <w:fldChar w:fldCharType="separate"/>
          </w:r>
          <w:r>
            <w:rPr>
              <w:rStyle w:val="32"/>
            </w:rPr>
            <w:t>三、气候相关影响、风险及机遇管理</w:t>
          </w:r>
          <w:r>
            <w:tab/>
          </w:r>
          <w:r>
            <w:fldChar w:fldCharType="begin"/>
          </w:r>
          <w:r>
            <w:instrText xml:space="preserve"> PAGEREF _Toc187328699 \h </w:instrText>
          </w:r>
          <w:r>
            <w:fldChar w:fldCharType="separate"/>
          </w:r>
          <w:r>
            <w:t>31</w:t>
          </w:r>
          <w:r>
            <w:fldChar w:fldCharType="end"/>
          </w:r>
          <w:r>
            <w:fldChar w:fldCharType="end"/>
          </w:r>
        </w:p>
        <w:p w14:paraId="15D1719D">
          <w:pPr>
            <w:pStyle w:val="10"/>
            <w:tabs>
              <w:tab w:val="right" w:leader="dot" w:pos="8296"/>
            </w:tabs>
            <w:ind w:left="1200"/>
            <w:rPr>
              <w:rFonts w:ascii="黑体" w:hAnsi="黑体" w:eastAsia="黑体" w:cstheme="minorBidi"/>
              <w:sz w:val="20"/>
              <w:szCs w:val="20"/>
            </w:rPr>
          </w:pPr>
          <w:r>
            <w:fldChar w:fldCharType="begin"/>
          </w:r>
          <w:r>
            <w:instrText xml:space="preserve"> HYPERLINK \l "_Toc187328700" </w:instrText>
          </w:r>
          <w:r>
            <w:fldChar w:fldCharType="separate"/>
          </w:r>
          <w:r>
            <w:rPr>
              <w:rStyle w:val="32"/>
              <w:rFonts w:ascii="黑体" w:hAnsi="黑体" w:eastAsia="黑体" w:cs="黑体"/>
              <w:sz w:val="20"/>
              <w:szCs w:val="20"/>
            </w:rPr>
            <w:t>披露要点14 气候相关影响、风险及机遇管理的流程</w:t>
          </w:r>
          <w:r>
            <w:rPr>
              <w:rFonts w:ascii="黑体" w:hAnsi="黑体" w:eastAsia="黑体"/>
              <w:sz w:val="20"/>
              <w:szCs w:val="20"/>
            </w:rPr>
            <w:tab/>
          </w:r>
          <w:r>
            <w:rPr>
              <w:rFonts w:ascii="黑体" w:hAnsi="黑体" w:eastAsia="黑体"/>
              <w:sz w:val="20"/>
              <w:szCs w:val="20"/>
            </w:rPr>
            <w:fldChar w:fldCharType="begin"/>
          </w:r>
          <w:r>
            <w:rPr>
              <w:rFonts w:ascii="黑体" w:hAnsi="黑体" w:eastAsia="黑体"/>
              <w:sz w:val="20"/>
              <w:szCs w:val="20"/>
            </w:rPr>
            <w:instrText xml:space="preserve"> PAGEREF _Toc187328700 \h </w:instrText>
          </w:r>
          <w:r>
            <w:rPr>
              <w:rFonts w:ascii="黑体" w:hAnsi="黑体" w:eastAsia="黑体"/>
              <w:sz w:val="20"/>
              <w:szCs w:val="20"/>
            </w:rPr>
            <w:fldChar w:fldCharType="separate"/>
          </w:r>
          <w:r>
            <w:rPr>
              <w:rFonts w:ascii="黑体" w:hAnsi="黑体" w:eastAsia="黑体"/>
              <w:sz w:val="20"/>
              <w:szCs w:val="20"/>
            </w:rPr>
            <w:t>32</w:t>
          </w:r>
          <w:r>
            <w:rPr>
              <w:rFonts w:ascii="黑体" w:hAnsi="黑体" w:eastAsia="黑体"/>
              <w:sz w:val="20"/>
              <w:szCs w:val="20"/>
            </w:rPr>
            <w:fldChar w:fldCharType="end"/>
          </w:r>
          <w:r>
            <w:rPr>
              <w:rFonts w:ascii="黑体" w:hAnsi="黑体" w:eastAsia="黑体"/>
              <w:sz w:val="20"/>
              <w:szCs w:val="20"/>
            </w:rPr>
            <w:fldChar w:fldCharType="end"/>
          </w:r>
        </w:p>
        <w:p w14:paraId="454D98D8">
          <w:pPr>
            <w:pStyle w:val="22"/>
            <w:rPr>
              <w:kern w:val="2"/>
            </w:rPr>
          </w:pPr>
          <w:r>
            <w:fldChar w:fldCharType="begin"/>
          </w:r>
          <w:r>
            <w:instrText xml:space="preserve"> HYPERLINK \l "_Toc187328701" </w:instrText>
          </w:r>
          <w:r>
            <w:fldChar w:fldCharType="separate"/>
          </w:r>
          <w:r>
            <w:rPr>
              <w:rStyle w:val="32"/>
            </w:rPr>
            <w:t>四、气候相关指标与目标</w:t>
          </w:r>
          <w:r>
            <w:tab/>
          </w:r>
          <w:r>
            <w:fldChar w:fldCharType="begin"/>
          </w:r>
          <w:r>
            <w:instrText xml:space="preserve"> PAGEREF _Toc187328701 \h </w:instrText>
          </w:r>
          <w:r>
            <w:fldChar w:fldCharType="separate"/>
          </w:r>
          <w:r>
            <w:t>32</w:t>
          </w:r>
          <w:r>
            <w:fldChar w:fldCharType="end"/>
          </w:r>
          <w:r>
            <w:fldChar w:fldCharType="end"/>
          </w:r>
        </w:p>
        <w:p w14:paraId="2AE423CD">
          <w:pPr>
            <w:pStyle w:val="10"/>
            <w:tabs>
              <w:tab w:val="right" w:leader="dot" w:pos="8296"/>
            </w:tabs>
            <w:ind w:left="1200"/>
            <w:rPr>
              <w:rFonts w:ascii="黑体" w:hAnsi="黑体" w:eastAsia="黑体" w:cstheme="minorBidi"/>
              <w:sz w:val="20"/>
              <w:szCs w:val="20"/>
            </w:rPr>
          </w:pPr>
          <w:r>
            <w:fldChar w:fldCharType="begin"/>
          </w:r>
          <w:r>
            <w:instrText xml:space="preserve"> HYPERLINK \l "_Toc187328702" </w:instrText>
          </w:r>
          <w:r>
            <w:fldChar w:fldCharType="separate"/>
          </w:r>
          <w:r>
            <w:rPr>
              <w:rStyle w:val="32"/>
              <w:rFonts w:ascii="黑体" w:hAnsi="黑体" w:eastAsia="黑体" w:cs="黑体"/>
              <w:sz w:val="20"/>
              <w:szCs w:val="20"/>
            </w:rPr>
            <w:t>披露要点15 气候相关目标</w:t>
          </w:r>
          <w:r>
            <w:rPr>
              <w:rFonts w:ascii="黑体" w:hAnsi="黑体" w:eastAsia="黑体"/>
              <w:sz w:val="20"/>
              <w:szCs w:val="20"/>
            </w:rPr>
            <w:tab/>
          </w:r>
          <w:r>
            <w:rPr>
              <w:rFonts w:ascii="黑体" w:hAnsi="黑体" w:eastAsia="黑体"/>
              <w:sz w:val="20"/>
              <w:szCs w:val="20"/>
            </w:rPr>
            <w:fldChar w:fldCharType="begin"/>
          </w:r>
          <w:r>
            <w:rPr>
              <w:rFonts w:ascii="黑体" w:hAnsi="黑体" w:eastAsia="黑体"/>
              <w:sz w:val="20"/>
              <w:szCs w:val="20"/>
            </w:rPr>
            <w:instrText xml:space="preserve"> PAGEREF _Toc187328702 \h </w:instrText>
          </w:r>
          <w:r>
            <w:rPr>
              <w:rFonts w:ascii="黑体" w:hAnsi="黑体" w:eastAsia="黑体"/>
              <w:sz w:val="20"/>
              <w:szCs w:val="20"/>
            </w:rPr>
            <w:fldChar w:fldCharType="separate"/>
          </w:r>
          <w:r>
            <w:rPr>
              <w:rFonts w:ascii="黑体" w:hAnsi="黑体" w:eastAsia="黑体"/>
              <w:sz w:val="20"/>
              <w:szCs w:val="20"/>
            </w:rPr>
            <w:t>32</w:t>
          </w:r>
          <w:r>
            <w:rPr>
              <w:rFonts w:ascii="黑体" w:hAnsi="黑体" w:eastAsia="黑体"/>
              <w:sz w:val="20"/>
              <w:szCs w:val="20"/>
            </w:rPr>
            <w:fldChar w:fldCharType="end"/>
          </w:r>
          <w:r>
            <w:rPr>
              <w:rFonts w:ascii="黑体" w:hAnsi="黑体" w:eastAsia="黑体"/>
              <w:sz w:val="20"/>
              <w:szCs w:val="20"/>
            </w:rPr>
            <w:fldChar w:fldCharType="end"/>
          </w:r>
        </w:p>
        <w:p w14:paraId="0A2C4401">
          <w:pPr>
            <w:pStyle w:val="10"/>
            <w:tabs>
              <w:tab w:val="right" w:leader="dot" w:pos="8296"/>
            </w:tabs>
            <w:ind w:left="1200"/>
            <w:rPr>
              <w:rFonts w:ascii="黑体" w:hAnsi="黑体" w:eastAsia="黑体" w:cstheme="minorBidi"/>
              <w:sz w:val="20"/>
              <w:szCs w:val="20"/>
            </w:rPr>
          </w:pPr>
          <w:r>
            <w:fldChar w:fldCharType="begin"/>
          </w:r>
          <w:r>
            <w:instrText xml:space="preserve"> HYPERLINK \l "_Toc187328703" </w:instrText>
          </w:r>
          <w:r>
            <w:fldChar w:fldCharType="separate"/>
          </w:r>
          <w:r>
            <w:rPr>
              <w:rStyle w:val="32"/>
              <w:rFonts w:ascii="黑体" w:hAnsi="黑体" w:eastAsia="黑体" w:cs="黑体"/>
              <w:sz w:val="20"/>
              <w:szCs w:val="20"/>
            </w:rPr>
            <w:t>披露要点16 气候相关目标实现进展</w:t>
          </w:r>
          <w:r>
            <w:rPr>
              <w:rFonts w:ascii="黑体" w:hAnsi="黑体" w:eastAsia="黑体"/>
              <w:sz w:val="20"/>
              <w:szCs w:val="20"/>
            </w:rPr>
            <w:tab/>
          </w:r>
          <w:r>
            <w:rPr>
              <w:rFonts w:ascii="黑体" w:hAnsi="黑体" w:eastAsia="黑体"/>
              <w:sz w:val="20"/>
              <w:szCs w:val="20"/>
            </w:rPr>
            <w:fldChar w:fldCharType="begin"/>
          </w:r>
          <w:r>
            <w:rPr>
              <w:rFonts w:ascii="黑体" w:hAnsi="黑体" w:eastAsia="黑体"/>
              <w:sz w:val="20"/>
              <w:szCs w:val="20"/>
            </w:rPr>
            <w:instrText xml:space="preserve"> PAGEREF _Toc187328703 \h </w:instrText>
          </w:r>
          <w:r>
            <w:rPr>
              <w:rFonts w:ascii="黑体" w:hAnsi="黑体" w:eastAsia="黑体"/>
              <w:sz w:val="20"/>
              <w:szCs w:val="20"/>
            </w:rPr>
            <w:fldChar w:fldCharType="separate"/>
          </w:r>
          <w:r>
            <w:rPr>
              <w:rFonts w:ascii="黑体" w:hAnsi="黑体" w:eastAsia="黑体"/>
              <w:sz w:val="20"/>
              <w:szCs w:val="20"/>
            </w:rPr>
            <w:t>32</w:t>
          </w:r>
          <w:r>
            <w:rPr>
              <w:rFonts w:ascii="黑体" w:hAnsi="黑体" w:eastAsia="黑体"/>
              <w:sz w:val="20"/>
              <w:szCs w:val="20"/>
            </w:rPr>
            <w:fldChar w:fldCharType="end"/>
          </w:r>
          <w:r>
            <w:rPr>
              <w:rFonts w:ascii="黑体" w:hAnsi="黑体" w:eastAsia="黑体"/>
              <w:sz w:val="20"/>
              <w:szCs w:val="20"/>
            </w:rPr>
            <w:fldChar w:fldCharType="end"/>
          </w:r>
        </w:p>
        <w:p w14:paraId="74538398">
          <w:pPr>
            <w:pStyle w:val="10"/>
            <w:tabs>
              <w:tab w:val="right" w:leader="dot" w:pos="8296"/>
            </w:tabs>
            <w:ind w:left="1200"/>
            <w:rPr>
              <w:rFonts w:ascii="黑体" w:hAnsi="黑体" w:eastAsia="黑体" w:cstheme="minorBidi"/>
              <w:sz w:val="20"/>
              <w:szCs w:val="20"/>
            </w:rPr>
          </w:pPr>
          <w:r>
            <w:fldChar w:fldCharType="begin"/>
          </w:r>
          <w:r>
            <w:instrText xml:space="preserve"> HYPERLINK \l "_Toc187328704" </w:instrText>
          </w:r>
          <w:r>
            <w:fldChar w:fldCharType="separate"/>
          </w:r>
          <w:r>
            <w:rPr>
              <w:rStyle w:val="32"/>
              <w:rFonts w:ascii="黑体" w:hAnsi="黑体" w:eastAsia="黑体" w:cs="黑体"/>
              <w:sz w:val="20"/>
              <w:szCs w:val="20"/>
            </w:rPr>
            <w:t>披露要点17 温室气体排放量</w:t>
          </w:r>
          <w:r>
            <w:rPr>
              <w:rFonts w:ascii="黑体" w:hAnsi="黑体" w:eastAsia="黑体"/>
              <w:sz w:val="20"/>
              <w:szCs w:val="20"/>
            </w:rPr>
            <w:tab/>
          </w:r>
          <w:r>
            <w:rPr>
              <w:rFonts w:ascii="黑体" w:hAnsi="黑体" w:eastAsia="黑体"/>
              <w:sz w:val="20"/>
              <w:szCs w:val="20"/>
            </w:rPr>
            <w:fldChar w:fldCharType="begin"/>
          </w:r>
          <w:r>
            <w:rPr>
              <w:rFonts w:ascii="黑体" w:hAnsi="黑体" w:eastAsia="黑体"/>
              <w:sz w:val="20"/>
              <w:szCs w:val="20"/>
            </w:rPr>
            <w:instrText xml:space="preserve"> PAGEREF _Toc187328704 \h </w:instrText>
          </w:r>
          <w:r>
            <w:rPr>
              <w:rFonts w:ascii="黑体" w:hAnsi="黑体" w:eastAsia="黑体"/>
              <w:sz w:val="20"/>
              <w:szCs w:val="20"/>
            </w:rPr>
            <w:fldChar w:fldCharType="separate"/>
          </w:r>
          <w:r>
            <w:rPr>
              <w:rFonts w:ascii="黑体" w:hAnsi="黑体" w:eastAsia="黑体"/>
              <w:sz w:val="20"/>
              <w:szCs w:val="20"/>
            </w:rPr>
            <w:t>33</w:t>
          </w:r>
          <w:r>
            <w:rPr>
              <w:rFonts w:ascii="黑体" w:hAnsi="黑体" w:eastAsia="黑体"/>
              <w:sz w:val="20"/>
              <w:szCs w:val="20"/>
            </w:rPr>
            <w:fldChar w:fldCharType="end"/>
          </w:r>
          <w:r>
            <w:rPr>
              <w:rFonts w:ascii="黑体" w:hAnsi="黑体" w:eastAsia="黑体"/>
              <w:sz w:val="20"/>
              <w:szCs w:val="20"/>
            </w:rPr>
            <w:fldChar w:fldCharType="end"/>
          </w:r>
        </w:p>
        <w:p w14:paraId="7CCBBEEA">
          <w:pPr>
            <w:pStyle w:val="10"/>
            <w:tabs>
              <w:tab w:val="right" w:leader="dot" w:pos="8296"/>
            </w:tabs>
            <w:ind w:left="1200"/>
            <w:rPr>
              <w:rFonts w:ascii="黑体" w:hAnsi="黑体" w:eastAsia="黑体" w:cstheme="minorBidi"/>
              <w:sz w:val="20"/>
              <w:szCs w:val="20"/>
            </w:rPr>
          </w:pPr>
          <w:r>
            <w:fldChar w:fldCharType="begin"/>
          </w:r>
          <w:r>
            <w:instrText xml:space="preserve"> HYPERLINK \l "_Toc187328705" </w:instrText>
          </w:r>
          <w:r>
            <w:fldChar w:fldCharType="separate"/>
          </w:r>
          <w:r>
            <w:rPr>
              <w:rStyle w:val="32"/>
              <w:rFonts w:ascii="黑体" w:hAnsi="黑体" w:eastAsia="黑体" w:cs="黑体"/>
              <w:sz w:val="20"/>
              <w:szCs w:val="20"/>
            </w:rPr>
            <w:t>披露要点18 温室气体减排实践</w:t>
          </w:r>
          <w:r>
            <w:rPr>
              <w:rFonts w:ascii="黑体" w:hAnsi="黑体" w:eastAsia="黑体"/>
              <w:sz w:val="20"/>
              <w:szCs w:val="20"/>
            </w:rPr>
            <w:tab/>
          </w:r>
          <w:r>
            <w:rPr>
              <w:rFonts w:ascii="黑体" w:hAnsi="黑体" w:eastAsia="黑体"/>
              <w:sz w:val="20"/>
              <w:szCs w:val="20"/>
            </w:rPr>
            <w:fldChar w:fldCharType="begin"/>
          </w:r>
          <w:r>
            <w:rPr>
              <w:rFonts w:ascii="黑体" w:hAnsi="黑体" w:eastAsia="黑体"/>
              <w:sz w:val="20"/>
              <w:szCs w:val="20"/>
            </w:rPr>
            <w:instrText xml:space="preserve"> PAGEREF _Toc187328705 \h </w:instrText>
          </w:r>
          <w:r>
            <w:rPr>
              <w:rFonts w:ascii="黑体" w:hAnsi="黑体" w:eastAsia="黑体"/>
              <w:sz w:val="20"/>
              <w:szCs w:val="20"/>
            </w:rPr>
            <w:fldChar w:fldCharType="separate"/>
          </w:r>
          <w:r>
            <w:rPr>
              <w:rFonts w:ascii="黑体" w:hAnsi="黑体" w:eastAsia="黑体"/>
              <w:sz w:val="20"/>
              <w:szCs w:val="20"/>
            </w:rPr>
            <w:t>33</w:t>
          </w:r>
          <w:r>
            <w:rPr>
              <w:rFonts w:ascii="黑体" w:hAnsi="黑体" w:eastAsia="黑体"/>
              <w:sz w:val="20"/>
              <w:szCs w:val="20"/>
            </w:rPr>
            <w:fldChar w:fldCharType="end"/>
          </w:r>
          <w:r>
            <w:rPr>
              <w:rFonts w:ascii="黑体" w:hAnsi="黑体" w:eastAsia="黑体"/>
              <w:sz w:val="20"/>
              <w:szCs w:val="20"/>
            </w:rPr>
            <w:fldChar w:fldCharType="end"/>
          </w:r>
        </w:p>
        <w:p w14:paraId="05C637E0">
          <w:pPr>
            <w:pStyle w:val="10"/>
            <w:tabs>
              <w:tab w:val="right" w:leader="dot" w:pos="8296"/>
            </w:tabs>
            <w:ind w:left="1200"/>
            <w:rPr>
              <w:rFonts w:ascii="黑体" w:hAnsi="黑体" w:eastAsia="黑体" w:cstheme="minorBidi"/>
              <w:sz w:val="20"/>
              <w:szCs w:val="20"/>
            </w:rPr>
          </w:pPr>
          <w:r>
            <w:fldChar w:fldCharType="begin"/>
          </w:r>
          <w:r>
            <w:instrText xml:space="preserve"> HYPERLINK \l "_Toc187328706" </w:instrText>
          </w:r>
          <w:r>
            <w:fldChar w:fldCharType="separate"/>
          </w:r>
          <w:r>
            <w:rPr>
              <w:rStyle w:val="32"/>
              <w:rFonts w:ascii="黑体" w:hAnsi="黑体" w:eastAsia="黑体" w:cs="黑体"/>
              <w:sz w:val="20"/>
              <w:szCs w:val="20"/>
            </w:rPr>
            <w:t>披露要点19 碳信用额度来源和数量（如涉及）</w:t>
          </w:r>
          <w:r>
            <w:rPr>
              <w:rFonts w:ascii="黑体" w:hAnsi="黑体" w:eastAsia="黑体"/>
              <w:sz w:val="20"/>
              <w:szCs w:val="20"/>
            </w:rPr>
            <w:tab/>
          </w:r>
          <w:r>
            <w:rPr>
              <w:rFonts w:ascii="黑体" w:hAnsi="黑体" w:eastAsia="黑体"/>
              <w:sz w:val="20"/>
              <w:szCs w:val="20"/>
            </w:rPr>
            <w:fldChar w:fldCharType="begin"/>
          </w:r>
          <w:r>
            <w:rPr>
              <w:rFonts w:ascii="黑体" w:hAnsi="黑体" w:eastAsia="黑体"/>
              <w:sz w:val="20"/>
              <w:szCs w:val="20"/>
            </w:rPr>
            <w:instrText xml:space="preserve"> PAGEREF _Toc187328706 \h </w:instrText>
          </w:r>
          <w:r>
            <w:rPr>
              <w:rFonts w:ascii="黑体" w:hAnsi="黑体" w:eastAsia="黑体"/>
              <w:sz w:val="20"/>
              <w:szCs w:val="20"/>
            </w:rPr>
            <w:fldChar w:fldCharType="separate"/>
          </w:r>
          <w:r>
            <w:rPr>
              <w:rFonts w:ascii="黑体" w:hAnsi="黑体" w:eastAsia="黑体"/>
              <w:sz w:val="20"/>
              <w:szCs w:val="20"/>
            </w:rPr>
            <w:t>34</w:t>
          </w:r>
          <w:r>
            <w:rPr>
              <w:rFonts w:ascii="黑体" w:hAnsi="黑体" w:eastAsia="黑体"/>
              <w:sz w:val="20"/>
              <w:szCs w:val="20"/>
            </w:rPr>
            <w:fldChar w:fldCharType="end"/>
          </w:r>
          <w:r>
            <w:rPr>
              <w:rFonts w:ascii="黑体" w:hAnsi="黑体" w:eastAsia="黑体"/>
              <w:sz w:val="20"/>
              <w:szCs w:val="20"/>
            </w:rPr>
            <w:fldChar w:fldCharType="end"/>
          </w:r>
        </w:p>
        <w:p w14:paraId="77638AFC">
          <w:pPr>
            <w:pStyle w:val="10"/>
            <w:tabs>
              <w:tab w:val="right" w:leader="dot" w:pos="8296"/>
            </w:tabs>
            <w:ind w:left="1200"/>
            <w:rPr>
              <w:rFonts w:ascii="黑体" w:hAnsi="黑体" w:eastAsia="黑体" w:cstheme="minorBidi"/>
              <w:sz w:val="20"/>
              <w:szCs w:val="20"/>
            </w:rPr>
          </w:pPr>
          <w:r>
            <w:fldChar w:fldCharType="begin"/>
          </w:r>
          <w:r>
            <w:instrText xml:space="preserve"> HYPERLINK \l "_Toc187328707" </w:instrText>
          </w:r>
          <w:r>
            <w:fldChar w:fldCharType="separate"/>
          </w:r>
          <w:r>
            <w:rPr>
              <w:rStyle w:val="32"/>
              <w:rFonts w:ascii="黑体" w:hAnsi="黑体" w:eastAsia="黑体" w:cs="黑体"/>
              <w:sz w:val="20"/>
              <w:szCs w:val="20"/>
            </w:rPr>
            <w:t>披露要点20 碳排放配额清缴情况（如涉及）</w:t>
          </w:r>
          <w:r>
            <w:rPr>
              <w:rFonts w:ascii="黑体" w:hAnsi="黑体" w:eastAsia="黑体"/>
              <w:sz w:val="20"/>
              <w:szCs w:val="20"/>
            </w:rPr>
            <w:tab/>
          </w:r>
          <w:r>
            <w:rPr>
              <w:rFonts w:ascii="黑体" w:hAnsi="黑体" w:eastAsia="黑体"/>
              <w:sz w:val="20"/>
              <w:szCs w:val="20"/>
            </w:rPr>
            <w:fldChar w:fldCharType="begin"/>
          </w:r>
          <w:r>
            <w:rPr>
              <w:rFonts w:ascii="黑体" w:hAnsi="黑体" w:eastAsia="黑体"/>
              <w:sz w:val="20"/>
              <w:szCs w:val="20"/>
            </w:rPr>
            <w:instrText xml:space="preserve"> PAGEREF _Toc187328707 \h </w:instrText>
          </w:r>
          <w:r>
            <w:rPr>
              <w:rFonts w:ascii="黑体" w:hAnsi="黑体" w:eastAsia="黑体"/>
              <w:sz w:val="20"/>
              <w:szCs w:val="20"/>
            </w:rPr>
            <w:fldChar w:fldCharType="separate"/>
          </w:r>
          <w:r>
            <w:rPr>
              <w:rFonts w:ascii="黑体" w:hAnsi="黑体" w:eastAsia="黑体"/>
              <w:sz w:val="20"/>
              <w:szCs w:val="20"/>
            </w:rPr>
            <w:t>34</w:t>
          </w:r>
          <w:r>
            <w:rPr>
              <w:rFonts w:ascii="黑体" w:hAnsi="黑体" w:eastAsia="黑体"/>
              <w:sz w:val="20"/>
              <w:szCs w:val="20"/>
            </w:rPr>
            <w:fldChar w:fldCharType="end"/>
          </w:r>
          <w:r>
            <w:rPr>
              <w:rFonts w:ascii="黑体" w:hAnsi="黑体" w:eastAsia="黑体"/>
              <w:sz w:val="20"/>
              <w:szCs w:val="20"/>
            </w:rPr>
            <w:fldChar w:fldCharType="end"/>
          </w:r>
        </w:p>
        <w:p w14:paraId="0E0E57AE">
          <w:pPr>
            <w:pStyle w:val="10"/>
            <w:tabs>
              <w:tab w:val="right" w:leader="dot" w:pos="8296"/>
            </w:tabs>
            <w:ind w:left="1200"/>
            <w:rPr>
              <w:rFonts w:ascii="黑体" w:hAnsi="黑体" w:eastAsia="黑体" w:cstheme="minorBidi"/>
              <w:sz w:val="20"/>
              <w:szCs w:val="20"/>
            </w:rPr>
          </w:pPr>
          <w:r>
            <w:fldChar w:fldCharType="begin"/>
          </w:r>
          <w:r>
            <w:instrText xml:space="preserve"> HYPERLINK \l "_Toc187328708" </w:instrText>
          </w:r>
          <w:r>
            <w:fldChar w:fldCharType="separate"/>
          </w:r>
          <w:r>
            <w:rPr>
              <w:rStyle w:val="32"/>
              <w:rFonts w:ascii="黑体" w:hAnsi="黑体" w:eastAsia="黑体" w:cs="黑体"/>
              <w:sz w:val="20"/>
              <w:szCs w:val="20"/>
            </w:rPr>
            <w:t>披露要点21 全国温室气体自愿减排项目和核证自愿减排量（CCER）的登记与交易情况（如涉及）</w:t>
          </w:r>
          <w:r>
            <w:rPr>
              <w:rFonts w:ascii="黑体" w:hAnsi="黑体" w:eastAsia="黑体"/>
              <w:sz w:val="20"/>
              <w:szCs w:val="20"/>
            </w:rPr>
            <w:tab/>
          </w:r>
          <w:r>
            <w:rPr>
              <w:rFonts w:ascii="黑体" w:hAnsi="黑体" w:eastAsia="黑体"/>
              <w:sz w:val="20"/>
              <w:szCs w:val="20"/>
            </w:rPr>
            <w:fldChar w:fldCharType="begin"/>
          </w:r>
          <w:r>
            <w:rPr>
              <w:rFonts w:ascii="黑体" w:hAnsi="黑体" w:eastAsia="黑体"/>
              <w:sz w:val="20"/>
              <w:szCs w:val="20"/>
            </w:rPr>
            <w:instrText xml:space="preserve"> PAGEREF _Toc187328708 \h </w:instrText>
          </w:r>
          <w:r>
            <w:rPr>
              <w:rFonts w:ascii="黑体" w:hAnsi="黑体" w:eastAsia="黑体"/>
              <w:sz w:val="20"/>
              <w:szCs w:val="20"/>
            </w:rPr>
            <w:fldChar w:fldCharType="separate"/>
          </w:r>
          <w:r>
            <w:rPr>
              <w:rFonts w:ascii="黑体" w:hAnsi="黑体" w:eastAsia="黑体"/>
              <w:sz w:val="20"/>
              <w:szCs w:val="20"/>
            </w:rPr>
            <w:t>34</w:t>
          </w:r>
          <w:r>
            <w:rPr>
              <w:rFonts w:ascii="黑体" w:hAnsi="黑体" w:eastAsia="黑体"/>
              <w:sz w:val="20"/>
              <w:szCs w:val="20"/>
            </w:rPr>
            <w:fldChar w:fldCharType="end"/>
          </w:r>
          <w:r>
            <w:rPr>
              <w:rFonts w:ascii="黑体" w:hAnsi="黑体" w:eastAsia="黑体"/>
              <w:sz w:val="20"/>
              <w:szCs w:val="20"/>
            </w:rPr>
            <w:fldChar w:fldCharType="end"/>
          </w:r>
        </w:p>
        <w:p w14:paraId="5FFCBC64">
          <w:pPr>
            <w:pStyle w:val="10"/>
            <w:tabs>
              <w:tab w:val="right" w:leader="dot" w:pos="8296"/>
            </w:tabs>
            <w:ind w:left="1200"/>
            <w:rPr>
              <w:rFonts w:ascii="黑体" w:hAnsi="黑体" w:eastAsia="黑体" w:cstheme="minorBidi"/>
              <w:sz w:val="20"/>
              <w:szCs w:val="20"/>
            </w:rPr>
          </w:pPr>
          <w:r>
            <w:fldChar w:fldCharType="begin"/>
          </w:r>
          <w:r>
            <w:instrText xml:space="preserve"> HYPERLINK \l "_Toc187328709" </w:instrText>
          </w:r>
          <w:r>
            <w:fldChar w:fldCharType="separate"/>
          </w:r>
          <w:r>
            <w:rPr>
              <w:rStyle w:val="32"/>
              <w:rFonts w:ascii="黑体" w:hAnsi="黑体" w:eastAsia="黑体" w:cs="黑体"/>
              <w:sz w:val="20"/>
              <w:szCs w:val="20"/>
            </w:rPr>
            <w:t>披露要点22 参与其他减排机制的项目和减排量登记与交易情况（如涉及）</w:t>
          </w:r>
          <w:r>
            <w:rPr>
              <w:rFonts w:ascii="黑体" w:hAnsi="黑体" w:eastAsia="黑体"/>
              <w:sz w:val="20"/>
              <w:szCs w:val="20"/>
            </w:rPr>
            <w:tab/>
          </w:r>
          <w:r>
            <w:rPr>
              <w:rFonts w:ascii="黑体" w:hAnsi="黑体" w:eastAsia="黑体"/>
              <w:sz w:val="20"/>
              <w:szCs w:val="20"/>
            </w:rPr>
            <w:fldChar w:fldCharType="begin"/>
          </w:r>
          <w:r>
            <w:rPr>
              <w:rFonts w:ascii="黑体" w:hAnsi="黑体" w:eastAsia="黑体"/>
              <w:sz w:val="20"/>
              <w:szCs w:val="20"/>
            </w:rPr>
            <w:instrText xml:space="preserve"> PAGEREF _Toc187328709 \h </w:instrText>
          </w:r>
          <w:r>
            <w:rPr>
              <w:rFonts w:ascii="黑体" w:hAnsi="黑体" w:eastAsia="黑体"/>
              <w:sz w:val="20"/>
              <w:szCs w:val="20"/>
            </w:rPr>
            <w:fldChar w:fldCharType="separate"/>
          </w:r>
          <w:r>
            <w:rPr>
              <w:rFonts w:ascii="黑体" w:hAnsi="黑体" w:eastAsia="黑体"/>
              <w:sz w:val="20"/>
              <w:szCs w:val="20"/>
            </w:rPr>
            <w:t>34</w:t>
          </w:r>
          <w:r>
            <w:rPr>
              <w:rFonts w:ascii="黑体" w:hAnsi="黑体" w:eastAsia="黑体"/>
              <w:sz w:val="20"/>
              <w:szCs w:val="20"/>
            </w:rPr>
            <w:fldChar w:fldCharType="end"/>
          </w:r>
          <w:r>
            <w:rPr>
              <w:rFonts w:ascii="黑体" w:hAnsi="黑体" w:eastAsia="黑体"/>
              <w:sz w:val="20"/>
              <w:szCs w:val="20"/>
            </w:rPr>
            <w:fldChar w:fldCharType="end"/>
          </w:r>
        </w:p>
        <w:p w14:paraId="4018F4E8">
          <w:pPr>
            <w:pStyle w:val="17"/>
            <w:rPr>
              <w:rStyle w:val="32"/>
              <w:rFonts w:ascii="黑体" w:hAnsi="黑体" w:eastAsia="黑体"/>
              <w:sz w:val="20"/>
              <w:szCs w:val="20"/>
            </w:rPr>
          </w:pPr>
          <w:r>
            <w:fldChar w:fldCharType="begin"/>
          </w:r>
          <w:r>
            <w:instrText xml:space="preserve"> HYPERLINK \l "_Toc187328710" </w:instrText>
          </w:r>
          <w:r>
            <w:fldChar w:fldCharType="separate"/>
          </w:r>
          <w:r>
            <w:rPr>
              <w:rStyle w:val="32"/>
              <w:rFonts w:ascii="黑体" w:hAnsi="黑体" w:eastAsia="黑体" w:cs="Times New Roman"/>
              <w:sz w:val="20"/>
              <w:szCs w:val="20"/>
            </w:rPr>
            <w:t>附录</w:t>
          </w:r>
          <w:r>
            <w:rPr>
              <w:rStyle w:val="32"/>
              <w:rFonts w:hint="eastAsia" w:ascii="黑体" w:hAnsi="黑体" w:eastAsia="黑体" w:cs="Times New Roman"/>
              <w:sz w:val="20"/>
              <w:szCs w:val="20"/>
            </w:rPr>
            <w:t xml:space="preserve">   </w:t>
          </w:r>
          <w:r>
            <w:rPr>
              <w:rFonts w:ascii="黑体" w:hAnsi="黑体" w:eastAsia="黑体"/>
            </w:rPr>
            <w:tab/>
          </w:r>
          <w:r>
            <w:rPr>
              <w:rFonts w:ascii="黑体" w:hAnsi="黑体" w:eastAsia="黑体"/>
            </w:rPr>
            <w:fldChar w:fldCharType="begin"/>
          </w:r>
          <w:r>
            <w:rPr>
              <w:rFonts w:ascii="黑体" w:hAnsi="黑体" w:eastAsia="黑体"/>
            </w:rPr>
            <w:instrText xml:space="preserve"> PAGEREF _Toc187328710 \h </w:instrText>
          </w:r>
          <w:r>
            <w:rPr>
              <w:rFonts w:ascii="黑体" w:hAnsi="黑体" w:eastAsia="黑体"/>
            </w:rPr>
            <w:fldChar w:fldCharType="separate"/>
          </w:r>
          <w:r>
            <w:rPr>
              <w:rFonts w:ascii="黑体" w:hAnsi="黑体" w:eastAsia="黑体"/>
            </w:rPr>
            <w:t>36</w:t>
          </w:r>
          <w:r>
            <w:rPr>
              <w:rFonts w:ascii="黑体" w:hAnsi="黑体" w:eastAsia="黑体"/>
            </w:rPr>
            <w:fldChar w:fldCharType="end"/>
          </w:r>
          <w:r>
            <w:rPr>
              <w:rFonts w:ascii="黑体" w:hAnsi="黑体" w:eastAsia="黑体"/>
            </w:rPr>
            <w:fldChar w:fldCharType="end"/>
          </w:r>
        </w:p>
        <w:p w14:paraId="0C69D293">
          <w:pPr>
            <w:pStyle w:val="17"/>
            <w:rPr>
              <w:rFonts w:ascii="黑体" w:hAnsi="黑体" w:eastAsia="黑体"/>
              <w:kern w:val="2"/>
            </w:rPr>
          </w:pPr>
          <w:r>
            <w:fldChar w:fldCharType="begin"/>
          </w:r>
          <w:r>
            <w:instrText xml:space="preserve"> HYPERLINK \l "_Toc187328711" </w:instrText>
          </w:r>
          <w:r>
            <w:fldChar w:fldCharType="separate"/>
          </w:r>
          <w:r>
            <w:rPr>
              <w:rStyle w:val="32"/>
              <w:rFonts w:ascii="黑体" w:hAnsi="黑体" w:eastAsia="黑体" w:cs="Times New Roman"/>
              <w:sz w:val="20"/>
              <w:szCs w:val="20"/>
            </w:rPr>
            <w:t>温室气体排放量披露模板示例</w:t>
          </w:r>
          <w:r>
            <w:rPr>
              <w:rFonts w:ascii="黑体" w:hAnsi="黑体" w:eastAsia="黑体"/>
            </w:rPr>
            <w:tab/>
          </w:r>
          <w:r>
            <w:rPr>
              <w:rFonts w:ascii="黑体" w:hAnsi="黑体" w:eastAsia="黑体"/>
            </w:rPr>
            <w:fldChar w:fldCharType="begin"/>
          </w:r>
          <w:r>
            <w:rPr>
              <w:rFonts w:ascii="黑体" w:hAnsi="黑体" w:eastAsia="黑体"/>
            </w:rPr>
            <w:instrText xml:space="preserve"> PAGEREF _Toc187328711 \h </w:instrText>
          </w:r>
          <w:r>
            <w:rPr>
              <w:rFonts w:ascii="黑体" w:hAnsi="黑体" w:eastAsia="黑体"/>
            </w:rPr>
            <w:fldChar w:fldCharType="separate"/>
          </w:r>
          <w:r>
            <w:rPr>
              <w:rFonts w:ascii="黑体" w:hAnsi="黑体" w:eastAsia="黑体"/>
            </w:rPr>
            <w:t>36</w:t>
          </w:r>
          <w:r>
            <w:rPr>
              <w:rFonts w:ascii="黑体" w:hAnsi="黑体" w:eastAsia="黑体"/>
            </w:rPr>
            <w:fldChar w:fldCharType="end"/>
          </w:r>
          <w:r>
            <w:rPr>
              <w:rFonts w:ascii="黑体" w:hAnsi="黑体" w:eastAsia="黑体"/>
            </w:rPr>
            <w:fldChar w:fldCharType="end"/>
          </w:r>
        </w:p>
        <w:p w14:paraId="5EBDB6AD">
          <w:pPr>
            <w:tabs>
              <w:tab w:val="right" w:leader="dot" w:pos="8296"/>
            </w:tabs>
            <w:jc w:val="left"/>
            <w:rPr>
              <w:rFonts w:ascii="黑体" w:hAnsi="黑体" w:eastAsia="黑体" w:cs="Times New Roman"/>
              <w:b/>
              <w:bCs/>
              <w:sz w:val="20"/>
              <w:szCs w:val="20"/>
            </w:rPr>
          </w:pPr>
          <w:r>
            <w:rPr>
              <w:rFonts w:ascii="黑体" w:hAnsi="黑体" w:eastAsia="黑体" w:cs="Times New Roman"/>
              <w:iCs/>
              <w:sz w:val="20"/>
              <w:szCs w:val="20"/>
            </w:rPr>
            <w:fldChar w:fldCharType="end"/>
          </w:r>
        </w:p>
      </w:sdtContent>
    </w:sdt>
    <w:p w14:paraId="7F1ABFB9">
      <w:pPr>
        <w:widowControl/>
        <w:jc w:val="left"/>
        <w:rPr>
          <w:rFonts w:ascii="黑体" w:hAnsi="黑体" w:eastAsia="黑体" w:cs="Times New Roman"/>
          <w:b/>
          <w:bCs/>
          <w:sz w:val="20"/>
          <w:szCs w:val="20"/>
        </w:rPr>
        <w:sectPr>
          <w:footerReference r:id="rId3" w:type="default"/>
          <w:pgSz w:w="11906" w:h="16838"/>
          <w:pgMar w:top="1440" w:right="1800" w:bottom="1440" w:left="1800" w:header="851" w:footer="992" w:gutter="0"/>
          <w:pgNumType w:start="1"/>
          <w:cols w:space="720" w:num="1"/>
          <w:docGrid w:type="lines" w:linePitch="312" w:charSpace="0"/>
        </w:sectPr>
      </w:pPr>
    </w:p>
    <w:p w14:paraId="4C3B77AD">
      <w:pPr>
        <w:widowControl/>
        <w:jc w:val="left"/>
        <w:rPr>
          <w:rFonts w:ascii="黑体" w:hAnsi="黑体" w:eastAsia="黑体" w:cs="Times New Roman"/>
          <w:b/>
          <w:bCs/>
          <w:sz w:val="20"/>
          <w:szCs w:val="20"/>
        </w:rPr>
      </w:pPr>
    </w:p>
    <w:p w14:paraId="15C9C93D">
      <w:pPr>
        <w:spacing w:line="560" w:lineRule="exact"/>
        <w:rPr>
          <w:rFonts w:ascii="Times New Roman" w:hAnsi="Times New Roman" w:eastAsia="宋体" w:cs="Times New Roman"/>
          <w:sz w:val="21"/>
        </w:rPr>
        <w:sectPr>
          <w:type w:val="continuous"/>
          <w:pgSz w:w="11906" w:h="16838"/>
          <w:pgMar w:top="1440" w:right="1800" w:bottom="1440" w:left="1800" w:header="851" w:footer="992" w:gutter="0"/>
          <w:pgNumType w:start="1"/>
          <w:cols w:space="720" w:num="1"/>
          <w:docGrid w:type="lines" w:linePitch="312" w:charSpace="0"/>
        </w:sectPr>
      </w:pPr>
    </w:p>
    <w:p w14:paraId="684A061E">
      <w:pPr>
        <w:spacing w:line="560" w:lineRule="exact"/>
        <w:ind w:firstLine="420" w:firstLineChars="200"/>
        <w:rPr>
          <w:rFonts w:ascii="Times New Roman" w:hAnsi="Times New Roman" w:eastAsia="宋体" w:cs="Times New Roman"/>
          <w:sz w:val="21"/>
        </w:rPr>
        <w:sectPr>
          <w:footerReference r:id="rId4" w:type="default"/>
          <w:type w:val="continuous"/>
          <w:pgSz w:w="11906" w:h="16838"/>
          <w:pgMar w:top="1440" w:right="1800" w:bottom="1440" w:left="1800" w:header="851" w:footer="992" w:gutter="0"/>
          <w:pgNumType w:start="1"/>
          <w:cols w:space="720" w:num="1"/>
          <w:docGrid w:type="lines" w:linePitch="312" w:charSpace="0"/>
        </w:sectPr>
      </w:pPr>
    </w:p>
    <w:p w14:paraId="67D711F8">
      <w:pPr>
        <w:widowControl/>
        <w:adjustRightInd w:val="0"/>
        <w:snapToGrid w:val="0"/>
        <w:spacing w:line="560" w:lineRule="exact"/>
        <w:ind w:firstLine="600" w:firstLineChars="200"/>
        <w:rPr>
          <w:rFonts w:ascii="Times New Roman" w:hAnsi="Times New Roman" w:eastAsia="黑体" w:cs="Times New Roman"/>
          <w:b/>
          <w:bCs/>
          <w:szCs w:val="30"/>
        </w:rPr>
      </w:pPr>
      <w:bookmarkStart w:id="0" w:name="_Toc6799"/>
      <w:bookmarkStart w:id="1" w:name="_Toc177241760"/>
      <w:bookmarkStart w:id="2" w:name="_Toc22643"/>
      <w:r>
        <w:rPr>
          <w:rFonts w:hint="eastAsia" w:ascii="Times New Roman" w:hAnsi="Times New Roman" w:cs="Times New Roman"/>
          <w:szCs w:val="30"/>
        </w:rPr>
        <w:t>为了帮助上市公司准确理解适用《上海证券交易所上市公司自律监管指引第</w:t>
      </w:r>
      <w:r>
        <w:rPr>
          <w:rFonts w:ascii="Times New Roman" w:hAnsi="Times New Roman" w:cs="Times New Roman"/>
          <w:szCs w:val="30"/>
        </w:rPr>
        <w:t>14</w:t>
      </w:r>
      <w:r>
        <w:rPr>
          <w:rFonts w:hint="eastAsia" w:ascii="Times New Roman" w:hAnsi="Times New Roman" w:cs="Times New Roman"/>
          <w:szCs w:val="30"/>
        </w:rPr>
        <w:t>号——可持续发展报告（试行）》（以下简称《指引》）相关规定，规范编制可持续发展报告中涉及气候变化议题有关内容，上海证券交易所（以下简称本所）制定了《上海证券交易所上市公司自律监管指南第</w:t>
      </w:r>
      <w:r>
        <w:rPr>
          <w:rFonts w:ascii="Times New Roman" w:hAnsi="Times New Roman" w:cs="Times New Roman"/>
          <w:szCs w:val="30"/>
        </w:rPr>
        <w:t>4</w:t>
      </w:r>
      <w:r>
        <w:rPr>
          <w:rFonts w:hint="eastAsia" w:ascii="Times New Roman" w:hAnsi="Times New Roman" w:cs="Times New Roman"/>
          <w:szCs w:val="30"/>
        </w:rPr>
        <w:t>号——可持续发展报告编制》之《第二号</w:t>
      </w:r>
      <w:r>
        <w:rPr>
          <w:rFonts w:ascii="Times New Roman" w:hAnsi="Times New Roman" w:cs="Times New Roman"/>
          <w:szCs w:val="30"/>
        </w:rPr>
        <w:t xml:space="preserve"> </w:t>
      </w:r>
      <w:r>
        <w:rPr>
          <w:rFonts w:hint="eastAsia" w:ascii="Times New Roman" w:hAnsi="Times New Roman" w:cs="Times New Roman"/>
          <w:szCs w:val="30"/>
        </w:rPr>
        <w:t>应对气候变化议题》（以下简称本指南）。</w:t>
      </w:r>
      <w:bookmarkStart w:id="3" w:name="_Toc30577"/>
      <w:bookmarkStart w:id="4" w:name="_Toc16282"/>
      <w:bookmarkStart w:id="5" w:name="_Toc177241753"/>
    </w:p>
    <w:p w14:paraId="3E6A0828">
      <w:pPr>
        <w:spacing w:line="560" w:lineRule="exact"/>
        <w:ind w:firstLine="420"/>
        <w:jc w:val="center"/>
        <w:outlineLvl w:val="0"/>
        <w:rPr>
          <w:rFonts w:ascii="Times New Roman" w:hAnsi="Times New Roman" w:eastAsia="黑体" w:cs="Times New Roman"/>
          <w:b/>
          <w:bCs/>
          <w:szCs w:val="30"/>
        </w:rPr>
      </w:pPr>
      <w:bookmarkStart w:id="6" w:name="_Toc5584"/>
      <w:bookmarkStart w:id="7" w:name="_Toc32492"/>
      <w:bookmarkStart w:id="8" w:name="_Toc187328647"/>
      <w:bookmarkStart w:id="9" w:name="_Toc12277"/>
      <w:bookmarkStart w:id="10" w:name="_Toc181613071"/>
      <w:r>
        <w:rPr>
          <w:rFonts w:hint="eastAsia" w:ascii="Times New Roman" w:hAnsi="Times New Roman" w:eastAsia="黑体" w:cs="Times New Roman"/>
          <w:b/>
          <w:bCs/>
          <w:szCs w:val="30"/>
        </w:rPr>
        <w:t xml:space="preserve">第一章 </w:t>
      </w:r>
      <w:bookmarkEnd w:id="3"/>
      <w:bookmarkEnd w:id="4"/>
      <w:r>
        <w:rPr>
          <w:rFonts w:hint="eastAsia" w:ascii="Times New Roman" w:hAnsi="Times New Roman" w:eastAsia="黑体" w:cs="Times New Roman"/>
          <w:b/>
          <w:bCs/>
          <w:szCs w:val="30"/>
        </w:rPr>
        <w:t>气候相关影响重要性评估</w:t>
      </w:r>
      <w:bookmarkEnd w:id="6"/>
      <w:bookmarkEnd w:id="7"/>
      <w:bookmarkEnd w:id="8"/>
      <w:bookmarkEnd w:id="9"/>
      <w:bookmarkEnd w:id="10"/>
    </w:p>
    <w:p w14:paraId="079423FD">
      <w:pPr>
        <w:widowControl/>
        <w:adjustRightInd w:val="0"/>
        <w:snapToGrid w:val="0"/>
        <w:spacing w:line="560" w:lineRule="exact"/>
        <w:ind w:firstLine="600" w:firstLineChars="200"/>
        <w:rPr>
          <w:rFonts w:ascii="仿宋_GB2312" w:hAnsi="Times New Roman" w:cs="Times New Roman"/>
          <w:szCs w:val="30"/>
        </w:rPr>
      </w:pPr>
      <w:bookmarkStart w:id="11" w:name="_Toc4018"/>
      <w:bookmarkStart w:id="12" w:name="_Toc9486"/>
      <w:r>
        <w:rPr>
          <w:rFonts w:hint="eastAsia" w:ascii="仿宋_GB2312" w:hAnsi="Times New Roman" w:cs="Times New Roman"/>
          <w:szCs w:val="30"/>
        </w:rPr>
        <w:t>本指南的重要性评估流程旨在为披露主体提供工作参考，进一步帮助披露主体理解气候相关影响、风险和机遇。</w:t>
      </w:r>
      <w:bookmarkEnd w:id="5"/>
      <w:bookmarkEnd w:id="11"/>
      <w:bookmarkEnd w:id="12"/>
    </w:p>
    <w:p w14:paraId="431A7972">
      <w:pPr>
        <w:widowControl/>
        <w:adjustRightInd w:val="0"/>
        <w:snapToGrid w:val="0"/>
        <w:spacing w:line="560" w:lineRule="exact"/>
        <w:ind w:firstLine="600" w:firstLineChars="200"/>
        <w:outlineLvl w:val="1"/>
        <w:rPr>
          <w:rFonts w:ascii="Times New Roman" w:hAnsi="Times New Roman" w:eastAsia="黑体" w:cs="Times New Roman"/>
          <w:szCs w:val="30"/>
        </w:rPr>
      </w:pPr>
      <w:bookmarkStart w:id="13" w:name="_Toc187328648"/>
      <w:r>
        <w:rPr>
          <w:rFonts w:hint="eastAsia" w:ascii="Times New Roman" w:hAnsi="Times New Roman" w:eastAsia="黑体" w:cs="Times New Roman"/>
          <w:szCs w:val="30"/>
        </w:rPr>
        <w:t>一、气候相关影响</w:t>
      </w:r>
      <w:bookmarkEnd w:id="13"/>
    </w:p>
    <w:p w14:paraId="591645EB">
      <w:pPr>
        <w:widowControl/>
        <w:adjustRightInd w:val="0"/>
        <w:snapToGrid w:val="0"/>
        <w:spacing w:line="560" w:lineRule="exact"/>
        <w:ind w:firstLine="600" w:firstLineChars="200"/>
        <w:rPr>
          <w:rFonts w:ascii="仿宋_GB2312" w:hAnsi="Times New Roman" w:cs="Times New Roman"/>
          <w:szCs w:val="30"/>
        </w:rPr>
      </w:pPr>
      <w:r>
        <w:rPr>
          <w:rFonts w:hint="eastAsia" w:ascii="仿宋_GB2312" w:hAnsi="Times New Roman" w:cs="Times New Roman"/>
          <w:szCs w:val="30"/>
        </w:rPr>
        <w:t>披露主体在应对气候变化议题方面的表现可能对经济、社会和环境产生影响（气候相关影响）。气候相关影响可能来自公司的商业模式、业务运营、发展战略、融资方式以及价值链等活动。气候相关影响可能是实际的或潜在的，可能是正面的或负面的。</w:t>
      </w:r>
    </w:p>
    <w:p w14:paraId="3ECDD34D">
      <w:pPr>
        <w:widowControl/>
        <w:adjustRightInd w:val="0"/>
        <w:snapToGrid w:val="0"/>
        <w:spacing w:line="560" w:lineRule="exact"/>
        <w:ind w:firstLine="600" w:firstLineChars="200"/>
        <w:rPr>
          <w:rFonts w:ascii="仿宋_GB2312" w:hAnsi="Times New Roman" w:cs="Times New Roman"/>
          <w:szCs w:val="30"/>
        </w:rPr>
      </w:pPr>
      <w:r>
        <w:rPr>
          <w:rFonts w:hint="eastAsia" w:ascii="仿宋_GB2312" w:hAnsi="Times New Roman" w:cs="Times New Roman"/>
          <w:szCs w:val="30"/>
        </w:rPr>
        <w:t>气候相关影响可以具体化为对社会因素、经济趋势、技术因素、政策法律等维度产生影响，进而对利益相关方产生影响。</w:t>
      </w:r>
    </w:p>
    <w:p w14:paraId="35FAB53A">
      <w:pPr>
        <w:widowControl/>
        <w:adjustRightInd w:val="0"/>
        <w:snapToGrid w:val="0"/>
        <w:spacing w:line="560" w:lineRule="exact"/>
        <w:ind w:firstLine="600" w:firstLineChars="200"/>
        <w:outlineLvl w:val="1"/>
        <w:rPr>
          <w:rFonts w:ascii="Times New Roman" w:hAnsi="Times New Roman" w:eastAsia="黑体" w:cs="Times New Roman"/>
          <w:szCs w:val="30"/>
        </w:rPr>
      </w:pPr>
      <w:bookmarkStart w:id="14" w:name="_Toc27510"/>
      <w:bookmarkStart w:id="15" w:name="_Toc10613"/>
      <w:bookmarkStart w:id="16" w:name="_Toc15677"/>
      <w:bookmarkStart w:id="17" w:name="_Toc181613072"/>
      <w:bookmarkStart w:id="18" w:name="_Toc187328649"/>
      <w:r>
        <w:rPr>
          <w:rFonts w:hint="eastAsia" w:ascii="Times New Roman" w:hAnsi="Times New Roman" w:eastAsia="黑体" w:cs="Times New Roman"/>
          <w:szCs w:val="30"/>
        </w:rPr>
        <w:t>二、气候相关影响</w:t>
      </w:r>
      <w:bookmarkEnd w:id="14"/>
      <w:bookmarkEnd w:id="15"/>
      <w:bookmarkEnd w:id="16"/>
      <w:bookmarkEnd w:id="17"/>
      <w:r>
        <w:rPr>
          <w:rFonts w:hint="eastAsia" w:ascii="Times New Roman" w:hAnsi="Times New Roman" w:eastAsia="黑体" w:cs="Times New Roman"/>
          <w:szCs w:val="30"/>
        </w:rPr>
        <w:t>重要性评估流程</w:t>
      </w:r>
      <w:bookmarkEnd w:id="18"/>
    </w:p>
    <w:p w14:paraId="53255759">
      <w:pPr>
        <w:widowControl/>
        <w:adjustRightInd w:val="0"/>
        <w:snapToGrid w:val="0"/>
        <w:spacing w:line="560" w:lineRule="exact"/>
        <w:ind w:firstLine="600" w:firstLineChars="200"/>
        <w:rPr>
          <w:rFonts w:ascii="仿宋_GB2312" w:hAnsi="Times New Roman" w:cs="Times New Roman"/>
          <w:szCs w:val="30"/>
        </w:rPr>
      </w:pPr>
      <w:r>
        <w:rPr>
          <w:rFonts w:hint="eastAsia" w:ascii="仿宋_GB2312" w:hAnsi="Times New Roman" w:cs="Times New Roman"/>
          <w:szCs w:val="30"/>
        </w:rPr>
        <w:t>披露主体可以通过以下四个步骤评估其气候相关表现对经济、环境和社会的影响以及评估气候相关影响重要性。</w:t>
      </w:r>
    </w:p>
    <w:p w14:paraId="27BF8C7E">
      <w:pPr>
        <w:widowControl/>
        <w:adjustRightInd w:val="0"/>
        <w:snapToGrid w:val="0"/>
        <w:spacing w:line="560" w:lineRule="exact"/>
        <w:ind w:firstLine="602" w:firstLineChars="200"/>
        <w:outlineLvl w:val="2"/>
        <w:rPr>
          <w:rFonts w:ascii="仿宋_GB2312" w:hAnsi="Times New Roman" w:cs="Times New Roman"/>
          <w:b/>
          <w:bCs/>
          <w:szCs w:val="30"/>
        </w:rPr>
      </w:pPr>
      <w:bookmarkStart w:id="19" w:name="_Toc181613074"/>
      <w:bookmarkStart w:id="20" w:name="_Toc187328650"/>
      <w:bookmarkStart w:id="21" w:name="_Toc21831"/>
      <w:bookmarkStart w:id="22" w:name="_Toc25918"/>
      <w:bookmarkStart w:id="23" w:name="_Toc5693"/>
      <w:bookmarkStart w:id="24" w:name="_Toc181612763"/>
      <w:bookmarkStart w:id="25" w:name="_Toc179988013"/>
      <w:bookmarkStart w:id="26" w:name="_Toc181200407"/>
      <w:bookmarkStart w:id="27" w:name="_Toc29994"/>
      <w:r>
        <w:rPr>
          <w:rFonts w:hint="eastAsia" w:ascii="仿宋_GB2312" w:hAnsi="Times New Roman" w:cs="Times New Roman"/>
          <w:b/>
          <w:bCs/>
          <w:szCs w:val="30"/>
        </w:rPr>
        <w:t>步骤一：了解与气候相关的公司活动和业务关系背景</w:t>
      </w:r>
      <w:bookmarkEnd w:id="19"/>
      <w:bookmarkEnd w:id="20"/>
      <w:bookmarkEnd w:id="21"/>
      <w:bookmarkEnd w:id="22"/>
      <w:bookmarkEnd w:id="23"/>
      <w:bookmarkEnd w:id="24"/>
      <w:bookmarkEnd w:id="25"/>
      <w:bookmarkEnd w:id="26"/>
      <w:bookmarkEnd w:id="27"/>
    </w:p>
    <w:p w14:paraId="53BDEBF8">
      <w:pPr>
        <w:widowControl/>
        <w:adjustRightInd w:val="0"/>
        <w:snapToGrid w:val="0"/>
        <w:spacing w:line="560" w:lineRule="exact"/>
        <w:ind w:firstLine="600" w:firstLineChars="200"/>
        <w:rPr>
          <w:rFonts w:ascii="Times New Roman" w:hAnsi="Times New Roman" w:cs="Times New Roman"/>
          <w:kern w:val="0"/>
          <w:sz w:val="32"/>
          <w:szCs w:val="32"/>
        </w:rPr>
      </w:pPr>
      <w:r>
        <w:rPr>
          <w:rFonts w:hint="eastAsia" w:ascii="Times New Roman" w:hAnsi="Times New Roman" w:cs="Times New Roman"/>
          <w:kern w:val="0"/>
          <w:szCs w:val="30"/>
        </w:rPr>
        <w:t>公司可以首先了解与气候相关的内部活动和业务关系、外部客观环境以及主要受影响利益相关方，以全面了解相关背景</w:t>
      </w:r>
      <w:r>
        <w:rPr>
          <w:rFonts w:hint="eastAsia" w:ascii="Times New Roman" w:hAnsi="Times New Roman" w:cs="Times New Roman"/>
          <w:kern w:val="0"/>
          <w:sz w:val="32"/>
          <w:szCs w:val="32"/>
        </w:rPr>
        <w:t>。</w:t>
      </w:r>
    </w:p>
    <w:p w14:paraId="315410F6">
      <w:pPr>
        <w:widowControl/>
        <w:adjustRightInd w:val="0"/>
        <w:snapToGrid w:val="0"/>
        <w:spacing w:line="560" w:lineRule="exact"/>
        <w:jc w:val="center"/>
        <w:rPr>
          <w:rFonts w:ascii="Times New Roman" w:hAnsi="Times New Roman" w:eastAsia="黑体" w:cs="Times New Roman"/>
          <w:kern w:val="0"/>
          <w:sz w:val="24"/>
          <w:szCs w:val="24"/>
        </w:rPr>
      </w:pPr>
      <w:r>
        <w:rPr>
          <w:rFonts w:hint="eastAsia" w:ascii="Times New Roman" w:hAnsi="Times New Roman" w:eastAsia="黑体" w:cs="Times New Roman"/>
          <w:kern w:val="0"/>
          <w:sz w:val="24"/>
          <w:szCs w:val="24"/>
        </w:rPr>
        <w:t>表</w:t>
      </w:r>
      <w:r>
        <w:rPr>
          <w:rFonts w:ascii="Times New Roman" w:hAnsi="Times New Roman" w:eastAsia="黑体" w:cs="Times New Roman"/>
          <w:kern w:val="0"/>
          <w:sz w:val="24"/>
          <w:szCs w:val="24"/>
        </w:rPr>
        <w:t>1</w:t>
      </w:r>
      <w:r>
        <w:rPr>
          <w:rFonts w:hint="eastAsia" w:ascii="Times New Roman" w:hAnsi="Times New Roman" w:eastAsia="黑体" w:cs="Times New Roman"/>
          <w:kern w:val="0"/>
          <w:sz w:val="24"/>
          <w:szCs w:val="24"/>
        </w:rPr>
        <w:t>：</w:t>
      </w:r>
      <w:r>
        <w:rPr>
          <w:rFonts w:hint="eastAsia" w:ascii="Times New Roman" w:hAnsi="Times New Roman" w:eastAsia="黑体" w:cs="Times New Roman"/>
          <w:kern w:val="0"/>
          <w:sz w:val="24"/>
          <w:szCs w:val="24"/>
          <w:lang w:bidi="ar"/>
        </w:rPr>
        <w:t>了解与气候相关的公司活动及业务关系考虑因素</w:t>
      </w:r>
    </w:p>
    <w:tbl>
      <w:tblPr>
        <w:tblStyle w:val="8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2"/>
        <w:gridCol w:w="6174"/>
      </w:tblGrid>
      <w:tr w14:paraId="01282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2122" w:type="dxa"/>
            <w:vAlign w:val="center"/>
          </w:tcPr>
          <w:p w14:paraId="63EA92E4">
            <w:pPr>
              <w:widowControl/>
              <w:adjustRightInd w:val="0"/>
              <w:snapToGrid w:val="0"/>
              <w:jc w:val="center"/>
              <w:rPr>
                <w:rFonts w:ascii="仿宋_GB2312" w:hAnsi="Times New Roman" w:cs="Times New Roman"/>
                <w:b/>
                <w:bCs/>
                <w:kern w:val="0"/>
                <w:sz w:val="24"/>
                <w:szCs w:val="24"/>
              </w:rPr>
            </w:pPr>
            <w:r>
              <w:rPr>
                <w:rFonts w:hint="eastAsia" w:ascii="仿宋_GB2312" w:hAnsi="Times New Roman" w:cs="Times New Roman"/>
                <w:b/>
                <w:bCs/>
                <w:kern w:val="0"/>
                <w:sz w:val="24"/>
                <w:szCs w:val="24"/>
              </w:rPr>
              <w:t>考虑因素</w:t>
            </w:r>
          </w:p>
        </w:tc>
        <w:tc>
          <w:tcPr>
            <w:tcW w:w="6174" w:type="dxa"/>
            <w:vAlign w:val="center"/>
          </w:tcPr>
          <w:p w14:paraId="3F9A0268">
            <w:pPr>
              <w:widowControl/>
              <w:adjustRightInd w:val="0"/>
              <w:snapToGrid w:val="0"/>
              <w:jc w:val="center"/>
              <w:rPr>
                <w:rFonts w:ascii="仿宋_GB2312" w:hAnsi="Times New Roman" w:cs="Times New Roman"/>
                <w:b/>
                <w:bCs/>
                <w:kern w:val="0"/>
                <w:sz w:val="24"/>
                <w:szCs w:val="24"/>
              </w:rPr>
            </w:pPr>
            <w:r>
              <w:rPr>
                <w:rFonts w:hint="eastAsia" w:ascii="仿宋_GB2312" w:hAnsi="Times New Roman" w:cs="Times New Roman"/>
                <w:b/>
                <w:bCs/>
                <w:kern w:val="0"/>
                <w:sz w:val="24"/>
                <w:szCs w:val="24"/>
              </w:rPr>
              <w:t>示例</w:t>
            </w:r>
          </w:p>
        </w:tc>
      </w:tr>
      <w:tr w14:paraId="7C567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trPr>
        <w:tc>
          <w:tcPr>
            <w:tcW w:w="2122" w:type="dxa"/>
            <w:vAlign w:val="center"/>
          </w:tcPr>
          <w:p w14:paraId="32DC9C9E">
            <w:pPr>
              <w:widowControl/>
              <w:adjustRightInd w:val="0"/>
              <w:snapToGrid w:val="0"/>
              <w:jc w:val="center"/>
              <w:rPr>
                <w:rFonts w:ascii="仿宋_GB2312" w:hAnsi="Times New Roman" w:cs="Times New Roman"/>
                <w:kern w:val="0"/>
                <w:sz w:val="24"/>
                <w:szCs w:val="24"/>
              </w:rPr>
            </w:pPr>
            <w:r>
              <w:rPr>
                <w:rFonts w:hint="eastAsia" w:ascii="仿宋_GB2312" w:hAnsi="Times New Roman" w:cs="Times New Roman"/>
                <w:kern w:val="0"/>
                <w:sz w:val="24"/>
                <w:szCs w:val="24"/>
              </w:rPr>
              <w:t>了解公司活动和业务关系</w:t>
            </w:r>
          </w:p>
        </w:tc>
        <w:tc>
          <w:tcPr>
            <w:tcW w:w="6174" w:type="dxa"/>
            <w:vAlign w:val="center"/>
          </w:tcPr>
          <w:p w14:paraId="3351071E">
            <w:pPr>
              <w:widowControl/>
              <w:adjustRightInd w:val="0"/>
              <w:snapToGrid w:val="0"/>
              <w:rPr>
                <w:rFonts w:ascii="仿宋_GB2312" w:hAnsi="Times New Roman" w:cs="Times New Roman"/>
                <w:kern w:val="0"/>
                <w:sz w:val="24"/>
                <w:szCs w:val="24"/>
              </w:rPr>
            </w:pPr>
            <w:r>
              <w:rPr>
                <w:rFonts w:hint="eastAsia" w:ascii="仿宋_GB2312" w:hAnsi="Times New Roman" w:cs="Times New Roman"/>
                <w:kern w:val="0"/>
                <w:sz w:val="24"/>
                <w:szCs w:val="24"/>
              </w:rPr>
              <w:t>如公司减排规划、碳中和战略、与气候相关的研发和投资计划；公司气候相关活动、低碳产品与服务以及所处的地理位置等；</w:t>
            </w:r>
            <w:r>
              <w:rPr>
                <w:rFonts w:hint="eastAsia" w:ascii="Times New Roman" w:hAnsi="Times New Roman" w:cs="Times New Roman"/>
                <w:kern w:val="0"/>
                <w:sz w:val="24"/>
                <w:szCs w:val="24"/>
              </w:rPr>
              <w:t>上游和</w:t>
            </w:r>
            <w:r>
              <w:rPr>
                <w:rFonts w:ascii="Times New Roman" w:hAnsi="Times New Roman" w:cs="Times New Roman"/>
                <w:kern w:val="0"/>
                <w:sz w:val="24"/>
                <w:szCs w:val="24"/>
              </w:rPr>
              <w:t>/</w:t>
            </w:r>
            <w:r>
              <w:rPr>
                <w:rFonts w:hint="eastAsia" w:ascii="Times New Roman" w:hAnsi="Times New Roman" w:cs="Times New Roman"/>
                <w:kern w:val="0"/>
                <w:sz w:val="24"/>
                <w:szCs w:val="24"/>
              </w:rPr>
              <w:t>或下游价值链，以及业务关系的类型和性质</w:t>
            </w:r>
          </w:p>
        </w:tc>
      </w:tr>
      <w:tr w14:paraId="529AF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9" w:hRule="atLeast"/>
        </w:trPr>
        <w:tc>
          <w:tcPr>
            <w:tcW w:w="2122" w:type="dxa"/>
            <w:vAlign w:val="center"/>
          </w:tcPr>
          <w:p w14:paraId="0C85BBEC">
            <w:pPr>
              <w:widowControl/>
              <w:adjustRightInd w:val="0"/>
              <w:snapToGrid w:val="0"/>
              <w:jc w:val="center"/>
              <w:rPr>
                <w:rFonts w:ascii="仿宋_GB2312" w:hAnsi="Times New Roman" w:cs="Times New Roman"/>
                <w:kern w:val="0"/>
                <w:sz w:val="24"/>
                <w:szCs w:val="24"/>
              </w:rPr>
            </w:pPr>
            <w:r>
              <w:rPr>
                <w:rFonts w:hint="eastAsia" w:ascii="仿宋_GB2312" w:hAnsi="Times New Roman" w:cs="Times New Roman"/>
                <w:kern w:val="0"/>
                <w:sz w:val="24"/>
                <w:szCs w:val="24"/>
              </w:rPr>
              <w:t>了解外部客观环境</w:t>
            </w:r>
          </w:p>
        </w:tc>
        <w:tc>
          <w:tcPr>
            <w:tcW w:w="6174" w:type="dxa"/>
            <w:vAlign w:val="center"/>
          </w:tcPr>
          <w:p w14:paraId="441B72E5">
            <w:pPr>
              <w:widowControl/>
              <w:adjustRightInd w:val="0"/>
              <w:snapToGrid w:val="0"/>
              <w:rPr>
                <w:rFonts w:ascii="仿宋_GB2312" w:hAnsi="Times New Roman" w:cs="Times New Roman"/>
                <w:kern w:val="0"/>
                <w:sz w:val="24"/>
                <w:szCs w:val="24"/>
              </w:rPr>
            </w:pPr>
            <w:r>
              <w:rPr>
                <w:rFonts w:hint="eastAsia" w:ascii="仿宋_GB2312" w:hAnsi="Times New Roman" w:cs="Times New Roman"/>
                <w:kern w:val="0"/>
                <w:sz w:val="24"/>
                <w:szCs w:val="24"/>
              </w:rPr>
              <w:t>如公司业务活动所在地区的气候相关政策、法律以及监管规则；现有与气候相关的标准、主要内容和市场应用情况；外部研究报告、出版物；同业分析、现有的行业基准以及文献和出版物研究成果</w:t>
            </w:r>
          </w:p>
        </w:tc>
      </w:tr>
      <w:tr w14:paraId="3FF7C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trPr>
        <w:tc>
          <w:tcPr>
            <w:tcW w:w="2122" w:type="dxa"/>
            <w:vAlign w:val="center"/>
          </w:tcPr>
          <w:p w14:paraId="4FBB8A08">
            <w:pPr>
              <w:widowControl/>
              <w:adjustRightInd w:val="0"/>
              <w:snapToGrid w:val="0"/>
              <w:jc w:val="center"/>
              <w:rPr>
                <w:rFonts w:ascii="仿宋_GB2312" w:hAnsi="Times New Roman" w:cs="Times New Roman"/>
                <w:kern w:val="0"/>
                <w:sz w:val="24"/>
                <w:szCs w:val="24"/>
              </w:rPr>
            </w:pPr>
            <w:r>
              <w:rPr>
                <w:rFonts w:hint="eastAsia" w:ascii="仿宋_GB2312" w:hAnsi="Times New Roman" w:cs="Times New Roman"/>
                <w:kern w:val="0"/>
                <w:sz w:val="24"/>
                <w:szCs w:val="24"/>
              </w:rPr>
              <w:t>了解受影响的利益相关方</w:t>
            </w:r>
          </w:p>
        </w:tc>
        <w:tc>
          <w:tcPr>
            <w:tcW w:w="6174" w:type="dxa"/>
            <w:vAlign w:val="center"/>
          </w:tcPr>
          <w:p w14:paraId="0533FB0D">
            <w:pPr>
              <w:widowControl/>
              <w:adjustRightInd w:val="0"/>
              <w:snapToGrid w:val="0"/>
              <w:rPr>
                <w:rFonts w:ascii="仿宋_GB2312" w:hAnsi="Times New Roman" w:cs="Times New Roman"/>
                <w:kern w:val="0"/>
                <w:sz w:val="24"/>
                <w:szCs w:val="24"/>
              </w:rPr>
            </w:pPr>
            <w:r>
              <w:rPr>
                <w:rFonts w:hint="eastAsia" w:ascii="仿宋_GB2312" w:hAnsi="Times New Roman" w:cs="Times New Roman"/>
                <w:kern w:val="0"/>
                <w:sz w:val="24"/>
                <w:szCs w:val="24"/>
              </w:rPr>
              <w:t>明确哪些利益相关方受到或可能受到公司在气候相关表现的影响，如供应商、承包商、客户、员工、社区居民等</w:t>
            </w:r>
          </w:p>
        </w:tc>
      </w:tr>
    </w:tbl>
    <w:p w14:paraId="1CCA4591">
      <w:pPr>
        <w:widowControl/>
        <w:adjustRightInd w:val="0"/>
        <w:snapToGrid w:val="0"/>
        <w:spacing w:before="156" w:beforeLines="50" w:line="560" w:lineRule="exact"/>
        <w:ind w:firstLine="602" w:firstLineChars="200"/>
        <w:outlineLvl w:val="2"/>
        <w:rPr>
          <w:rFonts w:ascii="仿宋_GB2312" w:hAnsi="Times New Roman" w:cs="Times New Roman"/>
          <w:b/>
          <w:bCs/>
          <w:szCs w:val="30"/>
        </w:rPr>
      </w:pPr>
      <w:bookmarkStart w:id="28" w:name="_Toc179988014"/>
      <w:bookmarkStart w:id="29" w:name="_Toc32686"/>
      <w:bookmarkStart w:id="30" w:name="_Toc20504"/>
      <w:bookmarkStart w:id="31" w:name="_Toc181612764"/>
      <w:bookmarkStart w:id="32" w:name="_Toc1848"/>
      <w:bookmarkStart w:id="33" w:name="_Toc187328651"/>
      <w:bookmarkStart w:id="34" w:name="_Toc4138"/>
      <w:bookmarkStart w:id="35" w:name="_Toc181200408"/>
      <w:bookmarkStart w:id="36" w:name="_Toc181613075"/>
      <w:r>
        <w:rPr>
          <w:rFonts w:hint="eastAsia" w:ascii="仿宋_GB2312" w:hAnsi="Times New Roman" w:cs="Times New Roman"/>
          <w:b/>
          <w:bCs/>
          <w:szCs w:val="30"/>
        </w:rPr>
        <w:t>步骤二：分析气候相关影响的</w:t>
      </w:r>
      <w:bookmarkEnd w:id="28"/>
      <w:r>
        <w:rPr>
          <w:rFonts w:hint="eastAsia" w:ascii="仿宋_GB2312" w:hAnsi="Times New Roman" w:cs="Times New Roman"/>
          <w:b/>
          <w:bCs/>
          <w:szCs w:val="30"/>
        </w:rPr>
        <w:t>方式</w:t>
      </w:r>
      <w:bookmarkEnd w:id="29"/>
      <w:bookmarkEnd w:id="30"/>
      <w:bookmarkEnd w:id="31"/>
      <w:bookmarkEnd w:id="32"/>
      <w:bookmarkEnd w:id="33"/>
      <w:bookmarkEnd w:id="34"/>
      <w:bookmarkEnd w:id="35"/>
      <w:bookmarkEnd w:id="36"/>
    </w:p>
    <w:p w14:paraId="6C9243A7">
      <w:pPr>
        <w:widowControl/>
        <w:adjustRightInd w:val="0"/>
        <w:snapToGrid w:val="0"/>
        <w:spacing w:line="560" w:lineRule="exact"/>
        <w:ind w:firstLine="600" w:firstLineChars="200"/>
        <w:rPr>
          <w:rFonts w:ascii="仿宋_GB2312" w:hAnsi="Times New Roman" w:cs="Times New Roman"/>
          <w:szCs w:val="30"/>
        </w:rPr>
      </w:pPr>
      <w:r>
        <w:rPr>
          <w:rFonts w:hint="eastAsia" w:ascii="仿宋_GB2312" w:hAnsi="Times New Roman" w:cs="Times New Roman"/>
          <w:szCs w:val="30"/>
        </w:rPr>
        <w:t>披露主体可以从气候相关的公司活动和业务关系背景中，识别对经济、环境和社会产生的影响，进而分析对利益相关方产生的影响。</w:t>
      </w:r>
    </w:p>
    <w:p w14:paraId="7E808D7B">
      <w:pPr>
        <w:widowControl/>
        <w:adjustRightInd w:val="0"/>
        <w:snapToGrid w:val="0"/>
        <w:spacing w:line="560" w:lineRule="exact"/>
        <w:ind w:firstLine="560" w:firstLineChars="200"/>
        <w:rPr>
          <w:rFonts w:ascii="黑体" w:hAnsi="黑体" w:eastAsia="黑体" w:cs="仿宋_GB2312"/>
          <w:sz w:val="28"/>
          <w:szCs w:val="28"/>
        </w:rPr>
      </w:pPr>
      <w:r>
        <w:rPr>
          <w:rFonts w:ascii="黑体" w:hAnsi="黑体" w:eastAsia="黑体" w:cs="仿宋_GB2312"/>
          <w:sz w:val="28"/>
          <w:szCs w:val="28"/>
        </w:rPr>
        <w:drawing>
          <wp:anchor distT="0" distB="0" distL="0" distR="0" simplePos="0" relativeHeight="251662336" behindDoc="1" locked="0" layoutInCell="1" allowOverlap="1">
            <wp:simplePos x="0" y="0"/>
            <wp:positionH relativeFrom="column">
              <wp:posOffset>187960</wp:posOffset>
            </wp:positionH>
            <wp:positionV relativeFrom="paragraph">
              <wp:posOffset>1252855</wp:posOffset>
            </wp:positionV>
            <wp:extent cx="4956810" cy="2229485"/>
            <wp:effectExtent l="0" t="0" r="0" b="0"/>
            <wp:wrapTopAndBottom/>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9"/>
                    <a:stretch>
                      <a:fillRect/>
                    </a:stretch>
                  </pic:blipFill>
                  <pic:spPr>
                    <a:xfrm>
                      <a:off x="0" y="0"/>
                      <a:ext cx="4956810" cy="2229485"/>
                    </a:xfrm>
                    <a:prstGeom prst="rect">
                      <a:avLst/>
                    </a:prstGeom>
                  </pic:spPr>
                </pic:pic>
              </a:graphicData>
            </a:graphic>
          </wp:anchor>
        </w:drawing>
      </w:r>
      <w:r>
        <w:rPr>
          <w:rFonts w:hint="eastAsia" w:ascii="仿宋_GB2312" w:hAnsi="Times New Roman" w:cs="Times New Roman"/>
          <w:szCs w:val="30"/>
        </w:rPr>
        <w:t>影响方式的分析要素包括：业务活动，包括商业模式、业务运营、发展战略、融资方式及价值链等；气候相关表现；对经济、环境和社会的影响；对利益相关方的影响等。</w:t>
      </w:r>
    </w:p>
    <w:p w14:paraId="57B36EBD">
      <w:pPr>
        <w:widowControl/>
        <w:adjustRightInd w:val="0"/>
        <w:snapToGrid w:val="0"/>
        <w:spacing w:line="560" w:lineRule="exact"/>
        <w:jc w:val="center"/>
        <w:rPr>
          <w:rFonts w:ascii="Times New Roman" w:hAnsi="Times New Roman" w:eastAsia="黑体" w:cs="Times New Roman"/>
          <w:kern w:val="0"/>
          <w:sz w:val="24"/>
          <w:szCs w:val="24"/>
        </w:rPr>
      </w:pPr>
      <w:r>
        <w:rPr>
          <w:rFonts w:hint="eastAsia" w:ascii="Times New Roman" w:hAnsi="Times New Roman" w:eastAsia="黑体" w:cs="Times New Roman"/>
          <w:kern w:val="0"/>
          <w:sz w:val="24"/>
          <w:szCs w:val="24"/>
        </w:rPr>
        <w:t>图</w:t>
      </w:r>
      <w:r>
        <w:rPr>
          <w:rFonts w:ascii="Times New Roman" w:hAnsi="Times New Roman" w:eastAsia="黑体" w:cs="Times New Roman"/>
          <w:kern w:val="0"/>
          <w:sz w:val="24"/>
          <w:szCs w:val="24"/>
        </w:rPr>
        <w:t>1：气候相关影响</w:t>
      </w:r>
      <w:r>
        <w:rPr>
          <w:rFonts w:hint="eastAsia" w:ascii="Times New Roman" w:hAnsi="Times New Roman" w:eastAsia="黑体" w:cs="Times New Roman"/>
          <w:kern w:val="0"/>
          <w:sz w:val="24"/>
          <w:szCs w:val="24"/>
        </w:rPr>
        <w:t>方式的分析示例</w:t>
      </w:r>
    </w:p>
    <w:p w14:paraId="43126F76">
      <w:pPr>
        <w:widowControl/>
        <w:adjustRightInd w:val="0"/>
        <w:snapToGrid w:val="0"/>
        <w:spacing w:line="560" w:lineRule="exact"/>
        <w:ind w:firstLine="600" w:firstLineChars="200"/>
        <w:rPr>
          <w:rFonts w:ascii="仿宋_GB2312" w:hAnsi="Times New Roman" w:cs="Times New Roman"/>
          <w:szCs w:val="30"/>
        </w:rPr>
      </w:pPr>
      <w:r>
        <w:rPr>
          <w:rFonts w:hint="eastAsia" w:ascii="仿宋_GB2312" w:hAnsi="Times New Roman" w:cs="Times New Roman"/>
          <w:szCs w:val="30"/>
        </w:rPr>
        <w:t>在分析对经济、环境和社会的影响时，披露主体可以通过引入社会因素、经济趋势、技术因素、政策法规、自然生态等具体要素框架，进一步分析和细化对利益相关方的影响。</w:t>
      </w:r>
    </w:p>
    <w:p w14:paraId="4BD21D32">
      <w:pPr>
        <w:widowControl/>
        <w:adjustRightInd w:val="0"/>
        <w:snapToGrid w:val="0"/>
        <w:spacing w:line="560" w:lineRule="exact"/>
        <w:ind w:firstLine="600" w:firstLineChars="200"/>
        <w:rPr>
          <w:rFonts w:ascii="仿宋_GB2312" w:hAnsi="Times New Roman" w:cs="Times New Roman"/>
          <w:szCs w:val="30"/>
        </w:rPr>
      </w:pPr>
      <w:r>
        <w:rPr>
          <w:rFonts w:hint="eastAsia" w:ascii="仿宋_GB2312" w:hAnsi="Times New Roman" w:cs="Times New Roman"/>
          <w:szCs w:val="30"/>
        </w:rPr>
        <w:t>披露主体需要广泛收集开展上述分析所需的内部数据和外部信息，更多类型的数据有助于全面分析气候相关表现，进而分析对经济、环境和社会的影响。</w:t>
      </w:r>
    </w:p>
    <w:p w14:paraId="2EAF5A37">
      <w:pPr>
        <w:widowControl/>
        <w:adjustRightInd w:val="0"/>
        <w:snapToGrid w:val="0"/>
        <w:spacing w:line="560" w:lineRule="exact"/>
        <w:ind w:firstLine="602" w:firstLineChars="200"/>
        <w:outlineLvl w:val="2"/>
        <w:rPr>
          <w:rFonts w:ascii="仿宋_GB2312" w:hAnsi="Times New Roman" w:cs="Times New Roman"/>
          <w:b/>
          <w:bCs/>
          <w:szCs w:val="30"/>
        </w:rPr>
      </w:pPr>
      <w:bookmarkStart w:id="37" w:name="_Toc31929"/>
      <w:bookmarkStart w:id="38" w:name="_Toc181613076"/>
      <w:bookmarkStart w:id="39" w:name="_Toc181612765"/>
      <w:bookmarkStart w:id="40" w:name="_Toc181200409"/>
      <w:bookmarkStart w:id="41" w:name="_Toc187328652"/>
      <w:bookmarkStart w:id="42" w:name="_Toc179988015"/>
      <w:bookmarkStart w:id="43" w:name="_Toc26413"/>
      <w:bookmarkStart w:id="44" w:name="_Toc24853"/>
      <w:bookmarkStart w:id="45" w:name="_Toc1988"/>
      <w:r>
        <w:rPr>
          <w:rFonts w:hint="eastAsia" w:ascii="仿宋_GB2312" w:hAnsi="Times New Roman" w:cs="Times New Roman"/>
          <w:b/>
          <w:bCs/>
          <w:szCs w:val="30"/>
        </w:rPr>
        <w:t>步骤三：气候相关影响的评估与确认</w:t>
      </w:r>
      <w:bookmarkEnd w:id="37"/>
      <w:bookmarkEnd w:id="38"/>
      <w:bookmarkEnd w:id="39"/>
      <w:bookmarkEnd w:id="40"/>
      <w:bookmarkEnd w:id="41"/>
      <w:bookmarkEnd w:id="42"/>
      <w:bookmarkEnd w:id="43"/>
      <w:bookmarkEnd w:id="44"/>
      <w:bookmarkEnd w:id="45"/>
    </w:p>
    <w:p w14:paraId="4B18D924">
      <w:pPr>
        <w:widowControl/>
        <w:adjustRightInd w:val="0"/>
        <w:snapToGrid w:val="0"/>
        <w:spacing w:line="560" w:lineRule="exact"/>
        <w:ind w:firstLine="600" w:firstLineChars="200"/>
        <w:rPr>
          <w:rFonts w:ascii="仿宋_GB2312" w:hAnsi="Times New Roman" w:cs="Times New Roman"/>
          <w:szCs w:val="30"/>
        </w:rPr>
      </w:pPr>
      <w:r>
        <w:rPr>
          <w:rFonts w:hint="eastAsia" w:ascii="仿宋_GB2312" w:hAnsi="Times New Roman" w:cs="Times New Roman"/>
          <w:szCs w:val="30"/>
        </w:rPr>
        <w:t>披露主体</w:t>
      </w:r>
      <w:r>
        <w:rPr>
          <w:rFonts w:hint="eastAsia" w:ascii="Times New Roman" w:hAnsi="Times New Roman" w:cs="Times New Roman"/>
          <w:kern w:val="0"/>
          <w:szCs w:val="30"/>
        </w:rPr>
        <w:t>应当结合自身所处行业和经营业务的特点等情况，识别公司在应对气候变化议题方面的表现是否对经济、环境和社会产生重大影响。</w:t>
      </w:r>
    </w:p>
    <w:p w14:paraId="774B81FD">
      <w:pPr>
        <w:widowControl/>
        <w:adjustRightInd w:val="0"/>
        <w:snapToGrid w:val="0"/>
        <w:spacing w:line="560" w:lineRule="exact"/>
        <w:ind w:firstLine="600" w:firstLineChars="200"/>
        <w:rPr>
          <w:rFonts w:ascii="仿宋_GB2312" w:hAnsi="Times New Roman" w:cs="Times New Roman"/>
          <w:szCs w:val="30"/>
        </w:rPr>
      </w:pPr>
      <w:r>
        <w:rPr>
          <w:rFonts w:hint="eastAsia" w:ascii="Times New Roman" w:hAnsi="Times New Roman" w:cs="Times New Roman"/>
          <w:kern w:val="0"/>
          <w:szCs w:val="30"/>
        </w:rPr>
        <w:t>评估影响重要性的方法包括定量分析和定性分析，需要公司与利益相关方沟通或咨询相关专家。影响重要性评估的关键环节包括：分析影响重要性评估因素、</w:t>
      </w:r>
      <w:bookmarkStart w:id="46" w:name="OLE_LINK6"/>
      <w:r>
        <w:rPr>
          <w:rFonts w:hint="eastAsia" w:ascii="Times New Roman" w:hAnsi="Times New Roman" w:cs="Times New Roman"/>
          <w:kern w:val="0"/>
          <w:szCs w:val="30"/>
        </w:rPr>
        <w:t>利益相关方与专家的参与、设置判定影响重要性的阈值</w:t>
      </w:r>
      <w:bookmarkEnd w:id="46"/>
      <w:r>
        <w:rPr>
          <w:rFonts w:hint="eastAsia" w:ascii="Times New Roman" w:hAnsi="Times New Roman" w:cs="Times New Roman"/>
          <w:kern w:val="0"/>
          <w:szCs w:val="30"/>
        </w:rPr>
        <w:t>等（</w:t>
      </w:r>
      <w:r>
        <w:rPr>
          <w:rFonts w:hint="eastAsia" w:ascii="仿宋_GB2312" w:hAnsi="Times New Roman" w:cs="Times New Roman"/>
          <w:szCs w:val="30"/>
        </w:rPr>
        <w:t>具体影响重要性评估要点详见《第一号</w:t>
      </w:r>
      <w:r>
        <w:rPr>
          <w:rFonts w:ascii="仿宋_GB2312" w:hAnsi="Times New Roman" w:cs="Times New Roman"/>
          <w:szCs w:val="30"/>
        </w:rPr>
        <w:t xml:space="preserve"> </w:t>
      </w:r>
      <w:r>
        <w:rPr>
          <w:rFonts w:hint="eastAsia" w:ascii="仿宋_GB2312" w:hAnsi="Times New Roman" w:cs="Times New Roman"/>
          <w:szCs w:val="30"/>
        </w:rPr>
        <w:t>总体要求与披露框架》指南）。</w:t>
      </w:r>
    </w:p>
    <w:p w14:paraId="77FCE421">
      <w:pPr>
        <w:widowControl/>
        <w:adjustRightInd w:val="0"/>
        <w:snapToGrid w:val="0"/>
        <w:spacing w:line="560" w:lineRule="exact"/>
        <w:ind w:firstLine="602" w:firstLineChars="200"/>
        <w:outlineLvl w:val="2"/>
        <w:rPr>
          <w:rFonts w:ascii="仿宋_GB2312" w:hAnsi="Times New Roman" w:cs="Times New Roman"/>
          <w:b/>
          <w:bCs/>
          <w:szCs w:val="30"/>
        </w:rPr>
      </w:pPr>
      <w:bookmarkStart w:id="47" w:name="_Toc187328653"/>
      <w:bookmarkStart w:id="48" w:name="_Toc17003"/>
      <w:bookmarkStart w:id="49" w:name="_Toc4279"/>
      <w:bookmarkStart w:id="50" w:name="_Toc9652"/>
      <w:bookmarkStart w:id="51" w:name="_Toc181612766"/>
      <w:bookmarkStart w:id="52" w:name="_Toc179988016"/>
      <w:bookmarkStart w:id="53" w:name="_Toc181613077"/>
      <w:bookmarkStart w:id="54" w:name="_Toc181200410"/>
      <w:bookmarkStart w:id="55" w:name="_Toc27842"/>
      <w:r>
        <w:rPr>
          <w:rFonts w:hint="eastAsia" w:ascii="仿宋_GB2312" w:hAnsi="Times New Roman" w:cs="Times New Roman"/>
          <w:b/>
          <w:bCs/>
          <w:szCs w:val="30"/>
        </w:rPr>
        <w:t>步骤四：气候相关影响的报告</w:t>
      </w:r>
      <w:bookmarkEnd w:id="47"/>
      <w:bookmarkEnd w:id="48"/>
      <w:bookmarkEnd w:id="49"/>
      <w:bookmarkEnd w:id="50"/>
      <w:bookmarkEnd w:id="51"/>
      <w:bookmarkEnd w:id="52"/>
      <w:bookmarkEnd w:id="53"/>
      <w:bookmarkEnd w:id="54"/>
      <w:bookmarkEnd w:id="55"/>
    </w:p>
    <w:p w14:paraId="08069508">
      <w:pPr>
        <w:widowControl/>
        <w:adjustRightInd w:val="0"/>
        <w:snapToGrid w:val="0"/>
        <w:spacing w:line="560" w:lineRule="exact"/>
        <w:ind w:firstLine="600" w:firstLineChars="200"/>
        <w:rPr>
          <w:rFonts w:ascii="仿宋_GB2312" w:hAnsi="仿宋_GB2312" w:cs="仿宋_GB2312"/>
          <w:szCs w:val="30"/>
          <w:lang w:bidi="ar"/>
        </w:rPr>
      </w:pPr>
      <w:r>
        <w:rPr>
          <w:rFonts w:hint="eastAsia" w:ascii="仿宋_GB2312" w:hAnsi="仿宋_GB2312" w:cs="仿宋_GB2312"/>
          <w:szCs w:val="30"/>
          <w:lang w:bidi="ar"/>
        </w:rPr>
        <w:t>在完成气候相关影响重要性评估后，</w:t>
      </w:r>
      <w:r>
        <w:rPr>
          <w:rFonts w:hint="eastAsia" w:ascii="仿宋_GB2312" w:hAnsi="Times New Roman" w:cs="Times New Roman"/>
          <w:szCs w:val="30"/>
        </w:rPr>
        <w:t>披露主体</w:t>
      </w:r>
      <w:r>
        <w:rPr>
          <w:rFonts w:hint="eastAsia" w:ascii="仿宋_GB2312" w:hAnsi="仿宋_GB2312" w:cs="仿宋_GB2312"/>
          <w:szCs w:val="30"/>
          <w:lang w:bidi="ar"/>
        </w:rPr>
        <w:t>应基于整体可持续发展相关议题的重要性评估情况，报告该评估流程及其结果</w:t>
      </w:r>
      <w:r>
        <w:rPr>
          <w:rFonts w:hint="eastAsia" w:ascii="Times New Roman" w:hAnsi="Times New Roman" w:cs="Times New Roman"/>
          <w:kern w:val="0"/>
          <w:szCs w:val="30"/>
        </w:rPr>
        <w:t>（</w:t>
      </w:r>
      <w:r>
        <w:rPr>
          <w:rFonts w:hint="eastAsia" w:ascii="仿宋_GB2312" w:hAnsi="Times New Roman" w:cs="Times New Roman"/>
          <w:szCs w:val="30"/>
        </w:rPr>
        <w:t>具体要点详见《第一号</w:t>
      </w:r>
      <w:r>
        <w:rPr>
          <w:rFonts w:ascii="仿宋_GB2312" w:hAnsi="Times New Roman" w:cs="Times New Roman"/>
          <w:szCs w:val="30"/>
        </w:rPr>
        <w:t xml:space="preserve"> </w:t>
      </w:r>
      <w:r>
        <w:rPr>
          <w:rFonts w:hint="eastAsia" w:ascii="仿宋_GB2312" w:hAnsi="Times New Roman" w:cs="Times New Roman"/>
          <w:szCs w:val="30"/>
        </w:rPr>
        <w:t>总体要求与披露框架》指南）。</w:t>
      </w:r>
    </w:p>
    <w:p w14:paraId="55BB0D75">
      <w:pPr>
        <w:widowControl/>
        <w:jc w:val="left"/>
        <w:rPr>
          <w:rFonts w:ascii="Times New Roman" w:hAnsi="Times New Roman" w:eastAsia="黑体" w:cs="Times New Roman"/>
          <w:b/>
          <w:bCs/>
          <w:szCs w:val="30"/>
        </w:rPr>
      </w:pPr>
      <w:bookmarkStart w:id="56" w:name="_Toc187328654"/>
      <w:bookmarkStart w:id="57" w:name="_Toc1773"/>
      <w:bookmarkStart w:id="58" w:name="_Toc26155"/>
      <w:bookmarkStart w:id="59" w:name="_Toc25057"/>
      <w:bookmarkStart w:id="60" w:name="_Toc181613078"/>
      <w:r>
        <w:rPr>
          <w:rFonts w:ascii="Times New Roman" w:hAnsi="Times New Roman" w:eastAsia="黑体" w:cs="Times New Roman"/>
          <w:b/>
          <w:bCs/>
          <w:szCs w:val="30"/>
        </w:rPr>
        <w:br w:type="page"/>
      </w:r>
    </w:p>
    <w:p w14:paraId="51E97A18">
      <w:pPr>
        <w:spacing w:line="560" w:lineRule="exact"/>
        <w:jc w:val="center"/>
        <w:outlineLvl w:val="0"/>
        <w:rPr>
          <w:rFonts w:ascii="Times New Roman" w:hAnsi="Times New Roman" w:eastAsia="黑体" w:cs="Times New Roman"/>
          <w:b/>
          <w:bCs/>
          <w:szCs w:val="30"/>
        </w:rPr>
      </w:pPr>
      <w:r>
        <w:rPr>
          <w:rFonts w:hint="eastAsia" w:ascii="Times New Roman" w:hAnsi="Times New Roman" w:eastAsia="黑体" w:cs="Times New Roman"/>
          <w:b/>
          <w:bCs/>
          <w:szCs w:val="30"/>
        </w:rPr>
        <w:t>第二章</w:t>
      </w:r>
      <w:r>
        <w:rPr>
          <w:rFonts w:ascii="Times New Roman" w:hAnsi="Times New Roman" w:eastAsia="黑体" w:cs="Times New Roman"/>
          <w:b/>
          <w:bCs/>
          <w:szCs w:val="30"/>
        </w:rPr>
        <w:t xml:space="preserve"> </w:t>
      </w:r>
      <w:r>
        <w:rPr>
          <w:rFonts w:hint="eastAsia" w:ascii="Times New Roman" w:hAnsi="Times New Roman" w:eastAsia="黑体" w:cs="Times New Roman"/>
          <w:b/>
          <w:bCs/>
          <w:szCs w:val="30"/>
        </w:rPr>
        <w:t>气候相关财务重要性评估</w:t>
      </w:r>
      <w:bookmarkEnd w:id="56"/>
      <w:bookmarkEnd w:id="57"/>
      <w:bookmarkEnd w:id="58"/>
      <w:bookmarkEnd w:id="59"/>
      <w:bookmarkEnd w:id="60"/>
    </w:p>
    <w:p w14:paraId="1AAAD4FA">
      <w:pPr>
        <w:widowControl/>
        <w:adjustRightInd w:val="0"/>
        <w:snapToGrid w:val="0"/>
        <w:spacing w:line="560" w:lineRule="exact"/>
        <w:ind w:firstLine="600" w:firstLineChars="200"/>
        <w:outlineLvl w:val="1"/>
        <w:rPr>
          <w:rFonts w:ascii="Times New Roman" w:hAnsi="Times New Roman" w:eastAsia="黑体" w:cs="Times New Roman"/>
          <w:szCs w:val="30"/>
        </w:rPr>
      </w:pPr>
      <w:bookmarkStart w:id="61" w:name="_Toc12145"/>
      <w:bookmarkStart w:id="62" w:name="_Toc9750"/>
      <w:bookmarkStart w:id="63" w:name="_Toc21259"/>
      <w:bookmarkStart w:id="64" w:name="_Toc187328655"/>
      <w:bookmarkStart w:id="65" w:name="_Toc181613079"/>
      <w:bookmarkStart w:id="66" w:name="_Toc11071"/>
      <w:bookmarkStart w:id="67" w:name="_Toc16321"/>
      <w:bookmarkStart w:id="68" w:name="_Toc177241756"/>
      <w:r>
        <w:rPr>
          <w:rFonts w:hint="eastAsia" w:ascii="Times New Roman" w:hAnsi="Times New Roman" w:eastAsia="黑体" w:cs="Times New Roman"/>
          <w:szCs w:val="30"/>
        </w:rPr>
        <w:t>一、气候相关风险和机遇</w:t>
      </w:r>
      <w:bookmarkEnd w:id="61"/>
      <w:bookmarkEnd w:id="62"/>
      <w:bookmarkEnd w:id="63"/>
      <w:bookmarkEnd w:id="64"/>
      <w:bookmarkEnd w:id="65"/>
      <w:bookmarkEnd w:id="66"/>
      <w:bookmarkEnd w:id="67"/>
      <w:bookmarkEnd w:id="68"/>
    </w:p>
    <w:p w14:paraId="21631715">
      <w:pPr>
        <w:widowControl/>
        <w:adjustRightInd w:val="0"/>
        <w:snapToGrid w:val="0"/>
        <w:spacing w:line="560" w:lineRule="exact"/>
        <w:ind w:firstLine="600" w:firstLineChars="200"/>
        <w:rPr>
          <w:rFonts w:ascii="Times New Roman" w:hAnsi="Times New Roman" w:cs="Times New Roman"/>
          <w:kern w:val="0"/>
          <w:szCs w:val="30"/>
        </w:rPr>
      </w:pPr>
      <w:r>
        <w:rPr>
          <w:rFonts w:hint="eastAsia" w:ascii="Times New Roman" w:hAnsi="Times New Roman" w:cs="Times New Roman"/>
          <w:kern w:val="0"/>
          <w:szCs w:val="30"/>
        </w:rPr>
        <w:t>气候变化可能对</w:t>
      </w:r>
      <w:r>
        <w:rPr>
          <w:rFonts w:hint="eastAsia" w:ascii="仿宋_GB2312" w:hAnsi="Times New Roman" w:cs="Times New Roman"/>
          <w:szCs w:val="30"/>
        </w:rPr>
        <w:t>披露主体</w:t>
      </w:r>
      <w:r>
        <w:rPr>
          <w:rFonts w:hint="eastAsia" w:ascii="Times New Roman" w:hAnsi="Times New Roman" w:cs="Times New Roman"/>
          <w:kern w:val="0"/>
          <w:szCs w:val="30"/>
        </w:rPr>
        <w:t>的商业模式、业务运营、发展战略、财务状况、经营成果、现金流、融资方式及成本等产生负面或正面影响。气候变化对</w:t>
      </w:r>
      <w:r>
        <w:rPr>
          <w:rFonts w:hint="eastAsia" w:ascii="仿宋_GB2312" w:hAnsi="Times New Roman" w:cs="Times New Roman"/>
          <w:szCs w:val="30"/>
        </w:rPr>
        <w:t>披露主体</w:t>
      </w:r>
      <w:r>
        <w:rPr>
          <w:rFonts w:hint="eastAsia" w:ascii="Times New Roman" w:hAnsi="Times New Roman" w:cs="Times New Roman"/>
          <w:kern w:val="0"/>
          <w:szCs w:val="30"/>
        </w:rPr>
        <w:t>产生的潜在负面影响，包括与气候相关的物理风险和与气候相关的转型风险。</w:t>
      </w:r>
    </w:p>
    <w:p w14:paraId="0629D6BF">
      <w:pPr>
        <w:widowControl/>
        <w:adjustRightInd w:val="0"/>
        <w:snapToGrid w:val="0"/>
        <w:spacing w:line="560" w:lineRule="exact"/>
        <w:ind w:firstLine="602" w:firstLineChars="200"/>
        <w:outlineLvl w:val="2"/>
        <w:rPr>
          <w:rFonts w:ascii="仿宋_GB2312" w:hAnsi="Times New Roman" w:cs="Times New Roman"/>
          <w:b/>
          <w:bCs/>
          <w:szCs w:val="30"/>
        </w:rPr>
      </w:pPr>
      <w:bookmarkStart w:id="69" w:name="_Toc187328656"/>
      <w:bookmarkStart w:id="70" w:name="_Toc181613080"/>
      <w:bookmarkStart w:id="71" w:name="_Toc31903"/>
      <w:bookmarkStart w:id="72" w:name="_Toc1986"/>
      <w:bookmarkStart w:id="73" w:name="_Toc7510"/>
      <w:r>
        <w:rPr>
          <w:rFonts w:hint="eastAsia" w:ascii="仿宋_GB2312" w:hAnsi="Times New Roman" w:cs="Times New Roman"/>
          <w:b/>
          <w:bCs/>
          <w:szCs w:val="30"/>
        </w:rPr>
        <w:t>（一）气候相关物理风险</w:t>
      </w:r>
      <w:bookmarkEnd w:id="69"/>
      <w:bookmarkEnd w:id="70"/>
      <w:bookmarkEnd w:id="71"/>
      <w:bookmarkEnd w:id="72"/>
      <w:bookmarkEnd w:id="73"/>
    </w:p>
    <w:p w14:paraId="5AC2A7E2">
      <w:pPr>
        <w:widowControl/>
        <w:adjustRightInd w:val="0"/>
        <w:snapToGrid w:val="0"/>
        <w:spacing w:line="560" w:lineRule="exact"/>
        <w:ind w:firstLine="600" w:firstLineChars="200"/>
        <w:rPr>
          <w:rFonts w:ascii="Times New Roman" w:hAnsi="Times New Roman" w:cs="Times New Roman"/>
          <w:kern w:val="0"/>
          <w:szCs w:val="30"/>
        </w:rPr>
      </w:pPr>
      <w:r>
        <w:rPr>
          <w:rFonts w:hint="eastAsia" w:ascii="Times New Roman" w:hAnsi="Times New Roman" w:cs="Times New Roman"/>
          <w:kern w:val="0"/>
          <w:szCs w:val="30"/>
        </w:rPr>
        <w:t>与气候相关的物理风险是指由气候变化导致的物理环境改变给经济社会系统带来的风险，主要包括财产损失风险。与气候相关的物理风险可以</w:t>
      </w:r>
      <w:r>
        <w:rPr>
          <w:rFonts w:ascii="Times New Roman" w:hAnsi="Times New Roman" w:cs="Times New Roman"/>
          <w:kern w:val="0"/>
          <w:szCs w:val="30"/>
        </w:rPr>
        <w:t>分为</w:t>
      </w:r>
      <w:r>
        <w:rPr>
          <w:rFonts w:hint="eastAsia" w:ascii="Times New Roman" w:hAnsi="Times New Roman" w:cs="Times New Roman"/>
          <w:kern w:val="0"/>
          <w:szCs w:val="30"/>
        </w:rPr>
        <w:t>急性物理风险和慢性物理风险。急性物理风险产生于与天气有关的事件，如风暴、洪水、干旱或热浪。慢性物理风险来自长期的气候变化，包括降水和温度的变化，以及可能引发的海平面上升、水供应减少、生物多样性丧失和土壤生产力变化。</w:t>
      </w:r>
    </w:p>
    <w:p w14:paraId="7A13B64B">
      <w:pPr>
        <w:widowControl/>
        <w:adjustRightInd w:val="0"/>
        <w:snapToGrid w:val="0"/>
        <w:spacing w:line="560" w:lineRule="exact"/>
        <w:ind w:firstLine="600" w:firstLineChars="200"/>
        <w:rPr>
          <w:rFonts w:ascii="Times New Roman" w:hAnsi="Times New Roman" w:cs="Times New Roman"/>
          <w:kern w:val="0"/>
          <w:szCs w:val="30"/>
        </w:rPr>
      </w:pPr>
      <w:r>
        <w:rPr>
          <w:rFonts w:hint="eastAsia" w:ascii="Times New Roman" w:hAnsi="Times New Roman" w:cs="Times New Roman"/>
          <w:kern w:val="0"/>
          <w:szCs w:val="30"/>
        </w:rPr>
        <w:t>气候相关物理风险可能给</w:t>
      </w:r>
      <w:r>
        <w:rPr>
          <w:rFonts w:hint="eastAsia" w:ascii="仿宋_GB2312" w:hAnsi="Times New Roman" w:cs="Times New Roman"/>
          <w:szCs w:val="30"/>
        </w:rPr>
        <w:t>披露主体</w:t>
      </w:r>
      <w:r>
        <w:rPr>
          <w:rFonts w:hint="eastAsia" w:ascii="Times New Roman" w:hAnsi="Times New Roman" w:cs="Times New Roman"/>
          <w:kern w:val="0"/>
          <w:szCs w:val="30"/>
        </w:rPr>
        <w:t>带来财务影响，如资产的直接损失和供应链中断的间接影响。</w:t>
      </w:r>
      <w:r>
        <w:rPr>
          <w:rFonts w:hint="eastAsia" w:ascii="仿宋_GB2312" w:hAnsi="Times New Roman" w:cs="Times New Roman"/>
          <w:szCs w:val="30"/>
        </w:rPr>
        <w:t>披露主体的财务业绩也可能受到水资源可用量和水体质量变化，极端温度变化对披露主体经营场所、业务、供应链、运输需求和员工安全的影响。</w:t>
      </w:r>
    </w:p>
    <w:p w14:paraId="74861E9F">
      <w:pPr>
        <w:widowControl/>
        <w:adjustRightInd w:val="0"/>
        <w:snapToGrid w:val="0"/>
        <w:spacing w:line="560" w:lineRule="exact"/>
        <w:ind w:firstLine="602" w:firstLineChars="200"/>
        <w:outlineLvl w:val="2"/>
        <w:rPr>
          <w:rFonts w:ascii="仿宋_GB2312" w:hAnsi="Times New Roman" w:cs="Times New Roman"/>
          <w:b/>
          <w:bCs/>
          <w:szCs w:val="30"/>
        </w:rPr>
      </w:pPr>
      <w:bookmarkStart w:id="74" w:name="_Toc18315"/>
      <w:bookmarkStart w:id="75" w:name="_Toc181613081"/>
      <w:bookmarkStart w:id="76" w:name="_Toc21037"/>
      <w:bookmarkStart w:id="77" w:name="_Toc187328657"/>
      <w:bookmarkStart w:id="78" w:name="_Toc21928"/>
      <w:r>
        <w:rPr>
          <w:rFonts w:hint="eastAsia" w:ascii="仿宋_GB2312" w:hAnsi="Times New Roman" w:cs="Times New Roman"/>
          <w:b/>
          <w:bCs/>
          <w:szCs w:val="30"/>
        </w:rPr>
        <w:t>（二）气候相关转型风险</w:t>
      </w:r>
      <w:bookmarkEnd w:id="74"/>
      <w:bookmarkEnd w:id="75"/>
      <w:bookmarkEnd w:id="76"/>
      <w:bookmarkEnd w:id="77"/>
      <w:bookmarkEnd w:id="78"/>
    </w:p>
    <w:p w14:paraId="49576D2B">
      <w:pPr>
        <w:widowControl/>
        <w:adjustRightInd w:val="0"/>
        <w:snapToGrid w:val="0"/>
        <w:spacing w:line="560" w:lineRule="exact"/>
        <w:ind w:firstLine="600" w:firstLineChars="200"/>
        <w:rPr>
          <w:rFonts w:ascii="仿宋_GB2312" w:hAnsi="Times New Roman" w:cs="Times New Roman"/>
          <w:szCs w:val="30"/>
        </w:rPr>
      </w:pPr>
      <w:r>
        <w:rPr>
          <w:rFonts w:hint="eastAsia" w:ascii="仿宋_GB2312" w:hAnsi="Times New Roman" w:cs="Times New Roman"/>
          <w:szCs w:val="30"/>
        </w:rPr>
        <w:t>与气候相关的转型风险是指披露主体向低碳经济转型所面临的风险，包括政策、法律、技术、市场和声誉等方面的风险。</w:t>
      </w:r>
    </w:p>
    <w:p w14:paraId="3E690AEA">
      <w:pPr>
        <w:widowControl/>
        <w:adjustRightInd w:val="0"/>
        <w:snapToGrid w:val="0"/>
        <w:spacing w:line="560" w:lineRule="exact"/>
        <w:ind w:firstLine="600" w:firstLineChars="200"/>
        <w:rPr>
          <w:rFonts w:ascii="仿宋_GB2312" w:hAnsi="Times New Roman" w:cs="Times New Roman"/>
          <w:szCs w:val="30"/>
        </w:rPr>
      </w:pPr>
      <w:r>
        <w:rPr>
          <w:rFonts w:hint="eastAsia" w:ascii="仿宋_GB2312" w:hAnsi="Times New Roman" w:cs="Times New Roman"/>
          <w:szCs w:val="30"/>
        </w:rPr>
        <w:t>低碳经济转型过程可能涉及广泛的政策、法律、技术和市场变化，如碳排放成本的提高、设备能耗要求变化、消费者偏好的变化等。根据这些变化的性质、速度和重点，转型风险可能使披露主体承担不同程度的财务、市场和声誉风险等。</w:t>
      </w:r>
    </w:p>
    <w:p w14:paraId="7EA3ADF8">
      <w:pPr>
        <w:widowControl/>
        <w:adjustRightInd w:val="0"/>
        <w:snapToGrid w:val="0"/>
        <w:spacing w:line="560" w:lineRule="exact"/>
        <w:ind w:firstLine="602" w:firstLineChars="200"/>
        <w:outlineLvl w:val="2"/>
        <w:rPr>
          <w:rFonts w:ascii="仿宋_GB2312" w:hAnsi="Times New Roman" w:cs="Times New Roman"/>
          <w:b/>
          <w:bCs/>
          <w:szCs w:val="30"/>
        </w:rPr>
      </w:pPr>
      <w:bookmarkStart w:id="79" w:name="_Toc31616"/>
      <w:bookmarkStart w:id="80" w:name="_Toc29012"/>
      <w:bookmarkStart w:id="81" w:name="_Toc181613082"/>
      <w:bookmarkStart w:id="82" w:name="_Toc187328658"/>
      <w:bookmarkStart w:id="83" w:name="_Toc19875"/>
      <w:r>
        <w:rPr>
          <w:rFonts w:hint="eastAsia" w:ascii="仿宋_GB2312" w:hAnsi="Times New Roman" w:cs="Times New Roman"/>
          <w:b/>
          <w:bCs/>
          <w:szCs w:val="30"/>
        </w:rPr>
        <w:t>（三）气候相关机遇</w:t>
      </w:r>
      <w:bookmarkEnd w:id="79"/>
      <w:bookmarkEnd w:id="80"/>
      <w:bookmarkEnd w:id="81"/>
      <w:bookmarkEnd w:id="82"/>
      <w:bookmarkEnd w:id="83"/>
    </w:p>
    <w:p w14:paraId="4E566F66">
      <w:pPr>
        <w:widowControl/>
        <w:adjustRightInd w:val="0"/>
        <w:snapToGrid w:val="0"/>
        <w:spacing w:line="560" w:lineRule="exact"/>
        <w:ind w:firstLine="600" w:firstLineChars="200"/>
        <w:rPr>
          <w:rFonts w:ascii="仿宋_GB2312" w:hAnsi="Times New Roman" w:cs="Times New Roman"/>
          <w:szCs w:val="30"/>
        </w:rPr>
      </w:pPr>
      <w:r>
        <w:rPr>
          <w:rFonts w:hint="eastAsia" w:ascii="仿宋_GB2312" w:hAnsi="Times New Roman" w:cs="Times New Roman"/>
          <w:szCs w:val="30"/>
        </w:rPr>
        <w:t>气候相关机遇是指气候变化对披露主体产生的潜在积极影响，或公司因参与缓解和适应气候变化带来的机遇。例如，通过提高资源效率和节约成本、采用低排放能源、开发新产品和服务、进入新市场，以及建立供应链的韧性，将能够为披露主体创造更多机遇。</w:t>
      </w:r>
    </w:p>
    <w:p w14:paraId="380C6D80">
      <w:pPr>
        <w:widowControl/>
        <w:adjustRightInd w:val="0"/>
        <w:snapToGrid w:val="0"/>
        <w:spacing w:line="560" w:lineRule="exact"/>
        <w:ind w:firstLine="600" w:firstLineChars="200"/>
        <w:rPr>
          <w:rFonts w:ascii="仿宋_GB2312" w:hAnsi="Times New Roman" w:cs="Times New Roman"/>
          <w:szCs w:val="30"/>
        </w:rPr>
      </w:pPr>
      <w:r>
        <w:rPr>
          <w:rFonts w:hint="eastAsia" w:ascii="仿宋_GB2312" w:hAnsi="Times New Roman" w:cs="Times New Roman"/>
          <w:szCs w:val="30"/>
        </w:rPr>
        <w:t>气候相关机遇将因披露主体经营的地区、市场和行业而异。典型的气候相关机遇可涉及资源效率、能源来源、产品和服务、市场等方面。</w:t>
      </w:r>
    </w:p>
    <w:p w14:paraId="77DA71B4">
      <w:pPr>
        <w:widowControl/>
        <w:adjustRightInd w:val="0"/>
        <w:snapToGrid w:val="0"/>
        <w:spacing w:line="560" w:lineRule="exact"/>
        <w:ind w:firstLine="600" w:firstLineChars="200"/>
        <w:outlineLvl w:val="1"/>
        <w:rPr>
          <w:rFonts w:ascii="Times New Roman" w:hAnsi="Times New Roman" w:eastAsia="黑体" w:cs="Times New Roman"/>
          <w:szCs w:val="30"/>
        </w:rPr>
      </w:pPr>
      <w:bookmarkStart w:id="84" w:name="_Toc181613083"/>
      <w:bookmarkStart w:id="85" w:name="_Toc20829"/>
      <w:bookmarkStart w:id="86" w:name="_Toc10124"/>
      <w:bookmarkStart w:id="87" w:name="_Toc187328659"/>
      <w:bookmarkStart w:id="88" w:name="_Toc7778"/>
      <w:r>
        <w:rPr>
          <w:rFonts w:hint="eastAsia" w:ascii="Times New Roman" w:hAnsi="Times New Roman" w:eastAsia="黑体" w:cs="Times New Roman"/>
          <w:szCs w:val="30"/>
        </w:rPr>
        <w:t>二、气候相关风险和机遇对披露主体经营活动的影响</w:t>
      </w:r>
      <w:bookmarkEnd w:id="84"/>
      <w:bookmarkEnd w:id="85"/>
      <w:bookmarkEnd w:id="86"/>
      <w:bookmarkEnd w:id="87"/>
      <w:bookmarkEnd w:id="88"/>
    </w:p>
    <w:p w14:paraId="123E64F1">
      <w:pPr>
        <w:widowControl/>
        <w:adjustRightInd w:val="0"/>
        <w:snapToGrid w:val="0"/>
        <w:spacing w:line="560" w:lineRule="exact"/>
        <w:ind w:firstLine="602" w:firstLineChars="200"/>
        <w:outlineLvl w:val="2"/>
        <w:rPr>
          <w:rFonts w:ascii="仿宋_GB2312" w:hAnsi="Times New Roman" w:cs="Times New Roman"/>
          <w:b/>
          <w:bCs/>
          <w:szCs w:val="30"/>
        </w:rPr>
      </w:pPr>
      <w:bookmarkStart w:id="89" w:name="_Toc9163"/>
      <w:bookmarkStart w:id="90" w:name="_Toc181613084"/>
      <w:bookmarkStart w:id="91" w:name="_Toc4384"/>
      <w:bookmarkStart w:id="92" w:name="_Toc187328660"/>
      <w:bookmarkStart w:id="93" w:name="_Toc17066"/>
      <w:r>
        <w:rPr>
          <w:rFonts w:hint="eastAsia" w:ascii="仿宋_GB2312" w:hAnsi="Times New Roman" w:cs="Times New Roman"/>
          <w:b/>
          <w:bCs/>
          <w:szCs w:val="30"/>
        </w:rPr>
        <w:t>（一）对披露主体商业模式和价值链的影响</w:t>
      </w:r>
      <w:bookmarkEnd w:id="89"/>
      <w:bookmarkEnd w:id="90"/>
      <w:bookmarkEnd w:id="91"/>
      <w:bookmarkEnd w:id="92"/>
      <w:bookmarkEnd w:id="93"/>
    </w:p>
    <w:p w14:paraId="7676E2F2">
      <w:pPr>
        <w:widowControl/>
        <w:adjustRightInd w:val="0"/>
        <w:snapToGrid w:val="0"/>
        <w:spacing w:line="560" w:lineRule="exact"/>
        <w:ind w:firstLine="600" w:firstLineChars="200"/>
        <w:rPr>
          <w:rFonts w:ascii="仿宋_GB2312" w:hAnsi="Times New Roman" w:cs="Times New Roman"/>
          <w:szCs w:val="30"/>
        </w:rPr>
      </w:pPr>
      <w:r>
        <w:rPr>
          <w:rFonts w:hint="eastAsia" w:ascii="仿宋_GB2312" w:hAnsi="Times New Roman" w:cs="Times New Roman"/>
          <w:szCs w:val="30"/>
        </w:rPr>
        <w:t>极端天气事件、自然灾害等气候变化带来的影响可能加剧披露主体的经营风险，例如供应链中断、资产损失、生产中断等。面对气候变化相关不确定性时，披露主体可能调整其商业模式和战略。</w:t>
      </w:r>
    </w:p>
    <w:p w14:paraId="55E84EA8">
      <w:pPr>
        <w:widowControl/>
        <w:adjustRightInd w:val="0"/>
        <w:snapToGrid w:val="0"/>
        <w:spacing w:line="560" w:lineRule="exact"/>
        <w:ind w:firstLine="600" w:firstLineChars="200"/>
        <w:rPr>
          <w:rFonts w:ascii="仿宋_GB2312" w:hAnsi="Times New Roman" w:cs="Times New Roman"/>
          <w:szCs w:val="30"/>
        </w:rPr>
      </w:pPr>
      <w:r>
        <w:rPr>
          <w:rFonts w:hint="eastAsia" w:ascii="仿宋_GB2312" w:hAnsi="Times New Roman" w:cs="Times New Roman"/>
          <w:szCs w:val="30"/>
        </w:rPr>
        <w:t>此外，气候相关风险和机遇亦可能影响披露主体价值链活动。相关价值链活动包括披露主体将产品和服务从概念转化到交付、消费和报废直接或间接所使用和依赖的活动、资源和关系，如披露主体经营中的活动、资源和关系，例如供应链、营销和分销渠道（材料和服务采购以及产品和服务的销售和交付）的活动、资源和人力资源关系以及披露主体所处的融资、地理和监管环境。</w:t>
      </w:r>
    </w:p>
    <w:p w14:paraId="64EA26DA">
      <w:pPr>
        <w:widowControl/>
        <w:adjustRightInd w:val="0"/>
        <w:snapToGrid w:val="0"/>
        <w:spacing w:line="560" w:lineRule="exact"/>
        <w:ind w:firstLine="600" w:firstLineChars="200"/>
        <w:rPr>
          <w:rFonts w:ascii="仿宋_GB2312" w:hAnsi="Times New Roman" w:cs="Times New Roman"/>
          <w:szCs w:val="30"/>
        </w:rPr>
      </w:pPr>
      <w:r>
        <w:rPr>
          <w:rFonts w:hint="eastAsia" w:ascii="仿宋_GB2312" w:hAnsi="Times New Roman" w:cs="Times New Roman"/>
          <w:szCs w:val="30"/>
        </w:rPr>
        <w:t>披露主体无需每个报告年度重新评估其整个价值链的气候相关风险和机遇，可以结合披露主体应对气候变化实际情况，定期或不定期评估价值链气候相关风险和机遇。在发生重大事件或情况发生重大变化时，披露主体需考虑重新评估。</w:t>
      </w:r>
    </w:p>
    <w:p w14:paraId="1CE8233D">
      <w:pPr>
        <w:widowControl/>
        <w:adjustRightInd w:val="0"/>
        <w:snapToGrid w:val="0"/>
        <w:spacing w:line="560" w:lineRule="exact"/>
        <w:jc w:val="center"/>
        <w:rPr>
          <w:rFonts w:ascii="Times New Roman" w:hAnsi="Times New Roman" w:eastAsia="黑体" w:cs="Times New Roman"/>
          <w:kern w:val="0"/>
          <w:sz w:val="24"/>
          <w:szCs w:val="24"/>
        </w:rPr>
      </w:pPr>
      <w:r>
        <w:rPr>
          <w:rFonts w:hint="eastAsia" w:ascii="Times New Roman" w:hAnsi="Times New Roman" w:eastAsia="黑体" w:cs="Times New Roman"/>
          <w:kern w:val="0"/>
          <w:sz w:val="24"/>
          <w:szCs w:val="24"/>
        </w:rPr>
        <w:t>表2：公司重新评估价值链气候相关风险和机遇的情形</w:t>
      </w:r>
    </w:p>
    <w:tbl>
      <w:tblPr>
        <w:tblStyle w:val="8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3"/>
        <w:gridCol w:w="6033"/>
      </w:tblGrid>
      <w:tr w14:paraId="3E151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3" w:type="dxa"/>
          </w:tcPr>
          <w:p w14:paraId="79B48953">
            <w:pPr>
              <w:widowControl/>
              <w:adjustRightInd w:val="0"/>
              <w:snapToGrid w:val="0"/>
              <w:jc w:val="center"/>
              <w:rPr>
                <w:rFonts w:ascii="仿宋_GB2312" w:hAnsi="Times New Roman" w:cs="Times New Roman"/>
                <w:b/>
                <w:bCs/>
                <w:kern w:val="0"/>
                <w:sz w:val="24"/>
                <w:szCs w:val="24"/>
              </w:rPr>
            </w:pPr>
            <w:r>
              <w:rPr>
                <w:rFonts w:hint="eastAsia" w:ascii="仿宋_GB2312" w:hAnsi="Times New Roman" w:cs="Times New Roman"/>
                <w:b/>
                <w:bCs/>
                <w:kern w:val="0"/>
                <w:sz w:val="24"/>
                <w:szCs w:val="24"/>
              </w:rPr>
              <w:t>重大变化</w:t>
            </w:r>
          </w:p>
        </w:tc>
        <w:tc>
          <w:tcPr>
            <w:tcW w:w="6033" w:type="dxa"/>
          </w:tcPr>
          <w:p w14:paraId="197DD573">
            <w:pPr>
              <w:widowControl/>
              <w:adjustRightInd w:val="0"/>
              <w:snapToGrid w:val="0"/>
              <w:jc w:val="center"/>
              <w:rPr>
                <w:rFonts w:ascii="仿宋_GB2312" w:hAnsi="Times New Roman" w:cs="Times New Roman"/>
                <w:b/>
                <w:bCs/>
                <w:kern w:val="0"/>
                <w:sz w:val="24"/>
                <w:szCs w:val="24"/>
              </w:rPr>
            </w:pPr>
            <w:r>
              <w:rPr>
                <w:rFonts w:hint="eastAsia" w:ascii="仿宋_GB2312" w:hAnsi="Times New Roman" w:cs="Times New Roman"/>
                <w:b/>
                <w:bCs/>
                <w:kern w:val="0"/>
                <w:sz w:val="24"/>
                <w:szCs w:val="24"/>
              </w:rPr>
              <w:t>示例</w:t>
            </w:r>
          </w:p>
        </w:tc>
      </w:tr>
      <w:tr w14:paraId="0D3AE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2263" w:type="dxa"/>
            <w:vAlign w:val="center"/>
          </w:tcPr>
          <w:p w14:paraId="5A138BF3">
            <w:pPr>
              <w:widowControl/>
              <w:adjustRightInd w:val="0"/>
              <w:snapToGrid w:val="0"/>
              <w:jc w:val="center"/>
              <w:rPr>
                <w:rFonts w:ascii="仿宋_GB2312" w:hAnsi="Times New Roman" w:cs="Times New Roman"/>
                <w:kern w:val="0"/>
                <w:sz w:val="24"/>
                <w:szCs w:val="24"/>
              </w:rPr>
            </w:pPr>
            <w:r>
              <w:rPr>
                <w:rFonts w:hint="eastAsia" w:ascii="仿宋_GB2312" w:hAnsi="Times New Roman" w:cs="Times New Roman"/>
                <w:kern w:val="0"/>
                <w:sz w:val="24"/>
                <w:szCs w:val="24"/>
              </w:rPr>
              <w:t>公司价值链发生重大变化</w:t>
            </w:r>
          </w:p>
        </w:tc>
        <w:tc>
          <w:tcPr>
            <w:tcW w:w="6033" w:type="dxa"/>
            <w:vAlign w:val="center"/>
          </w:tcPr>
          <w:p w14:paraId="36A97E38">
            <w:pPr>
              <w:widowControl/>
              <w:adjustRightInd w:val="0"/>
              <w:snapToGrid w:val="0"/>
              <w:rPr>
                <w:rFonts w:ascii="仿宋_GB2312" w:hAnsi="Times New Roman" w:cs="Times New Roman"/>
                <w:kern w:val="0"/>
                <w:sz w:val="24"/>
                <w:szCs w:val="24"/>
              </w:rPr>
            </w:pPr>
            <w:r>
              <w:rPr>
                <w:rFonts w:hint="eastAsia" w:ascii="仿宋_GB2312" w:hAnsi="Times New Roman" w:cs="Times New Roman"/>
                <w:kern w:val="0"/>
                <w:sz w:val="24"/>
                <w:szCs w:val="24"/>
              </w:rPr>
              <w:t>如公司价值链中的供应商做出的会显著改变其温室气体排放的变化</w:t>
            </w:r>
          </w:p>
        </w:tc>
      </w:tr>
      <w:tr w14:paraId="3D619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8" w:hRule="atLeast"/>
          <w:jc w:val="center"/>
        </w:trPr>
        <w:tc>
          <w:tcPr>
            <w:tcW w:w="2263" w:type="dxa"/>
            <w:vAlign w:val="center"/>
          </w:tcPr>
          <w:p w14:paraId="0DC9724C">
            <w:pPr>
              <w:widowControl/>
              <w:adjustRightInd w:val="0"/>
              <w:snapToGrid w:val="0"/>
              <w:jc w:val="center"/>
              <w:rPr>
                <w:rFonts w:ascii="仿宋_GB2312" w:hAnsi="Times New Roman" w:cs="Times New Roman"/>
                <w:kern w:val="0"/>
                <w:sz w:val="24"/>
                <w:szCs w:val="24"/>
              </w:rPr>
            </w:pPr>
            <w:r>
              <w:rPr>
                <w:rFonts w:hint="eastAsia" w:ascii="仿宋_GB2312" w:hAnsi="Times New Roman" w:cs="Times New Roman"/>
                <w:kern w:val="0"/>
                <w:sz w:val="24"/>
                <w:szCs w:val="24"/>
              </w:rPr>
              <w:t>公司业务模式活动或公司结构的重大变化</w:t>
            </w:r>
          </w:p>
        </w:tc>
        <w:tc>
          <w:tcPr>
            <w:tcW w:w="6033" w:type="dxa"/>
            <w:vAlign w:val="center"/>
          </w:tcPr>
          <w:p w14:paraId="1D38BC3E">
            <w:pPr>
              <w:widowControl/>
              <w:adjustRightInd w:val="0"/>
              <w:snapToGrid w:val="0"/>
              <w:rPr>
                <w:rFonts w:ascii="仿宋_GB2312" w:hAnsi="Times New Roman" w:cs="Times New Roman"/>
                <w:kern w:val="0"/>
                <w:sz w:val="24"/>
                <w:szCs w:val="24"/>
              </w:rPr>
            </w:pPr>
            <w:r>
              <w:rPr>
                <w:rFonts w:hint="eastAsia" w:ascii="仿宋_GB2312" w:hAnsi="Times New Roman" w:cs="Times New Roman"/>
                <w:kern w:val="0"/>
                <w:sz w:val="24"/>
                <w:szCs w:val="24"/>
              </w:rPr>
              <w:t>如拓展公司价值链的合并或收购</w:t>
            </w:r>
          </w:p>
        </w:tc>
      </w:tr>
      <w:tr w14:paraId="0F69D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7" w:hRule="atLeast"/>
          <w:jc w:val="center"/>
        </w:trPr>
        <w:tc>
          <w:tcPr>
            <w:tcW w:w="2263" w:type="dxa"/>
            <w:vAlign w:val="center"/>
          </w:tcPr>
          <w:p w14:paraId="688215E6">
            <w:pPr>
              <w:widowControl/>
              <w:adjustRightInd w:val="0"/>
              <w:snapToGrid w:val="0"/>
              <w:jc w:val="center"/>
              <w:rPr>
                <w:rFonts w:ascii="仿宋_GB2312" w:hAnsi="Times New Roman" w:cs="Times New Roman"/>
                <w:kern w:val="0"/>
                <w:sz w:val="24"/>
                <w:szCs w:val="24"/>
              </w:rPr>
            </w:pPr>
            <w:r>
              <w:rPr>
                <w:rFonts w:hint="eastAsia" w:ascii="仿宋_GB2312" w:hAnsi="Times New Roman" w:cs="Times New Roman"/>
                <w:kern w:val="0"/>
                <w:sz w:val="24"/>
                <w:szCs w:val="24"/>
              </w:rPr>
              <w:t>公司面临气候相关风险和机遇的情况发生重大变化</w:t>
            </w:r>
          </w:p>
        </w:tc>
        <w:tc>
          <w:tcPr>
            <w:tcW w:w="6033" w:type="dxa"/>
            <w:vAlign w:val="center"/>
          </w:tcPr>
          <w:p w14:paraId="7CDF96AD">
            <w:pPr>
              <w:widowControl/>
              <w:adjustRightInd w:val="0"/>
              <w:snapToGrid w:val="0"/>
              <w:rPr>
                <w:rFonts w:ascii="仿宋_GB2312" w:hAnsi="Times New Roman" w:cs="Times New Roman"/>
                <w:kern w:val="0"/>
                <w:sz w:val="24"/>
                <w:szCs w:val="24"/>
              </w:rPr>
            </w:pPr>
            <w:r>
              <w:rPr>
                <w:rFonts w:hint="eastAsia" w:ascii="仿宋_GB2312" w:hAnsi="Times New Roman" w:cs="Times New Roman"/>
                <w:kern w:val="0"/>
                <w:sz w:val="24"/>
                <w:szCs w:val="24"/>
              </w:rPr>
              <w:t>如公司价值链中的供应商受到公司预期之外的温室气体排放法规出台的影响</w:t>
            </w:r>
          </w:p>
        </w:tc>
      </w:tr>
    </w:tbl>
    <w:p w14:paraId="1831D9D9">
      <w:pPr>
        <w:widowControl/>
        <w:adjustRightInd w:val="0"/>
        <w:snapToGrid w:val="0"/>
        <w:spacing w:line="560" w:lineRule="exact"/>
        <w:ind w:firstLine="602" w:firstLineChars="200"/>
        <w:outlineLvl w:val="2"/>
        <w:rPr>
          <w:rFonts w:ascii="仿宋_GB2312" w:hAnsi="Times New Roman" w:cs="Times New Roman"/>
          <w:b/>
          <w:bCs/>
          <w:szCs w:val="30"/>
        </w:rPr>
      </w:pPr>
      <w:bookmarkStart w:id="94" w:name="_Toc1847"/>
      <w:bookmarkStart w:id="95" w:name="_Toc4984"/>
      <w:bookmarkStart w:id="96" w:name="_Toc187328661"/>
      <w:bookmarkStart w:id="97" w:name="_Toc1163"/>
      <w:r>
        <w:rPr>
          <w:rFonts w:hint="eastAsia" w:ascii="仿宋_GB2312" w:hAnsi="Times New Roman" w:cs="Times New Roman"/>
          <w:b/>
          <w:bCs/>
          <w:szCs w:val="30"/>
        </w:rPr>
        <w:t>（二）对披露主体战略和决策的影响</w:t>
      </w:r>
      <w:bookmarkEnd w:id="94"/>
      <w:bookmarkEnd w:id="95"/>
      <w:bookmarkEnd w:id="96"/>
      <w:bookmarkEnd w:id="97"/>
    </w:p>
    <w:p w14:paraId="08F789D8">
      <w:pPr>
        <w:widowControl/>
        <w:adjustRightInd w:val="0"/>
        <w:snapToGrid w:val="0"/>
        <w:spacing w:line="560" w:lineRule="exact"/>
        <w:ind w:firstLine="600" w:firstLineChars="200"/>
        <w:rPr>
          <w:rFonts w:ascii="仿宋_GB2312" w:hAnsi="Times New Roman" w:cs="Times New Roman"/>
          <w:szCs w:val="30"/>
        </w:rPr>
      </w:pPr>
      <w:r>
        <w:rPr>
          <w:rFonts w:hint="eastAsia" w:ascii="仿宋_GB2312" w:hAnsi="Times New Roman" w:cs="Times New Roman"/>
          <w:szCs w:val="30"/>
        </w:rPr>
        <w:t>面对气候相关的风险和机遇，披露主体可能需要调整相关战略、财务规划、资源配置等策略。为应对气候相关风险和机遇，披露主体战略和决策发生的变化包括：管理或停止碳、能源或用水密集业务的计划；因需求或供应链变化导致的资源配置；通过资本支出或额外研发支出进行业务发展产生的资源配置；以及业务收购或剥离等。</w:t>
      </w:r>
    </w:p>
    <w:p w14:paraId="273310D8">
      <w:pPr>
        <w:widowControl/>
        <w:adjustRightInd w:val="0"/>
        <w:snapToGrid w:val="0"/>
        <w:spacing w:line="560" w:lineRule="exact"/>
        <w:ind w:firstLine="600" w:firstLineChars="200"/>
        <w:rPr>
          <w:rFonts w:ascii="仿宋_GB2312" w:hAnsi="Times New Roman" w:cs="Times New Roman"/>
          <w:szCs w:val="30"/>
        </w:rPr>
      </w:pPr>
      <w:r>
        <w:rPr>
          <w:rFonts w:hint="eastAsia" w:ascii="仿宋_GB2312" w:hAnsi="Times New Roman" w:cs="Times New Roman"/>
          <w:szCs w:val="30"/>
        </w:rPr>
        <w:t>直接的应对气候相关风险的战略和决策举措，包括改变生产工艺或设备、搬迁设施、调整劳动力和改变产品规格等。间接的应对气候相关风险的战略和决策举措，包括与客户、供应链合作等。</w:t>
      </w:r>
    </w:p>
    <w:p w14:paraId="2A0DF6F4">
      <w:pPr>
        <w:widowControl/>
        <w:jc w:val="left"/>
        <w:rPr>
          <w:rFonts w:ascii="Times New Roman" w:hAnsi="Times New Roman" w:eastAsia="黑体" w:cs="Times New Roman"/>
          <w:szCs w:val="30"/>
        </w:rPr>
      </w:pPr>
      <w:r>
        <w:rPr>
          <w:rFonts w:ascii="Times New Roman" w:hAnsi="Times New Roman" w:eastAsia="黑体" w:cs="Times New Roman"/>
          <w:szCs w:val="30"/>
        </w:rPr>
        <w:br w:type="page"/>
      </w:r>
    </w:p>
    <w:p w14:paraId="6AD08C8D">
      <w:pPr>
        <w:widowControl/>
        <w:adjustRightInd w:val="0"/>
        <w:snapToGrid w:val="0"/>
        <w:spacing w:line="560" w:lineRule="exact"/>
        <w:ind w:firstLine="600" w:firstLineChars="200"/>
        <w:outlineLvl w:val="1"/>
        <w:rPr>
          <w:rFonts w:ascii="Times New Roman" w:hAnsi="Times New Roman" w:eastAsia="黑体" w:cs="Times New Roman"/>
          <w:szCs w:val="30"/>
        </w:rPr>
      </w:pPr>
      <w:bookmarkStart w:id="98" w:name="_Toc577"/>
      <w:bookmarkStart w:id="99" w:name="_Toc31438"/>
      <w:bookmarkStart w:id="100" w:name="_Toc2888"/>
      <w:bookmarkStart w:id="101" w:name="_Toc187328662"/>
      <w:r>
        <w:rPr>
          <w:rFonts w:hint="eastAsia" w:ascii="Times New Roman" w:hAnsi="Times New Roman" w:eastAsia="黑体" w:cs="Times New Roman"/>
          <w:szCs w:val="30"/>
        </w:rPr>
        <w:t>三、气候相关风险和机遇的财务影响</w:t>
      </w:r>
      <w:bookmarkEnd w:id="98"/>
      <w:bookmarkEnd w:id="99"/>
      <w:bookmarkEnd w:id="100"/>
      <w:bookmarkEnd w:id="101"/>
    </w:p>
    <w:p w14:paraId="494E6F94">
      <w:pPr>
        <w:widowControl/>
        <w:adjustRightInd w:val="0"/>
        <w:snapToGrid w:val="0"/>
        <w:spacing w:line="560" w:lineRule="exact"/>
        <w:ind w:firstLine="600" w:firstLineChars="200"/>
        <w:rPr>
          <w:rFonts w:ascii="仿宋_GB2312" w:hAnsi="Times New Roman" w:cs="Times New Roman"/>
          <w:szCs w:val="30"/>
        </w:rPr>
      </w:pPr>
      <w:r>
        <w:rPr>
          <w:rFonts w:hint="eastAsia" w:ascii="仿宋_GB2312" w:hAnsi="Times New Roman" w:cs="Times New Roman"/>
          <w:szCs w:val="30"/>
        </w:rPr>
        <w:t>气候相关风险和机遇对披露主体的财务影响，是披露主体面临的气候相关物理风险和机遇引发的，也与披露主体管理这些风险和机遇的战略和决策有关。气候相关风险和机遇可能会影响披露主体财务状况、经营成果和现金流，包括当期和（或）以往年度已发生的实际财务影响和预期财务影响。</w:t>
      </w:r>
    </w:p>
    <w:p w14:paraId="3876ACEB">
      <w:pPr>
        <w:widowControl/>
        <w:adjustRightInd w:val="0"/>
        <w:snapToGrid w:val="0"/>
        <w:spacing w:line="560" w:lineRule="exact"/>
        <w:ind w:firstLine="600" w:firstLineChars="200"/>
        <w:rPr>
          <w:rFonts w:ascii="仿宋_GB2312" w:hAnsi="Times New Roman" w:cs="Times New Roman"/>
          <w:szCs w:val="30"/>
        </w:rPr>
      </w:pPr>
      <w:r>
        <w:rPr>
          <w:rFonts w:hint="eastAsia" w:ascii="仿宋_GB2312" w:hAnsi="Times New Roman" w:cs="Times New Roman"/>
          <w:szCs w:val="30"/>
        </w:rPr>
        <w:t>气候相关风险和机遇的财务影响主要涉及的财务类别包括收入、支出（利润表）；资产和负债（资产负债表）以及现金流入和流出（现金流量表）等。</w:t>
      </w:r>
    </w:p>
    <w:p w14:paraId="10ED51C4">
      <w:pPr>
        <w:widowControl/>
        <w:adjustRightInd w:val="0"/>
        <w:snapToGrid w:val="0"/>
        <w:spacing w:line="560" w:lineRule="exact"/>
        <w:jc w:val="center"/>
        <w:rPr>
          <w:rFonts w:ascii="Times New Roman" w:hAnsi="Times New Roman" w:eastAsia="黑体" w:cs="Times New Roman"/>
          <w:kern w:val="0"/>
          <w:sz w:val="24"/>
          <w:szCs w:val="24"/>
        </w:rPr>
      </w:pPr>
      <w:r>
        <w:rPr>
          <w:rFonts w:hint="eastAsia" w:ascii="Times New Roman" w:hAnsi="Times New Roman" w:eastAsia="黑体" w:cs="Times New Roman"/>
          <w:kern w:val="0"/>
          <w:sz w:val="24"/>
          <w:szCs w:val="24"/>
        </w:rPr>
        <w:t>表3：气候相关财务影响的主要类别</w:t>
      </w:r>
    </w:p>
    <w:tbl>
      <w:tblPr>
        <w:tblStyle w:val="8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
        <w:gridCol w:w="6741"/>
      </w:tblGrid>
      <w:tr w14:paraId="64E26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tcPr>
          <w:p w14:paraId="6A5793A1">
            <w:pPr>
              <w:widowControl/>
              <w:adjustRightInd w:val="0"/>
              <w:snapToGrid w:val="0"/>
              <w:jc w:val="center"/>
              <w:rPr>
                <w:rFonts w:ascii="仿宋_GB2312" w:hAnsi="Times New Roman" w:cs="Times New Roman"/>
                <w:b/>
                <w:bCs/>
                <w:kern w:val="0"/>
                <w:sz w:val="24"/>
                <w:szCs w:val="24"/>
              </w:rPr>
            </w:pPr>
            <w:r>
              <w:rPr>
                <w:rFonts w:hint="eastAsia" w:ascii="仿宋_GB2312" w:hAnsi="Times New Roman" w:cs="Times New Roman"/>
                <w:b/>
                <w:bCs/>
                <w:kern w:val="0"/>
                <w:sz w:val="24"/>
                <w:szCs w:val="24"/>
              </w:rPr>
              <w:t>财务类别</w:t>
            </w:r>
          </w:p>
        </w:tc>
        <w:tc>
          <w:tcPr>
            <w:tcW w:w="6741" w:type="dxa"/>
          </w:tcPr>
          <w:p w14:paraId="2E4A4621">
            <w:pPr>
              <w:widowControl/>
              <w:adjustRightInd w:val="0"/>
              <w:snapToGrid w:val="0"/>
              <w:jc w:val="center"/>
              <w:rPr>
                <w:rFonts w:ascii="仿宋_GB2312" w:hAnsi="Times New Roman" w:cs="Times New Roman"/>
                <w:b/>
                <w:bCs/>
                <w:kern w:val="0"/>
                <w:sz w:val="24"/>
                <w:szCs w:val="24"/>
              </w:rPr>
            </w:pPr>
            <w:r>
              <w:rPr>
                <w:rFonts w:hint="eastAsia" w:ascii="仿宋_GB2312" w:hAnsi="Times New Roman" w:cs="Times New Roman"/>
                <w:b/>
                <w:bCs/>
                <w:kern w:val="0"/>
                <w:sz w:val="24"/>
                <w:szCs w:val="24"/>
              </w:rPr>
              <w:t>描述</w:t>
            </w:r>
          </w:p>
        </w:tc>
      </w:tr>
      <w:tr w14:paraId="3ECD1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Align w:val="center"/>
          </w:tcPr>
          <w:p w14:paraId="21BED92C">
            <w:pPr>
              <w:widowControl/>
              <w:adjustRightInd w:val="0"/>
              <w:snapToGrid w:val="0"/>
              <w:jc w:val="center"/>
              <w:rPr>
                <w:rFonts w:ascii="仿宋_GB2312" w:hAnsi="Times New Roman" w:cs="Times New Roman"/>
                <w:kern w:val="0"/>
                <w:sz w:val="24"/>
                <w:szCs w:val="24"/>
              </w:rPr>
            </w:pPr>
            <w:r>
              <w:rPr>
                <w:rFonts w:hint="eastAsia" w:ascii="仿宋_GB2312" w:hAnsi="Times New Roman" w:cs="Times New Roman"/>
                <w:kern w:val="0"/>
                <w:sz w:val="24"/>
                <w:szCs w:val="24"/>
              </w:rPr>
              <w:t>收入</w:t>
            </w:r>
          </w:p>
        </w:tc>
        <w:tc>
          <w:tcPr>
            <w:tcW w:w="6741" w:type="dxa"/>
          </w:tcPr>
          <w:p w14:paraId="387D7519">
            <w:pPr>
              <w:widowControl/>
              <w:adjustRightInd w:val="0"/>
              <w:snapToGrid w:val="0"/>
              <w:rPr>
                <w:rFonts w:ascii="仿宋_GB2312" w:hAnsi="Times New Roman" w:cs="Times New Roman"/>
                <w:kern w:val="0"/>
                <w:sz w:val="24"/>
                <w:szCs w:val="24"/>
              </w:rPr>
            </w:pPr>
            <w:r>
              <w:rPr>
                <w:rFonts w:hint="eastAsia" w:ascii="仿宋_GB2312" w:hAnsi="Times New Roman" w:cs="Times New Roman"/>
                <w:kern w:val="0"/>
                <w:sz w:val="24"/>
                <w:szCs w:val="24"/>
              </w:rPr>
              <w:t>如消费者偏好改变可能影响对产品和服务的需求、供应链中断导致停产影响收入等，公司应考虑气候变化对收入的潜在影响，同时关注增加或创造新收入的潜在机遇。特别是随着碳定价政策的执行及趋严，对于受影响的行业而言，可考虑对公司收入的潜在影响。</w:t>
            </w:r>
          </w:p>
        </w:tc>
      </w:tr>
      <w:tr w14:paraId="309B3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Align w:val="center"/>
          </w:tcPr>
          <w:p w14:paraId="7669EDB7">
            <w:pPr>
              <w:widowControl/>
              <w:adjustRightInd w:val="0"/>
              <w:snapToGrid w:val="0"/>
              <w:jc w:val="center"/>
              <w:rPr>
                <w:rFonts w:ascii="仿宋_GB2312" w:hAnsi="Times New Roman" w:cs="Times New Roman"/>
                <w:kern w:val="0"/>
                <w:sz w:val="24"/>
                <w:szCs w:val="24"/>
              </w:rPr>
            </w:pPr>
            <w:r>
              <w:rPr>
                <w:rFonts w:hint="eastAsia" w:ascii="仿宋_GB2312" w:hAnsi="Times New Roman" w:cs="Times New Roman"/>
                <w:kern w:val="0"/>
                <w:sz w:val="24"/>
                <w:szCs w:val="24"/>
              </w:rPr>
              <w:t>支出</w:t>
            </w:r>
          </w:p>
        </w:tc>
        <w:tc>
          <w:tcPr>
            <w:tcW w:w="6741" w:type="dxa"/>
          </w:tcPr>
          <w:p w14:paraId="38E9B505">
            <w:pPr>
              <w:widowControl/>
              <w:adjustRightInd w:val="0"/>
              <w:snapToGrid w:val="0"/>
              <w:rPr>
                <w:rFonts w:ascii="仿宋_GB2312" w:hAnsi="Times New Roman" w:cs="Times New Roman"/>
                <w:kern w:val="0"/>
                <w:sz w:val="24"/>
                <w:szCs w:val="24"/>
              </w:rPr>
            </w:pPr>
            <w:r>
              <w:rPr>
                <w:rFonts w:hint="eastAsia" w:ascii="仿宋_GB2312" w:hAnsi="Times New Roman" w:cs="Times New Roman"/>
                <w:kern w:val="0"/>
                <w:sz w:val="24"/>
                <w:szCs w:val="24"/>
              </w:rPr>
              <w:t>如增加对新技术的研发支出，能源、水资源等使用成本的上升，气候高风险地区资产的保险费用提高，高温条件下户外作业员工的保障设施升级支出等。</w:t>
            </w:r>
          </w:p>
        </w:tc>
      </w:tr>
      <w:tr w14:paraId="55122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55" w:type="dxa"/>
            <w:vAlign w:val="center"/>
          </w:tcPr>
          <w:p w14:paraId="6E0CA1B1">
            <w:pPr>
              <w:widowControl/>
              <w:adjustRightInd w:val="0"/>
              <w:snapToGrid w:val="0"/>
              <w:jc w:val="center"/>
              <w:rPr>
                <w:rFonts w:ascii="仿宋_GB2312" w:hAnsi="Times New Roman" w:cs="Times New Roman"/>
                <w:kern w:val="0"/>
                <w:sz w:val="24"/>
                <w:szCs w:val="24"/>
              </w:rPr>
            </w:pPr>
            <w:r>
              <w:rPr>
                <w:rFonts w:hint="eastAsia" w:ascii="仿宋_GB2312" w:hAnsi="Times New Roman" w:cs="Times New Roman"/>
                <w:kern w:val="0"/>
                <w:sz w:val="24"/>
                <w:szCs w:val="24"/>
              </w:rPr>
              <w:t>资产和负债</w:t>
            </w:r>
          </w:p>
        </w:tc>
        <w:tc>
          <w:tcPr>
            <w:tcW w:w="6741" w:type="dxa"/>
          </w:tcPr>
          <w:p w14:paraId="2592FDA7">
            <w:pPr>
              <w:widowControl/>
              <w:adjustRightInd w:val="0"/>
              <w:snapToGrid w:val="0"/>
              <w:rPr>
                <w:rFonts w:ascii="仿宋_GB2312" w:hAnsi="Times New Roman" w:cs="Times New Roman"/>
                <w:kern w:val="0"/>
                <w:sz w:val="24"/>
                <w:szCs w:val="24"/>
              </w:rPr>
            </w:pPr>
            <w:r>
              <w:rPr>
                <w:rFonts w:hint="eastAsia" w:ascii="仿宋_GB2312" w:hAnsi="Times New Roman" w:cs="Times New Roman"/>
                <w:kern w:val="0"/>
                <w:sz w:val="24"/>
                <w:szCs w:val="24"/>
              </w:rPr>
              <w:t>如气候变化及相关政策出台、制定减排目标，部分固定资产需要提前淘汰，导致固定资产减值或折旧年限缩短；公司承担环境保护和生态恢复等义务所计提的预计负债，由于技术进步、法律要求或市场环境变化等原因，固定资产履行弃置义务的支出金额、预计弃置时点等变动，从而引起的预计负债变动。</w:t>
            </w:r>
          </w:p>
        </w:tc>
      </w:tr>
      <w:tr w14:paraId="32349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Align w:val="center"/>
          </w:tcPr>
          <w:p w14:paraId="14783D1A">
            <w:pPr>
              <w:widowControl/>
              <w:adjustRightInd w:val="0"/>
              <w:snapToGrid w:val="0"/>
              <w:jc w:val="center"/>
              <w:rPr>
                <w:rFonts w:ascii="仿宋_GB2312" w:hAnsi="Times New Roman" w:cs="Times New Roman"/>
                <w:kern w:val="0"/>
                <w:sz w:val="24"/>
                <w:szCs w:val="24"/>
              </w:rPr>
            </w:pPr>
            <w:r>
              <w:rPr>
                <w:rFonts w:hint="eastAsia" w:ascii="仿宋_GB2312" w:hAnsi="Times New Roman" w:cs="Times New Roman"/>
                <w:kern w:val="0"/>
                <w:sz w:val="24"/>
                <w:szCs w:val="24"/>
              </w:rPr>
              <w:t>现金流等</w:t>
            </w:r>
          </w:p>
        </w:tc>
        <w:tc>
          <w:tcPr>
            <w:tcW w:w="6741" w:type="dxa"/>
          </w:tcPr>
          <w:p w14:paraId="698942AB">
            <w:pPr>
              <w:widowControl/>
              <w:adjustRightInd w:val="0"/>
              <w:snapToGrid w:val="0"/>
              <w:rPr>
                <w:rFonts w:ascii="仿宋_GB2312" w:hAnsi="Times New Roman" w:cs="Times New Roman"/>
                <w:kern w:val="0"/>
                <w:sz w:val="24"/>
                <w:szCs w:val="24"/>
              </w:rPr>
            </w:pPr>
            <w:r>
              <w:rPr>
                <w:rFonts w:hint="eastAsia" w:ascii="仿宋_GB2312" w:hAnsi="Times New Roman" w:cs="Times New Roman"/>
                <w:kern w:val="0"/>
                <w:sz w:val="24"/>
                <w:szCs w:val="24"/>
              </w:rPr>
              <w:t>如气候变化导致的自然灾害、市场波动以及原材料和运输成本的变动对经营活动现金流产生影响；增加新的资本支出、提高债务水平，声誉风险对于再融资能力的削弱等对投资和筹资活动现金流产生影响。</w:t>
            </w:r>
          </w:p>
        </w:tc>
      </w:tr>
    </w:tbl>
    <w:p w14:paraId="6C869E58">
      <w:pPr>
        <w:widowControl/>
        <w:adjustRightInd w:val="0"/>
        <w:snapToGrid w:val="0"/>
        <w:spacing w:before="156" w:beforeLines="50" w:line="560" w:lineRule="exact"/>
        <w:ind w:firstLine="600" w:firstLineChars="200"/>
        <w:rPr>
          <w:rFonts w:ascii="仿宋_GB2312" w:hAnsi="Times New Roman" w:cs="Times New Roman"/>
          <w:szCs w:val="30"/>
        </w:rPr>
      </w:pPr>
      <w:r>
        <w:rPr>
          <w:rFonts w:hint="eastAsia" w:ascii="仿宋_GB2312" w:hAnsi="Times New Roman" w:cs="Times New Roman"/>
          <w:szCs w:val="30"/>
        </w:rPr>
        <w:t>气候相关财务影响包括当期（报告期间）的财务影响，以及预期（短期、中期和长期）的财务影响。</w:t>
      </w:r>
    </w:p>
    <w:p w14:paraId="11CECB1D">
      <w:pPr>
        <w:widowControl/>
        <w:adjustRightInd w:val="0"/>
        <w:snapToGrid w:val="0"/>
        <w:spacing w:line="560" w:lineRule="exact"/>
        <w:jc w:val="center"/>
        <w:rPr>
          <w:rFonts w:ascii="Times New Roman" w:hAnsi="Times New Roman" w:eastAsia="黑体" w:cs="Times New Roman"/>
          <w:kern w:val="0"/>
          <w:sz w:val="24"/>
          <w:szCs w:val="24"/>
        </w:rPr>
      </w:pPr>
    </w:p>
    <w:p w14:paraId="48789443">
      <w:pPr>
        <w:widowControl/>
        <w:jc w:val="left"/>
        <w:rPr>
          <w:rFonts w:ascii="Times New Roman" w:hAnsi="Times New Roman" w:eastAsia="黑体" w:cs="Times New Roman"/>
          <w:kern w:val="0"/>
          <w:sz w:val="24"/>
          <w:szCs w:val="24"/>
        </w:rPr>
      </w:pPr>
      <w:r>
        <w:rPr>
          <w:rFonts w:ascii="Times New Roman" w:hAnsi="Times New Roman" w:eastAsia="黑体" w:cs="Times New Roman"/>
          <w:kern w:val="0"/>
          <w:sz w:val="24"/>
          <w:szCs w:val="24"/>
        </w:rPr>
        <w:br w:type="page"/>
      </w:r>
    </w:p>
    <w:p w14:paraId="28C7480B">
      <w:pPr>
        <w:widowControl/>
        <w:adjustRightInd w:val="0"/>
        <w:snapToGrid w:val="0"/>
        <w:spacing w:line="204" w:lineRule="auto"/>
        <w:jc w:val="center"/>
        <w:rPr>
          <w:rFonts w:ascii="Times New Roman" w:hAnsi="Times New Roman" w:eastAsia="黑体" w:cs="Times New Roman"/>
          <w:kern w:val="0"/>
          <w:sz w:val="24"/>
          <w:szCs w:val="24"/>
        </w:rPr>
      </w:pPr>
      <w:r>
        <w:rPr>
          <w:rFonts w:hint="eastAsia" w:ascii="Times New Roman" w:hAnsi="Times New Roman" w:eastAsia="黑体" w:cs="Times New Roman"/>
          <w:kern w:val="0"/>
          <w:sz w:val="24"/>
          <w:szCs w:val="24"/>
        </w:rPr>
        <w:t>表4：气候相关风险和财务影响的示例</w:t>
      </w:r>
    </w:p>
    <w:tbl>
      <w:tblPr>
        <w:tblStyle w:val="8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0"/>
        <w:gridCol w:w="2542"/>
        <w:gridCol w:w="4930"/>
      </w:tblGrid>
      <w:tr w14:paraId="7C6EA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0" w:type="dxa"/>
          </w:tcPr>
          <w:p w14:paraId="02D57051">
            <w:pPr>
              <w:widowControl/>
              <w:adjustRightInd w:val="0"/>
              <w:snapToGrid w:val="0"/>
              <w:spacing w:line="204" w:lineRule="auto"/>
              <w:jc w:val="center"/>
              <w:rPr>
                <w:rFonts w:ascii="仿宋_GB2312" w:hAnsi="仿宋_GB2312" w:cs="仿宋_GB2312"/>
                <w:b/>
                <w:bCs/>
                <w:kern w:val="0"/>
                <w:sz w:val="24"/>
                <w:szCs w:val="24"/>
              </w:rPr>
            </w:pPr>
            <w:r>
              <w:rPr>
                <w:rFonts w:hint="eastAsia" w:ascii="仿宋_GB2312" w:hAnsi="仿宋_GB2312" w:cs="仿宋_GB2312"/>
                <w:b/>
                <w:bCs/>
                <w:kern w:val="0"/>
                <w:sz w:val="24"/>
                <w:szCs w:val="24"/>
              </w:rPr>
              <w:t>类型</w:t>
            </w:r>
          </w:p>
        </w:tc>
        <w:tc>
          <w:tcPr>
            <w:tcW w:w="2542" w:type="dxa"/>
          </w:tcPr>
          <w:p w14:paraId="6BAB1D46">
            <w:pPr>
              <w:widowControl/>
              <w:adjustRightInd w:val="0"/>
              <w:snapToGrid w:val="0"/>
              <w:spacing w:line="204" w:lineRule="auto"/>
              <w:jc w:val="center"/>
              <w:rPr>
                <w:rFonts w:ascii="仿宋_GB2312" w:hAnsi="仿宋_GB2312" w:cs="仿宋_GB2312"/>
                <w:b/>
                <w:bCs/>
                <w:kern w:val="0"/>
                <w:sz w:val="24"/>
                <w:szCs w:val="24"/>
              </w:rPr>
            </w:pPr>
            <w:r>
              <w:rPr>
                <w:rFonts w:hint="eastAsia" w:ascii="仿宋_GB2312" w:hAnsi="仿宋_GB2312" w:cs="仿宋_GB2312"/>
                <w:b/>
                <w:bCs/>
                <w:kern w:val="0"/>
                <w:sz w:val="24"/>
                <w:szCs w:val="24"/>
              </w:rPr>
              <w:t>气候相关风险</w:t>
            </w:r>
          </w:p>
        </w:tc>
        <w:tc>
          <w:tcPr>
            <w:tcW w:w="4930" w:type="dxa"/>
          </w:tcPr>
          <w:p w14:paraId="3FAF271E">
            <w:pPr>
              <w:widowControl/>
              <w:adjustRightInd w:val="0"/>
              <w:snapToGrid w:val="0"/>
              <w:spacing w:line="204" w:lineRule="auto"/>
              <w:jc w:val="center"/>
              <w:rPr>
                <w:rFonts w:ascii="仿宋_GB2312" w:hAnsi="仿宋_GB2312" w:cs="仿宋_GB2312"/>
                <w:b/>
                <w:bCs/>
                <w:kern w:val="0"/>
                <w:sz w:val="24"/>
                <w:szCs w:val="24"/>
              </w:rPr>
            </w:pPr>
            <w:r>
              <w:rPr>
                <w:rFonts w:hint="eastAsia" w:ascii="仿宋_GB2312" w:hAnsi="仿宋_GB2312" w:cs="仿宋_GB2312"/>
                <w:b/>
                <w:bCs/>
                <w:kern w:val="0"/>
                <w:sz w:val="24"/>
                <w:szCs w:val="24"/>
              </w:rPr>
              <w:t>财务影响</w:t>
            </w:r>
          </w:p>
        </w:tc>
      </w:tr>
      <w:tr w14:paraId="79C38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0" w:type="dxa"/>
            <w:vMerge w:val="restart"/>
            <w:vAlign w:val="center"/>
          </w:tcPr>
          <w:p w14:paraId="54E4BF66">
            <w:pPr>
              <w:widowControl/>
              <w:adjustRightInd w:val="0"/>
              <w:snapToGrid w:val="0"/>
              <w:spacing w:line="204" w:lineRule="auto"/>
              <w:jc w:val="left"/>
              <w:rPr>
                <w:rFonts w:ascii="仿宋_GB2312" w:hAnsi="仿宋_GB2312" w:cs="仿宋_GB2312"/>
                <w:kern w:val="0"/>
                <w:sz w:val="24"/>
                <w:szCs w:val="24"/>
              </w:rPr>
            </w:pPr>
            <w:r>
              <w:rPr>
                <w:rFonts w:hint="eastAsia" w:ascii="仿宋_GB2312" w:hAnsi="仿宋_GB2312" w:cs="仿宋_GB2312"/>
                <w:kern w:val="0"/>
                <w:sz w:val="24"/>
                <w:szCs w:val="24"/>
              </w:rPr>
              <w:t>转型</w:t>
            </w:r>
          </w:p>
          <w:p w14:paraId="44F68BCF">
            <w:pPr>
              <w:widowControl/>
              <w:adjustRightInd w:val="0"/>
              <w:snapToGrid w:val="0"/>
              <w:spacing w:line="204" w:lineRule="auto"/>
              <w:jc w:val="left"/>
              <w:rPr>
                <w:rFonts w:ascii="仿宋_GB2312" w:hAnsi="仿宋_GB2312" w:cs="仿宋_GB2312"/>
                <w:kern w:val="0"/>
                <w:sz w:val="24"/>
                <w:szCs w:val="24"/>
              </w:rPr>
            </w:pPr>
            <w:r>
              <w:rPr>
                <w:rFonts w:hint="eastAsia" w:ascii="仿宋_GB2312" w:hAnsi="仿宋_GB2312" w:cs="仿宋_GB2312"/>
                <w:kern w:val="0"/>
                <w:sz w:val="24"/>
                <w:szCs w:val="24"/>
              </w:rPr>
              <w:t>风险</w:t>
            </w:r>
          </w:p>
        </w:tc>
        <w:tc>
          <w:tcPr>
            <w:tcW w:w="7472" w:type="dxa"/>
            <w:gridSpan w:val="2"/>
          </w:tcPr>
          <w:p w14:paraId="089A0F54">
            <w:pPr>
              <w:widowControl/>
              <w:adjustRightInd w:val="0"/>
              <w:snapToGrid w:val="0"/>
              <w:spacing w:line="204" w:lineRule="auto"/>
              <w:rPr>
                <w:rFonts w:ascii="仿宋_GB2312" w:hAnsi="仿宋_GB2312" w:cs="仿宋_GB2312"/>
                <w:kern w:val="0"/>
                <w:sz w:val="24"/>
                <w:szCs w:val="24"/>
              </w:rPr>
            </w:pPr>
            <w:r>
              <w:rPr>
                <w:rFonts w:hint="eastAsia" w:ascii="仿宋_GB2312" w:hAnsi="仿宋_GB2312" w:cs="仿宋_GB2312"/>
                <w:kern w:val="0"/>
                <w:sz w:val="24"/>
                <w:szCs w:val="24"/>
              </w:rPr>
              <w:t>政策和法律</w:t>
            </w:r>
          </w:p>
        </w:tc>
      </w:tr>
      <w:tr w14:paraId="0A715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0" w:type="dxa"/>
            <w:vMerge w:val="continue"/>
          </w:tcPr>
          <w:p w14:paraId="516AE352">
            <w:pPr>
              <w:widowControl/>
              <w:adjustRightInd w:val="0"/>
              <w:snapToGrid w:val="0"/>
              <w:spacing w:line="204" w:lineRule="auto"/>
              <w:jc w:val="center"/>
              <w:rPr>
                <w:rFonts w:ascii="仿宋_GB2312" w:hAnsi="仿宋_GB2312" w:cs="仿宋_GB2312"/>
                <w:kern w:val="0"/>
                <w:sz w:val="24"/>
                <w:szCs w:val="24"/>
              </w:rPr>
            </w:pPr>
          </w:p>
        </w:tc>
        <w:tc>
          <w:tcPr>
            <w:tcW w:w="2542" w:type="dxa"/>
          </w:tcPr>
          <w:p w14:paraId="27DF8C6F">
            <w:pPr>
              <w:widowControl/>
              <w:adjustRightInd w:val="0"/>
              <w:snapToGrid w:val="0"/>
              <w:spacing w:line="204" w:lineRule="auto"/>
              <w:rPr>
                <w:rFonts w:ascii="仿宋_GB2312" w:hAnsi="仿宋_GB2312" w:cs="仿宋_GB2312"/>
                <w:kern w:val="0"/>
                <w:sz w:val="24"/>
                <w:szCs w:val="24"/>
              </w:rPr>
            </w:pPr>
            <w:r>
              <w:rPr>
                <w:rFonts w:hint="eastAsia" w:ascii="微软雅黑" w:hAnsi="微软雅黑" w:eastAsia="微软雅黑" w:cs="微软雅黑"/>
                <w:kern w:val="0"/>
                <w:sz w:val="24"/>
                <w:szCs w:val="24"/>
              </w:rPr>
              <w:t>−</w:t>
            </w:r>
            <w:r>
              <w:rPr>
                <w:rFonts w:hint="eastAsia" w:ascii="仿宋_GB2312" w:hAnsi="仿宋_GB2312" w:cs="仿宋_GB2312"/>
                <w:kern w:val="0"/>
                <w:sz w:val="24"/>
                <w:szCs w:val="24"/>
              </w:rPr>
              <w:t>上涨的温室气体排放配额价格</w:t>
            </w:r>
          </w:p>
          <w:p w14:paraId="5EC926AB">
            <w:pPr>
              <w:widowControl/>
              <w:adjustRightInd w:val="0"/>
              <w:snapToGrid w:val="0"/>
              <w:spacing w:line="204" w:lineRule="auto"/>
              <w:rPr>
                <w:rFonts w:ascii="仿宋_GB2312" w:hAnsi="仿宋_GB2312" w:cs="仿宋_GB2312"/>
                <w:kern w:val="0"/>
                <w:sz w:val="24"/>
                <w:szCs w:val="24"/>
              </w:rPr>
            </w:pPr>
            <w:r>
              <w:rPr>
                <w:rFonts w:hint="eastAsia" w:ascii="微软雅黑" w:hAnsi="微软雅黑" w:eastAsia="微软雅黑" w:cs="微软雅黑"/>
                <w:kern w:val="0"/>
                <w:sz w:val="24"/>
                <w:szCs w:val="24"/>
              </w:rPr>
              <w:t>−</w:t>
            </w:r>
            <w:r>
              <w:rPr>
                <w:rFonts w:ascii="仿宋_GB2312" w:hAnsi="仿宋_GB2312" w:cs="仿宋_GB2312"/>
                <w:kern w:val="0"/>
                <w:sz w:val="24"/>
                <w:szCs w:val="24"/>
              </w:rPr>
              <w:t>强化的排放报告义务</w:t>
            </w:r>
          </w:p>
          <w:p w14:paraId="6F0F0E39">
            <w:pPr>
              <w:widowControl/>
              <w:adjustRightInd w:val="0"/>
              <w:snapToGrid w:val="0"/>
              <w:spacing w:line="204" w:lineRule="auto"/>
              <w:rPr>
                <w:rFonts w:ascii="仿宋_GB2312" w:hAnsi="仿宋_GB2312" w:cs="仿宋_GB2312"/>
                <w:kern w:val="0"/>
                <w:sz w:val="24"/>
                <w:szCs w:val="24"/>
              </w:rPr>
            </w:pPr>
            <w:r>
              <w:rPr>
                <w:rFonts w:hint="eastAsia" w:ascii="微软雅黑" w:hAnsi="微软雅黑" w:eastAsia="微软雅黑" w:cs="微软雅黑"/>
                <w:kern w:val="0"/>
                <w:sz w:val="24"/>
                <w:szCs w:val="24"/>
              </w:rPr>
              <w:t>−</w:t>
            </w:r>
            <w:r>
              <w:rPr>
                <w:rFonts w:ascii="仿宋_GB2312" w:hAnsi="仿宋_GB2312" w:cs="仿宋_GB2312"/>
                <w:kern w:val="0"/>
                <w:sz w:val="24"/>
                <w:szCs w:val="24"/>
              </w:rPr>
              <w:t>现有产品和服务的强制要求和监管</w:t>
            </w:r>
          </w:p>
          <w:p w14:paraId="09FF6DF8">
            <w:pPr>
              <w:widowControl/>
              <w:adjustRightInd w:val="0"/>
              <w:snapToGrid w:val="0"/>
              <w:spacing w:line="204" w:lineRule="auto"/>
              <w:rPr>
                <w:rFonts w:ascii="仿宋_GB2312" w:hAnsi="仿宋_GB2312" w:cs="仿宋_GB2312"/>
                <w:kern w:val="0"/>
                <w:sz w:val="24"/>
                <w:szCs w:val="24"/>
              </w:rPr>
            </w:pPr>
            <w:r>
              <w:rPr>
                <w:rFonts w:hint="eastAsia" w:ascii="微软雅黑" w:hAnsi="微软雅黑" w:eastAsia="微软雅黑" w:cs="微软雅黑"/>
                <w:kern w:val="0"/>
                <w:sz w:val="24"/>
                <w:szCs w:val="24"/>
              </w:rPr>
              <w:t>−</w:t>
            </w:r>
            <w:r>
              <w:rPr>
                <w:rFonts w:ascii="仿宋_GB2312" w:hAnsi="仿宋_GB2312" w:cs="仿宋_GB2312"/>
                <w:kern w:val="0"/>
                <w:sz w:val="24"/>
                <w:szCs w:val="24"/>
              </w:rPr>
              <w:t>诉讼风险</w:t>
            </w:r>
          </w:p>
        </w:tc>
        <w:tc>
          <w:tcPr>
            <w:tcW w:w="4930" w:type="dxa"/>
          </w:tcPr>
          <w:p w14:paraId="0C9E1DD7">
            <w:pPr>
              <w:widowControl/>
              <w:adjustRightInd w:val="0"/>
              <w:snapToGrid w:val="0"/>
              <w:spacing w:line="204" w:lineRule="auto"/>
              <w:rPr>
                <w:rFonts w:ascii="仿宋_GB2312" w:hAnsi="仿宋_GB2312" w:cs="仿宋_GB2312"/>
                <w:kern w:val="0"/>
                <w:sz w:val="24"/>
                <w:szCs w:val="24"/>
              </w:rPr>
            </w:pPr>
            <w:r>
              <w:rPr>
                <w:rFonts w:hint="eastAsia" w:ascii="微软雅黑" w:hAnsi="微软雅黑" w:eastAsia="微软雅黑" w:cs="微软雅黑"/>
                <w:kern w:val="0"/>
                <w:sz w:val="24"/>
                <w:szCs w:val="24"/>
              </w:rPr>
              <w:t>−</w:t>
            </w:r>
            <w:r>
              <w:rPr>
                <w:rFonts w:ascii="仿宋_GB2312" w:hAnsi="仿宋_GB2312" w:cs="仿宋_GB2312"/>
                <w:kern w:val="0"/>
                <w:sz w:val="24"/>
                <w:szCs w:val="24"/>
              </w:rPr>
              <w:t>增加的运营成本（例如，更高的合规成本、增加的保险费）</w:t>
            </w:r>
          </w:p>
          <w:p w14:paraId="5F22E3BB">
            <w:pPr>
              <w:widowControl/>
              <w:adjustRightInd w:val="0"/>
              <w:snapToGrid w:val="0"/>
              <w:spacing w:line="204" w:lineRule="auto"/>
              <w:rPr>
                <w:rFonts w:ascii="仿宋_GB2312" w:hAnsi="仿宋_GB2312" w:cs="仿宋_GB2312"/>
                <w:kern w:val="0"/>
                <w:sz w:val="24"/>
                <w:szCs w:val="24"/>
              </w:rPr>
            </w:pPr>
            <w:r>
              <w:rPr>
                <w:rFonts w:hint="eastAsia" w:ascii="微软雅黑" w:hAnsi="微软雅黑" w:eastAsia="微软雅黑" w:cs="微软雅黑"/>
                <w:kern w:val="0"/>
                <w:sz w:val="24"/>
                <w:szCs w:val="24"/>
              </w:rPr>
              <w:t>−</w:t>
            </w:r>
            <w:r>
              <w:rPr>
                <w:rFonts w:ascii="仿宋_GB2312" w:hAnsi="仿宋_GB2312" w:cs="仿宋_GB2312"/>
                <w:kern w:val="0"/>
                <w:sz w:val="24"/>
                <w:szCs w:val="24"/>
              </w:rPr>
              <w:t>由于政策变动，</w:t>
            </w:r>
            <w:r>
              <w:rPr>
                <w:rFonts w:hint="eastAsia" w:ascii="仿宋_GB2312" w:hAnsi="仿宋_GB2312" w:cs="仿宋_GB2312"/>
                <w:kern w:val="0"/>
                <w:sz w:val="24"/>
                <w:szCs w:val="24"/>
              </w:rPr>
              <w:t>现有资产的减值和提前报废</w:t>
            </w:r>
          </w:p>
          <w:p w14:paraId="41ECFD94">
            <w:pPr>
              <w:widowControl/>
              <w:adjustRightInd w:val="0"/>
              <w:snapToGrid w:val="0"/>
              <w:spacing w:line="204" w:lineRule="auto"/>
              <w:rPr>
                <w:rFonts w:ascii="仿宋_GB2312" w:hAnsi="仿宋_GB2312" w:cs="仿宋_GB2312"/>
                <w:kern w:val="0"/>
                <w:sz w:val="24"/>
                <w:szCs w:val="24"/>
              </w:rPr>
            </w:pPr>
            <w:r>
              <w:rPr>
                <w:rFonts w:hint="eastAsia" w:ascii="微软雅黑" w:hAnsi="微软雅黑" w:eastAsia="微软雅黑" w:cs="微软雅黑"/>
                <w:kern w:val="0"/>
                <w:sz w:val="24"/>
                <w:szCs w:val="24"/>
              </w:rPr>
              <w:t>−</w:t>
            </w:r>
            <w:r>
              <w:rPr>
                <w:rFonts w:ascii="仿宋_GB2312" w:hAnsi="仿宋_GB2312" w:cs="仿宋_GB2312"/>
                <w:kern w:val="0"/>
                <w:sz w:val="24"/>
                <w:szCs w:val="24"/>
              </w:rPr>
              <w:t>由于罚款和</w:t>
            </w:r>
            <w:r>
              <w:rPr>
                <w:rFonts w:hint="eastAsia" w:ascii="仿宋_GB2312" w:hAnsi="仿宋_GB2312" w:cs="仿宋_GB2312"/>
                <w:kern w:val="0"/>
                <w:sz w:val="24"/>
                <w:szCs w:val="24"/>
              </w:rPr>
              <w:t>判决</w:t>
            </w:r>
            <w:r>
              <w:rPr>
                <w:rFonts w:ascii="仿宋_GB2312" w:hAnsi="仿宋_GB2312" w:cs="仿宋_GB2312"/>
                <w:kern w:val="0"/>
                <w:sz w:val="24"/>
                <w:szCs w:val="24"/>
              </w:rPr>
              <w:t>，产品和服务的成本增加和/或相应需求减少</w:t>
            </w:r>
          </w:p>
        </w:tc>
      </w:tr>
      <w:tr w14:paraId="44CF4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50" w:type="dxa"/>
            <w:vMerge w:val="continue"/>
          </w:tcPr>
          <w:p w14:paraId="5F7265FE">
            <w:pPr>
              <w:widowControl/>
              <w:adjustRightInd w:val="0"/>
              <w:snapToGrid w:val="0"/>
              <w:spacing w:line="204" w:lineRule="auto"/>
              <w:jc w:val="center"/>
              <w:rPr>
                <w:rFonts w:ascii="仿宋_GB2312" w:hAnsi="仿宋_GB2312" w:cs="仿宋_GB2312"/>
                <w:kern w:val="0"/>
                <w:sz w:val="24"/>
                <w:szCs w:val="24"/>
              </w:rPr>
            </w:pPr>
          </w:p>
        </w:tc>
        <w:tc>
          <w:tcPr>
            <w:tcW w:w="7472" w:type="dxa"/>
            <w:gridSpan w:val="2"/>
          </w:tcPr>
          <w:p w14:paraId="53685A6F">
            <w:pPr>
              <w:widowControl/>
              <w:adjustRightInd w:val="0"/>
              <w:snapToGrid w:val="0"/>
              <w:spacing w:line="204" w:lineRule="auto"/>
              <w:rPr>
                <w:rFonts w:ascii="仿宋_GB2312" w:hAnsi="仿宋_GB2312" w:cs="仿宋_GB2312"/>
                <w:kern w:val="0"/>
                <w:sz w:val="24"/>
                <w:szCs w:val="24"/>
              </w:rPr>
            </w:pPr>
            <w:r>
              <w:rPr>
                <w:rFonts w:hint="eastAsia" w:ascii="仿宋_GB2312" w:hAnsi="仿宋_GB2312" w:cs="仿宋_GB2312"/>
                <w:kern w:val="0"/>
                <w:sz w:val="24"/>
                <w:szCs w:val="24"/>
              </w:rPr>
              <w:t>技术</w:t>
            </w:r>
          </w:p>
        </w:tc>
      </w:tr>
      <w:tr w14:paraId="18650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0" w:type="dxa"/>
            <w:vMerge w:val="continue"/>
          </w:tcPr>
          <w:p w14:paraId="45C0EB02">
            <w:pPr>
              <w:widowControl/>
              <w:adjustRightInd w:val="0"/>
              <w:snapToGrid w:val="0"/>
              <w:spacing w:line="204" w:lineRule="auto"/>
              <w:jc w:val="center"/>
              <w:rPr>
                <w:rFonts w:ascii="仿宋_GB2312" w:hAnsi="仿宋_GB2312" w:cs="仿宋_GB2312"/>
                <w:kern w:val="0"/>
                <w:sz w:val="24"/>
                <w:szCs w:val="24"/>
              </w:rPr>
            </w:pPr>
          </w:p>
        </w:tc>
        <w:tc>
          <w:tcPr>
            <w:tcW w:w="2542" w:type="dxa"/>
          </w:tcPr>
          <w:p w14:paraId="6555E998">
            <w:pPr>
              <w:widowControl/>
              <w:adjustRightInd w:val="0"/>
              <w:snapToGrid w:val="0"/>
              <w:spacing w:line="204" w:lineRule="auto"/>
              <w:rPr>
                <w:rFonts w:ascii="仿宋_GB2312" w:hAnsi="仿宋_GB2312" w:cs="仿宋_GB2312"/>
                <w:kern w:val="0"/>
                <w:sz w:val="24"/>
                <w:szCs w:val="24"/>
              </w:rPr>
            </w:pPr>
            <w:r>
              <w:rPr>
                <w:rFonts w:hint="eastAsia" w:ascii="微软雅黑" w:hAnsi="微软雅黑" w:eastAsia="微软雅黑" w:cs="微软雅黑"/>
                <w:kern w:val="0"/>
                <w:sz w:val="24"/>
                <w:szCs w:val="24"/>
              </w:rPr>
              <w:t>−</w:t>
            </w:r>
            <w:r>
              <w:rPr>
                <w:rFonts w:ascii="仿宋_GB2312" w:hAnsi="仿宋_GB2312" w:cs="仿宋_GB2312"/>
                <w:kern w:val="0"/>
                <w:sz w:val="24"/>
                <w:szCs w:val="24"/>
              </w:rPr>
              <w:t>对现有产品和服务的低排放量替代品</w:t>
            </w:r>
          </w:p>
          <w:p w14:paraId="67364141">
            <w:pPr>
              <w:widowControl/>
              <w:adjustRightInd w:val="0"/>
              <w:snapToGrid w:val="0"/>
              <w:spacing w:line="204" w:lineRule="auto"/>
              <w:rPr>
                <w:rFonts w:ascii="仿宋_GB2312" w:hAnsi="仿宋_GB2312" w:cs="仿宋_GB2312"/>
                <w:kern w:val="0"/>
                <w:sz w:val="24"/>
                <w:szCs w:val="24"/>
              </w:rPr>
            </w:pPr>
            <w:r>
              <w:rPr>
                <w:rFonts w:hint="eastAsia" w:ascii="微软雅黑" w:hAnsi="微软雅黑" w:eastAsia="微软雅黑" w:cs="微软雅黑"/>
                <w:kern w:val="0"/>
                <w:sz w:val="24"/>
                <w:szCs w:val="24"/>
              </w:rPr>
              <w:t>−</w:t>
            </w:r>
            <w:r>
              <w:rPr>
                <w:rFonts w:ascii="仿宋_GB2312" w:hAnsi="仿宋_GB2312" w:cs="仿宋_GB2312"/>
                <w:kern w:val="0"/>
                <w:sz w:val="24"/>
                <w:szCs w:val="24"/>
              </w:rPr>
              <w:t>对新技术的投资失败</w:t>
            </w:r>
          </w:p>
          <w:p w14:paraId="0C978FC7">
            <w:pPr>
              <w:widowControl/>
              <w:adjustRightInd w:val="0"/>
              <w:snapToGrid w:val="0"/>
              <w:spacing w:line="204" w:lineRule="auto"/>
              <w:rPr>
                <w:rFonts w:ascii="仿宋_GB2312" w:hAnsi="仿宋_GB2312" w:cs="仿宋_GB2312"/>
                <w:kern w:val="0"/>
                <w:sz w:val="24"/>
                <w:szCs w:val="24"/>
              </w:rPr>
            </w:pPr>
            <w:r>
              <w:rPr>
                <w:rFonts w:hint="eastAsia" w:ascii="微软雅黑" w:hAnsi="微软雅黑" w:eastAsia="微软雅黑" w:cs="微软雅黑"/>
                <w:kern w:val="0"/>
                <w:sz w:val="24"/>
                <w:szCs w:val="24"/>
              </w:rPr>
              <w:t>−</w:t>
            </w:r>
            <w:r>
              <w:rPr>
                <w:rFonts w:ascii="仿宋_GB2312" w:hAnsi="仿宋_GB2312" w:cs="仿宋_GB2312"/>
                <w:kern w:val="0"/>
                <w:sz w:val="24"/>
                <w:szCs w:val="24"/>
              </w:rPr>
              <w:t>向低排放技术转换的成本</w:t>
            </w:r>
          </w:p>
        </w:tc>
        <w:tc>
          <w:tcPr>
            <w:tcW w:w="4930" w:type="dxa"/>
          </w:tcPr>
          <w:p w14:paraId="34D58D5A">
            <w:pPr>
              <w:widowControl/>
              <w:adjustRightInd w:val="0"/>
              <w:snapToGrid w:val="0"/>
              <w:spacing w:line="204" w:lineRule="auto"/>
              <w:rPr>
                <w:rFonts w:ascii="仿宋_GB2312" w:hAnsi="仿宋_GB2312" w:cs="仿宋_GB2312"/>
                <w:kern w:val="0"/>
                <w:sz w:val="24"/>
                <w:szCs w:val="24"/>
              </w:rPr>
            </w:pPr>
            <w:r>
              <w:rPr>
                <w:rFonts w:hint="eastAsia" w:ascii="微软雅黑" w:hAnsi="微软雅黑" w:eastAsia="微软雅黑" w:cs="微软雅黑"/>
                <w:kern w:val="0"/>
                <w:sz w:val="24"/>
                <w:szCs w:val="24"/>
              </w:rPr>
              <w:t>−</w:t>
            </w:r>
            <w:r>
              <w:rPr>
                <w:rFonts w:hint="eastAsia" w:ascii="仿宋_GB2312" w:hAnsi="仿宋_GB2312" w:cs="仿宋_GB2312"/>
                <w:kern w:val="0"/>
                <w:sz w:val="24"/>
                <w:szCs w:val="24"/>
              </w:rPr>
              <w:t>现有资产的注销和提前报废</w:t>
            </w:r>
          </w:p>
          <w:p w14:paraId="66BED5FB">
            <w:pPr>
              <w:widowControl/>
              <w:adjustRightInd w:val="0"/>
              <w:snapToGrid w:val="0"/>
              <w:spacing w:line="204" w:lineRule="auto"/>
              <w:rPr>
                <w:rFonts w:ascii="仿宋_GB2312" w:hAnsi="仿宋_GB2312" w:cs="仿宋_GB2312"/>
                <w:kern w:val="0"/>
                <w:sz w:val="24"/>
                <w:szCs w:val="24"/>
              </w:rPr>
            </w:pPr>
            <w:r>
              <w:rPr>
                <w:rFonts w:hint="eastAsia" w:ascii="微软雅黑" w:hAnsi="微软雅黑" w:eastAsia="微软雅黑" w:cs="微软雅黑"/>
                <w:kern w:val="0"/>
                <w:sz w:val="24"/>
                <w:szCs w:val="24"/>
              </w:rPr>
              <w:t>−</w:t>
            </w:r>
            <w:r>
              <w:rPr>
                <w:rFonts w:hint="eastAsia" w:ascii="仿宋_GB2312" w:hAnsi="仿宋_GB2312" w:cs="仿宋_GB2312"/>
                <w:kern w:val="0"/>
                <w:sz w:val="24"/>
                <w:szCs w:val="24"/>
              </w:rPr>
              <w:t>对现有产品和服务的需求减少</w:t>
            </w:r>
          </w:p>
          <w:p w14:paraId="6DDECE41">
            <w:pPr>
              <w:widowControl/>
              <w:adjustRightInd w:val="0"/>
              <w:snapToGrid w:val="0"/>
              <w:spacing w:line="204" w:lineRule="auto"/>
              <w:rPr>
                <w:rFonts w:ascii="仿宋_GB2312" w:hAnsi="仿宋_GB2312" w:cs="仿宋_GB2312"/>
                <w:kern w:val="0"/>
                <w:sz w:val="24"/>
                <w:szCs w:val="24"/>
              </w:rPr>
            </w:pPr>
            <w:r>
              <w:rPr>
                <w:rFonts w:hint="eastAsia" w:ascii="微软雅黑" w:hAnsi="微软雅黑" w:eastAsia="微软雅黑" w:cs="微软雅黑"/>
                <w:kern w:val="0"/>
                <w:sz w:val="24"/>
                <w:szCs w:val="24"/>
              </w:rPr>
              <w:t>−</w:t>
            </w:r>
            <w:r>
              <w:rPr>
                <w:rFonts w:hint="eastAsia" w:ascii="仿宋_GB2312" w:hAnsi="仿宋_GB2312" w:cs="仿宋_GB2312"/>
                <w:kern w:val="0"/>
                <w:sz w:val="24"/>
                <w:szCs w:val="24"/>
              </w:rPr>
              <w:t>在创新和替代技术方面的研发（R&amp;D）支出</w:t>
            </w:r>
          </w:p>
          <w:p w14:paraId="61700DAE">
            <w:pPr>
              <w:widowControl/>
              <w:adjustRightInd w:val="0"/>
              <w:snapToGrid w:val="0"/>
              <w:spacing w:line="204" w:lineRule="auto"/>
              <w:rPr>
                <w:rFonts w:ascii="仿宋_GB2312" w:hAnsi="仿宋_GB2312" w:cs="仿宋_GB2312"/>
                <w:kern w:val="0"/>
                <w:sz w:val="24"/>
                <w:szCs w:val="24"/>
              </w:rPr>
            </w:pPr>
            <w:r>
              <w:rPr>
                <w:rFonts w:hint="eastAsia" w:ascii="微软雅黑" w:hAnsi="微软雅黑" w:eastAsia="微软雅黑" w:cs="微软雅黑"/>
                <w:kern w:val="0"/>
                <w:sz w:val="24"/>
                <w:szCs w:val="24"/>
              </w:rPr>
              <w:t>−</w:t>
            </w:r>
            <w:r>
              <w:rPr>
                <w:rFonts w:hint="eastAsia" w:ascii="仿宋_GB2312" w:hAnsi="仿宋_GB2312" w:cs="仿宋_GB2312"/>
                <w:kern w:val="0"/>
                <w:sz w:val="24"/>
                <w:szCs w:val="24"/>
              </w:rPr>
              <w:t>在技术开发方面的资金投入</w:t>
            </w:r>
          </w:p>
          <w:p w14:paraId="705DD2C5">
            <w:pPr>
              <w:widowControl/>
              <w:adjustRightInd w:val="0"/>
              <w:snapToGrid w:val="0"/>
              <w:spacing w:line="204" w:lineRule="auto"/>
              <w:rPr>
                <w:rFonts w:ascii="仿宋_GB2312" w:hAnsi="仿宋_GB2312" w:cs="仿宋_GB2312"/>
                <w:kern w:val="0"/>
                <w:sz w:val="24"/>
                <w:szCs w:val="24"/>
              </w:rPr>
            </w:pPr>
            <w:r>
              <w:rPr>
                <w:rFonts w:hint="eastAsia" w:ascii="微软雅黑" w:hAnsi="微软雅黑" w:eastAsia="微软雅黑" w:cs="微软雅黑"/>
                <w:kern w:val="0"/>
                <w:sz w:val="24"/>
                <w:szCs w:val="24"/>
              </w:rPr>
              <w:t>−</w:t>
            </w:r>
            <w:r>
              <w:rPr>
                <w:rFonts w:hint="eastAsia" w:ascii="仿宋_GB2312" w:hAnsi="仿宋_GB2312" w:cs="仿宋_GB2312"/>
                <w:kern w:val="0"/>
                <w:sz w:val="24"/>
                <w:szCs w:val="24"/>
              </w:rPr>
              <w:t>采用/部署新方法和流程的成本</w:t>
            </w:r>
          </w:p>
        </w:tc>
      </w:tr>
      <w:tr w14:paraId="166E6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0" w:type="dxa"/>
            <w:vMerge w:val="continue"/>
          </w:tcPr>
          <w:p w14:paraId="6052A371">
            <w:pPr>
              <w:widowControl/>
              <w:adjustRightInd w:val="0"/>
              <w:snapToGrid w:val="0"/>
              <w:spacing w:line="204" w:lineRule="auto"/>
              <w:jc w:val="center"/>
              <w:rPr>
                <w:rFonts w:ascii="仿宋_GB2312" w:hAnsi="仿宋_GB2312" w:cs="仿宋_GB2312"/>
                <w:kern w:val="0"/>
                <w:sz w:val="24"/>
                <w:szCs w:val="24"/>
              </w:rPr>
            </w:pPr>
          </w:p>
        </w:tc>
        <w:tc>
          <w:tcPr>
            <w:tcW w:w="7472" w:type="dxa"/>
            <w:gridSpan w:val="2"/>
          </w:tcPr>
          <w:p w14:paraId="77210745">
            <w:pPr>
              <w:widowControl/>
              <w:adjustRightInd w:val="0"/>
              <w:snapToGrid w:val="0"/>
              <w:spacing w:line="204" w:lineRule="auto"/>
              <w:rPr>
                <w:rFonts w:ascii="仿宋_GB2312" w:hAnsi="仿宋_GB2312" w:cs="仿宋_GB2312"/>
                <w:kern w:val="0"/>
                <w:sz w:val="24"/>
                <w:szCs w:val="24"/>
              </w:rPr>
            </w:pPr>
            <w:r>
              <w:rPr>
                <w:rFonts w:hint="eastAsia" w:ascii="仿宋_GB2312" w:hAnsi="仿宋_GB2312" w:cs="仿宋_GB2312"/>
                <w:kern w:val="0"/>
                <w:sz w:val="24"/>
                <w:szCs w:val="24"/>
              </w:rPr>
              <w:t>市场</w:t>
            </w:r>
          </w:p>
        </w:tc>
      </w:tr>
      <w:tr w14:paraId="1770C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0" w:type="dxa"/>
            <w:vMerge w:val="continue"/>
          </w:tcPr>
          <w:p w14:paraId="1D86CBC0">
            <w:pPr>
              <w:widowControl/>
              <w:adjustRightInd w:val="0"/>
              <w:snapToGrid w:val="0"/>
              <w:spacing w:line="204" w:lineRule="auto"/>
              <w:jc w:val="center"/>
              <w:rPr>
                <w:rFonts w:ascii="仿宋_GB2312" w:hAnsi="仿宋_GB2312" w:cs="仿宋_GB2312"/>
                <w:kern w:val="0"/>
                <w:sz w:val="24"/>
                <w:szCs w:val="24"/>
              </w:rPr>
            </w:pPr>
          </w:p>
        </w:tc>
        <w:tc>
          <w:tcPr>
            <w:tcW w:w="2542" w:type="dxa"/>
          </w:tcPr>
          <w:p w14:paraId="30E36EC6">
            <w:pPr>
              <w:widowControl/>
              <w:adjustRightInd w:val="0"/>
              <w:snapToGrid w:val="0"/>
              <w:spacing w:line="204" w:lineRule="auto"/>
              <w:rPr>
                <w:rFonts w:ascii="仿宋_GB2312" w:hAnsi="仿宋_GB2312" w:cs="仿宋_GB2312"/>
                <w:kern w:val="0"/>
                <w:sz w:val="24"/>
                <w:szCs w:val="24"/>
              </w:rPr>
            </w:pPr>
            <w:r>
              <w:rPr>
                <w:rFonts w:hint="eastAsia" w:ascii="微软雅黑" w:hAnsi="微软雅黑" w:eastAsia="微软雅黑" w:cs="微软雅黑"/>
                <w:kern w:val="0"/>
                <w:sz w:val="24"/>
                <w:szCs w:val="24"/>
              </w:rPr>
              <w:t>−</w:t>
            </w:r>
            <w:r>
              <w:rPr>
                <w:rFonts w:ascii="仿宋_GB2312" w:hAnsi="仿宋_GB2312" w:cs="仿宋_GB2312"/>
                <w:kern w:val="0"/>
                <w:sz w:val="24"/>
                <w:szCs w:val="24"/>
              </w:rPr>
              <w:t>不断变化的消费者行为</w:t>
            </w:r>
          </w:p>
          <w:p w14:paraId="43A1EF98">
            <w:pPr>
              <w:widowControl/>
              <w:adjustRightInd w:val="0"/>
              <w:snapToGrid w:val="0"/>
              <w:spacing w:line="204" w:lineRule="auto"/>
              <w:rPr>
                <w:rFonts w:ascii="仿宋_GB2312" w:hAnsi="仿宋_GB2312" w:cs="仿宋_GB2312"/>
                <w:kern w:val="0"/>
                <w:sz w:val="24"/>
                <w:szCs w:val="24"/>
              </w:rPr>
            </w:pPr>
            <w:r>
              <w:rPr>
                <w:rFonts w:hint="eastAsia" w:ascii="微软雅黑" w:hAnsi="微软雅黑" w:eastAsia="微软雅黑" w:cs="微软雅黑"/>
                <w:kern w:val="0"/>
                <w:sz w:val="24"/>
                <w:szCs w:val="24"/>
              </w:rPr>
              <w:t>−</w:t>
            </w:r>
            <w:r>
              <w:rPr>
                <w:rFonts w:ascii="仿宋_GB2312" w:hAnsi="仿宋_GB2312" w:cs="仿宋_GB2312"/>
                <w:kern w:val="0"/>
                <w:sz w:val="24"/>
                <w:szCs w:val="24"/>
              </w:rPr>
              <w:t>市场信号的不确定性</w:t>
            </w:r>
          </w:p>
          <w:p w14:paraId="14C1A094">
            <w:pPr>
              <w:widowControl/>
              <w:adjustRightInd w:val="0"/>
              <w:snapToGrid w:val="0"/>
              <w:spacing w:line="204" w:lineRule="auto"/>
              <w:rPr>
                <w:rFonts w:ascii="仿宋_GB2312" w:hAnsi="仿宋_GB2312" w:cs="仿宋_GB2312"/>
                <w:kern w:val="0"/>
                <w:sz w:val="24"/>
                <w:szCs w:val="24"/>
              </w:rPr>
            </w:pPr>
            <w:r>
              <w:rPr>
                <w:rFonts w:hint="eastAsia" w:ascii="微软雅黑" w:hAnsi="微软雅黑" w:eastAsia="微软雅黑" w:cs="微软雅黑"/>
                <w:kern w:val="0"/>
                <w:sz w:val="24"/>
                <w:szCs w:val="24"/>
              </w:rPr>
              <w:t>−</w:t>
            </w:r>
            <w:r>
              <w:rPr>
                <w:rFonts w:ascii="仿宋_GB2312" w:hAnsi="仿宋_GB2312" w:cs="仿宋_GB2312"/>
                <w:kern w:val="0"/>
                <w:sz w:val="24"/>
                <w:szCs w:val="24"/>
              </w:rPr>
              <w:t>原材料成本的增加</w:t>
            </w:r>
          </w:p>
        </w:tc>
        <w:tc>
          <w:tcPr>
            <w:tcW w:w="4930" w:type="dxa"/>
          </w:tcPr>
          <w:p w14:paraId="6CD6B0EA">
            <w:pPr>
              <w:widowControl/>
              <w:adjustRightInd w:val="0"/>
              <w:snapToGrid w:val="0"/>
              <w:spacing w:line="204" w:lineRule="auto"/>
              <w:rPr>
                <w:rFonts w:ascii="仿宋_GB2312" w:hAnsi="仿宋_GB2312" w:cs="仿宋_GB2312"/>
                <w:kern w:val="0"/>
                <w:sz w:val="24"/>
                <w:szCs w:val="24"/>
              </w:rPr>
            </w:pPr>
            <w:r>
              <w:rPr>
                <w:rFonts w:hint="eastAsia" w:ascii="微软雅黑" w:hAnsi="微软雅黑" w:eastAsia="微软雅黑" w:cs="微软雅黑"/>
                <w:kern w:val="0"/>
                <w:sz w:val="24"/>
                <w:szCs w:val="24"/>
              </w:rPr>
              <w:t>−</w:t>
            </w:r>
            <w:r>
              <w:rPr>
                <w:rFonts w:hint="eastAsia" w:ascii="仿宋_GB2312" w:hAnsi="仿宋_GB2312" w:cs="仿宋_GB2312"/>
                <w:kern w:val="0"/>
                <w:sz w:val="24"/>
                <w:szCs w:val="24"/>
              </w:rPr>
              <w:t>由于消费者偏好的转变，商品和服务的需求减少</w:t>
            </w:r>
          </w:p>
          <w:p w14:paraId="5245DE79">
            <w:pPr>
              <w:widowControl/>
              <w:adjustRightInd w:val="0"/>
              <w:snapToGrid w:val="0"/>
              <w:spacing w:line="204" w:lineRule="auto"/>
              <w:rPr>
                <w:rFonts w:ascii="仿宋_GB2312" w:hAnsi="仿宋_GB2312" w:cs="仿宋_GB2312"/>
                <w:kern w:val="0"/>
                <w:sz w:val="24"/>
                <w:szCs w:val="24"/>
              </w:rPr>
            </w:pPr>
            <w:r>
              <w:rPr>
                <w:rFonts w:hint="eastAsia" w:ascii="微软雅黑" w:hAnsi="微软雅黑" w:eastAsia="微软雅黑" w:cs="微软雅黑"/>
                <w:kern w:val="0"/>
                <w:sz w:val="24"/>
                <w:szCs w:val="24"/>
              </w:rPr>
              <w:t>−</w:t>
            </w:r>
            <w:r>
              <w:rPr>
                <w:rFonts w:hint="eastAsia" w:ascii="仿宋_GB2312" w:hAnsi="仿宋_GB2312" w:cs="仿宋_GB2312"/>
                <w:kern w:val="0"/>
                <w:sz w:val="24"/>
                <w:szCs w:val="24"/>
              </w:rPr>
              <w:t>由于投入价格（如能源、水）和产出需求（如废物管理）的不断变化，生产成本增加</w:t>
            </w:r>
          </w:p>
          <w:p w14:paraId="4D839501">
            <w:pPr>
              <w:widowControl/>
              <w:adjustRightInd w:val="0"/>
              <w:snapToGrid w:val="0"/>
              <w:spacing w:line="204" w:lineRule="auto"/>
              <w:rPr>
                <w:rFonts w:ascii="仿宋_GB2312" w:hAnsi="仿宋_GB2312" w:cs="仿宋_GB2312"/>
                <w:kern w:val="0"/>
                <w:sz w:val="24"/>
                <w:szCs w:val="24"/>
              </w:rPr>
            </w:pPr>
            <w:r>
              <w:rPr>
                <w:rFonts w:hint="eastAsia" w:ascii="微软雅黑" w:hAnsi="微软雅黑" w:eastAsia="微软雅黑" w:cs="微软雅黑"/>
                <w:kern w:val="0"/>
                <w:sz w:val="24"/>
                <w:szCs w:val="24"/>
              </w:rPr>
              <w:t>−</w:t>
            </w:r>
            <w:r>
              <w:rPr>
                <w:rFonts w:hint="eastAsia" w:ascii="仿宋_GB2312" w:hAnsi="仿宋_GB2312" w:cs="仿宋_GB2312"/>
                <w:kern w:val="0"/>
                <w:sz w:val="24"/>
                <w:szCs w:val="24"/>
              </w:rPr>
              <w:t>能源成本突然和意外的转变</w:t>
            </w:r>
          </w:p>
          <w:p w14:paraId="464E4005">
            <w:pPr>
              <w:widowControl/>
              <w:adjustRightInd w:val="0"/>
              <w:snapToGrid w:val="0"/>
              <w:spacing w:line="204" w:lineRule="auto"/>
              <w:rPr>
                <w:rFonts w:ascii="仿宋_GB2312" w:hAnsi="仿宋_GB2312" w:cs="仿宋_GB2312"/>
                <w:kern w:val="0"/>
                <w:sz w:val="24"/>
                <w:szCs w:val="24"/>
              </w:rPr>
            </w:pPr>
            <w:r>
              <w:rPr>
                <w:rFonts w:hint="eastAsia" w:ascii="微软雅黑" w:hAnsi="微软雅黑" w:eastAsia="微软雅黑" w:cs="微软雅黑"/>
                <w:kern w:val="0"/>
                <w:sz w:val="24"/>
                <w:szCs w:val="24"/>
              </w:rPr>
              <w:t>−</w:t>
            </w:r>
            <w:r>
              <w:rPr>
                <w:rFonts w:hint="eastAsia" w:ascii="仿宋_GB2312" w:hAnsi="仿宋_GB2312" w:cs="仿宋_GB2312"/>
                <w:kern w:val="0"/>
                <w:sz w:val="24"/>
                <w:szCs w:val="24"/>
              </w:rPr>
              <w:t>由于收入组合和来源的变化，收入减少</w:t>
            </w:r>
          </w:p>
          <w:p w14:paraId="0FC648C8">
            <w:pPr>
              <w:widowControl/>
              <w:adjustRightInd w:val="0"/>
              <w:snapToGrid w:val="0"/>
              <w:spacing w:line="204" w:lineRule="auto"/>
              <w:rPr>
                <w:rFonts w:ascii="仿宋_GB2312" w:hAnsi="仿宋_GB2312" w:cs="仿宋_GB2312"/>
                <w:kern w:val="0"/>
                <w:sz w:val="24"/>
                <w:szCs w:val="24"/>
              </w:rPr>
            </w:pPr>
            <w:r>
              <w:rPr>
                <w:rFonts w:hint="eastAsia" w:ascii="微软雅黑" w:hAnsi="微软雅黑" w:eastAsia="微软雅黑" w:cs="微软雅黑"/>
                <w:kern w:val="0"/>
                <w:sz w:val="24"/>
                <w:szCs w:val="24"/>
              </w:rPr>
              <w:t>−</w:t>
            </w:r>
            <w:r>
              <w:rPr>
                <w:rFonts w:hint="eastAsia" w:ascii="仿宋_GB2312" w:hAnsi="仿宋_GB2312" w:cs="仿宋_GB2312"/>
                <w:kern w:val="0"/>
                <w:sz w:val="24"/>
                <w:szCs w:val="24"/>
              </w:rPr>
              <w:t>资产的重新定价（如化石燃料的储备、土地估值、证券估值）</w:t>
            </w:r>
          </w:p>
        </w:tc>
      </w:tr>
      <w:tr w14:paraId="55A87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50" w:type="dxa"/>
            <w:vMerge w:val="continue"/>
          </w:tcPr>
          <w:p w14:paraId="3D98EECB">
            <w:pPr>
              <w:widowControl/>
              <w:adjustRightInd w:val="0"/>
              <w:snapToGrid w:val="0"/>
              <w:spacing w:line="204" w:lineRule="auto"/>
              <w:jc w:val="center"/>
              <w:rPr>
                <w:rFonts w:ascii="仿宋_GB2312" w:hAnsi="仿宋_GB2312" w:cs="仿宋_GB2312"/>
                <w:kern w:val="0"/>
                <w:sz w:val="24"/>
                <w:szCs w:val="24"/>
              </w:rPr>
            </w:pPr>
          </w:p>
        </w:tc>
        <w:tc>
          <w:tcPr>
            <w:tcW w:w="7472" w:type="dxa"/>
            <w:gridSpan w:val="2"/>
          </w:tcPr>
          <w:p w14:paraId="6D86963E">
            <w:pPr>
              <w:widowControl/>
              <w:adjustRightInd w:val="0"/>
              <w:snapToGrid w:val="0"/>
              <w:spacing w:line="204" w:lineRule="auto"/>
              <w:rPr>
                <w:rFonts w:ascii="仿宋_GB2312" w:hAnsi="仿宋_GB2312" w:cs="仿宋_GB2312"/>
                <w:kern w:val="0"/>
                <w:sz w:val="24"/>
                <w:szCs w:val="24"/>
              </w:rPr>
            </w:pPr>
            <w:r>
              <w:rPr>
                <w:rFonts w:hint="eastAsia" w:ascii="仿宋_GB2312" w:hAnsi="仿宋_GB2312" w:cs="仿宋_GB2312"/>
                <w:kern w:val="0"/>
                <w:sz w:val="24"/>
                <w:szCs w:val="24"/>
              </w:rPr>
              <w:t>声誉</w:t>
            </w:r>
          </w:p>
        </w:tc>
      </w:tr>
      <w:tr w14:paraId="064DA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0" w:type="dxa"/>
            <w:vMerge w:val="continue"/>
          </w:tcPr>
          <w:p w14:paraId="7899F34D">
            <w:pPr>
              <w:widowControl/>
              <w:adjustRightInd w:val="0"/>
              <w:snapToGrid w:val="0"/>
              <w:spacing w:line="204" w:lineRule="auto"/>
              <w:jc w:val="center"/>
              <w:rPr>
                <w:rFonts w:ascii="仿宋_GB2312" w:hAnsi="仿宋_GB2312" w:cs="仿宋_GB2312"/>
                <w:kern w:val="0"/>
                <w:sz w:val="24"/>
                <w:szCs w:val="24"/>
              </w:rPr>
            </w:pPr>
          </w:p>
        </w:tc>
        <w:tc>
          <w:tcPr>
            <w:tcW w:w="2542" w:type="dxa"/>
          </w:tcPr>
          <w:p w14:paraId="5DB7BFD5">
            <w:pPr>
              <w:widowControl/>
              <w:adjustRightInd w:val="0"/>
              <w:snapToGrid w:val="0"/>
              <w:spacing w:line="204" w:lineRule="auto"/>
              <w:rPr>
                <w:rFonts w:ascii="仿宋_GB2312" w:hAnsi="仿宋_GB2312" w:cs="仿宋_GB2312"/>
                <w:kern w:val="0"/>
                <w:sz w:val="24"/>
                <w:szCs w:val="24"/>
              </w:rPr>
            </w:pPr>
            <w:r>
              <w:rPr>
                <w:rFonts w:hint="eastAsia" w:ascii="微软雅黑" w:hAnsi="微软雅黑" w:eastAsia="微软雅黑" w:cs="微软雅黑"/>
                <w:kern w:val="0"/>
                <w:sz w:val="24"/>
                <w:szCs w:val="24"/>
              </w:rPr>
              <w:t>−</w:t>
            </w:r>
            <w:r>
              <w:rPr>
                <w:rFonts w:hint="eastAsia" w:ascii="仿宋_GB2312" w:hAnsi="仿宋_GB2312" w:cs="仿宋_GB2312"/>
                <w:kern w:val="0"/>
                <w:sz w:val="24"/>
                <w:szCs w:val="24"/>
              </w:rPr>
              <w:t>消费者偏好的转变</w:t>
            </w:r>
          </w:p>
          <w:p w14:paraId="7C0E206F">
            <w:pPr>
              <w:widowControl/>
              <w:adjustRightInd w:val="0"/>
              <w:snapToGrid w:val="0"/>
              <w:spacing w:line="204" w:lineRule="auto"/>
              <w:rPr>
                <w:rFonts w:ascii="仿宋_GB2312" w:hAnsi="仿宋_GB2312" w:cs="仿宋_GB2312"/>
                <w:kern w:val="0"/>
                <w:sz w:val="24"/>
                <w:szCs w:val="24"/>
              </w:rPr>
            </w:pPr>
            <w:r>
              <w:rPr>
                <w:rFonts w:hint="eastAsia" w:ascii="微软雅黑" w:hAnsi="微软雅黑" w:eastAsia="微软雅黑" w:cs="微软雅黑"/>
                <w:kern w:val="0"/>
                <w:sz w:val="24"/>
                <w:szCs w:val="24"/>
              </w:rPr>
              <w:t>−</w:t>
            </w:r>
            <w:r>
              <w:rPr>
                <w:rFonts w:hint="eastAsia" w:ascii="仿宋_GB2312" w:hAnsi="仿宋_GB2312" w:cs="仿宋_GB2312"/>
                <w:kern w:val="0"/>
                <w:sz w:val="24"/>
                <w:szCs w:val="24"/>
              </w:rPr>
              <w:t>某些行业的声誉风险</w:t>
            </w:r>
          </w:p>
          <w:p w14:paraId="473056CC">
            <w:pPr>
              <w:widowControl/>
              <w:adjustRightInd w:val="0"/>
              <w:snapToGrid w:val="0"/>
              <w:spacing w:line="204" w:lineRule="auto"/>
              <w:rPr>
                <w:rFonts w:ascii="仿宋_GB2312" w:hAnsi="仿宋_GB2312" w:cs="仿宋_GB2312"/>
                <w:kern w:val="0"/>
                <w:sz w:val="24"/>
                <w:szCs w:val="24"/>
              </w:rPr>
            </w:pPr>
            <w:r>
              <w:rPr>
                <w:rFonts w:hint="eastAsia" w:ascii="微软雅黑" w:hAnsi="微软雅黑" w:eastAsia="微软雅黑" w:cs="微软雅黑"/>
                <w:kern w:val="0"/>
                <w:sz w:val="24"/>
                <w:szCs w:val="24"/>
              </w:rPr>
              <w:t>−</w:t>
            </w:r>
            <w:r>
              <w:rPr>
                <w:rFonts w:hint="eastAsia" w:ascii="仿宋_GB2312" w:hAnsi="仿宋_GB2312" w:cs="仿宋_GB2312"/>
                <w:kern w:val="0"/>
                <w:sz w:val="24"/>
                <w:szCs w:val="24"/>
              </w:rPr>
              <w:t>利益相关方的担忧增加或负面反馈</w:t>
            </w:r>
          </w:p>
        </w:tc>
        <w:tc>
          <w:tcPr>
            <w:tcW w:w="4930" w:type="dxa"/>
          </w:tcPr>
          <w:p w14:paraId="0452E2E2">
            <w:pPr>
              <w:widowControl/>
              <w:adjustRightInd w:val="0"/>
              <w:snapToGrid w:val="0"/>
              <w:spacing w:line="204" w:lineRule="auto"/>
              <w:rPr>
                <w:rFonts w:ascii="仿宋_GB2312" w:hAnsi="仿宋_GB2312" w:cs="仿宋_GB2312"/>
                <w:kern w:val="0"/>
                <w:sz w:val="24"/>
                <w:szCs w:val="24"/>
              </w:rPr>
            </w:pPr>
            <w:r>
              <w:rPr>
                <w:rFonts w:hint="eastAsia" w:ascii="微软雅黑" w:hAnsi="微软雅黑" w:eastAsia="微软雅黑" w:cs="微软雅黑"/>
                <w:kern w:val="0"/>
                <w:sz w:val="24"/>
                <w:szCs w:val="24"/>
              </w:rPr>
              <w:t>−</w:t>
            </w:r>
            <w:r>
              <w:rPr>
                <w:rFonts w:hint="eastAsia" w:ascii="仿宋_GB2312" w:hAnsi="仿宋_GB2312" w:cs="仿宋_GB2312"/>
                <w:kern w:val="0"/>
                <w:sz w:val="24"/>
                <w:szCs w:val="24"/>
              </w:rPr>
              <w:t>由于商品/服务需求的减少，收入减少</w:t>
            </w:r>
          </w:p>
          <w:p w14:paraId="743D1DF2">
            <w:pPr>
              <w:widowControl/>
              <w:adjustRightInd w:val="0"/>
              <w:snapToGrid w:val="0"/>
              <w:spacing w:line="204" w:lineRule="auto"/>
              <w:rPr>
                <w:rFonts w:ascii="仿宋_GB2312" w:hAnsi="仿宋_GB2312" w:cs="仿宋_GB2312"/>
                <w:kern w:val="0"/>
                <w:sz w:val="24"/>
                <w:szCs w:val="24"/>
              </w:rPr>
            </w:pPr>
            <w:r>
              <w:rPr>
                <w:rFonts w:hint="eastAsia" w:ascii="微软雅黑" w:hAnsi="微软雅黑" w:eastAsia="微软雅黑" w:cs="微软雅黑"/>
                <w:kern w:val="0"/>
                <w:sz w:val="24"/>
                <w:szCs w:val="24"/>
              </w:rPr>
              <w:t>−</w:t>
            </w:r>
            <w:r>
              <w:rPr>
                <w:rFonts w:hint="eastAsia" w:ascii="仿宋_GB2312" w:hAnsi="仿宋_GB2312" w:cs="仿宋_GB2312"/>
                <w:kern w:val="0"/>
                <w:sz w:val="24"/>
                <w:szCs w:val="24"/>
              </w:rPr>
              <w:t>由于生产能力下降（如计划审批拖延、供应链中断），收入减少</w:t>
            </w:r>
          </w:p>
          <w:p w14:paraId="5867DE2A">
            <w:pPr>
              <w:widowControl/>
              <w:adjustRightInd w:val="0"/>
              <w:snapToGrid w:val="0"/>
              <w:spacing w:line="204" w:lineRule="auto"/>
              <w:rPr>
                <w:rFonts w:ascii="仿宋_GB2312" w:hAnsi="仿宋_GB2312" w:cs="仿宋_GB2312"/>
                <w:kern w:val="0"/>
                <w:sz w:val="24"/>
                <w:szCs w:val="24"/>
              </w:rPr>
            </w:pPr>
            <w:r>
              <w:rPr>
                <w:rFonts w:hint="eastAsia" w:ascii="微软雅黑" w:hAnsi="微软雅黑" w:eastAsia="微软雅黑" w:cs="微软雅黑"/>
                <w:kern w:val="0"/>
                <w:sz w:val="24"/>
                <w:szCs w:val="24"/>
              </w:rPr>
              <w:t>−</w:t>
            </w:r>
            <w:r>
              <w:rPr>
                <w:rFonts w:hint="eastAsia" w:ascii="仿宋_GB2312" w:hAnsi="仿宋_GB2312" w:cs="仿宋_GB2312"/>
                <w:kern w:val="0"/>
                <w:sz w:val="24"/>
                <w:szCs w:val="24"/>
              </w:rPr>
              <w:t>由于劳动力管理和规划（如吸引和挽留员工）的负面影响，收入减少</w:t>
            </w:r>
          </w:p>
          <w:p w14:paraId="5015989F">
            <w:pPr>
              <w:widowControl/>
              <w:adjustRightInd w:val="0"/>
              <w:snapToGrid w:val="0"/>
              <w:spacing w:line="204" w:lineRule="auto"/>
              <w:rPr>
                <w:rFonts w:ascii="仿宋_GB2312" w:hAnsi="仿宋_GB2312" w:cs="仿宋_GB2312"/>
                <w:kern w:val="0"/>
                <w:sz w:val="24"/>
                <w:szCs w:val="24"/>
              </w:rPr>
            </w:pPr>
            <w:r>
              <w:rPr>
                <w:rFonts w:hint="eastAsia" w:ascii="微软雅黑" w:hAnsi="微软雅黑" w:eastAsia="微软雅黑" w:cs="微软雅黑"/>
                <w:kern w:val="0"/>
                <w:sz w:val="24"/>
                <w:szCs w:val="24"/>
              </w:rPr>
              <w:t>−</w:t>
            </w:r>
            <w:r>
              <w:rPr>
                <w:rFonts w:hint="eastAsia" w:ascii="仿宋_GB2312" w:hAnsi="仿宋_GB2312" w:cs="仿宋_GB2312"/>
                <w:kern w:val="0"/>
                <w:sz w:val="24"/>
                <w:szCs w:val="24"/>
              </w:rPr>
              <w:t>可用资金的减少</w:t>
            </w:r>
          </w:p>
        </w:tc>
      </w:tr>
      <w:tr w14:paraId="23ADD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0" w:type="dxa"/>
            <w:vMerge w:val="restart"/>
            <w:vAlign w:val="center"/>
          </w:tcPr>
          <w:p w14:paraId="0B28BE0A">
            <w:pPr>
              <w:widowControl/>
              <w:adjustRightInd w:val="0"/>
              <w:snapToGrid w:val="0"/>
              <w:spacing w:line="204" w:lineRule="auto"/>
              <w:jc w:val="left"/>
              <w:rPr>
                <w:rFonts w:ascii="仿宋_GB2312" w:hAnsi="仿宋_GB2312" w:cs="仿宋_GB2312"/>
                <w:kern w:val="0"/>
                <w:sz w:val="24"/>
                <w:szCs w:val="24"/>
              </w:rPr>
            </w:pPr>
            <w:r>
              <w:rPr>
                <w:rFonts w:hint="eastAsia" w:ascii="仿宋_GB2312" w:hAnsi="仿宋_GB2312" w:cs="仿宋_GB2312"/>
                <w:kern w:val="0"/>
                <w:sz w:val="24"/>
                <w:szCs w:val="24"/>
              </w:rPr>
              <w:t>物理</w:t>
            </w:r>
          </w:p>
          <w:p w14:paraId="4186AC2E">
            <w:pPr>
              <w:widowControl/>
              <w:adjustRightInd w:val="0"/>
              <w:snapToGrid w:val="0"/>
              <w:spacing w:line="204" w:lineRule="auto"/>
              <w:jc w:val="left"/>
              <w:rPr>
                <w:rFonts w:ascii="仿宋_GB2312" w:hAnsi="仿宋_GB2312" w:cs="仿宋_GB2312"/>
                <w:kern w:val="0"/>
                <w:sz w:val="24"/>
                <w:szCs w:val="24"/>
              </w:rPr>
            </w:pPr>
            <w:r>
              <w:rPr>
                <w:rFonts w:hint="eastAsia" w:ascii="仿宋_GB2312" w:hAnsi="仿宋_GB2312" w:cs="仿宋_GB2312"/>
                <w:kern w:val="0"/>
                <w:sz w:val="24"/>
                <w:szCs w:val="24"/>
              </w:rPr>
              <w:t>风险</w:t>
            </w:r>
          </w:p>
        </w:tc>
        <w:tc>
          <w:tcPr>
            <w:tcW w:w="2542" w:type="dxa"/>
          </w:tcPr>
          <w:p w14:paraId="57691D31">
            <w:pPr>
              <w:widowControl/>
              <w:adjustRightInd w:val="0"/>
              <w:snapToGrid w:val="0"/>
              <w:spacing w:line="204" w:lineRule="auto"/>
              <w:rPr>
                <w:rFonts w:ascii="仿宋_GB2312" w:hAnsi="仿宋_GB2312" w:cs="仿宋_GB2312"/>
                <w:kern w:val="0"/>
                <w:sz w:val="24"/>
                <w:szCs w:val="24"/>
              </w:rPr>
            </w:pPr>
            <w:r>
              <w:rPr>
                <w:rFonts w:hint="eastAsia" w:ascii="仿宋_GB2312" w:hAnsi="仿宋_GB2312" w:cs="仿宋_GB2312"/>
                <w:kern w:val="0"/>
                <w:sz w:val="24"/>
                <w:szCs w:val="24"/>
              </w:rPr>
              <w:t>短期</w:t>
            </w:r>
          </w:p>
        </w:tc>
        <w:tc>
          <w:tcPr>
            <w:tcW w:w="4930" w:type="dxa"/>
            <w:vMerge w:val="restart"/>
          </w:tcPr>
          <w:p w14:paraId="738CA45E">
            <w:pPr>
              <w:widowControl/>
              <w:adjustRightInd w:val="0"/>
              <w:snapToGrid w:val="0"/>
              <w:spacing w:line="204" w:lineRule="auto"/>
              <w:rPr>
                <w:rFonts w:ascii="仿宋_GB2312" w:hAnsi="仿宋_GB2312" w:cs="仿宋_GB2312"/>
                <w:kern w:val="0"/>
                <w:sz w:val="24"/>
                <w:szCs w:val="24"/>
              </w:rPr>
            </w:pPr>
            <w:r>
              <w:rPr>
                <w:rFonts w:hint="eastAsia" w:ascii="微软雅黑" w:hAnsi="微软雅黑" w:eastAsia="微软雅黑" w:cs="微软雅黑"/>
                <w:kern w:val="0"/>
                <w:sz w:val="24"/>
                <w:szCs w:val="24"/>
              </w:rPr>
              <w:t>−</w:t>
            </w:r>
            <w:r>
              <w:rPr>
                <w:rFonts w:hint="eastAsia" w:ascii="仿宋_GB2312" w:hAnsi="仿宋_GB2312" w:cs="仿宋_GB2312"/>
                <w:kern w:val="0"/>
                <w:sz w:val="24"/>
                <w:szCs w:val="24"/>
              </w:rPr>
              <w:t>由于生产能力下降（如运输困难、供应链中断），收入减少</w:t>
            </w:r>
          </w:p>
          <w:p w14:paraId="50227C08">
            <w:pPr>
              <w:widowControl/>
              <w:adjustRightInd w:val="0"/>
              <w:snapToGrid w:val="0"/>
              <w:spacing w:line="204" w:lineRule="auto"/>
              <w:rPr>
                <w:rFonts w:ascii="仿宋_GB2312" w:hAnsi="仿宋_GB2312" w:cs="仿宋_GB2312"/>
                <w:kern w:val="0"/>
                <w:sz w:val="24"/>
                <w:szCs w:val="24"/>
              </w:rPr>
            </w:pPr>
            <w:r>
              <w:rPr>
                <w:rFonts w:hint="eastAsia" w:ascii="微软雅黑" w:hAnsi="微软雅黑" w:eastAsia="微软雅黑" w:cs="微软雅黑"/>
                <w:kern w:val="0"/>
                <w:sz w:val="24"/>
                <w:szCs w:val="24"/>
              </w:rPr>
              <w:t>−</w:t>
            </w:r>
            <w:r>
              <w:rPr>
                <w:rFonts w:hint="eastAsia" w:ascii="仿宋_GB2312" w:hAnsi="仿宋_GB2312" w:cs="仿宋_GB2312"/>
                <w:kern w:val="0"/>
                <w:sz w:val="24"/>
                <w:szCs w:val="24"/>
              </w:rPr>
              <w:t>由于对劳动力的负面影响（如健康、安全、缺勤），收入减少和成本增加</w:t>
            </w:r>
          </w:p>
          <w:p w14:paraId="6B3A2E19">
            <w:pPr>
              <w:widowControl/>
              <w:adjustRightInd w:val="0"/>
              <w:snapToGrid w:val="0"/>
              <w:spacing w:line="204" w:lineRule="auto"/>
              <w:rPr>
                <w:rFonts w:ascii="仿宋_GB2312" w:hAnsi="仿宋_GB2312" w:cs="仿宋_GB2312"/>
                <w:kern w:val="0"/>
                <w:sz w:val="24"/>
                <w:szCs w:val="24"/>
              </w:rPr>
            </w:pPr>
            <w:r>
              <w:rPr>
                <w:rFonts w:hint="eastAsia" w:ascii="微软雅黑" w:hAnsi="微软雅黑" w:eastAsia="微软雅黑" w:cs="微软雅黑"/>
                <w:kern w:val="0"/>
                <w:sz w:val="24"/>
                <w:szCs w:val="24"/>
              </w:rPr>
              <w:t>−</w:t>
            </w:r>
            <w:r>
              <w:rPr>
                <w:rFonts w:hint="eastAsia" w:ascii="仿宋_GB2312" w:hAnsi="仿宋_GB2312" w:cs="仿宋_GB2312"/>
                <w:kern w:val="0"/>
                <w:sz w:val="24"/>
                <w:szCs w:val="24"/>
              </w:rPr>
              <w:t>现有资产的注销和提前报废（如在极端天气高发地区对财产和资产的损坏）</w:t>
            </w:r>
          </w:p>
          <w:p w14:paraId="1DDFC560">
            <w:pPr>
              <w:widowControl/>
              <w:adjustRightInd w:val="0"/>
              <w:snapToGrid w:val="0"/>
              <w:spacing w:line="204" w:lineRule="auto"/>
              <w:rPr>
                <w:rFonts w:ascii="仿宋_GB2312" w:hAnsi="仿宋_GB2312" w:cs="仿宋_GB2312"/>
                <w:kern w:val="0"/>
                <w:sz w:val="24"/>
                <w:szCs w:val="24"/>
              </w:rPr>
            </w:pPr>
            <w:r>
              <w:rPr>
                <w:rFonts w:hint="eastAsia" w:ascii="微软雅黑" w:hAnsi="微软雅黑" w:eastAsia="微软雅黑" w:cs="微软雅黑"/>
                <w:kern w:val="0"/>
                <w:sz w:val="24"/>
                <w:szCs w:val="24"/>
              </w:rPr>
              <w:t>−</w:t>
            </w:r>
            <w:r>
              <w:rPr>
                <w:rFonts w:hint="eastAsia" w:ascii="仿宋_GB2312" w:hAnsi="仿宋_GB2312" w:cs="仿宋_GB2312"/>
                <w:kern w:val="0"/>
                <w:sz w:val="24"/>
                <w:szCs w:val="24"/>
              </w:rPr>
              <w:t>运营成本的增加（如水电站的来水不足、核电站和火电厂缺乏足够的冷却水）</w:t>
            </w:r>
          </w:p>
          <w:p w14:paraId="0CB01055">
            <w:pPr>
              <w:widowControl/>
              <w:adjustRightInd w:val="0"/>
              <w:snapToGrid w:val="0"/>
              <w:spacing w:line="204" w:lineRule="auto"/>
              <w:rPr>
                <w:rFonts w:ascii="仿宋_GB2312" w:hAnsi="仿宋_GB2312" w:cs="仿宋_GB2312"/>
                <w:kern w:val="0"/>
                <w:sz w:val="24"/>
                <w:szCs w:val="24"/>
              </w:rPr>
            </w:pPr>
            <w:r>
              <w:rPr>
                <w:rFonts w:hint="eastAsia" w:ascii="微软雅黑" w:hAnsi="微软雅黑" w:eastAsia="微软雅黑" w:cs="微软雅黑"/>
                <w:kern w:val="0"/>
                <w:sz w:val="24"/>
                <w:szCs w:val="24"/>
              </w:rPr>
              <w:t>−</w:t>
            </w:r>
            <w:r>
              <w:rPr>
                <w:rFonts w:hint="eastAsia" w:ascii="仿宋_GB2312" w:hAnsi="仿宋_GB2312" w:cs="仿宋_GB2312"/>
                <w:kern w:val="0"/>
                <w:sz w:val="24"/>
                <w:szCs w:val="24"/>
              </w:rPr>
              <w:t>资金成本的增加（如设备损坏）</w:t>
            </w:r>
          </w:p>
          <w:p w14:paraId="716024BE">
            <w:pPr>
              <w:widowControl/>
              <w:adjustRightInd w:val="0"/>
              <w:snapToGrid w:val="0"/>
              <w:spacing w:line="204" w:lineRule="auto"/>
              <w:rPr>
                <w:rFonts w:ascii="仿宋_GB2312" w:hAnsi="仿宋_GB2312" w:cs="仿宋_GB2312"/>
                <w:kern w:val="0"/>
                <w:sz w:val="24"/>
                <w:szCs w:val="24"/>
              </w:rPr>
            </w:pPr>
            <w:r>
              <w:rPr>
                <w:rFonts w:hint="eastAsia" w:ascii="微软雅黑" w:hAnsi="微软雅黑" w:eastAsia="微软雅黑" w:cs="微软雅黑"/>
                <w:kern w:val="0"/>
                <w:sz w:val="24"/>
                <w:szCs w:val="24"/>
              </w:rPr>
              <w:t>−</w:t>
            </w:r>
            <w:r>
              <w:rPr>
                <w:rFonts w:hint="eastAsia" w:ascii="仿宋_GB2312" w:hAnsi="仿宋_GB2312" w:cs="仿宋_GB2312"/>
                <w:kern w:val="0"/>
                <w:sz w:val="24"/>
                <w:szCs w:val="24"/>
              </w:rPr>
              <w:t>销售/产出降低引起的收入减少</w:t>
            </w:r>
          </w:p>
          <w:p w14:paraId="0BB34ED6">
            <w:pPr>
              <w:widowControl/>
              <w:adjustRightInd w:val="0"/>
              <w:snapToGrid w:val="0"/>
              <w:spacing w:line="204" w:lineRule="auto"/>
              <w:rPr>
                <w:rFonts w:ascii="仿宋_GB2312" w:hAnsi="仿宋_GB2312" w:cs="仿宋_GB2312"/>
                <w:kern w:val="0"/>
                <w:sz w:val="24"/>
                <w:szCs w:val="24"/>
              </w:rPr>
            </w:pPr>
            <w:r>
              <w:rPr>
                <w:rFonts w:hint="eastAsia" w:ascii="微软雅黑" w:hAnsi="微软雅黑" w:eastAsia="微软雅黑" w:cs="微软雅黑"/>
                <w:kern w:val="0"/>
                <w:sz w:val="24"/>
                <w:szCs w:val="24"/>
              </w:rPr>
              <w:t>−</w:t>
            </w:r>
            <w:r>
              <w:rPr>
                <w:rFonts w:hint="eastAsia" w:ascii="仿宋_GB2312" w:hAnsi="仿宋_GB2312" w:cs="仿宋_GB2312"/>
                <w:kern w:val="0"/>
                <w:sz w:val="24"/>
                <w:szCs w:val="24"/>
              </w:rPr>
              <w:t>保险费提高以及极端天气高发地区资产可投保险种减少的可能性</w:t>
            </w:r>
          </w:p>
        </w:tc>
      </w:tr>
      <w:tr w14:paraId="2F688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0" w:type="dxa"/>
            <w:vMerge w:val="continue"/>
          </w:tcPr>
          <w:p w14:paraId="3D3DC4A5">
            <w:pPr>
              <w:widowControl/>
              <w:adjustRightInd w:val="0"/>
              <w:snapToGrid w:val="0"/>
              <w:spacing w:line="204" w:lineRule="auto"/>
              <w:jc w:val="center"/>
              <w:rPr>
                <w:rFonts w:ascii="黑体" w:hAnsi="黑体" w:eastAsia="黑体" w:cs="Times New Roman"/>
                <w:kern w:val="0"/>
                <w:sz w:val="24"/>
                <w:szCs w:val="24"/>
              </w:rPr>
            </w:pPr>
          </w:p>
        </w:tc>
        <w:tc>
          <w:tcPr>
            <w:tcW w:w="2542" w:type="dxa"/>
          </w:tcPr>
          <w:p w14:paraId="379BB322">
            <w:pPr>
              <w:widowControl/>
              <w:adjustRightInd w:val="0"/>
              <w:snapToGrid w:val="0"/>
              <w:spacing w:line="204" w:lineRule="auto"/>
              <w:rPr>
                <w:rFonts w:ascii="仿宋_GB2312" w:hAnsi="仿宋_GB2312" w:cs="仿宋_GB2312"/>
                <w:kern w:val="0"/>
                <w:sz w:val="24"/>
                <w:szCs w:val="24"/>
              </w:rPr>
            </w:pPr>
            <w:r>
              <w:rPr>
                <w:rFonts w:hint="eastAsia" w:ascii="微软雅黑" w:hAnsi="微软雅黑" w:eastAsia="微软雅黑" w:cs="微软雅黑"/>
                <w:kern w:val="0"/>
                <w:sz w:val="24"/>
                <w:szCs w:val="24"/>
              </w:rPr>
              <w:t>−</w:t>
            </w:r>
            <w:r>
              <w:rPr>
                <w:rFonts w:hint="eastAsia" w:ascii="仿宋_GB2312" w:hAnsi="仿宋_GB2312" w:cs="仿宋_GB2312"/>
                <w:kern w:val="0"/>
                <w:sz w:val="24"/>
                <w:szCs w:val="24"/>
              </w:rPr>
              <w:t>极端天气（如台风和洪水）恶劣程度的增加</w:t>
            </w:r>
          </w:p>
        </w:tc>
        <w:tc>
          <w:tcPr>
            <w:tcW w:w="4930" w:type="dxa"/>
            <w:vMerge w:val="continue"/>
          </w:tcPr>
          <w:p w14:paraId="2A35145D">
            <w:pPr>
              <w:widowControl/>
              <w:adjustRightInd w:val="0"/>
              <w:snapToGrid w:val="0"/>
              <w:spacing w:line="204" w:lineRule="auto"/>
              <w:jc w:val="center"/>
              <w:rPr>
                <w:rFonts w:ascii="黑体" w:hAnsi="黑体" w:eastAsia="黑体" w:cs="Times New Roman"/>
                <w:kern w:val="0"/>
                <w:sz w:val="24"/>
                <w:szCs w:val="24"/>
              </w:rPr>
            </w:pPr>
          </w:p>
        </w:tc>
      </w:tr>
      <w:tr w14:paraId="5EEF6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50" w:type="dxa"/>
            <w:vMerge w:val="continue"/>
          </w:tcPr>
          <w:p w14:paraId="63A8721B">
            <w:pPr>
              <w:widowControl/>
              <w:adjustRightInd w:val="0"/>
              <w:snapToGrid w:val="0"/>
              <w:spacing w:line="204" w:lineRule="auto"/>
              <w:jc w:val="center"/>
              <w:rPr>
                <w:rFonts w:ascii="黑体" w:hAnsi="黑体" w:eastAsia="黑体" w:cs="Times New Roman"/>
                <w:kern w:val="0"/>
                <w:sz w:val="24"/>
                <w:szCs w:val="24"/>
              </w:rPr>
            </w:pPr>
          </w:p>
        </w:tc>
        <w:tc>
          <w:tcPr>
            <w:tcW w:w="2542" w:type="dxa"/>
          </w:tcPr>
          <w:p w14:paraId="6C1D7D9E">
            <w:pPr>
              <w:widowControl/>
              <w:adjustRightInd w:val="0"/>
              <w:snapToGrid w:val="0"/>
              <w:spacing w:line="204" w:lineRule="auto"/>
              <w:jc w:val="left"/>
              <w:rPr>
                <w:rFonts w:ascii="仿宋_GB2312" w:hAnsi="仿宋_GB2312" w:cs="仿宋_GB2312"/>
                <w:kern w:val="0"/>
                <w:sz w:val="24"/>
                <w:szCs w:val="24"/>
              </w:rPr>
            </w:pPr>
            <w:r>
              <w:rPr>
                <w:rFonts w:hint="eastAsia" w:ascii="仿宋_GB2312" w:hAnsi="仿宋_GB2312" w:cs="仿宋_GB2312"/>
                <w:kern w:val="0"/>
                <w:sz w:val="24"/>
                <w:szCs w:val="24"/>
              </w:rPr>
              <w:t>长期</w:t>
            </w:r>
          </w:p>
        </w:tc>
        <w:tc>
          <w:tcPr>
            <w:tcW w:w="4930" w:type="dxa"/>
            <w:vMerge w:val="continue"/>
          </w:tcPr>
          <w:p w14:paraId="3F106DA5">
            <w:pPr>
              <w:widowControl/>
              <w:adjustRightInd w:val="0"/>
              <w:snapToGrid w:val="0"/>
              <w:spacing w:line="204" w:lineRule="auto"/>
              <w:jc w:val="center"/>
              <w:rPr>
                <w:rFonts w:ascii="黑体" w:hAnsi="黑体" w:eastAsia="黑体" w:cs="Times New Roman"/>
                <w:kern w:val="0"/>
                <w:sz w:val="24"/>
                <w:szCs w:val="24"/>
              </w:rPr>
            </w:pPr>
          </w:p>
        </w:tc>
      </w:tr>
      <w:tr w14:paraId="1811F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0" w:type="dxa"/>
            <w:vMerge w:val="continue"/>
          </w:tcPr>
          <w:p w14:paraId="17D7FD45">
            <w:pPr>
              <w:widowControl/>
              <w:adjustRightInd w:val="0"/>
              <w:snapToGrid w:val="0"/>
              <w:spacing w:line="204" w:lineRule="auto"/>
              <w:jc w:val="center"/>
              <w:rPr>
                <w:rFonts w:ascii="黑体" w:hAnsi="黑体" w:eastAsia="黑体" w:cs="Times New Roman"/>
                <w:kern w:val="0"/>
                <w:sz w:val="24"/>
                <w:szCs w:val="24"/>
              </w:rPr>
            </w:pPr>
          </w:p>
        </w:tc>
        <w:tc>
          <w:tcPr>
            <w:tcW w:w="2542" w:type="dxa"/>
          </w:tcPr>
          <w:p w14:paraId="38FA2D5C">
            <w:pPr>
              <w:widowControl/>
              <w:adjustRightInd w:val="0"/>
              <w:snapToGrid w:val="0"/>
              <w:spacing w:line="204" w:lineRule="auto"/>
              <w:rPr>
                <w:rFonts w:ascii="仿宋_GB2312" w:hAnsi="仿宋_GB2312" w:cs="仿宋_GB2312"/>
                <w:kern w:val="0"/>
                <w:sz w:val="24"/>
                <w:szCs w:val="24"/>
              </w:rPr>
            </w:pPr>
            <w:r>
              <w:rPr>
                <w:rFonts w:hint="eastAsia" w:ascii="微软雅黑" w:hAnsi="微软雅黑" w:eastAsia="微软雅黑" w:cs="微软雅黑"/>
                <w:kern w:val="0"/>
                <w:sz w:val="24"/>
                <w:szCs w:val="24"/>
              </w:rPr>
              <w:t>−</w:t>
            </w:r>
            <w:r>
              <w:rPr>
                <w:rFonts w:hint="eastAsia" w:ascii="仿宋_GB2312" w:hAnsi="仿宋_GB2312" w:cs="仿宋_GB2312"/>
                <w:kern w:val="0"/>
                <w:sz w:val="24"/>
                <w:szCs w:val="24"/>
              </w:rPr>
              <w:t>降水模式的变化和气候模式的极端波动</w:t>
            </w:r>
          </w:p>
          <w:p w14:paraId="1BC970BA">
            <w:pPr>
              <w:widowControl/>
              <w:adjustRightInd w:val="0"/>
              <w:snapToGrid w:val="0"/>
              <w:spacing w:line="204" w:lineRule="auto"/>
              <w:rPr>
                <w:rFonts w:ascii="仿宋_GB2312" w:hAnsi="仿宋_GB2312" w:cs="仿宋_GB2312"/>
                <w:kern w:val="0"/>
                <w:sz w:val="24"/>
                <w:szCs w:val="24"/>
              </w:rPr>
            </w:pPr>
            <w:r>
              <w:rPr>
                <w:rFonts w:hint="eastAsia" w:ascii="微软雅黑" w:hAnsi="微软雅黑" w:eastAsia="微软雅黑" w:cs="微软雅黑"/>
                <w:kern w:val="0"/>
                <w:sz w:val="24"/>
                <w:szCs w:val="24"/>
              </w:rPr>
              <w:t>−</w:t>
            </w:r>
            <w:r>
              <w:rPr>
                <w:rFonts w:hint="eastAsia" w:ascii="仿宋_GB2312" w:hAnsi="仿宋_GB2312" w:cs="仿宋_GB2312"/>
                <w:kern w:val="0"/>
                <w:sz w:val="24"/>
                <w:szCs w:val="24"/>
              </w:rPr>
              <w:t>平均气温不断上升</w:t>
            </w:r>
          </w:p>
          <w:p w14:paraId="57AF2FCA">
            <w:pPr>
              <w:widowControl/>
              <w:adjustRightInd w:val="0"/>
              <w:snapToGrid w:val="0"/>
              <w:spacing w:line="204" w:lineRule="auto"/>
              <w:rPr>
                <w:rFonts w:ascii="仿宋_GB2312" w:hAnsi="仿宋_GB2312" w:cs="仿宋_GB2312"/>
                <w:kern w:val="0"/>
                <w:sz w:val="24"/>
                <w:szCs w:val="24"/>
              </w:rPr>
            </w:pPr>
            <w:r>
              <w:rPr>
                <w:rFonts w:hint="eastAsia" w:ascii="微软雅黑" w:hAnsi="微软雅黑" w:eastAsia="微软雅黑" w:cs="微软雅黑"/>
                <w:kern w:val="0"/>
                <w:sz w:val="24"/>
                <w:szCs w:val="24"/>
              </w:rPr>
              <w:t>−</w:t>
            </w:r>
            <w:r>
              <w:rPr>
                <w:rFonts w:hint="eastAsia" w:ascii="仿宋_GB2312" w:hAnsi="仿宋_GB2312" w:cs="仿宋_GB2312"/>
                <w:kern w:val="0"/>
                <w:sz w:val="24"/>
                <w:szCs w:val="24"/>
              </w:rPr>
              <w:t>海平面不断上升</w:t>
            </w:r>
          </w:p>
        </w:tc>
        <w:tc>
          <w:tcPr>
            <w:tcW w:w="4930" w:type="dxa"/>
            <w:vMerge w:val="continue"/>
          </w:tcPr>
          <w:p w14:paraId="4CC52862">
            <w:pPr>
              <w:widowControl/>
              <w:adjustRightInd w:val="0"/>
              <w:snapToGrid w:val="0"/>
              <w:spacing w:line="204" w:lineRule="auto"/>
              <w:jc w:val="center"/>
              <w:rPr>
                <w:rFonts w:ascii="黑体" w:hAnsi="黑体" w:eastAsia="黑体" w:cs="Times New Roman"/>
                <w:kern w:val="0"/>
                <w:sz w:val="24"/>
                <w:szCs w:val="24"/>
              </w:rPr>
            </w:pPr>
          </w:p>
        </w:tc>
      </w:tr>
    </w:tbl>
    <w:p w14:paraId="086D8CDC">
      <w:pPr>
        <w:widowControl/>
        <w:adjustRightInd w:val="0"/>
        <w:snapToGrid w:val="0"/>
        <w:spacing w:line="560" w:lineRule="exact"/>
        <w:jc w:val="center"/>
        <w:rPr>
          <w:rFonts w:ascii="Times New Roman" w:hAnsi="Times New Roman" w:eastAsia="黑体" w:cs="Times New Roman"/>
          <w:kern w:val="0"/>
          <w:sz w:val="24"/>
          <w:szCs w:val="24"/>
        </w:rPr>
      </w:pPr>
      <w:r>
        <w:rPr>
          <w:rFonts w:hint="eastAsia" w:ascii="Times New Roman" w:hAnsi="Times New Roman" w:eastAsia="黑体" w:cs="Times New Roman"/>
          <w:kern w:val="0"/>
          <w:sz w:val="24"/>
          <w:szCs w:val="24"/>
        </w:rPr>
        <w:t>表</w:t>
      </w:r>
      <w:r>
        <w:rPr>
          <w:rFonts w:ascii="Times New Roman" w:hAnsi="Times New Roman" w:eastAsia="黑体" w:cs="Times New Roman"/>
          <w:kern w:val="0"/>
          <w:sz w:val="24"/>
          <w:szCs w:val="24"/>
        </w:rPr>
        <w:t>5</w:t>
      </w:r>
      <w:r>
        <w:rPr>
          <w:rFonts w:hint="eastAsia" w:ascii="Times New Roman" w:hAnsi="Times New Roman" w:eastAsia="黑体" w:cs="Times New Roman"/>
          <w:kern w:val="0"/>
          <w:sz w:val="24"/>
          <w:szCs w:val="24"/>
        </w:rPr>
        <w:t>：</w:t>
      </w:r>
      <w:r>
        <w:rPr>
          <w:rFonts w:hint="eastAsia" w:ascii="Times New Roman" w:hAnsi="Times New Roman" w:eastAsia="黑体" w:cs="Times New Roman"/>
          <w:kern w:val="0"/>
          <w:sz w:val="24"/>
          <w:szCs w:val="24"/>
          <w:lang w:bidi="ar"/>
        </w:rPr>
        <w:t>气候相关机遇和财务影响的示例</w:t>
      </w:r>
    </w:p>
    <w:tbl>
      <w:tblPr>
        <w:tblStyle w:val="8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5"/>
        <w:gridCol w:w="2344"/>
        <w:gridCol w:w="5050"/>
      </w:tblGrid>
      <w:tr w14:paraId="12095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pct"/>
            <w:vAlign w:val="center"/>
          </w:tcPr>
          <w:p w14:paraId="5937686F">
            <w:pPr>
              <w:widowControl/>
              <w:adjustRightInd w:val="0"/>
              <w:snapToGrid w:val="0"/>
              <w:spacing w:line="216" w:lineRule="auto"/>
              <w:jc w:val="center"/>
              <w:rPr>
                <w:rFonts w:ascii="仿宋_GB2312" w:hAnsi="仿宋_GB2312" w:cs="仿宋_GB2312"/>
                <w:b/>
                <w:bCs/>
                <w:kern w:val="0"/>
                <w:sz w:val="24"/>
                <w:szCs w:val="24"/>
              </w:rPr>
            </w:pPr>
            <w:r>
              <w:rPr>
                <w:rFonts w:hint="eastAsia" w:ascii="仿宋_GB2312" w:hAnsi="仿宋_GB2312" w:cs="仿宋_GB2312"/>
                <w:b/>
                <w:bCs/>
                <w:kern w:val="0"/>
                <w:sz w:val="24"/>
                <w:szCs w:val="24"/>
              </w:rPr>
              <w:t>类型</w:t>
            </w:r>
          </w:p>
        </w:tc>
        <w:tc>
          <w:tcPr>
            <w:tcW w:w="1376" w:type="pct"/>
          </w:tcPr>
          <w:p w14:paraId="5E96E381">
            <w:pPr>
              <w:widowControl/>
              <w:adjustRightInd w:val="0"/>
              <w:snapToGrid w:val="0"/>
              <w:spacing w:line="216" w:lineRule="auto"/>
              <w:jc w:val="center"/>
              <w:rPr>
                <w:rFonts w:ascii="仿宋_GB2312" w:hAnsi="仿宋_GB2312" w:cs="仿宋_GB2312"/>
                <w:b/>
                <w:bCs/>
                <w:kern w:val="0"/>
                <w:sz w:val="24"/>
                <w:szCs w:val="24"/>
              </w:rPr>
            </w:pPr>
            <w:r>
              <w:rPr>
                <w:rFonts w:hint="eastAsia" w:ascii="仿宋_GB2312" w:hAnsi="仿宋_GB2312" w:cs="仿宋_GB2312"/>
                <w:b/>
                <w:bCs/>
                <w:kern w:val="0"/>
                <w:sz w:val="24"/>
                <w:szCs w:val="24"/>
              </w:rPr>
              <w:t>气候相关机遇</w:t>
            </w:r>
          </w:p>
        </w:tc>
        <w:tc>
          <w:tcPr>
            <w:tcW w:w="2964" w:type="pct"/>
          </w:tcPr>
          <w:p w14:paraId="72DDACB6">
            <w:pPr>
              <w:widowControl/>
              <w:adjustRightInd w:val="0"/>
              <w:snapToGrid w:val="0"/>
              <w:spacing w:line="216" w:lineRule="auto"/>
              <w:jc w:val="center"/>
              <w:rPr>
                <w:rFonts w:ascii="仿宋_GB2312" w:hAnsi="仿宋_GB2312" w:cs="仿宋_GB2312"/>
                <w:b/>
                <w:bCs/>
                <w:kern w:val="0"/>
                <w:sz w:val="24"/>
                <w:szCs w:val="24"/>
              </w:rPr>
            </w:pPr>
            <w:r>
              <w:rPr>
                <w:rFonts w:hint="eastAsia" w:ascii="仿宋_GB2312" w:hAnsi="仿宋_GB2312" w:cs="仿宋_GB2312"/>
                <w:b/>
                <w:bCs/>
                <w:kern w:val="0"/>
                <w:sz w:val="24"/>
                <w:szCs w:val="24"/>
              </w:rPr>
              <w:t>财务影响</w:t>
            </w:r>
          </w:p>
        </w:tc>
      </w:tr>
      <w:tr w14:paraId="53663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pct"/>
            <w:vAlign w:val="center"/>
          </w:tcPr>
          <w:p w14:paraId="0F579522">
            <w:pPr>
              <w:widowControl/>
              <w:adjustRightInd w:val="0"/>
              <w:snapToGrid w:val="0"/>
              <w:spacing w:line="216" w:lineRule="auto"/>
              <w:jc w:val="center"/>
              <w:rPr>
                <w:rFonts w:ascii="仿宋_GB2312" w:hAnsi="仿宋_GB2312" w:cs="仿宋_GB2312"/>
                <w:kern w:val="0"/>
                <w:sz w:val="24"/>
                <w:szCs w:val="24"/>
              </w:rPr>
            </w:pPr>
            <w:r>
              <w:rPr>
                <w:rFonts w:hint="eastAsia" w:ascii="仿宋_GB2312" w:hAnsi="仿宋_GB2312" w:cs="仿宋_GB2312"/>
                <w:kern w:val="0"/>
                <w:sz w:val="24"/>
                <w:szCs w:val="24"/>
              </w:rPr>
              <w:t>资源</w:t>
            </w:r>
          </w:p>
          <w:p w14:paraId="165144BD">
            <w:pPr>
              <w:widowControl/>
              <w:adjustRightInd w:val="0"/>
              <w:snapToGrid w:val="0"/>
              <w:spacing w:line="216" w:lineRule="auto"/>
              <w:jc w:val="center"/>
              <w:rPr>
                <w:rFonts w:ascii="仿宋_GB2312" w:hAnsi="仿宋_GB2312" w:cs="仿宋_GB2312"/>
                <w:kern w:val="0"/>
                <w:sz w:val="24"/>
                <w:szCs w:val="24"/>
              </w:rPr>
            </w:pPr>
            <w:r>
              <w:rPr>
                <w:rFonts w:hint="eastAsia" w:ascii="仿宋_GB2312" w:hAnsi="仿宋_GB2312" w:cs="仿宋_GB2312"/>
                <w:kern w:val="0"/>
                <w:sz w:val="24"/>
                <w:szCs w:val="24"/>
              </w:rPr>
              <w:t>效率</w:t>
            </w:r>
          </w:p>
        </w:tc>
        <w:tc>
          <w:tcPr>
            <w:tcW w:w="1376" w:type="pct"/>
          </w:tcPr>
          <w:p w14:paraId="1E95A27B">
            <w:pPr>
              <w:widowControl/>
              <w:adjustRightInd w:val="0"/>
              <w:snapToGrid w:val="0"/>
              <w:spacing w:line="216" w:lineRule="auto"/>
              <w:rPr>
                <w:rFonts w:ascii="仿宋_GB2312" w:hAnsi="仿宋_GB2312" w:cs="仿宋_GB2312"/>
                <w:kern w:val="0"/>
                <w:sz w:val="24"/>
                <w:szCs w:val="24"/>
              </w:rPr>
            </w:pPr>
            <w:r>
              <w:rPr>
                <w:rFonts w:hint="eastAsia" w:ascii="微软雅黑" w:hAnsi="微软雅黑" w:eastAsia="微软雅黑" w:cs="微软雅黑"/>
                <w:kern w:val="0"/>
                <w:sz w:val="24"/>
                <w:szCs w:val="24"/>
              </w:rPr>
              <w:t>−</w:t>
            </w:r>
            <w:r>
              <w:rPr>
                <w:rFonts w:ascii="仿宋_GB2312" w:hAnsi="仿宋_GB2312" w:cs="仿宋_GB2312"/>
                <w:kern w:val="0"/>
                <w:sz w:val="24"/>
                <w:szCs w:val="24"/>
              </w:rPr>
              <w:t>使用更有效率的运输模式</w:t>
            </w:r>
          </w:p>
          <w:p w14:paraId="72500F64">
            <w:pPr>
              <w:widowControl/>
              <w:adjustRightInd w:val="0"/>
              <w:snapToGrid w:val="0"/>
              <w:spacing w:line="216" w:lineRule="auto"/>
              <w:rPr>
                <w:rFonts w:ascii="仿宋_GB2312" w:hAnsi="仿宋_GB2312" w:cs="仿宋_GB2312"/>
                <w:kern w:val="0"/>
                <w:sz w:val="24"/>
                <w:szCs w:val="24"/>
              </w:rPr>
            </w:pPr>
            <w:r>
              <w:rPr>
                <w:rFonts w:hint="eastAsia" w:ascii="微软雅黑" w:hAnsi="微软雅黑" w:eastAsia="微软雅黑" w:cs="微软雅黑"/>
                <w:kern w:val="0"/>
                <w:sz w:val="24"/>
                <w:szCs w:val="24"/>
              </w:rPr>
              <w:t>−</w:t>
            </w:r>
            <w:r>
              <w:rPr>
                <w:rFonts w:ascii="仿宋_GB2312" w:hAnsi="仿宋_GB2312" w:cs="仿宋_GB2312"/>
                <w:kern w:val="0"/>
                <w:sz w:val="24"/>
                <w:szCs w:val="24"/>
              </w:rPr>
              <w:t>使用更有效率的生产和配送流程</w:t>
            </w:r>
          </w:p>
          <w:p w14:paraId="7EE67129">
            <w:pPr>
              <w:widowControl/>
              <w:adjustRightInd w:val="0"/>
              <w:snapToGrid w:val="0"/>
              <w:spacing w:line="216" w:lineRule="auto"/>
              <w:rPr>
                <w:rFonts w:ascii="仿宋_GB2312" w:hAnsi="仿宋_GB2312" w:cs="仿宋_GB2312"/>
                <w:kern w:val="0"/>
                <w:sz w:val="24"/>
                <w:szCs w:val="24"/>
              </w:rPr>
            </w:pPr>
            <w:r>
              <w:rPr>
                <w:rFonts w:hint="eastAsia" w:ascii="微软雅黑" w:hAnsi="微软雅黑" w:eastAsia="微软雅黑" w:cs="微软雅黑"/>
                <w:kern w:val="0"/>
                <w:sz w:val="24"/>
                <w:szCs w:val="24"/>
              </w:rPr>
              <w:t>−</w:t>
            </w:r>
            <w:r>
              <w:rPr>
                <w:rFonts w:ascii="仿宋_GB2312" w:hAnsi="仿宋_GB2312" w:cs="仿宋_GB2312"/>
                <w:kern w:val="0"/>
                <w:sz w:val="24"/>
                <w:szCs w:val="24"/>
              </w:rPr>
              <w:t>使用回收品</w:t>
            </w:r>
          </w:p>
          <w:p w14:paraId="38988134">
            <w:pPr>
              <w:widowControl/>
              <w:adjustRightInd w:val="0"/>
              <w:snapToGrid w:val="0"/>
              <w:spacing w:line="216" w:lineRule="auto"/>
              <w:rPr>
                <w:rFonts w:ascii="仿宋_GB2312" w:hAnsi="仿宋_GB2312" w:cs="仿宋_GB2312"/>
                <w:kern w:val="0"/>
                <w:sz w:val="24"/>
                <w:szCs w:val="24"/>
              </w:rPr>
            </w:pPr>
            <w:r>
              <w:rPr>
                <w:rFonts w:hint="eastAsia" w:ascii="微软雅黑" w:hAnsi="微软雅黑" w:eastAsia="微软雅黑" w:cs="微软雅黑"/>
                <w:kern w:val="0"/>
                <w:sz w:val="24"/>
                <w:szCs w:val="24"/>
              </w:rPr>
              <w:t>−</w:t>
            </w:r>
            <w:r>
              <w:rPr>
                <w:rFonts w:ascii="仿宋_GB2312" w:hAnsi="仿宋_GB2312" w:cs="仿宋_GB2312"/>
                <w:kern w:val="0"/>
                <w:sz w:val="24"/>
                <w:szCs w:val="24"/>
              </w:rPr>
              <w:t>搬到节能效率更高的建筑物</w:t>
            </w:r>
          </w:p>
          <w:p w14:paraId="644EA79E">
            <w:pPr>
              <w:widowControl/>
              <w:adjustRightInd w:val="0"/>
              <w:snapToGrid w:val="0"/>
              <w:spacing w:line="216" w:lineRule="auto"/>
              <w:rPr>
                <w:rFonts w:ascii="仿宋_GB2312" w:hAnsi="仿宋_GB2312" w:cs="仿宋_GB2312"/>
                <w:kern w:val="0"/>
                <w:sz w:val="24"/>
                <w:szCs w:val="24"/>
              </w:rPr>
            </w:pPr>
            <w:r>
              <w:rPr>
                <w:rFonts w:hint="eastAsia" w:ascii="微软雅黑" w:hAnsi="微软雅黑" w:eastAsia="微软雅黑" w:cs="微软雅黑"/>
                <w:kern w:val="0"/>
                <w:sz w:val="24"/>
                <w:szCs w:val="24"/>
              </w:rPr>
              <w:t>−</w:t>
            </w:r>
            <w:r>
              <w:rPr>
                <w:rFonts w:ascii="仿宋_GB2312" w:hAnsi="仿宋_GB2312" w:cs="仿宋_GB2312"/>
                <w:kern w:val="0"/>
                <w:sz w:val="24"/>
                <w:szCs w:val="24"/>
              </w:rPr>
              <w:t>减少用水和消耗</w:t>
            </w:r>
          </w:p>
        </w:tc>
        <w:tc>
          <w:tcPr>
            <w:tcW w:w="2964" w:type="pct"/>
          </w:tcPr>
          <w:p w14:paraId="09060F98">
            <w:pPr>
              <w:widowControl/>
              <w:adjustRightInd w:val="0"/>
              <w:snapToGrid w:val="0"/>
              <w:spacing w:line="216" w:lineRule="auto"/>
              <w:rPr>
                <w:rFonts w:ascii="仿宋_GB2312" w:hAnsi="仿宋_GB2312" w:cs="仿宋_GB2312"/>
                <w:kern w:val="0"/>
                <w:sz w:val="24"/>
                <w:szCs w:val="24"/>
              </w:rPr>
            </w:pPr>
            <w:r>
              <w:rPr>
                <w:rFonts w:hint="eastAsia" w:ascii="微软雅黑" w:hAnsi="微软雅黑" w:eastAsia="微软雅黑" w:cs="微软雅黑"/>
                <w:kern w:val="0"/>
                <w:sz w:val="24"/>
                <w:szCs w:val="24"/>
              </w:rPr>
              <w:t>−</w:t>
            </w:r>
            <w:r>
              <w:rPr>
                <w:rFonts w:ascii="仿宋_GB2312" w:hAnsi="仿宋_GB2312" w:cs="仿宋_GB2312"/>
                <w:kern w:val="0"/>
                <w:sz w:val="24"/>
                <w:szCs w:val="24"/>
              </w:rPr>
              <w:t>降低运营成本（如通过效率提升和降低成本）</w:t>
            </w:r>
          </w:p>
          <w:p w14:paraId="3369584A">
            <w:pPr>
              <w:widowControl/>
              <w:adjustRightInd w:val="0"/>
              <w:snapToGrid w:val="0"/>
              <w:spacing w:line="216" w:lineRule="auto"/>
              <w:rPr>
                <w:rFonts w:ascii="仿宋_GB2312" w:hAnsi="仿宋_GB2312" w:cs="仿宋_GB2312"/>
                <w:kern w:val="0"/>
                <w:sz w:val="24"/>
                <w:szCs w:val="24"/>
              </w:rPr>
            </w:pPr>
            <w:r>
              <w:rPr>
                <w:rFonts w:hint="eastAsia" w:ascii="微软雅黑" w:hAnsi="微软雅黑" w:eastAsia="微软雅黑" w:cs="微软雅黑"/>
                <w:kern w:val="0"/>
                <w:sz w:val="24"/>
                <w:szCs w:val="24"/>
              </w:rPr>
              <w:t>−</w:t>
            </w:r>
            <w:r>
              <w:rPr>
                <w:rFonts w:ascii="仿宋_GB2312" w:hAnsi="仿宋_GB2312" w:cs="仿宋_GB2312"/>
                <w:kern w:val="0"/>
                <w:sz w:val="24"/>
                <w:szCs w:val="24"/>
              </w:rPr>
              <w:t>生产能力提高，从而增加收入</w:t>
            </w:r>
          </w:p>
          <w:p w14:paraId="693D6EAD">
            <w:pPr>
              <w:widowControl/>
              <w:adjustRightInd w:val="0"/>
              <w:snapToGrid w:val="0"/>
              <w:spacing w:line="216" w:lineRule="auto"/>
              <w:rPr>
                <w:rFonts w:ascii="仿宋_GB2312" w:hAnsi="仿宋_GB2312" w:cs="仿宋_GB2312"/>
                <w:kern w:val="0"/>
                <w:sz w:val="24"/>
                <w:szCs w:val="24"/>
              </w:rPr>
            </w:pPr>
            <w:r>
              <w:rPr>
                <w:rFonts w:hint="eastAsia" w:ascii="微软雅黑" w:hAnsi="微软雅黑" w:eastAsia="微软雅黑" w:cs="微软雅黑"/>
                <w:kern w:val="0"/>
                <w:sz w:val="24"/>
                <w:szCs w:val="24"/>
              </w:rPr>
              <w:t>−</w:t>
            </w:r>
            <w:r>
              <w:rPr>
                <w:rFonts w:ascii="仿宋_GB2312" w:hAnsi="仿宋_GB2312" w:cs="仿宋_GB2312"/>
                <w:kern w:val="0"/>
                <w:sz w:val="24"/>
                <w:szCs w:val="24"/>
              </w:rPr>
              <w:t>固定资产的价值增加（如节能效率等级高的建筑）</w:t>
            </w:r>
          </w:p>
          <w:p w14:paraId="52DD94A7">
            <w:pPr>
              <w:widowControl/>
              <w:adjustRightInd w:val="0"/>
              <w:snapToGrid w:val="0"/>
              <w:spacing w:line="216" w:lineRule="auto"/>
              <w:rPr>
                <w:rFonts w:ascii="仿宋_GB2312" w:hAnsi="仿宋_GB2312" w:cs="仿宋_GB2312"/>
                <w:kern w:val="0"/>
                <w:sz w:val="24"/>
                <w:szCs w:val="24"/>
              </w:rPr>
            </w:pPr>
            <w:r>
              <w:rPr>
                <w:rFonts w:hint="eastAsia" w:ascii="微软雅黑" w:hAnsi="微软雅黑" w:eastAsia="微软雅黑" w:cs="微软雅黑"/>
                <w:kern w:val="0"/>
                <w:sz w:val="24"/>
                <w:szCs w:val="24"/>
              </w:rPr>
              <w:t>−</w:t>
            </w:r>
            <w:r>
              <w:rPr>
                <w:rFonts w:ascii="仿宋_GB2312" w:hAnsi="仿宋_GB2312" w:cs="仿宋_GB2312"/>
                <w:kern w:val="0"/>
                <w:sz w:val="24"/>
                <w:szCs w:val="24"/>
              </w:rPr>
              <w:t>劳动力管理和规划的收益（如健康水平和安全条件的改善、员工的满意度）而带来的成本下降</w:t>
            </w:r>
          </w:p>
        </w:tc>
      </w:tr>
      <w:tr w14:paraId="41C2C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pct"/>
            <w:vAlign w:val="center"/>
          </w:tcPr>
          <w:p w14:paraId="7D0431E8">
            <w:pPr>
              <w:widowControl/>
              <w:adjustRightInd w:val="0"/>
              <w:snapToGrid w:val="0"/>
              <w:spacing w:line="216" w:lineRule="auto"/>
              <w:jc w:val="center"/>
              <w:rPr>
                <w:rFonts w:ascii="仿宋_GB2312" w:hAnsi="仿宋_GB2312" w:cs="仿宋_GB2312"/>
                <w:kern w:val="0"/>
                <w:sz w:val="24"/>
                <w:szCs w:val="24"/>
              </w:rPr>
            </w:pPr>
            <w:r>
              <w:rPr>
                <w:rFonts w:hint="eastAsia" w:ascii="仿宋_GB2312" w:hAnsi="仿宋_GB2312" w:cs="仿宋_GB2312"/>
                <w:kern w:val="0"/>
                <w:sz w:val="24"/>
                <w:szCs w:val="24"/>
              </w:rPr>
              <w:t>能源</w:t>
            </w:r>
          </w:p>
          <w:p w14:paraId="38CE508E">
            <w:pPr>
              <w:widowControl/>
              <w:adjustRightInd w:val="0"/>
              <w:snapToGrid w:val="0"/>
              <w:spacing w:line="216" w:lineRule="auto"/>
              <w:jc w:val="center"/>
              <w:rPr>
                <w:rFonts w:ascii="仿宋_GB2312" w:hAnsi="仿宋_GB2312" w:cs="仿宋_GB2312"/>
                <w:kern w:val="0"/>
                <w:sz w:val="24"/>
                <w:szCs w:val="24"/>
              </w:rPr>
            </w:pPr>
            <w:r>
              <w:rPr>
                <w:rFonts w:hint="eastAsia" w:ascii="仿宋_GB2312" w:hAnsi="仿宋_GB2312" w:cs="仿宋_GB2312"/>
                <w:kern w:val="0"/>
                <w:sz w:val="24"/>
                <w:szCs w:val="24"/>
              </w:rPr>
              <w:t>效率</w:t>
            </w:r>
          </w:p>
        </w:tc>
        <w:tc>
          <w:tcPr>
            <w:tcW w:w="1376" w:type="pct"/>
          </w:tcPr>
          <w:p w14:paraId="04A05AD3">
            <w:pPr>
              <w:widowControl/>
              <w:adjustRightInd w:val="0"/>
              <w:snapToGrid w:val="0"/>
              <w:spacing w:line="216" w:lineRule="auto"/>
              <w:rPr>
                <w:rFonts w:ascii="仿宋_GB2312" w:hAnsi="仿宋_GB2312" w:cs="仿宋_GB2312"/>
                <w:kern w:val="0"/>
                <w:sz w:val="24"/>
                <w:szCs w:val="24"/>
              </w:rPr>
            </w:pPr>
            <w:r>
              <w:rPr>
                <w:rFonts w:hint="eastAsia" w:ascii="微软雅黑" w:hAnsi="微软雅黑" w:eastAsia="微软雅黑" w:cs="微软雅黑"/>
                <w:kern w:val="0"/>
                <w:sz w:val="24"/>
                <w:szCs w:val="24"/>
              </w:rPr>
              <w:t>−</w:t>
            </w:r>
            <w:r>
              <w:rPr>
                <w:rFonts w:ascii="仿宋_GB2312" w:hAnsi="仿宋_GB2312" w:cs="仿宋_GB2312"/>
                <w:kern w:val="0"/>
                <w:sz w:val="24"/>
                <w:szCs w:val="24"/>
              </w:rPr>
              <w:t>使用低排放的能源</w:t>
            </w:r>
          </w:p>
          <w:p w14:paraId="295FC570">
            <w:pPr>
              <w:widowControl/>
              <w:adjustRightInd w:val="0"/>
              <w:snapToGrid w:val="0"/>
              <w:spacing w:line="216" w:lineRule="auto"/>
              <w:rPr>
                <w:rFonts w:ascii="仿宋_GB2312" w:hAnsi="仿宋_GB2312" w:cs="仿宋_GB2312"/>
                <w:kern w:val="0"/>
                <w:sz w:val="24"/>
                <w:szCs w:val="24"/>
              </w:rPr>
            </w:pPr>
            <w:r>
              <w:rPr>
                <w:rFonts w:hint="eastAsia" w:ascii="微软雅黑" w:hAnsi="微软雅黑" w:eastAsia="微软雅黑" w:cs="微软雅黑"/>
                <w:kern w:val="0"/>
                <w:sz w:val="24"/>
                <w:szCs w:val="24"/>
              </w:rPr>
              <w:t>−</w:t>
            </w:r>
            <w:r>
              <w:rPr>
                <w:rFonts w:ascii="仿宋_GB2312" w:hAnsi="仿宋_GB2312" w:cs="仿宋_GB2312"/>
                <w:kern w:val="0"/>
                <w:sz w:val="24"/>
                <w:szCs w:val="24"/>
              </w:rPr>
              <w:t>使用政策支持激励</w:t>
            </w:r>
          </w:p>
          <w:p w14:paraId="4530818A">
            <w:pPr>
              <w:widowControl/>
              <w:adjustRightInd w:val="0"/>
              <w:snapToGrid w:val="0"/>
              <w:spacing w:line="216" w:lineRule="auto"/>
              <w:rPr>
                <w:rFonts w:ascii="仿宋_GB2312" w:hAnsi="仿宋_GB2312" w:cs="仿宋_GB2312"/>
                <w:kern w:val="0"/>
                <w:sz w:val="24"/>
                <w:szCs w:val="24"/>
              </w:rPr>
            </w:pPr>
            <w:r>
              <w:rPr>
                <w:rFonts w:hint="eastAsia" w:ascii="微软雅黑" w:hAnsi="微软雅黑" w:eastAsia="微软雅黑" w:cs="微软雅黑"/>
                <w:kern w:val="0"/>
                <w:sz w:val="24"/>
                <w:szCs w:val="24"/>
              </w:rPr>
              <w:t>−</w:t>
            </w:r>
            <w:r>
              <w:rPr>
                <w:rFonts w:ascii="仿宋_GB2312" w:hAnsi="仿宋_GB2312" w:cs="仿宋_GB2312"/>
                <w:kern w:val="0"/>
                <w:sz w:val="24"/>
                <w:szCs w:val="24"/>
              </w:rPr>
              <w:t>使用新技术</w:t>
            </w:r>
          </w:p>
          <w:p w14:paraId="09C222D3">
            <w:pPr>
              <w:widowControl/>
              <w:adjustRightInd w:val="0"/>
              <w:snapToGrid w:val="0"/>
              <w:spacing w:line="216" w:lineRule="auto"/>
              <w:rPr>
                <w:rFonts w:ascii="仿宋_GB2312" w:hAnsi="仿宋_GB2312" w:cs="仿宋_GB2312"/>
                <w:kern w:val="0"/>
                <w:sz w:val="24"/>
                <w:szCs w:val="24"/>
              </w:rPr>
            </w:pPr>
            <w:r>
              <w:rPr>
                <w:rFonts w:hint="eastAsia" w:ascii="微软雅黑" w:hAnsi="微软雅黑" w:eastAsia="微软雅黑" w:cs="微软雅黑"/>
                <w:kern w:val="0"/>
                <w:sz w:val="24"/>
                <w:szCs w:val="24"/>
              </w:rPr>
              <w:t>−</w:t>
            </w:r>
            <w:r>
              <w:rPr>
                <w:rFonts w:ascii="仿宋_GB2312" w:hAnsi="仿宋_GB2312" w:cs="仿宋_GB2312"/>
                <w:kern w:val="0"/>
                <w:sz w:val="24"/>
                <w:szCs w:val="24"/>
              </w:rPr>
              <w:t>参与碳市场</w:t>
            </w:r>
          </w:p>
          <w:p w14:paraId="09E321CA">
            <w:pPr>
              <w:widowControl/>
              <w:adjustRightInd w:val="0"/>
              <w:snapToGrid w:val="0"/>
              <w:spacing w:line="216" w:lineRule="auto"/>
              <w:rPr>
                <w:rFonts w:ascii="仿宋_GB2312" w:hAnsi="仿宋_GB2312" w:cs="仿宋_GB2312"/>
                <w:kern w:val="0"/>
                <w:sz w:val="24"/>
                <w:szCs w:val="24"/>
              </w:rPr>
            </w:pPr>
            <w:r>
              <w:rPr>
                <w:rFonts w:hint="eastAsia" w:ascii="微软雅黑" w:hAnsi="微软雅黑" w:eastAsia="微软雅黑" w:cs="微软雅黑"/>
                <w:kern w:val="0"/>
                <w:sz w:val="24"/>
                <w:szCs w:val="24"/>
              </w:rPr>
              <w:t>−</w:t>
            </w:r>
            <w:r>
              <w:rPr>
                <w:rFonts w:ascii="仿宋_GB2312" w:hAnsi="仿宋_GB2312" w:cs="仿宋_GB2312"/>
                <w:kern w:val="0"/>
                <w:sz w:val="24"/>
                <w:szCs w:val="24"/>
              </w:rPr>
              <w:t>转向分散的能源</w:t>
            </w:r>
            <w:r>
              <w:rPr>
                <w:rFonts w:hint="eastAsia" w:ascii="仿宋_GB2312" w:hAnsi="仿宋_GB2312" w:cs="仿宋_GB2312"/>
                <w:kern w:val="0"/>
                <w:sz w:val="24"/>
                <w:szCs w:val="24"/>
              </w:rPr>
              <w:t>来源（如增加清洁能源的占比）</w:t>
            </w:r>
          </w:p>
        </w:tc>
        <w:tc>
          <w:tcPr>
            <w:tcW w:w="2964" w:type="pct"/>
          </w:tcPr>
          <w:p w14:paraId="676D09DB">
            <w:pPr>
              <w:widowControl/>
              <w:adjustRightInd w:val="0"/>
              <w:snapToGrid w:val="0"/>
              <w:spacing w:line="216" w:lineRule="auto"/>
              <w:rPr>
                <w:rFonts w:ascii="仿宋_GB2312" w:hAnsi="仿宋_GB2312" w:cs="仿宋_GB2312"/>
                <w:kern w:val="0"/>
                <w:sz w:val="24"/>
                <w:szCs w:val="24"/>
              </w:rPr>
            </w:pPr>
            <w:r>
              <w:rPr>
                <w:rFonts w:hint="eastAsia" w:ascii="微软雅黑" w:hAnsi="微软雅黑" w:eastAsia="微软雅黑" w:cs="微软雅黑"/>
                <w:kern w:val="0"/>
                <w:sz w:val="24"/>
                <w:szCs w:val="24"/>
              </w:rPr>
              <w:t>−</w:t>
            </w:r>
            <w:r>
              <w:rPr>
                <w:rFonts w:ascii="仿宋_GB2312" w:hAnsi="仿宋_GB2312" w:cs="仿宋_GB2312"/>
                <w:kern w:val="0"/>
                <w:sz w:val="24"/>
                <w:szCs w:val="24"/>
              </w:rPr>
              <w:t>运营成本的降低（如通过使用最低成本的减排方法）</w:t>
            </w:r>
          </w:p>
          <w:p w14:paraId="757302AF">
            <w:pPr>
              <w:widowControl/>
              <w:adjustRightInd w:val="0"/>
              <w:snapToGrid w:val="0"/>
              <w:spacing w:line="216" w:lineRule="auto"/>
              <w:rPr>
                <w:rFonts w:ascii="仿宋_GB2312" w:hAnsi="仿宋_GB2312" w:cs="仿宋_GB2312"/>
                <w:kern w:val="0"/>
                <w:sz w:val="24"/>
                <w:szCs w:val="24"/>
              </w:rPr>
            </w:pPr>
            <w:r>
              <w:rPr>
                <w:rFonts w:hint="eastAsia" w:ascii="微软雅黑" w:hAnsi="微软雅黑" w:eastAsia="微软雅黑" w:cs="微软雅黑"/>
                <w:kern w:val="0"/>
                <w:sz w:val="24"/>
                <w:szCs w:val="24"/>
              </w:rPr>
              <w:t>−</w:t>
            </w:r>
            <w:r>
              <w:rPr>
                <w:rFonts w:ascii="仿宋_GB2312" w:hAnsi="仿宋_GB2312" w:cs="仿宋_GB2312"/>
                <w:kern w:val="0"/>
                <w:sz w:val="24"/>
                <w:szCs w:val="24"/>
              </w:rPr>
              <w:t>减少未来化石燃料价格上涨带来的影响</w:t>
            </w:r>
          </w:p>
          <w:p w14:paraId="1EE2FD2A">
            <w:pPr>
              <w:widowControl/>
              <w:adjustRightInd w:val="0"/>
              <w:snapToGrid w:val="0"/>
              <w:spacing w:line="216" w:lineRule="auto"/>
              <w:rPr>
                <w:rFonts w:ascii="仿宋_GB2312" w:hAnsi="仿宋_GB2312" w:cs="仿宋_GB2312"/>
                <w:kern w:val="0"/>
                <w:sz w:val="24"/>
                <w:szCs w:val="24"/>
              </w:rPr>
            </w:pPr>
            <w:r>
              <w:rPr>
                <w:rFonts w:hint="eastAsia" w:ascii="微软雅黑" w:hAnsi="微软雅黑" w:eastAsia="微软雅黑" w:cs="微软雅黑"/>
                <w:kern w:val="0"/>
                <w:sz w:val="24"/>
                <w:szCs w:val="24"/>
              </w:rPr>
              <w:t>−</w:t>
            </w:r>
            <w:r>
              <w:rPr>
                <w:rFonts w:ascii="仿宋_GB2312" w:hAnsi="仿宋_GB2312" w:cs="仿宋_GB2312"/>
                <w:kern w:val="0"/>
                <w:sz w:val="24"/>
                <w:szCs w:val="24"/>
              </w:rPr>
              <w:t>减少温室气体的排放，从而减少对碳排放成本变化的敏感性</w:t>
            </w:r>
          </w:p>
          <w:p w14:paraId="066726B9">
            <w:pPr>
              <w:widowControl/>
              <w:adjustRightInd w:val="0"/>
              <w:snapToGrid w:val="0"/>
              <w:spacing w:line="216" w:lineRule="auto"/>
              <w:rPr>
                <w:rFonts w:ascii="仿宋_GB2312" w:hAnsi="仿宋_GB2312" w:cs="仿宋_GB2312"/>
                <w:kern w:val="0"/>
                <w:sz w:val="24"/>
                <w:szCs w:val="24"/>
              </w:rPr>
            </w:pPr>
            <w:r>
              <w:rPr>
                <w:rFonts w:hint="eastAsia" w:ascii="微软雅黑" w:hAnsi="微软雅黑" w:eastAsia="微软雅黑" w:cs="微软雅黑"/>
                <w:kern w:val="0"/>
                <w:sz w:val="24"/>
                <w:szCs w:val="24"/>
              </w:rPr>
              <w:t>−</w:t>
            </w:r>
            <w:r>
              <w:rPr>
                <w:rFonts w:ascii="仿宋_GB2312" w:hAnsi="仿宋_GB2312" w:cs="仿宋_GB2312"/>
                <w:kern w:val="0"/>
                <w:sz w:val="24"/>
                <w:szCs w:val="24"/>
              </w:rPr>
              <w:t>低排放技术投资的回报</w:t>
            </w:r>
          </w:p>
          <w:p w14:paraId="79DA9D8F">
            <w:pPr>
              <w:widowControl/>
              <w:adjustRightInd w:val="0"/>
              <w:snapToGrid w:val="0"/>
              <w:spacing w:line="216" w:lineRule="auto"/>
              <w:rPr>
                <w:rFonts w:ascii="仿宋_GB2312" w:hAnsi="仿宋_GB2312" w:cs="仿宋_GB2312"/>
                <w:kern w:val="0"/>
                <w:sz w:val="24"/>
                <w:szCs w:val="24"/>
              </w:rPr>
            </w:pPr>
            <w:r>
              <w:rPr>
                <w:rFonts w:hint="eastAsia" w:ascii="微软雅黑" w:hAnsi="微软雅黑" w:eastAsia="微软雅黑" w:cs="微软雅黑"/>
                <w:kern w:val="0"/>
                <w:sz w:val="24"/>
                <w:szCs w:val="24"/>
              </w:rPr>
              <w:t>−</w:t>
            </w:r>
            <w:r>
              <w:rPr>
                <w:rFonts w:ascii="仿宋_GB2312" w:hAnsi="仿宋_GB2312" w:cs="仿宋_GB2312"/>
                <w:kern w:val="0"/>
                <w:sz w:val="24"/>
                <w:szCs w:val="24"/>
              </w:rPr>
              <w:t>可用资金的增加（如</w:t>
            </w:r>
            <w:r>
              <w:rPr>
                <w:rFonts w:hint="eastAsia" w:ascii="仿宋_GB2312" w:hAnsi="仿宋_GB2312" w:cs="仿宋_GB2312"/>
                <w:kern w:val="0"/>
                <w:sz w:val="24"/>
                <w:szCs w:val="24"/>
              </w:rPr>
              <w:t>更多</w:t>
            </w:r>
            <w:r>
              <w:rPr>
                <w:rFonts w:ascii="仿宋_GB2312" w:hAnsi="仿宋_GB2312" w:cs="仿宋_GB2312"/>
                <w:kern w:val="0"/>
                <w:sz w:val="24"/>
                <w:szCs w:val="24"/>
              </w:rPr>
              <w:t>的投资者青睐低排放的制造商）</w:t>
            </w:r>
          </w:p>
          <w:p w14:paraId="2B72A638">
            <w:pPr>
              <w:widowControl/>
              <w:adjustRightInd w:val="0"/>
              <w:snapToGrid w:val="0"/>
              <w:spacing w:line="216" w:lineRule="auto"/>
              <w:rPr>
                <w:rFonts w:ascii="仿宋_GB2312" w:hAnsi="仿宋_GB2312" w:cs="仿宋_GB2312"/>
                <w:kern w:val="0"/>
                <w:sz w:val="24"/>
                <w:szCs w:val="24"/>
              </w:rPr>
            </w:pPr>
            <w:r>
              <w:rPr>
                <w:rFonts w:hint="eastAsia" w:ascii="微软雅黑" w:hAnsi="微软雅黑" w:eastAsia="微软雅黑" w:cs="微软雅黑"/>
                <w:kern w:val="0"/>
                <w:sz w:val="24"/>
                <w:szCs w:val="24"/>
              </w:rPr>
              <w:t>−</w:t>
            </w:r>
            <w:r>
              <w:rPr>
                <w:rFonts w:ascii="仿宋_GB2312" w:hAnsi="仿宋_GB2312" w:cs="仿宋_GB2312"/>
                <w:kern w:val="0"/>
                <w:sz w:val="24"/>
                <w:szCs w:val="24"/>
              </w:rPr>
              <w:t>声誉变好使产品/服务的需求增加</w:t>
            </w:r>
          </w:p>
        </w:tc>
      </w:tr>
      <w:tr w14:paraId="16800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60" w:type="pct"/>
            <w:vAlign w:val="center"/>
          </w:tcPr>
          <w:p w14:paraId="3D87BD7D">
            <w:pPr>
              <w:widowControl/>
              <w:adjustRightInd w:val="0"/>
              <w:snapToGrid w:val="0"/>
              <w:spacing w:line="216" w:lineRule="auto"/>
              <w:jc w:val="center"/>
              <w:rPr>
                <w:rFonts w:ascii="仿宋_GB2312" w:hAnsi="仿宋_GB2312" w:cs="仿宋_GB2312"/>
                <w:kern w:val="0"/>
                <w:sz w:val="24"/>
                <w:szCs w:val="24"/>
              </w:rPr>
            </w:pPr>
            <w:r>
              <w:rPr>
                <w:rFonts w:hint="eastAsia" w:ascii="仿宋_GB2312" w:hAnsi="仿宋_GB2312" w:cs="仿宋_GB2312"/>
                <w:kern w:val="0"/>
                <w:sz w:val="24"/>
                <w:szCs w:val="24"/>
              </w:rPr>
              <w:t>产品</w:t>
            </w:r>
          </w:p>
          <w:p w14:paraId="10C116C1">
            <w:pPr>
              <w:widowControl/>
              <w:adjustRightInd w:val="0"/>
              <w:snapToGrid w:val="0"/>
              <w:spacing w:line="216" w:lineRule="auto"/>
              <w:jc w:val="center"/>
              <w:rPr>
                <w:rFonts w:ascii="仿宋_GB2312" w:hAnsi="仿宋_GB2312" w:cs="仿宋_GB2312"/>
                <w:kern w:val="0"/>
                <w:sz w:val="24"/>
                <w:szCs w:val="24"/>
              </w:rPr>
            </w:pPr>
            <w:r>
              <w:rPr>
                <w:rFonts w:hint="eastAsia" w:ascii="仿宋_GB2312" w:hAnsi="仿宋_GB2312" w:cs="仿宋_GB2312"/>
                <w:kern w:val="0"/>
                <w:sz w:val="24"/>
                <w:szCs w:val="24"/>
              </w:rPr>
              <w:t>和服务</w:t>
            </w:r>
          </w:p>
        </w:tc>
        <w:tc>
          <w:tcPr>
            <w:tcW w:w="1376" w:type="pct"/>
          </w:tcPr>
          <w:p w14:paraId="0ACD889C">
            <w:pPr>
              <w:widowControl/>
              <w:adjustRightInd w:val="0"/>
              <w:snapToGrid w:val="0"/>
              <w:spacing w:line="216" w:lineRule="auto"/>
              <w:rPr>
                <w:rFonts w:ascii="仿宋_GB2312" w:hAnsi="仿宋_GB2312" w:cs="仿宋_GB2312"/>
                <w:kern w:val="0"/>
                <w:sz w:val="24"/>
                <w:szCs w:val="24"/>
              </w:rPr>
            </w:pPr>
            <w:r>
              <w:rPr>
                <w:rFonts w:hint="eastAsia" w:ascii="微软雅黑" w:hAnsi="微软雅黑" w:eastAsia="微软雅黑" w:cs="微软雅黑"/>
                <w:kern w:val="0"/>
                <w:sz w:val="24"/>
                <w:szCs w:val="24"/>
              </w:rPr>
              <w:t>−</w:t>
            </w:r>
            <w:r>
              <w:rPr>
                <w:rFonts w:ascii="仿宋_GB2312" w:hAnsi="仿宋_GB2312" w:cs="仿宋_GB2312"/>
                <w:kern w:val="0"/>
                <w:sz w:val="24"/>
                <w:szCs w:val="24"/>
              </w:rPr>
              <w:t>低排放</w:t>
            </w:r>
            <w:r>
              <w:rPr>
                <w:rFonts w:hint="eastAsia" w:ascii="仿宋_GB2312" w:hAnsi="仿宋_GB2312" w:cs="仿宋_GB2312"/>
                <w:kern w:val="0"/>
                <w:sz w:val="24"/>
                <w:szCs w:val="24"/>
              </w:rPr>
              <w:t>产</w:t>
            </w:r>
            <w:r>
              <w:rPr>
                <w:rFonts w:ascii="仿宋_GB2312" w:hAnsi="仿宋_GB2312" w:cs="仿宋_GB2312"/>
                <w:kern w:val="0"/>
                <w:sz w:val="24"/>
                <w:szCs w:val="24"/>
              </w:rPr>
              <w:t>品和服务的发展和/或扩张</w:t>
            </w:r>
          </w:p>
          <w:p w14:paraId="54C392D0">
            <w:pPr>
              <w:widowControl/>
              <w:adjustRightInd w:val="0"/>
              <w:snapToGrid w:val="0"/>
              <w:spacing w:line="216" w:lineRule="auto"/>
              <w:rPr>
                <w:rFonts w:ascii="仿宋_GB2312" w:hAnsi="仿宋_GB2312" w:cs="仿宋_GB2312"/>
                <w:kern w:val="0"/>
                <w:sz w:val="24"/>
                <w:szCs w:val="24"/>
              </w:rPr>
            </w:pPr>
            <w:r>
              <w:rPr>
                <w:rFonts w:hint="eastAsia" w:ascii="微软雅黑" w:hAnsi="微软雅黑" w:eastAsia="微软雅黑" w:cs="微软雅黑"/>
                <w:kern w:val="0"/>
                <w:sz w:val="24"/>
                <w:szCs w:val="24"/>
              </w:rPr>
              <w:t>−</w:t>
            </w:r>
            <w:r>
              <w:rPr>
                <w:rFonts w:ascii="仿宋_GB2312" w:hAnsi="仿宋_GB2312" w:cs="仿宋_GB2312"/>
                <w:kern w:val="0"/>
                <w:sz w:val="24"/>
                <w:szCs w:val="24"/>
              </w:rPr>
              <w:t>发展适应气候变化的需求（如保险</w:t>
            </w:r>
            <w:r>
              <w:rPr>
                <w:rFonts w:hint="eastAsia" w:ascii="仿宋_GB2312" w:hAnsi="仿宋_GB2312" w:cs="仿宋_GB2312"/>
                <w:kern w:val="0"/>
                <w:sz w:val="24"/>
                <w:szCs w:val="24"/>
              </w:rPr>
              <w:t>中的</w:t>
            </w:r>
            <w:r>
              <w:rPr>
                <w:rFonts w:ascii="仿宋_GB2312" w:hAnsi="仿宋_GB2312" w:cs="仿宋_GB2312"/>
                <w:kern w:val="0"/>
                <w:sz w:val="24"/>
                <w:szCs w:val="24"/>
              </w:rPr>
              <w:t>风险转移产品和服务）</w:t>
            </w:r>
          </w:p>
          <w:p w14:paraId="492DA70D">
            <w:pPr>
              <w:widowControl/>
              <w:adjustRightInd w:val="0"/>
              <w:snapToGrid w:val="0"/>
              <w:spacing w:line="216" w:lineRule="auto"/>
              <w:rPr>
                <w:rFonts w:ascii="仿宋_GB2312" w:hAnsi="仿宋_GB2312" w:cs="仿宋_GB2312"/>
                <w:kern w:val="0"/>
                <w:sz w:val="24"/>
                <w:szCs w:val="24"/>
              </w:rPr>
            </w:pPr>
            <w:r>
              <w:rPr>
                <w:rFonts w:hint="eastAsia" w:ascii="微软雅黑" w:hAnsi="微软雅黑" w:eastAsia="微软雅黑" w:cs="微软雅黑"/>
                <w:kern w:val="0"/>
                <w:sz w:val="24"/>
                <w:szCs w:val="24"/>
              </w:rPr>
              <w:t>−</w:t>
            </w:r>
            <w:r>
              <w:rPr>
                <w:rFonts w:ascii="仿宋_GB2312" w:hAnsi="仿宋_GB2312" w:cs="仿宋_GB2312"/>
                <w:kern w:val="0"/>
                <w:sz w:val="24"/>
                <w:szCs w:val="24"/>
              </w:rPr>
              <w:t>通过研发和创新开发新产品或服务</w:t>
            </w:r>
          </w:p>
          <w:p w14:paraId="06AB38D7">
            <w:pPr>
              <w:widowControl/>
              <w:adjustRightInd w:val="0"/>
              <w:snapToGrid w:val="0"/>
              <w:spacing w:line="216" w:lineRule="auto"/>
              <w:rPr>
                <w:rFonts w:ascii="仿宋_GB2312" w:hAnsi="仿宋_GB2312" w:cs="仿宋_GB2312"/>
                <w:kern w:val="0"/>
                <w:sz w:val="24"/>
                <w:szCs w:val="24"/>
              </w:rPr>
            </w:pPr>
            <w:r>
              <w:rPr>
                <w:rFonts w:hint="eastAsia" w:ascii="微软雅黑" w:hAnsi="微软雅黑" w:eastAsia="微软雅黑" w:cs="微软雅黑"/>
                <w:kern w:val="0"/>
                <w:sz w:val="24"/>
                <w:szCs w:val="24"/>
              </w:rPr>
              <w:t>−</w:t>
            </w:r>
            <w:r>
              <w:rPr>
                <w:rFonts w:ascii="仿宋_GB2312" w:hAnsi="仿宋_GB2312" w:cs="仿宋_GB2312"/>
                <w:kern w:val="0"/>
                <w:sz w:val="24"/>
                <w:szCs w:val="24"/>
              </w:rPr>
              <w:t>多元化经营的能力</w:t>
            </w:r>
          </w:p>
          <w:p w14:paraId="59DECFD9">
            <w:pPr>
              <w:widowControl/>
              <w:adjustRightInd w:val="0"/>
              <w:snapToGrid w:val="0"/>
              <w:spacing w:line="216" w:lineRule="auto"/>
              <w:rPr>
                <w:rFonts w:ascii="仿宋_GB2312" w:hAnsi="仿宋_GB2312" w:cs="仿宋_GB2312"/>
                <w:kern w:val="0"/>
                <w:sz w:val="24"/>
                <w:szCs w:val="24"/>
              </w:rPr>
            </w:pPr>
            <w:r>
              <w:rPr>
                <w:rFonts w:hint="eastAsia" w:ascii="微软雅黑" w:hAnsi="微软雅黑" w:eastAsia="微软雅黑" w:cs="微软雅黑"/>
                <w:kern w:val="0"/>
                <w:sz w:val="24"/>
                <w:szCs w:val="24"/>
              </w:rPr>
              <w:t>−</w:t>
            </w:r>
            <w:r>
              <w:rPr>
                <w:rFonts w:ascii="仿宋_GB2312" w:hAnsi="仿宋_GB2312" w:cs="仿宋_GB2312"/>
                <w:kern w:val="0"/>
                <w:sz w:val="24"/>
                <w:szCs w:val="24"/>
              </w:rPr>
              <w:t>消费者偏好的转变</w:t>
            </w:r>
          </w:p>
        </w:tc>
        <w:tc>
          <w:tcPr>
            <w:tcW w:w="2964" w:type="pct"/>
          </w:tcPr>
          <w:p w14:paraId="0ADDD08A">
            <w:pPr>
              <w:widowControl/>
              <w:adjustRightInd w:val="0"/>
              <w:snapToGrid w:val="0"/>
              <w:spacing w:line="216" w:lineRule="auto"/>
              <w:rPr>
                <w:rFonts w:ascii="仿宋_GB2312" w:hAnsi="仿宋_GB2312" w:cs="仿宋_GB2312"/>
                <w:kern w:val="0"/>
                <w:sz w:val="24"/>
                <w:szCs w:val="24"/>
              </w:rPr>
            </w:pPr>
            <w:r>
              <w:rPr>
                <w:rFonts w:hint="eastAsia" w:ascii="微软雅黑" w:hAnsi="微软雅黑" w:eastAsia="微软雅黑" w:cs="微软雅黑"/>
                <w:kern w:val="0"/>
                <w:sz w:val="24"/>
                <w:szCs w:val="24"/>
              </w:rPr>
              <w:t>−</w:t>
            </w:r>
            <w:r>
              <w:rPr>
                <w:rFonts w:ascii="仿宋_GB2312" w:hAnsi="仿宋_GB2312" w:cs="仿宋_GB2312"/>
                <w:kern w:val="0"/>
                <w:sz w:val="24"/>
                <w:szCs w:val="24"/>
              </w:rPr>
              <w:t>对低排放产品和服务的需求增加使收入增加</w:t>
            </w:r>
          </w:p>
          <w:p w14:paraId="7EE13B66">
            <w:pPr>
              <w:widowControl/>
              <w:adjustRightInd w:val="0"/>
              <w:snapToGrid w:val="0"/>
              <w:spacing w:line="216" w:lineRule="auto"/>
              <w:rPr>
                <w:rFonts w:ascii="仿宋_GB2312" w:hAnsi="仿宋_GB2312" w:cs="仿宋_GB2312"/>
                <w:kern w:val="0"/>
                <w:sz w:val="24"/>
                <w:szCs w:val="24"/>
              </w:rPr>
            </w:pPr>
            <w:r>
              <w:rPr>
                <w:rFonts w:hint="eastAsia" w:ascii="微软雅黑" w:hAnsi="微软雅黑" w:eastAsia="微软雅黑" w:cs="微软雅黑"/>
                <w:kern w:val="0"/>
                <w:sz w:val="24"/>
                <w:szCs w:val="24"/>
              </w:rPr>
              <w:t>−</w:t>
            </w:r>
            <w:r>
              <w:rPr>
                <w:rFonts w:hint="eastAsia" w:ascii="仿宋_GB2312" w:hAnsi="仿宋_GB2312" w:cs="仿宋_GB2312"/>
                <w:kern w:val="0"/>
                <w:sz w:val="24"/>
                <w:szCs w:val="24"/>
              </w:rPr>
              <w:t>提供适应需求的新解决方案增加收入（如保险中的风险转嫁产品和服务）</w:t>
            </w:r>
          </w:p>
          <w:p w14:paraId="66CCE6EA">
            <w:pPr>
              <w:widowControl/>
              <w:adjustRightInd w:val="0"/>
              <w:snapToGrid w:val="0"/>
              <w:spacing w:line="216" w:lineRule="auto"/>
              <w:rPr>
                <w:rFonts w:ascii="仿宋_GB2312" w:hAnsi="仿宋_GB2312" w:cs="仿宋_GB2312"/>
                <w:kern w:val="0"/>
                <w:sz w:val="24"/>
                <w:szCs w:val="24"/>
              </w:rPr>
            </w:pPr>
            <w:r>
              <w:rPr>
                <w:rFonts w:hint="eastAsia" w:ascii="微软雅黑" w:hAnsi="微软雅黑" w:eastAsia="微软雅黑" w:cs="微软雅黑"/>
                <w:kern w:val="0"/>
                <w:sz w:val="24"/>
                <w:szCs w:val="24"/>
              </w:rPr>
              <w:t>−</w:t>
            </w:r>
            <w:r>
              <w:rPr>
                <w:rFonts w:hint="eastAsia" w:ascii="仿宋_GB2312" w:hAnsi="仿宋_GB2312" w:cs="仿宋_GB2312"/>
                <w:kern w:val="0"/>
                <w:sz w:val="24"/>
                <w:szCs w:val="24"/>
              </w:rPr>
              <w:t>符合消费者偏好的转变而处于更好的竞争位置，使收入增加</w:t>
            </w:r>
          </w:p>
        </w:tc>
      </w:tr>
      <w:tr w14:paraId="6CB2B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pct"/>
            <w:vAlign w:val="center"/>
          </w:tcPr>
          <w:p w14:paraId="430063D5">
            <w:pPr>
              <w:widowControl/>
              <w:adjustRightInd w:val="0"/>
              <w:snapToGrid w:val="0"/>
              <w:spacing w:line="216" w:lineRule="auto"/>
              <w:jc w:val="center"/>
              <w:rPr>
                <w:rFonts w:ascii="仿宋_GB2312" w:hAnsi="仿宋_GB2312" w:cs="仿宋_GB2312"/>
                <w:kern w:val="0"/>
                <w:sz w:val="24"/>
                <w:szCs w:val="24"/>
              </w:rPr>
            </w:pPr>
            <w:r>
              <w:rPr>
                <w:rFonts w:hint="eastAsia" w:ascii="仿宋_GB2312" w:hAnsi="仿宋_GB2312" w:cs="仿宋_GB2312"/>
                <w:kern w:val="0"/>
                <w:sz w:val="24"/>
                <w:szCs w:val="24"/>
              </w:rPr>
              <w:t>市场</w:t>
            </w:r>
          </w:p>
        </w:tc>
        <w:tc>
          <w:tcPr>
            <w:tcW w:w="1376" w:type="pct"/>
          </w:tcPr>
          <w:p w14:paraId="681FBCA3">
            <w:pPr>
              <w:widowControl/>
              <w:adjustRightInd w:val="0"/>
              <w:snapToGrid w:val="0"/>
              <w:spacing w:line="216" w:lineRule="auto"/>
              <w:rPr>
                <w:rFonts w:ascii="仿宋_GB2312" w:hAnsi="仿宋_GB2312" w:cs="仿宋_GB2312"/>
                <w:kern w:val="0"/>
                <w:sz w:val="24"/>
                <w:szCs w:val="24"/>
              </w:rPr>
            </w:pPr>
            <w:r>
              <w:rPr>
                <w:rFonts w:hint="eastAsia" w:ascii="微软雅黑" w:hAnsi="微软雅黑" w:eastAsia="微软雅黑" w:cs="微软雅黑"/>
                <w:kern w:val="0"/>
                <w:sz w:val="24"/>
                <w:szCs w:val="24"/>
              </w:rPr>
              <w:t>−</w:t>
            </w:r>
            <w:r>
              <w:rPr>
                <w:rFonts w:ascii="仿宋_GB2312" w:hAnsi="仿宋_GB2312" w:cs="仿宋_GB2312"/>
                <w:kern w:val="0"/>
                <w:sz w:val="24"/>
                <w:szCs w:val="24"/>
              </w:rPr>
              <w:t>进入新市场</w:t>
            </w:r>
          </w:p>
          <w:p w14:paraId="08C599A0">
            <w:pPr>
              <w:widowControl/>
              <w:adjustRightInd w:val="0"/>
              <w:snapToGrid w:val="0"/>
              <w:spacing w:line="216" w:lineRule="auto"/>
              <w:rPr>
                <w:rFonts w:ascii="仿宋_GB2312" w:hAnsi="仿宋_GB2312" w:cs="仿宋_GB2312"/>
                <w:kern w:val="0"/>
                <w:sz w:val="24"/>
                <w:szCs w:val="24"/>
              </w:rPr>
            </w:pPr>
            <w:r>
              <w:rPr>
                <w:rFonts w:hint="eastAsia" w:ascii="微软雅黑" w:hAnsi="微软雅黑" w:eastAsia="微软雅黑" w:cs="微软雅黑"/>
                <w:kern w:val="0"/>
                <w:sz w:val="24"/>
                <w:szCs w:val="24"/>
              </w:rPr>
              <w:t>−</w:t>
            </w:r>
            <w:r>
              <w:rPr>
                <w:rFonts w:hint="eastAsia" w:ascii="仿宋_GB2312" w:hAnsi="仿宋_GB2312" w:cs="仿宋_GB2312"/>
                <w:kern w:val="0"/>
                <w:sz w:val="24"/>
                <w:szCs w:val="24"/>
              </w:rPr>
              <w:t>申请获得</w:t>
            </w:r>
            <w:r>
              <w:rPr>
                <w:rFonts w:ascii="仿宋_GB2312" w:hAnsi="仿宋_GB2312" w:cs="仿宋_GB2312"/>
                <w:kern w:val="0"/>
                <w:sz w:val="24"/>
                <w:szCs w:val="24"/>
              </w:rPr>
              <w:t>公共部门的激励</w:t>
            </w:r>
            <w:r>
              <w:rPr>
                <w:rFonts w:hint="eastAsia" w:ascii="仿宋_GB2312" w:hAnsi="仿宋_GB2312" w:cs="仿宋_GB2312"/>
                <w:kern w:val="0"/>
                <w:sz w:val="24"/>
                <w:szCs w:val="24"/>
              </w:rPr>
              <w:t>和奖励</w:t>
            </w:r>
          </w:p>
          <w:p w14:paraId="48DF9885">
            <w:pPr>
              <w:widowControl/>
              <w:adjustRightInd w:val="0"/>
              <w:snapToGrid w:val="0"/>
              <w:spacing w:line="216" w:lineRule="auto"/>
              <w:rPr>
                <w:rFonts w:ascii="仿宋_GB2312" w:hAnsi="仿宋_GB2312" w:cs="仿宋_GB2312"/>
                <w:kern w:val="0"/>
                <w:sz w:val="24"/>
                <w:szCs w:val="24"/>
              </w:rPr>
            </w:pPr>
            <w:r>
              <w:rPr>
                <w:rFonts w:hint="eastAsia" w:ascii="微软雅黑" w:hAnsi="微软雅黑" w:eastAsia="微软雅黑" w:cs="微软雅黑"/>
                <w:kern w:val="0"/>
                <w:sz w:val="24"/>
                <w:szCs w:val="24"/>
              </w:rPr>
              <w:t>−</w:t>
            </w:r>
            <w:r>
              <w:rPr>
                <w:rFonts w:ascii="仿宋_GB2312" w:hAnsi="仿宋_GB2312" w:cs="仿宋_GB2312"/>
                <w:kern w:val="0"/>
                <w:sz w:val="24"/>
                <w:szCs w:val="24"/>
              </w:rPr>
              <w:t>进入需要保险覆盖的新资产和地区</w:t>
            </w:r>
          </w:p>
        </w:tc>
        <w:tc>
          <w:tcPr>
            <w:tcW w:w="2964" w:type="pct"/>
          </w:tcPr>
          <w:p w14:paraId="5FD1551E">
            <w:pPr>
              <w:widowControl/>
              <w:adjustRightInd w:val="0"/>
              <w:snapToGrid w:val="0"/>
              <w:spacing w:line="216" w:lineRule="auto"/>
              <w:rPr>
                <w:rFonts w:ascii="仿宋_GB2312" w:hAnsi="仿宋_GB2312" w:cs="仿宋_GB2312"/>
                <w:kern w:val="0"/>
                <w:sz w:val="24"/>
                <w:szCs w:val="24"/>
              </w:rPr>
            </w:pPr>
            <w:r>
              <w:rPr>
                <w:rFonts w:hint="eastAsia" w:ascii="微软雅黑" w:hAnsi="微软雅黑" w:eastAsia="微软雅黑" w:cs="微软雅黑"/>
                <w:kern w:val="0"/>
                <w:sz w:val="24"/>
                <w:szCs w:val="24"/>
              </w:rPr>
              <w:t>−</w:t>
            </w:r>
            <w:r>
              <w:rPr>
                <w:rFonts w:ascii="仿宋_GB2312" w:hAnsi="仿宋_GB2312" w:cs="仿宋_GB2312"/>
                <w:kern w:val="0"/>
                <w:sz w:val="24"/>
                <w:szCs w:val="24"/>
              </w:rPr>
              <w:t>通过进入新市场（如和政府、开发银行合作）增加了收入</w:t>
            </w:r>
          </w:p>
          <w:p w14:paraId="7F128FAB">
            <w:pPr>
              <w:widowControl/>
              <w:adjustRightInd w:val="0"/>
              <w:snapToGrid w:val="0"/>
              <w:spacing w:line="216" w:lineRule="auto"/>
              <w:rPr>
                <w:rFonts w:ascii="仿宋_GB2312" w:hAnsi="仿宋_GB2312" w:cs="仿宋_GB2312"/>
                <w:kern w:val="0"/>
                <w:sz w:val="24"/>
                <w:szCs w:val="24"/>
              </w:rPr>
            </w:pPr>
            <w:r>
              <w:rPr>
                <w:rFonts w:hint="eastAsia" w:ascii="微软雅黑" w:hAnsi="微软雅黑" w:eastAsia="微软雅黑" w:cs="微软雅黑"/>
                <w:kern w:val="0"/>
                <w:sz w:val="24"/>
                <w:szCs w:val="24"/>
              </w:rPr>
              <w:t>−</w:t>
            </w:r>
            <w:r>
              <w:rPr>
                <w:rFonts w:ascii="仿宋_GB2312" w:hAnsi="仿宋_GB2312" w:cs="仿宋_GB2312"/>
                <w:kern w:val="0"/>
                <w:sz w:val="24"/>
                <w:szCs w:val="24"/>
              </w:rPr>
              <w:t>增加金融资产的多元化（如绿色债券和基础设施</w:t>
            </w:r>
            <w:r>
              <w:rPr>
                <w:rFonts w:hint="eastAsia" w:ascii="仿宋_GB2312" w:hAnsi="仿宋_GB2312" w:cs="仿宋_GB2312"/>
                <w:kern w:val="0"/>
                <w:sz w:val="24"/>
                <w:szCs w:val="24"/>
              </w:rPr>
              <w:t>资产支持证券</w:t>
            </w:r>
            <w:r>
              <w:rPr>
                <w:rFonts w:ascii="仿宋_GB2312" w:hAnsi="仿宋_GB2312" w:cs="仿宋_GB2312"/>
                <w:kern w:val="0"/>
                <w:sz w:val="24"/>
                <w:szCs w:val="24"/>
              </w:rPr>
              <w:t>）</w:t>
            </w:r>
          </w:p>
        </w:tc>
      </w:tr>
      <w:tr w14:paraId="05590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pct"/>
            <w:vAlign w:val="center"/>
          </w:tcPr>
          <w:p w14:paraId="77EF29C4">
            <w:pPr>
              <w:widowControl/>
              <w:adjustRightInd w:val="0"/>
              <w:snapToGrid w:val="0"/>
              <w:spacing w:line="216" w:lineRule="auto"/>
              <w:jc w:val="center"/>
              <w:rPr>
                <w:rFonts w:ascii="仿宋_GB2312" w:hAnsi="仿宋_GB2312" w:cs="仿宋_GB2312"/>
                <w:kern w:val="0"/>
                <w:sz w:val="24"/>
                <w:szCs w:val="24"/>
              </w:rPr>
            </w:pPr>
            <w:r>
              <w:rPr>
                <w:rFonts w:hint="eastAsia" w:ascii="仿宋_GB2312" w:hAnsi="仿宋_GB2312" w:cs="仿宋_GB2312"/>
                <w:kern w:val="0"/>
                <w:sz w:val="24"/>
                <w:szCs w:val="24"/>
              </w:rPr>
              <w:t>适应性</w:t>
            </w:r>
          </w:p>
        </w:tc>
        <w:tc>
          <w:tcPr>
            <w:tcW w:w="1376" w:type="pct"/>
          </w:tcPr>
          <w:p w14:paraId="404B8D41">
            <w:pPr>
              <w:widowControl/>
              <w:adjustRightInd w:val="0"/>
              <w:snapToGrid w:val="0"/>
              <w:spacing w:line="216" w:lineRule="auto"/>
              <w:rPr>
                <w:rFonts w:ascii="仿宋_GB2312" w:hAnsi="仿宋_GB2312" w:cs="仿宋_GB2312"/>
                <w:kern w:val="0"/>
                <w:sz w:val="24"/>
                <w:szCs w:val="24"/>
              </w:rPr>
            </w:pPr>
            <w:r>
              <w:rPr>
                <w:rFonts w:hint="eastAsia" w:ascii="微软雅黑" w:hAnsi="微软雅黑" w:eastAsia="微软雅黑" w:cs="微软雅黑"/>
                <w:kern w:val="0"/>
                <w:sz w:val="24"/>
                <w:szCs w:val="24"/>
              </w:rPr>
              <w:t>−</w:t>
            </w:r>
            <w:r>
              <w:rPr>
                <w:rFonts w:ascii="仿宋_GB2312" w:hAnsi="仿宋_GB2312" w:cs="仿宋_GB2312"/>
                <w:kern w:val="0"/>
                <w:sz w:val="24"/>
                <w:szCs w:val="24"/>
              </w:rPr>
              <w:t>参与可再生能源项目，</w:t>
            </w:r>
            <w:r>
              <w:rPr>
                <w:rFonts w:hint="eastAsia" w:ascii="仿宋_GB2312" w:hAnsi="仿宋_GB2312" w:cs="仿宋_GB2312"/>
                <w:kern w:val="0"/>
                <w:sz w:val="24"/>
                <w:szCs w:val="24"/>
              </w:rPr>
              <w:t>采取</w:t>
            </w:r>
            <w:r>
              <w:rPr>
                <w:rFonts w:ascii="仿宋_GB2312" w:hAnsi="仿宋_GB2312" w:cs="仿宋_GB2312"/>
                <w:kern w:val="0"/>
                <w:sz w:val="24"/>
                <w:szCs w:val="24"/>
              </w:rPr>
              <w:t>节能措施</w:t>
            </w:r>
          </w:p>
          <w:p w14:paraId="110B864B">
            <w:pPr>
              <w:widowControl/>
              <w:adjustRightInd w:val="0"/>
              <w:snapToGrid w:val="0"/>
              <w:spacing w:line="216" w:lineRule="auto"/>
              <w:rPr>
                <w:rFonts w:ascii="仿宋_GB2312" w:hAnsi="仿宋_GB2312" w:cs="仿宋_GB2312"/>
                <w:kern w:val="0"/>
                <w:sz w:val="24"/>
                <w:szCs w:val="24"/>
              </w:rPr>
            </w:pPr>
            <w:r>
              <w:rPr>
                <w:rFonts w:hint="eastAsia" w:ascii="微软雅黑" w:hAnsi="微软雅黑" w:eastAsia="微软雅黑" w:cs="微软雅黑"/>
                <w:kern w:val="0"/>
                <w:sz w:val="24"/>
                <w:szCs w:val="24"/>
              </w:rPr>
              <w:t>−</w:t>
            </w:r>
            <w:r>
              <w:rPr>
                <w:rFonts w:ascii="仿宋_GB2312" w:hAnsi="仿宋_GB2312" w:cs="仿宋_GB2312"/>
                <w:kern w:val="0"/>
                <w:sz w:val="24"/>
                <w:szCs w:val="24"/>
              </w:rPr>
              <w:t>资源替代/多样化</w:t>
            </w:r>
          </w:p>
        </w:tc>
        <w:tc>
          <w:tcPr>
            <w:tcW w:w="2964" w:type="pct"/>
          </w:tcPr>
          <w:p w14:paraId="2A9802EE">
            <w:pPr>
              <w:widowControl/>
              <w:adjustRightInd w:val="0"/>
              <w:snapToGrid w:val="0"/>
              <w:spacing w:line="216" w:lineRule="auto"/>
              <w:rPr>
                <w:rFonts w:ascii="仿宋_GB2312" w:hAnsi="仿宋_GB2312" w:cs="仿宋_GB2312"/>
                <w:kern w:val="0"/>
                <w:sz w:val="24"/>
                <w:szCs w:val="24"/>
              </w:rPr>
            </w:pPr>
            <w:r>
              <w:rPr>
                <w:rFonts w:hint="eastAsia" w:ascii="微软雅黑" w:hAnsi="微软雅黑" w:eastAsia="微软雅黑" w:cs="微软雅黑"/>
                <w:kern w:val="0"/>
                <w:sz w:val="24"/>
                <w:szCs w:val="24"/>
              </w:rPr>
              <w:t>−</w:t>
            </w:r>
            <w:r>
              <w:rPr>
                <w:rFonts w:ascii="仿宋_GB2312" w:hAnsi="仿宋_GB2312" w:cs="仿宋_GB2312"/>
                <w:kern w:val="0"/>
                <w:sz w:val="24"/>
                <w:szCs w:val="24"/>
              </w:rPr>
              <w:t>通过风险抵御</w:t>
            </w:r>
            <w:r>
              <w:rPr>
                <w:rFonts w:hint="eastAsia" w:ascii="仿宋_GB2312" w:hAnsi="仿宋_GB2312" w:cs="仿宋_GB2312"/>
                <w:kern w:val="0"/>
                <w:sz w:val="24"/>
                <w:szCs w:val="24"/>
              </w:rPr>
              <w:t>措施提高项目（如基础设施、土地、建筑）</w:t>
            </w:r>
            <w:r>
              <w:rPr>
                <w:rFonts w:ascii="仿宋_GB2312" w:hAnsi="仿宋_GB2312" w:cs="仿宋_GB2312"/>
                <w:kern w:val="0"/>
                <w:sz w:val="24"/>
                <w:szCs w:val="24"/>
              </w:rPr>
              <w:t>市场估值</w:t>
            </w:r>
          </w:p>
          <w:p w14:paraId="209A0813">
            <w:pPr>
              <w:widowControl/>
              <w:adjustRightInd w:val="0"/>
              <w:snapToGrid w:val="0"/>
              <w:spacing w:line="216" w:lineRule="auto"/>
              <w:rPr>
                <w:rFonts w:ascii="仿宋_GB2312" w:hAnsi="仿宋_GB2312" w:cs="仿宋_GB2312"/>
                <w:kern w:val="0"/>
                <w:sz w:val="24"/>
                <w:szCs w:val="24"/>
              </w:rPr>
            </w:pPr>
            <w:r>
              <w:rPr>
                <w:rFonts w:hint="eastAsia" w:ascii="微软雅黑" w:hAnsi="微软雅黑" w:eastAsia="微软雅黑" w:cs="微软雅黑"/>
                <w:kern w:val="0"/>
                <w:sz w:val="24"/>
                <w:szCs w:val="24"/>
              </w:rPr>
              <w:t>−</w:t>
            </w:r>
            <w:r>
              <w:rPr>
                <w:rFonts w:ascii="仿宋_GB2312" w:hAnsi="仿宋_GB2312" w:cs="仿宋_GB2312"/>
                <w:kern w:val="0"/>
                <w:sz w:val="24"/>
                <w:szCs w:val="24"/>
              </w:rPr>
              <w:t>提高在各种条件下供应链的可靠性和经营能力</w:t>
            </w:r>
          </w:p>
          <w:p w14:paraId="74304049">
            <w:pPr>
              <w:widowControl/>
              <w:adjustRightInd w:val="0"/>
              <w:snapToGrid w:val="0"/>
              <w:spacing w:line="216" w:lineRule="auto"/>
              <w:rPr>
                <w:rFonts w:ascii="仿宋_GB2312" w:hAnsi="仿宋_GB2312" w:cs="仿宋_GB2312"/>
                <w:kern w:val="0"/>
                <w:sz w:val="24"/>
                <w:szCs w:val="24"/>
              </w:rPr>
            </w:pPr>
            <w:r>
              <w:rPr>
                <w:rFonts w:hint="eastAsia" w:ascii="微软雅黑" w:hAnsi="微软雅黑" w:eastAsia="微软雅黑" w:cs="微软雅黑"/>
                <w:kern w:val="0"/>
                <w:sz w:val="24"/>
                <w:szCs w:val="24"/>
              </w:rPr>
              <w:t>−</w:t>
            </w:r>
            <w:r>
              <w:rPr>
                <w:rFonts w:ascii="仿宋_GB2312" w:hAnsi="仿宋_GB2312" w:cs="仿宋_GB2312"/>
                <w:kern w:val="0"/>
                <w:sz w:val="24"/>
                <w:szCs w:val="24"/>
              </w:rPr>
              <w:t>通过新产品和服务确保</w:t>
            </w:r>
            <w:r>
              <w:rPr>
                <w:rFonts w:hint="eastAsia" w:ascii="仿宋_GB2312" w:hAnsi="仿宋_GB2312" w:cs="仿宋_GB2312"/>
                <w:kern w:val="0"/>
                <w:sz w:val="24"/>
                <w:szCs w:val="24"/>
              </w:rPr>
              <w:t>稳健经营</w:t>
            </w:r>
            <w:r>
              <w:rPr>
                <w:rFonts w:ascii="仿宋_GB2312" w:hAnsi="仿宋_GB2312" w:cs="仿宋_GB2312"/>
                <w:kern w:val="0"/>
                <w:sz w:val="24"/>
                <w:szCs w:val="24"/>
              </w:rPr>
              <w:t>，从而增加收入</w:t>
            </w:r>
          </w:p>
        </w:tc>
      </w:tr>
    </w:tbl>
    <w:p w14:paraId="78766E8F">
      <w:pPr>
        <w:widowControl/>
        <w:adjustRightInd w:val="0"/>
        <w:snapToGrid w:val="0"/>
        <w:spacing w:line="560" w:lineRule="exact"/>
        <w:ind w:firstLine="600" w:firstLineChars="200"/>
        <w:outlineLvl w:val="1"/>
        <w:rPr>
          <w:rFonts w:ascii="Times New Roman" w:hAnsi="Times New Roman" w:eastAsia="黑体" w:cs="Times New Roman"/>
          <w:szCs w:val="30"/>
        </w:rPr>
      </w:pPr>
      <w:bookmarkStart w:id="102" w:name="_Toc16250"/>
      <w:bookmarkStart w:id="103" w:name="_Toc16616"/>
      <w:bookmarkStart w:id="104" w:name="_Toc16328"/>
      <w:bookmarkStart w:id="105" w:name="_Toc187328663"/>
      <w:r>
        <w:rPr>
          <w:rFonts w:hint="eastAsia" w:ascii="Times New Roman" w:hAnsi="Times New Roman" w:eastAsia="黑体" w:cs="Times New Roman"/>
          <w:szCs w:val="30"/>
        </w:rPr>
        <w:t>四、气候相关财务影响的评估流程</w:t>
      </w:r>
      <w:bookmarkEnd w:id="102"/>
      <w:bookmarkEnd w:id="103"/>
      <w:bookmarkEnd w:id="104"/>
      <w:bookmarkEnd w:id="105"/>
    </w:p>
    <w:p w14:paraId="6A0DA8BC">
      <w:pPr>
        <w:widowControl/>
        <w:adjustRightInd w:val="0"/>
        <w:snapToGrid w:val="0"/>
        <w:spacing w:line="560" w:lineRule="exact"/>
        <w:ind w:firstLine="600" w:firstLineChars="200"/>
        <w:rPr>
          <w:rFonts w:ascii="仿宋_GB2312" w:hAnsi="Times New Roman" w:cs="Times New Roman"/>
          <w:szCs w:val="30"/>
        </w:rPr>
      </w:pPr>
      <w:r>
        <w:rPr>
          <w:rFonts w:hint="eastAsia" w:ascii="仿宋_GB2312" w:hAnsi="Times New Roman" w:cs="Times New Roman"/>
          <w:szCs w:val="30"/>
        </w:rPr>
        <w:t>在分析气候相关财务影响之前，披露主体应该了解并遵守与其相关的可持续和气候标准、法规和监管政策，披露主体可以通过以下四个步骤分析气候相关财务影响：</w:t>
      </w:r>
    </w:p>
    <w:p w14:paraId="6821B420">
      <w:pPr>
        <w:widowControl/>
        <w:adjustRightInd w:val="0"/>
        <w:snapToGrid w:val="0"/>
        <w:spacing w:line="560" w:lineRule="exact"/>
        <w:ind w:firstLine="602" w:firstLineChars="200"/>
        <w:outlineLvl w:val="2"/>
        <w:rPr>
          <w:rFonts w:ascii="仿宋_GB2312" w:hAnsi="Times New Roman" w:cs="Times New Roman"/>
          <w:b/>
          <w:bCs/>
          <w:szCs w:val="30"/>
        </w:rPr>
      </w:pPr>
      <w:bookmarkStart w:id="106" w:name="_Toc24208"/>
      <w:bookmarkStart w:id="107" w:name="_Toc187328664"/>
      <w:bookmarkStart w:id="108" w:name="_Toc15631"/>
      <w:bookmarkStart w:id="109" w:name="_Toc10656"/>
      <w:bookmarkStart w:id="110" w:name="_Toc10231"/>
      <w:r>
        <w:rPr>
          <w:rFonts w:hint="eastAsia" w:ascii="仿宋_GB2312" w:hAnsi="Times New Roman" w:cs="Times New Roman"/>
          <w:b/>
          <w:bCs/>
          <w:szCs w:val="30"/>
        </w:rPr>
        <w:t>步骤一：了解与气候相关的公司活动和业务关系背景</w:t>
      </w:r>
      <w:bookmarkEnd w:id="106"/>
      <w:bookmarkEnd w:id="107"/>
      <w:bookmarkEnd w:id="108"/>
      <w:bookmarkEnd w:id="109"/>
      <w:bookmarkEnd w:id="110"/>
    </w:p>
    <w:p w14:paraId="05A07DBA">
      <w:pPr>
        <w:widowControl/>
        <w:adjustRightInd w:val="0"/>
        <w:snapToGrid w:val="0"/>
        <w:spacing w:line="560" w:lineRule="exact"/>
        <w:ind w:firstLine="600" w:firstLineChars="200"/>
        <w:rPr>
          <w:rFonts w:ascii="仿宋_GB2312" w:hAnsi="Times New Roman" w:cs="Times New Roman"/>
          <w:szCs w:val="30"/>
        </w:rPr>
      </w:pPr>
      <w:r>
        <w:rPr>
          <w:rFonts w:hint="eastAsia" w:ascii="仿宋_GB2312" w:hAnsi="Times New Roman" w:cs="Times New Roman"/>
          <w:szCs w:val="30"/>
        </w:rPr>
        <w:t>此步骤详见本指南影响重要性评估部分步骤一。</w:t>
      </w:r>
    </w:p>
    <w:p w14:paraId="1361A984">
      <w:pPr>
        <w:widowControl/>
        <w:adjustRightInd w:val="0"/>
        <w:snapToGrid w:val="0"/>
        <w:spacing w:line="560" w:lineRule="exact"/>
        <w:ind w:firstLine="602" w:firstLineChars="200"/>
        <w:outlineLvl w:val="2"/>
        <w:rPr>
          <w:rFonts w:ascii="仿宋_GB2312" w:hAnsi="Times New Roman" w:cs="Times New Roman"/>
          <w:b/>
          <w:bCs/>
          <w:szCs w:val="30"/>
        </w:rPr>
      </w:pPr>
      <w:bookmarkStart w:id="111" w:name="_Toc2589"/>
      <w:bookmarkStart w:id="112" w:name="_Toc32234"/>
      <w:bookmarkStart w:id="113" w:name="_Toc187328665"/>
      <w:bookmarkStart w:id="114" w:name="_Toc3853"/>
      <w:bookmarkStart w:id="115" w:name="_Toc22040"/>
      <w:r>
        <w:rPr>
          <w:rFonts w:hint="eastAsia" w:ascii="仿宋_GB2312" w:hAnsi="Times New Roman" w:cs="Times New Roman"/>
          <w:b/>
          <w:bCs/>
          <w:szCs w:val="30"/>
        </w:rPr>
        <w:t>步骤二：分析气候相关财务影响的方式</w:t>
      </w:r>
      <w:bookmarkEnd w:id="111"/>
      <w:bookmarkEnd w:id="112"/>
      <w:bookmarkEnd w:id="113"/>
      <w:bookmarkEnd w:id="114"/>
      <w:bookmarkEnd w:id="115"/>
    </w:p>
    <w:p w14:paraId="671A692E">
      <w:pPr>
        <w:widowControl/>
        <w:adjustRightInd w:val="0"/>
        <w:snapToGrid w:val="0"/>
        <w:spacing w:line="560" w:lineRule="exact"/>
        <w:ind w:firstLine="600" w:firstLineChars="200"/>
        <w:rPr>
          <w:rFonts w:ascii="仿宋_GB2312" w:hAnsi="Times New Roman" w:cs="Times New Roman"/>
          <w:szCs w:val="30"/>
        </w:rPr>
      </w:pPr>
      <w:r>
        <w:rPr>
          <w:rFonts w:hint="eastAsia" w:ascii="Times New Roman" w:hAnsi="Times New Roman" w:cs="Times New Roman"/>
          <w:kern w:val="0"/>
          <w:szCs w:val="30"/>
        </w:rPr>
        <w:t>披露主体</w:t>
      </w:r>
      <w:r>
        <w:rPr>
          <w:rFonts w:hint="eastAsia" w:ascii="仿宋_GB2312" w:hAnsi="Times New Roman" w:cs="Times New Roman"/>
          <w:szCs w:val="30"/>
        </w:rPr>
        <w:t>可以针对识别的重大气候相关风险和机遇，分析对</w:t>
      </w:r>
      <w:r>
        <w:rPr>
          <w:rFonts w:hint="eastAsia" w:ascii="Times New Roman" w:hAnsi="Times New Roman" w:cs="Times New Roman"/>
          <w:kern w:val="0"/>
          <w:szCs w:val="30"/>
        </w:rPr>
        <w:t>披露主体</w:t>
      </w:r>
      <w:r>
        <w:rPr>
          <w:rFonts w:hint="eastAsia" w:ascii="仿宋_GB2312" w:hAnsi="Times New Roman" w:cs="Times New Roman"/>
          <w:szCs w:val="30"/>
        </w:rPr>
        <w:t>经营活动的影响以及产生的财务影响。</w:t>
      </w:r>
    </w:p>
    <w:p w14:paraId="1138CF3B">
      <w:pPr>
        <w:widowControl/>
        <w:adjustRightInd w:val="0"/>
        <w:snapToGrid w:val="0"/>
        <w:spacing w:line="560" w:lineRule="exact"/>
        <w:ind w:firstLine="600" w:firstLineChars="200"/>
        <w:rPr>
          <w:rFonts w:ascii="仿宋_GB2312" w:hAnsi="Times New Roman" w:cs="Times New Roman"/>
          <w:szCs w:val="30"/>
        </w:rPr>
      </w:pPr>
      <w:r>
        <w:rPr>
          <w:rFonts w:hint="eastAsia" w:ascii="仿宋_GB2312" w:hAnsi="Times New Roman" w:cs="Times New Roman"/>
          <w:szCs w:val="30"/>
        </w:rPr>
        <w:drawing>
          <wp:anchor distT="0" distB="0" distL="114300" distR="114300" simplePos="0" relativeHeight="251663360" behindDoc="0" locked="0" layoutInCell="1" allowOverlap="1">
            <wp:simplePos x="0" y="0"/>
            <wp:positionH relativeFrom="column">
              <wp:posOffset>5080</wp:posOffset>
            </wp:positionH>
            <wp:positionV relativeFrom="paragraph">
              <wp:posOffset>1127125</wp:posOffset>
            </wp:positionV>
            <wp:extent cx="5262245" cy="2772410"/>
            <wp:effectExtent l="0" t="0" r="5715" b="1905"/>
            <wp:wrapTopAndBottom/>
            <wp:docPr id="7" name="图片 7" descr="fd30711bbf6ee71b6f11487cf5f4fc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fd30711bbf6ee71b6f11487cf5f4fc2"/>
                    <pic:cNvPicPr>
                      <a:picLocks noChangeAspect="1"/>
                    </pic:cNvPicPr>
                  </pic:nvPicPr>
                  <pic:blipFill>
                    <a:blip r:embed="rId10"/>
                    <a:stretch>
                      <a:fillRect/>
                    </a:stretch>
                  </pic:blipFill>
                  <pic:spPr>
                    <a:xfrm>
                      <a:off x="0" y="0"/>
                      <a:ext cx="5262245" cy="2772410"/>
                    </a:xfrm>
                    <a:prstGeom prst="rect">
                      <a:avLst/>
                    </a:prstGeom>
                  </pic:spPr>
                </pic:pic>
              </a:graphicData>
            </a:graphic>
          </wp:anchor>
        </w:drawing>
      </w:r>
      <w:r>
        <w:rPr>
          <w:rFonts w:hint="eastAsia" w:ascii="仿宋_GB2312" w:hAnsi="Times New Roman" w:cs="Times New Roman"/>
          <w:szCs w:val="30"/>
        </w:rPr>
        <w:t>分析要素包括：气候相关风险</w:t>
      </w:r>
      <w:r>
        <w:rPr>
          <w:rFonts w:ascii="仿宋_GB2312" w:hAnsi="Times New Roman" w:cs="Times New Roman"/>
          <w:szCs w:val="30"/>
        </w:rPr>
        <w:t>/</w:t>
      </w:r>
      <w:r>
        <w:rPr>
          <w:rFonts w:hint="eastAsia" w:ascii="仿宋_GB2312" w:hAnsi="Times New Roman" w:cs="Times New Roman"/>
          <w:szCs w:val="30"/>
        </w:rPr>
        <w:t>机遇；气候相关风险</w:t>
      </w:r>
      <w:r>
        <w:rPr>
          <w:rFonts w:ascii="仿宋_GB2312" w:hAnsi="Times New Roman" w:cs="Times New Roman"/>
          <w:szCs w:val="30"/>
        </w:rPr>
        <w:t>/</w:t>
      </w:r>
      <w:r>
        <w:rPr>
          <w:rFonts w:hint="eastAsia" w:ascii="仿宋_GB2312" w:hAnsi="Times New Roman" w:cs="Times New Roman"/>
          <w:szCs w:val="30"/>
        </w:rPr>
        <w:t>机遇产生的直接和间接结果；对业务活动的影响，如商业模式、业务运营、发展战略、融资方式等；以及财务影响等。</w:t>
      </w:r>
    </w:p>
    <w:p w14:paraId="33A11E6B">
      <w:pPr>
        <w:widowControl/>
        <w:adjustRightInd w:val="0"/>
        <w:snapToGrid w:val="0"/>
        <w:spacing w:line="560" w:lineRule="exact"/>
        <w:jc w:val="center"/>
        <w:rPr>
          <w:rFonts w:ascii="Times New Roman" w:hAnsi="Times New Roman" w:eastAsia="黑体" w:cs="Times New Roman"/>
          <w:kern w:val="0"/>
          <w:sz w:val="24"/>
          <w:szCs w:val="24"/>
        </w:rPr>
      </w:pPr>
      <w:r>
        <w:rPr>
          <w:rFonts w:hint="eastAsia" w:ascii="Times New Roman" w:hAnsi="Times New Roman" w:eastAsia="黑体" w:cs="Times New Roman"/>
          <w:kern w:val="0"/>
          <w:sz w:val="24"/>
          <w:szCs w:val="24"/>
        </w:rPr>
        <w:t>图</w:t>
      </w:r>
      <w:r>
        <w:rPr>
          <w:rFonts w:ascii="Times New Roman" w:hAnsi="Times New Roman" w:eastAsia="黑体" w:cs="Times New Roman"/>
          <w:kern w:val="0"/>
          <w:sz w:val="24"/>
          <w:szCs w:val="24"/>
        </w:rPr>
        <w:t>2</w:t>
      </w:r>
      <w:r>
        <w:rPr>
          <w:rFonts w:hint="eastAsia" w:ascii="Times New Roman" w:hAnsi="Times New Roman" w:eastAsia="黑体" w:cs="Times New Roman"/>
          <w:kern w:val="0"/>
          <w:sz w:val="24"/>
          <w:szCs w:val="24"/>
        </w:rPr>
        <w:t>：气候相关财务影响方式的分析示例</w:t>
      </w:r>
    </w:p>
    <w:p w14:paraId="51B43D7C">
      <w:pPr>
        <w:widowControl/>
        <w:adjustRightInd w:val="0"/>
        <w:snapToGrid w:val="0"/>
        <w:spacing w:line="560" w:lineRule="exact"/>
        <w:ind w:firstLine="602" w:firstLineChars="200"/>
        <w:outlineLvl w:val="2"/>
        <w:rPr>
          <w:rFonts w:ascii="仿宋_GB2312" w:hAnsi="Times New Roman" w:cs="Times New Roman"/>
          <w:b/>
          <w:bCs/>
          <w:szCs w:val="30"/>
        </w:rPr>
      </w:pPr>
      <w:bookmarkStart w:id="116" w:name="_Toc26456"/>
      <w:bookmarkStart w:id="117" w:name="_Toc187328666"/>
      <w:bookmarkStart w:id="118" w:name="_Toc28752"/>
      <w:bookmarkStart w:id="119" w:name="_Toc30089"/>
      <w:bookmarkStart w:id="120" w:name="_Toc29911"/>
      <w:r>
        <w:rPr>
          <w:rFonts w:hint="eastAsia" w:ascii="仿宋_GB2312" w:hAnsi="Times New Roman" w:cs="Times New Roman"/>
          <w:b/>
          <w:bCs/>
          <w:szCs w:val="30"/>
        </w:rPr>
        <w:t>步骤三：气候相关财务影响的评估与确认</w:t>
      </w:r>
      <w:bookmarkEnd w:id="116"/>
      <w:bookmarkEnd w:id="117"/>
      <w:bookmarkEnd w:id="118"/>
      <w:bookmarkEnd w:id="119"/>
      <w:bookmarkEnd w:id="120"/>
    </w:p>
    <w:p w14:paraId="1B8E76E7">
      <w:pPr>
        <w:widowControl/>
        <w:adjustRightInd w:val="0"/>
        <w:snapToGrid w:val="0"/>
        <w:spacing w:line="560" w:lineRule="exact"/>
        <w:ind w:firstLine="600" w:firstLineChars="200"/>
        <w:rPr>
          <w:rFonts w:ascii="Times New Roman" w:hAnsi="Times New Roman" w:cs="Times New Roman"/>
          <w:kern w:val="0"/>
          <w:szCs w:val="30"/>
        </w:rPr>
      </w:pPr>
      <w:r>
        <w:rPr>
          <w:rFonts w:hint="eastAsia" w:ascii="Times New Roman" w:hAnsi="Times New Roman" w:cs="Times New Roman"/>
          <w:kern w:val="0"/>
          <w:szCs w:val="30"/>
        </w:rPr>
        <w:t>披露主体应当结合自身所处行业和经营业务的特点等情况，识别与气候相关的经济、环境和社会因素对披露主体的商业模式、业务运营、发展战略、财务状况、经营成果、现金流、融资方式等产生的影响。</w:t>
      </w:r>
    </w:p>
    <w:p w14:paraId="5BA0FCD9">
      <w:pPr>
        <w:widowControl/>
        <w:adjustRightInd w:val="0"/>
        <w:snapToGrid w:val="0"/>
        <w:spacing w:line="560" w:lineRule="exact"/>
        <w:ind w:firstLine="600" w:firstLineChars="200"/>
        <w:rPr>
          <w:rFonts w:ascii="仿宋_GB2312" w:hAnsi="仿宋_GB2312" w:cs="仿宋_GB2312"/>
          <w:szCs w:val="30"/>
          <w:lang w:bidi="ar"/>
        </w:rPr>
      </w:pPr>
      <w:r>
        <w:rPr>
          <w:rFonts w:hint="eastAsia" w:ascii="仿宋_GB2312" w:hAnsi="仿宋_GB2312" w:cs="仿宋_GB2312"/>
          <w:szCs w:val="30"/>
          <w:lang w:bidi="ar"/>
        </w:rPr>
        <w:t>气候相关财务重要性评估要结合风险和机遇发生的可能性和财务影响的程度判断。气候相关</w:t>
      </w:r>
      <w:r>
        <w:rPr>
          <w:rFonts w:hint="eastAsia" w:ascii="Times New Roman" w:hAnsi="Times New Roman" w:cs="Times New Roman"/>
          <w:kern w:val="0"/>
          <w:szCs w:val="30"/>
        </w:rPr>
        <w:t>财务重要性的评估流程包括：分析财务重要性评估因素、利益相关方与专家参与、设置判定财务重要性的阈值、形成财务重要性评估结论。就气候议题财务重要性评估结果与设置的重要性阈值进行比较，确定该议题是否具有财务重要性（</w:t>
      </w:r>
      <w:r>
        <w:rPr>
          <w:rFonts w:hint="eastAsia" w:ascii="仿宋_GB2312" w:hAnsi="Times New Roman" w:cs="Times New Roman"/>
          <w:szCs w:val="30"/>
        </w:rPr>
        <w:t>具体财务重要性评估要点详见《第一号</w:t>
      </w:r>
      <w:r>
        <w:rPr>
          <w:rFonts w:ascii="仿宋_GB2312" w:hAnsi="Times New Roman" w:cs="Times New Roman"/>
          <w:szCs w:val="30"/>
        </w:rPr>
        <w:t xml:space="preserve"> </w:t>
      </w:r>
      <w:r>
        <w:rPr>
          <w:rFonts w:hint="eastAsia" w:ascii="仿宋_GB2312" w:hAnsi="Times New Roman" w:cs="Times New Roman"/>
          <w:szCs w:val="30"/>
        </w:rPr>
        <w:t>总体要求与披露框架》指南）。</w:t>
      </w:r>
    </w:p>
    <w:p w14:paraId="6F32B7A1">
      <w:pPr>
        <w:spacing w:line="560" w:lineRule="exact"/>
        <w:ind w:firstLine="600" w:firstLineChars="200"/>
        <w:rPr>
          <w:rFonts w:ascii="仿宋_GB2312" w:hAnsi="仿宋_GB2312" w:cs="仿宋_GB2312"/>
          <w:szCs w:val="30"/>
          <w:lang w:bidi="ar"/>
        </w:rPr>
      </w:pPr>
      <w:r>
        <w:rPr>
          <w:rFonts w:hint="eastAsia" w:ascii="仿宋_GB2312" w:hAnsi="仿宋_GB2312" w:cs="仿宋_GB2312"/>
          <w:szCs w:val="30"/>
          <w:lang w:bidi="ar"/>
        </w:rPr>
        <w:t>此外，</w:t>
      </w:r>
      <w:r>
        <w:rPr>
          <w:rFonts w:hint="eastAsia" w:ascii="Times New Roman" w:hAnsi="Times New Roman" w:cs="Times New Roman"/>
          <w:kern w:val="0"/>
          <w:szCs w:val="30"/>
        </w:rPr>
        <w:t>披露主体</w:t>
      </w:r>
      <w:r>
        <w:rPr>
          <w:rFonts w:hint="eastAsia" w:ascii="仿宋_GB2312" w:hAnsi="仿宋_GB2312" w:cs="仿宋_GB2312"/>
          <w:szCs w:val="30"/>
          <w:lang w:bidi="ar"/>
        </w:rPr>
        <w:t>在评估气候相关</w:t>
      </w:r>
      <w:r>
        <w:rPr>
          <w:rFonts w:hint="eastAsia" w:ascii="Times New Roman" w:hAnsi="Times New Roman" w:cs="Times New Roman"/>
          <w:kern w:val="0"/>
          <w:szCs w:val="30"/>
        </w:rPr>
        <w:t>财务影响时，可以与投资者、债权人等利益相关方保持沟通（</w:t>
      </w:r>
      <w:r>
        <w:rPr>
          <w:rFonts w:hint="eastAsia" w:ascii="仿宋_GB2312" w:hAnsi="Times New Roman" w:cs="Times New Roman"/>
          <w:szCs w:val="30"/>
        </w:rPr>
        <w:t>具体详见《第一号</w:t>
      </w:r>
      <w:r>
        <w:rPr>
          <w:rFonts w:ascii="仿宋_GB2312" w:hAnsi="Times New Roman" w:cs="Times New Roman"/>
          <w:szCs w:val="30"/>
        </w:rPr>
        <w:t xml:space="preserve"> </w:t>
      </w:r>
      <w:r>
        <w:rPr>
          <w:rFonts w:hint="eastAsia" w:ascii="仿宋_GB2312" w:hAnsi="Times New Roman" w:cs="Times New Roman"/>
          <w:szCs w:val="30"/>
        </w:rPr>
        <w:t>总体要求与披露框架》指南）。</w:t>
      </w:r>
    </w:p>
    <w:p w14:paraId="13EA1EB7">
      <w:pPr>
        <w:widowControl/>
        <w:adjustRightInd w:val="0"/>
        <w:snapToGrid w:val="0"/>
        <w:spacing w:line="560" w:lineRule="exact"/>
        <w:ind w:firstLine="602" w:firstLineChars="200"/>
        <w:outlineLvl w:val="2"/>
        <w:rPr>
          <w:rFonts w:ascii="仿宋_GB2312" w:hAnsi="Times New Roman" w:cs="Times New Roman"/>
          <w:b/>
          <w:bCs/>
          <w:szCs w:val="30"/>
        </w:rPr>
      </w:pPr>
      <w:bookmarkStart w:id="121" w:name="_Toc3979"/>
      <w:bookmarkStart w:id="122" w:name="_Toc17847"/>
      <w:bookmarkStart w:id="123" w:name="_Toc9764"/>
      <w:bookmarkStart w:id="124" w:name="_Toc187328667"/>
      <w:bookmarkStart w:id="125" w:name="_Toc842"/>
      <w:r>
        <w:rPr>
          <w:rFonts w:hint="eastAsia" w:ascii="仿宋_GB2312" w:hAnsi="Times New Roman" w:cs="Times New Roman"/>
          <w:b/>
          <w:bCs/>
          <w:szCs w:val="30"/>
        </w:rPr>
        <w:t>步骤四：气候相关影响的报告</w:t>
      </w:r>
      <w:bookmarkEnd w:id="121"/>
      <w:bookmarkEnd w:id="122"/>
      <w:bookmarkEnd w:id="123"/>
      <w:bookmarkEnd w:id="124"/>
      <w:bookmarkEnd w:id="125"/>
    </w:p>
    <w:p w14:paraId="2757CA83">
      <w:pPr>
        <w:widowControl/>
        <w:adjustRightInd w:val="0"/>
        <w:snapToGrid w:val="0"/>
        <w:spacing w:line="560" w:lineRule="exact"/>
        <w:ind w:firstLine="600" w:firstLineChars="200"/>
        <w:rPr>
          <w:rFonts w:ascii="仿宋_GB2312" w:hAnsi="Times New Roman" w:cs="Times New Roman"/>
          <w:szCs w:val="30"/>
        </w:rPr>
        <w:sectPr>
          <w:footerReference r:id="rId5" w:type="default"/>
          <w:pgSz w:w="11906" w:h="16838"/>
          <w:pgMar w:top="1440" w:right="1800" w:bottom="1440" w:left="1800" w:header="851" w:footer="992" w:gutter="0"/>
          <w:pgNumType w:start="1"/>
          <w:cols w:space="720" w:num="1"/>
          <w:docGrid w:type="lines" w:linePitch="312" w:charSpace="0"/>
        </w:sectPr>
      </w:pPr>
      <w:r>
        <w:rPr>
          <w:rFonts w:hint="eastAsia" w:ascii="仿宋_GB2312" w:hAnsi="仿宋_GB2312" w:cs="仿宋_GB2312"/>
          <w:szCs w:val="30"/>
          <w:lang w:bidi="ar"/>
        </w:rPr>
        <w:t>在完成气候相关财务重要性评估后，</w:t>
      </w:r>
      <w:r>
        <w:rPr>
          <w:rFonts w:hint="eastAsia" w:ascii="Times New Roman" w:hAnsi="Times New Roman" w:cs="Times New Roman"/>
          <w:kern w:val="0"/>
          <w:szCs w:val="30"/>
        </w:rPr>
        <w:t>公司</w:t>
      </w:r>
      <w:r>
        <w:rPr>
          <w:rFonts w:hint="eastAsia" w:ascii="仿宋_GB2312" w:hAnsi="仿宋_GB2312" w:cs="仿宋_GB2312"/>
          <w:szCs w:val="30"/>
          <w:lang w:bidi="ar"/>
        </w:rPr>
        <w:t>应当披露议题重要性的分析过程及其结果</w:t>
      </w:r>
      <w:r>
        <w:rPr>
          <w:rFonts w:hint="eastAsia" w:ascii="Times New Roman" w:hAnsi="Times New Roman" w:cs="Times New Roman"/>
          <w:kern w:val="0"/>
          <w:szCs w:val="30"/>
        </w:rPr>
        <w:t>（</w:t>
      </w:r>
      <w:r>
        <w:rPr>
          <w:rFonts w:hint="eastAsia" w:ascii="仿宋_GB2312" w:hAnsi="Times New Roman" w:cs="Times New Roman"/>
          <w:szCs w:val="30"/>
        </w:rPr>
        <w:t>具体要点详见《第一号</w:t>
      </w:r>
      <w:r>
        <w:rPr>
          <w:rFonts w:ascii="仿宋_GB2312" w:hAnsi="Times New Roman" w:cs="Times New Roman"/>
          <w:szCs w:val="30"/>
        </w:rPr>
        <w:t xml:space="preserve"> </w:t>
      </w:r>
      <w:r>
        <w:rPr>
          <w:rFonts w:hint="eastAsia" w:ascii="仿宋_GB2312" w:hAnsi="Times New Roman" w:cs="Times New Roman"/>
          <w:szCs w:val="30"/>
        </w:rPr>
        <w:t>总体要求与披露框架》指南）。</w:t>
      </w:r>
    </w:p>
    <w:p w14:paraId="7319362F">
      <w:pPr>
        <w:spacing w:line="560" w:lineRule="exact"/>
        <w:jc w:val="center"/>
        <w:outlineLvl w:val="0"/>
        <w:rPr>
          <w:rFonts w:ascii="Times New Roman" w:hAnsi="Times New Roman" w:eastAsia="黑体" w:cs="Times New Roman"/>
          <w:b/>
          <w:bCs/>
          <w:szCs w:val="30"/>
        </w:rPr>
      </w:pPr>
      <w:bookmarkStart w:id="126" w:name="_Toc181613092"/>
      <w:bookmarkStart w:id="127" w:name="_Toc187328668"/>
      <w:bookmarkStart w:id="128" w:name="_Toc25576"/>
      <w:bookmarkStart w:id="129" w:name="_Toc19371"/>
      <w:bookmarkStart w:id="130" w:name="_Toc23215"/>
      <w:r>
        <w:rPr>
          <w:rFonts w:hint="eastAsia" w:ascii="Times New Roman" w:hAnsi="Times New Roman" w:eastAsia="黑体" w:cs="Times New Roman"/>
          <w:b/>
          <w:bCs/>
          <w:szCs w:val="30"/>
        </w:rPr>
        <w:t>第三章</w:t>
      </w:r>
      <w:r>
        <w:rPr>
          <w:rFonts w:ascii="Times New Roman" w:hAnsi="Times New Roman" w:eastAsia="黑体" w:cs="Times New Roman"/>
          <w:b/>
          <w:bCs/>
          <w:szCs w:val="30"/>
        </w:rPr>
        <w:t xml:space="preserve"> </w:t>
      </w:r>
      <w:r>
        <w:rPr>
          <w:rFonts w:hint="eastAsia" w:ascii="Times New Roman" w:hAnsi="Times New Roman" w:eastAsia="黑体" w:cs="Times New Roman"/>
          <w:b/>
          <w:bCs/>
          <w:szCs w:val="30"/>
        </w:rPr>
        <w:t>气候适应性和气候相关情景分析</w:t>
      </w:r>
      <w:bookmarkEnd w:id="126"/>
      <w:bookmarkEnd w:id="127"/>
      <w:bookmarkEnd w:id="128"/>
      <w:bookmarkEnd w:id="129"/>
      <w:bookmarkEnd w:id="130"/>
    </w:p>
    <w:p w14:paraId="1416A7A5">
      <w:pPr>
        <w:widowControl/>
        <w:adjustRightInd w:val="0"/>
        <w:snapToGrid w:val="0"/>
        <w:spacing w:before="156" w:beforeLines="50" w:line="560" w:lineRule="exact"/>
        <w:ind w:firstLine="600" w:firstLineChars="200"/>
        <w:outlineLvl w:val="1"/>
        <w:rPr>
          <w:rFonts w:ascii="黑体" w:hAnsi="黑体" w:eastAsia="黑体" w:cs="Times New Roman"/>
          <w:szCs w:val="30"/>
        </w:rPr>
      </w:pPr>
      <w:bookmarkStart w:id="131" w:name="_Toc4169"/>
      <w:bookmarkStart w:id="132" w:name="_Toc6677"/>
      <w:bookmarkStart w:id="133" w:name="_Toc187328669"/>
      <w:bookmarkStart w:id="134" w:name="_Toc30463"/>
      <w:bookmarkStart w:id="135" w:name="_Toc181613093"/>
      <w:r>
        <w:rPr>
          <w:rFonts w:hint="eastAsia" w:ascii="黑体" w:hAnsi="黑体" w:eastAsia="黑体" w:cs="Times New Roman"/>
          <w:szCs w:val="30"/>
        </w:rPr>
        <w:t>一、气候适应性</w:t>
      </w:r>
      <w:bookmarkEnd w:id="131"/>
      <w:bookmarkEnd w:id="132"/>
      <w:bookmarkEnd w:id="133"/>
      <w:bookmarkEnd w:id="134"/>
      <w:bookmarkEnd w:id="135"/>
    </w:p>
    <w:p w14:paraId="06E6C408">
      <w:pPr>
        <w:widowControl/>
        <w:adjustRightInd w:val="0"/>
        <w:snapToGrid w:val="0"/>
        <w:spacing w:line="560" w:lineRule="exact"/>
        <w:ind w:firstLine="600" w:firstLineChars="200"/>
        <w:rPr>
          <w:rFonts w:ascii="仿宋_GB2312" w:hAnsi="Times New Roman" w:cs="Times New Roman"/>
          <w:color w:val="000000"/>
          <w:szCs w:val="30"/>
        </w:rPr>
      </w:pPr>
      <w:r>
        <w:rPr>
          <w:rFonts w:hint="eastAsia" w:ascii="仿宋_GB2312" w:hAnsi="Times New Roman" w:cs="Times New Roman"/>
          <w:color w:val="000000"/>
          <w:szCs w:val="30"/>
        </w:rPr>
        <w:t>气候适应性是指</w:t>
      </w:r>
      <w:r>
        <w:rPr>
          <w:rFonts w:hint="eastAsia" w:ascii="仿宋_GB2312" w:hAnsi="Times New Roman" w:cs="Times New Roman"/>
          <w:szCs w:val="30"/>
        </w:rPr>
        <w:t>披露主体</w:t>
      </w:r>
      <w:r>
        <w:rPr>
          <w:rFonts w:hint="eastAsia" w:ascii="仿宋_GB2312" w:hAnsi="Times New Roman" w:cs="Times New Roman"/>
          <w:color w:val="000000"/>
          <w:szCs w:val="30"/>
        </w:rPr>
        <w:t>管理与气候有关的风险和从与气候有关的机遇中获益的能力，包括其战略适应性和应对气候相关变化或不确定性的业务适应性。情景分析是指在不确定的条件下，确定和评估未来事件的潜在影响范围的方法，是评估气候适应性的常见工具。就气候变化而言，</w:t>
      </w:r>
      <w:r>
        <w:rPr>
          <w:rFonts w:hint="eastAsia" w:ascii="Times New Roman" w:hAnsi="Times New Roman" w:cs="Times New Roman"/>
          <w:kern w:val="0"/>
          <w:szCs w:val="30"/>
        </w:rPr>
        <w:t>披露主体</w:t>
      </w:r>
      <w:r>
        <w:rPr>
          <w:rFonts w:hint="eastAsia" w:ascii="仿宋_GB2312" w:hAnsi="Times New Roman" w:cs="Times New Roman"/>
          <w:color w:val="000000"/>
          <w:szCs w:val="30"/>
        </w:rPr>
        <w:t>可以使用气候相关情景分析，评估气候变化的物理风险和转型风险未来可能如何影响其业务、战略和财务状况。</w:t>
      </w:r>
    </w:p>
    <w:p w14:paraId="64202CB9">
      <w:pPr>
        <w:widowControl/>
        <w:adjustRightInd w:val="0"/>
        <w:snapToGrid w:val="0"/>
        <w:spacing w:line="560" w:lineRule="exact"/>
        <w:ind w:firstLine="600" w:firstLineChars="200"/>
        <w:outlineLvl w:val="1"/>
        <w:rPr>
          <w:rFonts w:ascii="黑体" w:hAnsi="黑体" w:eastAsia="黑体" w:cs="Times New Roman"/>
          <w:szCs w:val="30"/>
        </w:rPr>
      </w:pPr>
      <w:bookmarkStart w:id="136" w:name="_Toc15987"/>
      <w:bookmarkStart w:id="137" w:name="_Toc181613094"/>
      <w:bookmarkStart w:id="138" w:name="_Toc187328670"/>
      <w:bookmarkStart w:id="139" w:name="_Toc3590"/>
      <w:bookmarkStart w:id="140" w:name="_Toc20082"/>
      <w:r>
        <w:rPr>
          <w:rFonts w:hint="eastAsia" w:ascii="黑体" w:hAnsi="黑体" w:eastAsia="黑体" w:cs="Times New Roman"/>
          <w:szCs w:val="30"/>
        </w:rPr>
        <w:t>二、气候相关情景分析</w:t>
      </w:r>
      <w:bookmarkEnd w:id="136"/>
      <w:bookmarkEnd w:id="137"/>
      <w:bookmarkEnd w:id="138"/>
      <w:bookmarkEnd w:id="139"/>
      <w:bookmarkEnd w:id="140"/>
    </w:p>
    <w:p w14:paraId="446ABF9A">
      <w:pPr>
        <w:widowControl/>
        <w:adjustRightInd w:val="0"/>
        <w:snapToGrid w:val="0"/>
        <w:spacing w:line="560" w:lineRule="exact"/>
        <w:ind w:firstLine="600" w:firstLineChars="200"/>
        <w:rPr>
          <w:rFonts w:ascii="仿宋_GB2312" w:hAnsi="Times New Roman" w:cs="Times New Roman"/>
          <w:szCs w:val="30"/>
        </w:rPr>
      </w:pPr>
      <w:r>
        <w:rPr>
          <w:rFonts w:hint="eastAsia" w:ascii="仿宋_GB2312" w:hAnsi="Times New Roman" w:cs="Times New Roman"/>
          <w:szCs w:val="30"/>
        </w:rPr>
        <w:t>在识别、分析和管理气候相关风险和机遇时，披露主体可以利用与气候相关的情景，了解气候变化的物理风险及转型风险与机遇，如何随着时间的推移对其业务产生合理影响。</w:t>
      </w:r>
    </w:p>
    <w:p w14:paraId="6BF200D6">
      <w:pPr>
        <w:widowControl/>
        <w:adjustRightInd w:val="0"/>
        <w:snapToGrid w:val="0"/>
        <w:spacing w:line="560" w:lineRule="exact"/>
        <w:ind w:firstLine="600" w:firstLineChars="200"/>
        <w:rPr>
          <w:rFonts w:ascii="仿宋_GB2312" w:hAnsi="Times New Roman" w:cs="Times New Roman"/>
          <w:szCs w:val="30"/>
        </w:rPr>
      </w:pPr>
      <w:r>
        <w:rPr>
          <w:rFonts w:hint="eastAsia" w:ascii="仿宋_GB2312" w:hAnsi="Times New Roman" w:cs="Times New Roman"/>
          <w:szCs w:val="30"/>
        </w:rPr>
        <w:t>整体而言，气候相关情景分析通过模拟的方式，展示了在不同的经济发展、能源使用条件下世界可能演变的方式，以及相应的气候变化后果。</w:t>
      </w:r>
    </w:p>
    <w:p w14:paraId="148B5687">
      <w:pPr>
        <w:widowControl/>
        <w:adjustRightInd w:val="0"/>
        <w:snapToGrid w:val="0"/>
        <w:spacing w:line="560" w:lineRule="exact"/>
        <w:ind w:firstLine="600" w:firstLineChars="200"/>
        <w:rPr>
          <w:rFonts w:ascii="仿宋_GB2312" w:hAnsi="Times New Roman" w:cs="Times New Roman"/>
          <w:szCs w:val="30"/>
        </w:rPr>
      </w:pPr>
      <w:r>
        <w:rPr>
          <w:rFonts w:hint="eastAsia" w:ascii="仿宋_GB2312" w:hAnsi="Times New Roman" w:cs="Times New Roman"/>
          <w:szCs w:val="30"/>
        </w:rPr>
        <w:t>使用气候相关情景分析，可以帮助</w:t>
      </w:r>
      <w:r>
        <w:rPr>
          <w:rFonts w:hint="eastAsia" w:ascii="Times New Roman" w:hAnsi="Times New Roman" w:cs="Times New Roman"/>
          <w:kern w:val="0"/>
          <w:szCs w:val="30"/>
        </w:rPr>
        <w:t>披露主体</w:t>
      </w:r>
      <w:r>
        <w:rPr>
          <w:rFonts w:hint="eastAsia" w:ascii="仿宋_GB2312" w:hAnsi="Times New Roman" w:cs="Times New Roman"/>
          <w:szCs w:val="30"/>
        </w:rPr>
        <w:t>建立和评估气候变化对业务、战略和财务产生影响的潜在范围，以及可能需要在战略和财务规划中考虑的行动。</w:t>
      </w:r>
    </w:p>
    <w:p w14:paraId="20D3E7A8">
      <w:pPr>
        <w:widowControl/>
        <w:adjustRightInd w:val="0"/>
        <w:snapToGrid w:val="0"/>
        <w:spacing w:line="560" w:lineRule="exact"/>
        <w:ind w:firstLine="600" w:firstLineChars="200"/>
        <w:rPr>
          <w:rFonts w:ascii="仿宋_GB2312" w:hAnsi="Times New Roman" w:cs="Times New Roman"/>
          <w:szCs w:val="30"/>
        </w:rPr>
      </w:pPr>
      <w:r>
        <w:rPr>
          <w:rFonts w:hint="eastAsia" w:ascii="仿宋_GB2312" w:hAnsi="Times New Roman" w:cs="Times New Roman"/>
          <w:szCs w:val="30"/>
        </w:rPr>
        <w:t>将气候相关情景与公司战略相结合进行分析，可以探究公司发展策略和方向，能承受的风险程度，辅助公司识别潜在风险和机遇点，提前做好应对准备。</w:t>
      </w:r>
    </w:p>
    <w:p w14:paraId="6439F92D">
      <w:pPr>
        <w:widowControl/>
        <w:adjustRightInd w:val="0"/>
        <w:snapToGrid w:val="0"/>
        <w:spacing w:line="560" w:lineRule="exact"/>
        <w:ind w:firstLine="600" w:firstLineChars="200"/>
        <w:rPr>
          <w:rFonts w:ascii="仿宋_GB2312" w:hAnsi="Times New Roman" w:cs="Times New Roman"/>
          <w:szCs w:val="30"/>
        </w:rPr>
      </w:pPr>
      <w:r>
        <w:rPr>
          <w:rFonts w:hint="eastAsia" w:ascii="仿宋_GB2312" w:hAnsi="Times New Roman" w:cs="Times New Roman"/>
          <w:szCs w:val="30"/>
        </w:rPr>
        <w:t>在缺乏具体可用的关系和趋势数据时，气候相关情景分析可以是定性分析，即依赖于描述性的非数值型信息。气候相关情景分析也可以是定量分析，利用数字数据、模型和其他分析技术，评估可衡量的趋势和关系。</w:t>
      </w:r>
    </w:p>
    <w:p w14:paraId="3702E754">
      <w:pPr>
        <w:widowControl/>
        <w:adjustRightInd w:val="0"/>
        <w:snapToGrid w:val="0"/>
        <w:spacing w:line="560" w:lineRule="exact"/>
        <w:ind w:firstLine="600" w:firstLineChars="200"/>
        <w:outlineLvl w:val="1"/>
        <w:rPr>
          <w:rFonts w:ascii="Times New Roman" w:hAnsi="Times New Roman" w:eastAsia="黑体" w:cs="Times New Roman"/>
          <w:szCs w:val="30"/>
        </w:rPr>
      </w:pPr>
      <w:bookmarkStart w:id="141" w:name="_Toc6818"/>
      <w:bookmarkStart w:id="142" w:name="_Toc181613095"/>
      <w:bookmarkStart w:id="143" w:name="_Toc405"/>
      <w:bookmarkStart w:id="144" w:name="_Toc187328671"/>
      <w:bookmarkStart w:id="145" w:name="_Toc19134"/>
      <w:r>
        <w:rPr>
          <w:rFonts w:hint="eastAsia" w:ascii="Times New Roman" w:hAnsi="Times New Roman" w:eastAsia="黑体" w:cs="Times New Roman"/>
          <w:szCs w:val="30"/>
        </w:rPr>
        <w:t>三、气候相关情景分析的一般流程</w:t>
      </w:r>
      <w:bookmarkEnd w:id="141"/>
      <w:bookmarkEnd w:id="142"/>
      <w:bookmarkEnd w:id="143"/>
      <w:bookmarkEnd w:id="144"/>
      <w:bookmarkEnd w:id="145"/>
    </w:p>
    <w:p w14:paraId="54031443">
      <w:pPr>
        <w:widowControl/>
        <w:adjustRightInd w:val="0"/>
        <w:snapToGrid w:val="0"/>
        <w:spacing w:line="560" w:lineRule="exact"/>
        <w:ind w:firstLine="600" w:firstLineChars="200"/>
        <w:rPr>
          <w:rFonts w:ascii="仿宋_GB2312" w:hAnsi="Times New Roman" w:cs="Times New Roman"/>
          <w:szCs w:val="30"/>
        </w:rPr>
      </w:pPr>
      <w:r>
        <w:rPr>
          <w:rFonts w:hint="eastAsia" w:ascii="仿宋_GB2312" w:hAnsi="Times New Roman" w:cs="Times New Roman"/>
          <w:szCs w:val="30"/>
        </w:rPr>
        <w:t>披露主体可以通过以下五个步骤进行气候相关情景分析：</w:t>
      </w:r>
    </w:p>
    <w:p w14:paraId="28320C04">
      <w:pPr>
        <w:widowControl/>
        <w:adjustRightInd w:val="0"/>
        <w:snapToGrid w:val="0"/>
        <w:spacing w:line="560" w:lineRule="exact"/>
        <w:ind w:firstLine="602" w:firstLineChars="200"/>
        <w:outlineLvl w:val="2"/>
        <w:rPr>
          <w:rFonts w:ascii="仿宋_GB2312" w:hAnsi="Times New Roman" w:cs="Times New Roman"/>
          <w:szCs w:val="30"/>
        </w:rPr>
      </w:pPr>
      <w:bookmarkStart w:id="146" w:name="_Toc19001"/>
      <w:bookmarkStart w:id="147" w:name="_Toc181613096"/>
      <w:bookmarkStart w:id="148" w:name="_Toc28778"/>
      <w:bookmarkStart w:id="149" w:name="_Toc181612785"/>
      <w:bookmarkStart w:id="150" w:name="_Toc187328672"/>
      <w:bookmarkStart w:id="151" w:name="_Toc32282"/>
      <w:bookmarkStart w:id="152" w:name="_Toc11371"/>
      <w:r>
        <w:rPr>
          <w:rFonts w:hint="eastAsia" w:ascii="仿宋_GB2312" w:hAnsi="Times New Roman" w:cs="Times New Roman"/>
          <w:b/>
          <w:bCs/>
          <w:szCs w:val="30"/>
        </w:rPr>
        <w:t>步骤一：确定开展气候相关情景分析的范围</w:t>
      </w:r>
      <w:bookmarkEnd w:id="146"/>
      <w:bookmarkEnd w:id="147"/>
      <w:bookmarkEnd w:id="148"/>
      <w:bookmarkEnd w:id="149"/>
      <w:bookmarkEnd w:id="150"/>
      <w:bookmarkEnd w:id="151"/>
      <w:bookmarkEnd w:id="152"/>
    </w:p>
    <w:p w14:paraId="6293DAC1">
      <w:pPr>
        <w:widowControl/>
        <w:adjustRightInd w:val="0"/>
        <w:snapToGrid w:val="0"/>
        <w:spacing w:line="560" w:lineRule="exact"/>
        <w:ind w:firstLine="600" w:firstLineChars="200"/>
        <w:rPr>
          <w:rFonts w:ascii="仿宋_GB2312" w:hAnsi="Times New Roman" w:cs="Times New Roman"/>
          <w:szCs w:val="30"/>
        </w:rPr>
      </w:pPr>
      <w:r>
        <w:rPr>
          <w:rFonts w:hint="eastAsia" w:ascii="仿宋_GB2312" w:hAnsi="Times New Roman" w:cs="Times New Roman"/>
          <w:szCs w:val="30"/>
        </w:rPr>
        <w:t>披露主体在进行情景分析时，可先考虑确定开展气候相关情景分析的范围。随着公司经验积累，可考虑逐步扩大情景分析所覆盖的业务及风险范围等。</w:t>
      </w:r>
    </w:p>
    <w:p w14:paraId="0C6D73CA">
      <w:pPr>
        <w:widowControl/>
        <w:adjustRightInd w:val="0"/>
        <w:snapToGrid w:val="0"/>
        <w:spacing w:line="560" w:lineRule="exact"/>
        <w:jc w:val="center"/>
        <w:rPr>
          <w:rFonts w:ascii="Times New Roman" w:hAnsi="Times New Roman" w:eastAsia="黑体" w:cs="Times New Roman"/>
          <w:kern w:val="0"/>
          <w:sz w:val="24"/>
          <w:szCs w:val="24"/>
        </w:rPr>
      </w:pPr>
      <w:r>
        <w:rPr>
          <w:rFonts w:hint="eastAsia" w:ascii="Times New Roman" w:hAnsi="Times New Roman" w:eastAsia="黑体" w:cs="Times New Roman"/>
          <w:kern w:val="0"/>
          <w:sz w:val="24"/>
          <w:szCs w:val="24"/>
        </w:rPr>
        <w:t>表</w:t>
      </w:r>
      <w:r>
        <w:rPr>
          <w:rFonts w:ascii="Times New Roman" w:hAnsi="Times New Roman" w:eastAsia="黑体" w:cs="Times New Roman"/>
          <w:kern w:val="0"/>
          <w:sz w:val="24"/>
          <w:szCs w:val="24"/>
        </w:rPr>
        <w:t>6：气候相关情景分析范围的维度参考</w:t>
      </w:r>
    </w:p>
    <w:tbl>
      <w:tblPr>
        <w:tblStyle w:val="8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47"/>
        <w:gridCol w:w="5749"/>
      </w:tblGrid>
      <w:tr w14:paraId="358F3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tcPr>
          <w:p w14:paraId="333DDD2A">
            <w:pPr>
              <w:widowControl/>
              <w:adjustRightInd w:val="0"/>
              <w:snapToGrid w:val="0"/>
              <w:spacing w:line="264" w:lineRule="auto"/>
              <w:jc w:val="center"/>
              <w:rPr>
                <w:rFonts w:ascii="仿宋_GB2312" w:hAnsi="Times New Roman" w:cs="Times New Roman"/>
                <w:b/>
                <w:bCs/>
                <w:kern w:val="0"/>
                <w:sz w:val="24"/>
                <w:szCs w:val="24"/>
              </w:rPr>
            </w:pPr>
            <w:r>
              <w:rPr>
                <w:rFonts w:hint="eastAsia" w:ascii="仿宋_GB2312" w:hAnsi="Times New Roman" w:cs="Times New Roman"/>
                <w:b/>
                <w:bCs/>
                <w:kern w:val="0"/>
                <w:sz w:val="24"/>
                <w:szCs w:val="24"/>
              </w:rPr>
              <w:t>范围</w:t>
            </w:r>
          </w:p>
        </w:tc>
        <w:tc>
          <w:tcPr>
            <w:tcW w:w="5749" w:type="dxa"/>
          </w:tcPr>
          <w:p w14:paraId="1F1F5092">
            <w:pPr>
              <w:widowControl/>
              <w:adjustRightInd w:val="0"/>
              <w:snapToGrid w:val="0"/>
              <w:spacing w:line="264" w:lineRule="auto"/>
              <w:jc w:val="center"/>
              <w:rPr>
                <w:rFonts w:ascii="仿宋_GB2312" w:hAnsi="Times New Roman" w:cs="Times New Roman"/>
                <w:b/>
                <w:bCs/>
                <w:kern w:val="0"/>
                <w:sz w:val="24"/>
                <w:szCs w:val="24"/>
              </w:rPr>
            </w:pPr>
            <w:r>
              <w:rPr>
                <w:rFonts w:hint="eastAsia" w:ascii="仿宋_GB2312" w:hAnsi="Times New Roman" w:cs="Times New Roman"/>
                <w:b/>
                <w:bCs/>
                <w:kern w:val="0"/>
                <w:sz w:val="24"/>
                <w:szCs w:val="24"/>
              </w:rPr>
              <w:t>描述</w:t>
            </w:r>
          </w:p>
        </w:tc>
      </w:tr>
      <w:tr w14:paraId="3616C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2547" w:type="dxa"/>
            <w:vAlign w:val="center"/>
          </w:tcPr>
          <w:p w14:paraId="53999F5E">
            <w:pPr>
              <w:widowControl/>
              <w:adjustRightInd w:val="0"/>
              <w:snapToGrid w:val="0"/>
              <w:spacing w:line="264" w:lineRule="auto"/>
              <w:jc w:val="center"/>
              <w:rPr>
                <w:rFonts w:ascii="仿宋_GB2312" w:hAnsi="Times New Roman" w:cs="Times New Roman"/>
                <w:kern w:val="0"/>
                <w:sz w:val="24"/>
                <w:szCs w:val="24"/>
              </w:rPr>
            </w:pPr>
            <w:r>
              <w:rPr>
                <w:rFonts w:hint="eastAsia" w:ascii="仿宋_GB2312" w:hAnsi="Times New Roman" w:cs="Times New Roman"/>
                <w:kern w:val="0"/>
                <w:sz w:val="24"/>
                <w:szCs w:val="24"/>
              </w:rPr>
              <w:t>业务覆盖范围</w:t>
            </w:r>
          </w:p>
        </w:tc>
        <w:tc>
          <w:tcPr>
            <w:tcW w:w="5749" w:type="dxa"/>
          </w:tcPr>
          <w:p w14:paraId="7FB97C76">
            <w:pPr>
              <w:widowControl/>
              <w:adjustRightInd w:val="0"/>
              <w:snapToGrid w:val="0"/>
              <w:spacing w:line="264" w:lineRule="auto"/>
              <w:rPr>
                <w:rFonts w:ascii="仿宋_GB2312" w:hAnsi="Times New Roman" w:cs="Times New Roman"/>
                <w:kern w:val="0"/>
                <w:sz w:val="24"/>
                <w:szCs w:val="24"/>
              </w:rPr>
            </w:pPr>
            <w:r>
              <w:rPr>
                <w:rFonts w:hint="eastAsia" w:ascii="仿宋_GB2312" w:hAnsi="Times New Roman" w:cs="Times New Roman"/>
                <w:kern w:val="0"/>
                <w:sz w:val="24"/>
                <w:szCs w:val="24"/>
              </w:rPr>
              <w:t>是否对公司所有业务模块展开分析</w:t>
            </w:r>
          </w:p>
        </w:tc>
      </w:tr>
      <w:tr w14:paraId="357E8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2547" w:type="dxa"/>
            <w:vAlign w:val="center"/>
          </w:tcPr>
          <w:p w14:paraId="1FDEF0DF">
            <w:pPr>
              <w:widowControl/>
              <w:adjustRightInd w:val="0"/>
              <w:snapToGrid w:val="0"/>
              <w:spacing w:line="264" w:lineRule="auto"/>
              <w:jc w:val="center"/>
              <w:rPr>
                <w:rFonts w:ascii="仿宋_GB2312" w:hAnsi="Times New Roman" w:cs="Times New Roman"/>
                <w:kern w:val="0"/>
                <w:sz w:val="24"/>
                <w:szCs w:val="24"/>
              </w:rPr>
            </w:pPr>
            <w:r>
              <w:rPr>
                <w:rFonts w:hint="eastAsia" w:ascii="仿宋_GB2312" w:hAnsi="Times New Roman" w:cs="Times New Roman"/>
                <w:kern w:val="0"/>
                <w:sz w:val="24"/>
                <w:szCs w:val="24"/>
              </w:rPr>
              <w:t>价值链覆盖范围</w:t>
            </w:r>
          </w:p>
        </w:tc>
        <w:tc>
          <w:tcPr>
            <w:tcW w:w="5749" w:type="dxa"/>
          </w:tcPr>
          <w:p w14:paraId="2AF7B867">
            <w:pPr>
              <w:widowControl/>
              <w:adjustRightInd w:val="0"/>
              <w:snapToGrid w:val="0"/>
              <w:spacing w:line="264" w:lineRule="auto"/>
              <w:rPr>
                <w:rFonts w:ascii="仿宋_GB2312" w:hAnsi="Times New Roman" w:cs="Times New Roman"/>
                <w:kern w:val="0"/>
                <w:sz w:val="24"/>
                <w:szCs w:val="24"/>
              </w:rPr>
            </w:pPr>
            <w:r>
              <w:rPr>
                <w:rFonts w:hint="eastAsia" w:ascii="仿宋_GB2312" w:hAnsi="Times New Roman" w:cs="Times New Roman"/>
                <w:kern w:val="0"/>
                <w:sz w:val="24"/>
                <w:szCs w:val="24"/>
              </w:rPr>
              <w:t>除公司核心运营模块外，是否覆盖价值链上下游</w:t>
            </w:r>
          </w:p>
        </w:tc>
      </w:tr>
      <w:tr w14:paraId="77BB4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trPr>
        <w:tc>
          <w:tcPr>
            <w:tcW w:w="2547" w:type="dxa"/>
            <w:vAlign w:val="center"/>
          </w:tcPr>
          <w:p w14:paraId="4A837172">
            <w:pPr>
              <w:widowControl/>
              <w:adjustRightInd w:val="0"/>
              <w:snapToGrid w:val="0"/>
              <w:spacing w:line="264" w:lineRule="auto"/>
              <w:jc w:val="center"/>
              <w:rPr>
                <w:rFonts w:ascii="仿宋_GB2312" w:hAnsi="Times New Roman" w:cs="Times New Roman"/>
                <w:kern w:val="0"/>
                <w:sz w:val="24"/>
                <w:szCs w:val="24"/>
              </w:rPr>
            </w:pPr>
            <w:r>
              <w:rPr>
                <w:rFonts w:hint="eastAsia" w:ascii="仿宋_GB2312" w:hAnsi="Times New Roman" w:cs="Times New Roman"/>
                <w:kern w:val="0"/>
                <w:sz w:val="24"/>
                <w:szCs w:val="24"/>
              </w:rPr>
              <w:t>地理位置覆盖范围</w:t>
            </w:r>
          </w:p>
        </w:tc>
        <w:tc>
          <w:tcPr>
            <w:tcW w:w="5749" w:type="dxa"/>
          </w:tcPr>
          <w:p w14:paraId="2DC35800">
            <w:pPr>
              <w:widowControl/>
              <w:adjustRightInd w:val="0"/>
              <w:snapToGrid w:val="0"/>
              <w:spacing w:line="264" w:lineRule="auto"/>
              <w:rPr>
                <w:rFonts w:ascii="仿宋_GB2312" w:hAnsi="Times New Roman" w:cs="Times New Roman"/>
                <w:kern w:val="0"/>
                <w:sz w:val="24"/>
                <w:szCs w:val="24"/>
              </w:rPr>
            </w:pPr>
            <w:r>
              <w:rPr>
                <w:rFonts w:hint="eastAsia" w:ascii="仿宋_GB2312" w:hAnsi="Times New Roman" w:cs="Times New Roman"/>
                <w:kern w:val="0"/>
                <w:sz w:val="24"/>
                <w:szCs w:val="24"/>
              </w:rPr>
              <w:t>是否对分布在全球各个区域的业务模块展开分析</w:t>
            </w:r>
          </w:p>
        </w:tc>
      </w:tr>
      <w:tr w14:paraId="6DD50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72D4EB71">
            <w:pPr>
              <w:widowControl/>
              <w:adjustRightInd w:val="0"/>
              <w:snapToGrid w:val="0"/>
              <w:spacing w:line="264" w:lineRule="auto"/>
              <w:jc w:val="center"/>
              <w:rPr>
                <w:rFonts w:ascii="仿宋_GB2312" w:hAnsi="Times New Roman" w:cs="Times New Roman"/>
                <w:kern w:val="0"/>
                <w:sz w:val="24"/>
                <w:szCs w:val="24"/>
              </w:rPr>
            </w:pPr>
            <w:r>
              <w:rPr>
                <w:rFonts w:hint="eastAsia" w:ascii="仿宋_GB2312" w:hAnsi="Times New Roman" w:cs="Times New Roman"/>
                <w:kern w:val="0"/>
                <w:sz w:val="24"/>
                <w:szCs w:val="24"/>
              </w:rPr>
              <w:t>风险范围</w:t>
            </w:r>
          </w:p>
        </w:tc>
        <w:tc>
          <w:tcPr>
            <w:tcW w:w="5749" w:type="dxa"/>
          </w:tcPr>
          <w:p w14:paraId="16F85734">
            <w:pPr>
              <w:widowControl/>
              <w:adjustRightInd w:val="0"/>
              <w:snapToGrid w:val="0"/>
              <w:spacing w:line="264" w:lineRule="auto"/>
              <w:rPr>
                <w:rFonts w:ascii="仿宋_GB2312" w:hAnsi="Times New Roman" w:cs="Times New Roman"/>
                <w:kern w:val="0"/>
                <w:sz w:val="24"/>
                <w:szCs w:val="24"/>
              </w:rPr>
            </w:pPr>
            <w:r>
              <w:rPr>
                <w:rFonts w:hint="eastAsia" w:ascii="仿宋_GB2312" w:hAnsi="Times New Roman" w:cs="Times New Roman"/>
                <w:kern w:val="0"/>
                <w:sz w:val="24"/>
                <w:szCs w:val="24"/>
              </w:rPr>
              <w:t>依据公司重大风险识别，确认需开展气候相关情景分析的风险类型，是否需要开展转型风险和物理风险的分析</w:t>
            </w:r>
          </w:p>
        </w:tc>
      </w:tr>
      <w:tr w14:paraId="2E65E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2547" w:type="dxa"/>
            <w:vAlign w:val="center"/>
          </w:tcPr>
          <w:p w14:paraId="553B75BA">
            <w:pPr>
              <w:widowControl/>
              <w:adjustRightInd w:val="0"/>
              <w:snapToGrid w:val="0"/>
              <w:spacing w:line="264" w:lineRule="auto"/>
              <w:jc w:val="center"/>
              <w:rPr>
                <w:rFonts w:ascii="仿宋_GB2312" w:hAnsi="Times New Roman" w:cs="Times New Roman"/>
                <w:kern w:val="0"/>
                <w:sz w:val="24"/>
                <w:szCs w:val="24"/>
              </w:rPr>
            </w:pPr>
            <w:r>
              <w:rPr>
                <w:rFonts w:hint="eastAsia" w:ascii="仿宋_GB2312" w:hAnsi="Times New Roman" w:cs="Times New Roman"/>
                <w:kern w:val="0"/>
                <w:sz w:val="24"/>
                <w:szCs w:val="24"/>
              </w:rPr>
              <w:t>时间范围</w:t>
            </w:r>
          </w:p>
        </w:tc>
        <w:tc>
          <w:tcPr>
            <w:tcW w:w="5749" w:type="dxa"/>
          </w:tcPr>
          <w:p w14:paraId="72DB7589">
            <w:pPr>
              <w:widowControl/>
              <w:adjustRightInd w:val="0"/>
              <w:snapToGrid w:val="0"/>
              <w:spacing w:line="264" w:lineRule="auto"/>
              <w:rPr>
                <w:rFonts w:ascii="仿宋_GB2312" w:hAnsi="Times New Roman" w:cs="Times New Roman"/>
                <w:kern w:val="0"/>
                <w:sz w:val="24"/>
                <w:szCs w:val="24"/>
              </w:rPr>
            </w:pPr>
            <w:r>
              <w:rPr>
                <w:rFonts w:hint="eastAsia" w:ascii="仿宋_GB2312" w:hAnsi="Times New Roman" w:cs="Times New Roman"/>
                <w:kern w:val="0"/>
                <w:sz w:val="24"/>
                <w:szCs w:val="24"/>
              </w:rPr>
              <w:t>根据公司战略、资本规划和投资期限，以及主要资产的使用年限，设定情景时间范围</w:t>
            </w:r>
          </w:p>
        </w:tc>
      </w:tr>
    </w:tbl>
    <w:p w14:paraId="25A9E424">
      <w:pPr>
        <w:tabs>
          <w:tab w:val="left" w:pos="660"/>
        </w:tabs>
        <w:spacing w:before="156" w:beforeLines="50" w:line="560" w:lineRule="exact"/>
        <w:rPr>
          <w:rFonts w:ascii="仿宋_GB2312" w:hAnsi="Times New Roman" w:cs="Times New Roman"/>
          <w:b/>
          <w:bCs/>
          <w:szCs w:val="30"/>
        </w:rPr>
      </w:pPr>
      <w:r>
        <w:rPr>
          <w:rFonts w:ascii="仿宋_GB2312" w:hAnsi="Times New Roman" w:cs="Times New Roman"/>
          <w:szCs w:val="30"/>
        </w:rPr>
        <w:tab/>
      </w:r>
      <w:r>
        <w:rPr>
          <w:rFonts w:hint="eastAsia" w:ascii="仿宋_GB2312" w:hAnsi="Times New Roman" w:cs="Times New Roman"/>
          <w:b/>
          <w:bCs/>
          <w:szCs w:val="30"/>
        </w:rPr>
        <w:t>步骤二：选择气候相关情景</w:t>
      </w:r>
    </w:p>
    <w:p w14:paraId="685A4CC3">
      <w:pPr>
        <w:widowControl/>
        <w:adjustRightInd w:val="0"/>
        <w:snapToGrid w:val="0"/>
        <w:spacing w:line="560" w:lineRule="exact"/>
        <w:ind w:firstLine="600" w:firstLineChars="200"/>
        <w:rPr>
          <w:rFonts w:ascii="仿宋_GB2312" w:hAnsi="Times New Roman" w:cs="Times New Roman"/>
          <w:szCs w:val="30"/>
        </w:rPr>
      </w:pPr>
      <w:r>
        <w:rPr>
          <w:rFonts w:hint="eastAsia" w:ascii="仿宋_GB2312" w:hAnsi="Times New Roman" w:cs="Times New Roman"/>
          <w:szCs w:val="30"/>
        </w:rPr>
        <w:t>目前市场中已有多种公开气候情景来源可供选择。在选择情景来源时，披露主体需要先了解情景来源的特征、背后的假设、内置参数与公司的适配性等，根据所在行业、待评估风险类型、地理覆盖范围以及时间范围等实际情况，选择最适合的情景来源。</w:t>
      </w:r>
    </w:p>
    <w:p w14:paraId="727703BD">
      <w:pPr>
        <w:widowControl/>
        <w:adjustRightInd w:val="0"/>
        <w:snapToGrid w:val="0"/>
        <w:spacing w:line="560" w:lineRule="exact"/>
        <w:jc w:val="center"/>
        <w:rPr>
          <w:rFonts w:ascii="Times New Roman" w:hAnsi="Times New Roman" w:eastAsia="黑体" w:cs="Times New Roman"/>
          <w:kern w:val="0"/>
          <w:sz w:val="24"/>
          <w:szCs w:val="24"/>
        </w:rPr>
      </w:pPr>
      <w:r>
        <w:rPr>
          <w:rFonts w:hint="eastAsia" w:ascii="Times New Roman" w:hAnsi="Times New Roman" w:eastAsia="黑体" w:cs="Times New Roman"/>
          <w:kern w:val="0"/>
          <w:sz w:val="24"/>
          <w:szCs w:val="24"/>
        </w:rPr>
        <w:t>表</w:t>
      </w:r>
      <w:r>
        <w:rPr>
          <w:rFonts w:ascii="Times New Roman" w:hAnsi="Times New Roman" w:eastAsia="黑体" w:cs="Times New Roman"/>
          <w:kern w:val="0"/>
          <w:sz w:val="24"/>
          <w:szCs w:val="24"/>
        </w:rPr>
        <w:t>7</w:t>
      </w:r>
      <w:r>
        <w:rPr>
          <w:rFonts w:hint="eastAsia" w:ascii="Times New Roman" w:hAnsi="Times New Roman" w:eastAsia="黑体" w:cs="Times New Roman"/>
          <w:kern w:val="0"/>
          <w:sz w:val="24"/>
          <w:szCs w:val="24"/>
        </w:rPr>
        <w:t>：选择情景来源时的主要考虑因素</w:t>
      </w:r>
    </w:p>
    <w:tbl>
      <w:tblPr>
        <w:tblStyle w:val="8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47"/>
        <w:gridCol w:w="5749"/>
      </w:tblGrid>
      <w:tr w14:paraId="00EB3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37387B45">
            <w:pPr>
              <w:widowControl/>
              <w:adjustRightInd w:val="0"/>
              <w:snapToGrid w:val="0"/>
              <w:jc w:val="center"/>
              <w:rPr>
                <w:rFonts w:ascii="仿宋_GB2312" w:hAnsi="Times New Roman" w:cs="Times New Roman"/>
                <w:b/>
                <w:bCs/>
                <w:kern w:val="0"/>
                <w:sz w:val="24"/>
                <w:szCs w:val="24"/>
              </w:rPr>
            </w:pPr>
            <w:r>
              <w:rPr>
                <w:rFonts w:hint="eastAsia" w:ascii="仿宋_GB2312" w:hAnsi="Times New Roman" w:cs="Times New Roman"/>
                <w:b/>
                <w:bCs/>
                <w:kern w:val="0"/>
                <w:sz w:val="24"/>
                <w:szCs w:val="24"/>
              </w:rPr>
              <w:t>因素</w:t>
            </w:r>
          </w:p>
        </w:tc>
        <w:tc>
          <w:tcPr>
            <w:tcW w:w="5749" w:type="dxa"/>
            <w:vAlign w:val="center"/>
          </w:tcPr>
          <w:p w14:paraId="3FE4254E">
            <w:pPr>
              <w:widowControl/>
              <w:adjustRightInd w:val="0"/>
              <w:snapToGrid w:val="0"/>
              <w:jc w:val="center"/>
              <w:rPr>
                <w:rFonts w:ascii="仿宋_GB2312" w:hAnsi="Times New Roman" w:cs="Times New Roman"/>
                <w:b/>
                <w:bCs/>
                <w:kern w:val="0"/>
                <w:sz w:val="24"/>
                <w:szCs w:val="24"/>
              </w:rPr>
            </w:pPr>
            <w:r>
              <w:rPr>
                <w:rFonts w:hint="eastAsia" w:ascii="仿宋_GB2312" w:hAnsi="Times New Roman" w:cs="Times New Roman"/>
                <w:b/>
                <w:bCs/>
                <w:kern w:val="0"/>
                <w:sz w:val="24"/>
                <w:szCs w:val="24"/>
              </w:rPr>
              <w:t>描述</w:t>
            </w:r>
          </w:p>
        </w:tc>
      </w:tr>
      <w:tr w14:paraId="0993C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2547" w:type="dxa"/>
            <w:vAlign w:val="center"/>
          </w:tcPr>
          <w:p w14:paraId="0F3BCD2F">
            <w:pPr>
              <w:widowControl/>
              <w:adjustRightInd w:val="0"/>
              <w:snapToGrid w:val="0"/>
              <w:jc w:val="center"/>
              <w:rPr>
                <w:rFonts w:ascii="仿宋_GB2312" w:hAnsi="Times New Roman" w:cs="Times New Roman"/>
                <w:kern w:val="0"/>
                <w:sz w:val="24"/>
                <w:szCs w:val="24"/>
              </w:rPr>
            </w:pPr>
            <w:r>
              <w:rPr>
                <w:rFonts w:hint="eastAsia" w:ascii="仿宋_GB2312" w:hAnsi="Times New Roman" w:cs="Times New Roman"/>
                <w:kern w:val="0"/>
                <w:sz w:val="24"/>
                <w:szCs w:val="24"/>
              </w:rPr>
              <w:t>所属行业</w:t>
            </w:r>
          </w:p>
        </w:tc>
        <w:tc>
          <w:tcPr>
            <w:tcW w:w="5749" w:type="dxa"/>
            <w:vAlign w:val="center"/>
          </w:tcPr>
          <w:p w14:paraId="09D92C58">
            <w:pPr>
              <w:widowControl/>
              <w:adjustRightInd w:val="0"/>
              <w:snapToGrid w:val="0"/>
              <w:rPr>
                <w:rFonts w:ascii="仿宋_GB2312" w:hAnsi="Times New Roman" w:cs="Times New Roman"/>
                <w:kern w:val="0"/>
                <w:sz w:val="24"/>
                <w:szCs w:val="24"/>
              </w:rPr>
            </w:pPr>
            <w:r>
              <w:rPr>
                <w:rFonts w:hint="eastAsia" w:ascii="仿宋_GB2312" w:hAnsi="Times New Roman" w:cs="Times New Roman"/>
                <w:kern w:val="0"/>
                <w:sz w:val="24"/>
                <w:szCs w:val="24"/>
              </w:rPr>
              <w:t>不同行业特点显著，特定情景来源更适合特定行业的特征和需要。例如，能源行业企业可以参考相关行业组织或其他专注于转型风险的能源情景来源。</w:t>
            </w:r>
          </w:p>
        </w:tc>
      </w:tr>
      <w:tr w14:paraId="16C1D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2" w:hRule="atLeast"/>
        </w:trPr>
        <w:tc>
          <w:tcPr>
            <w:tcW w:w="2547" w:type="dxa"/>
            <w:vAlign w:val="center"/>
          </w:tcPr>
          <w:p w14:paraId="0E5D4835">
            <w:pPr>
              <w:widowControl/>
              <w:adjustRightInd w:val="0"/>
              <w:snapToGrid w:val="0"/>
              <w:jc w:val="center"/>
              <w:rPr>
                <w:rFonts w:ascii="仿宋_GB2312" w:hAnsi="Times New Roman" w:cs="Times New Roman"/>
                <w:kern w:val="0"/>
                <w:sz w:val="24"/>
                <w:szCs w:val="24"/>
              </w:rPr>
            </w:pPr>
            <w:r>
              <w:rPr>
                <w:rFonts w:hint="eastAsia" w:ascii="仿宋_GB2312" w:hAnsi="Times New Roman" w:cs="Times New Roman"/>
                <w:kern w:val="0"/>
                <w:sz w:val="24"/>
                <w:szCs w:val="24"/>
              </w:rPr>
              <w:t>待评估风险类型</w:t>
            </w:r>
          </w:p>
        </w:tc>
        <w:tc>
          <w:tcPr>
            <w:tcW w:w="5749" w:type="dxa"/>
            <w:vAlign w:val="center"/>
          </w:tcPr>
          <w:p w14:paraId="34D3BBA7">
            <w:pPr>
              <w:widowControl/>
              <w:adjustRightInd w:val="0"/>
              <w:snapToGrid w:val="0"/>
              <w:rPr>
                <w:rFonts w:ascii="仿宋_GB2312" w:hAnsi="Times New Roman" w:cs="Times New Roman"/>
                <w:kern w:val="0"/>
                <w:sz w:val="24"/>
                <w:szCs w:val="24"/>
              </w:rPr>
            </w:pPr>
            <w:r>
              <w:rPr>
                <w:rFonts w:hint="eastAsia" w:ascii="仿宋_GB2312" w:hAnsi="Times New Roman" w:cs="Times New Roman"/>
                <w:kern w:val="0"/>
                <w:sz w:val="24"/>
                <w:szCs w:val="24"/>
              </w:rPr>
              <w:t>不同的情景来源专注于不同的气候相关风险。公司可以根据所评估的风险类型选择情景来源。例如，分析气候相关物理风险的公司可选择专注于物理科学影响的情景来源。</w:t>
            </w:r>
          </w:p>
        </w:tc>
      </w:tr>
      <w:tr w14:paraId="6E27D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trPr>
        <w:tc>
          <w:tcPr>
            <w:tcW w:w="2547" w:type="dxa"/>
            <w:vAlign w:val="center"/>
          </w:tcPr>
          <w:p w14:paraId="4F46CABC">
            <w:pPr>
              <w:widowControl/>
              <w:adjustRightInd w:val="0"/>
              <w:snapToGrid w:val="0"/>
              <w:jc w:val="center"/>
              <w:rPr>
                <w:rFonts w:ascii="仿宋_GB2312" w:hAnsi="Times New Roman" w:cs="Times New Roman"/>
                <w:kern w:val="0"/>
                <w:sz w:val="24"/>
                <w:szCs w:val="24"/>
              </w:rPr>
            </w:pPr>
            <w:r>
              <w:rPr>
                <w:rFonts w:hint="eastAsia" w:ascii="仿宋_GB2312" w:hAnsi="Times New Roman" w:cs="Times New Roman"/>
                <w:kern w:val="0"/>
                <w:sz w:val="24"/>
                <w:szCs w:val="24"/>
              </w:rPr>
              <w:t>业务运营所在地</w:t>
            </w:r>
          </w:p>
        </w:tc>
        <w:tc>
          <w:tcPr>
            <w:tcW w:w="5749" w:type="dxa"/>
            <w:vAlign w:val="center"/>
          </w:tcPr>
          <w:p w14:paraId="20363AB3">
            <w:pPr>
              <w:widowControl/>
              <w:adjustRightInd w:val="0"/>
              <w:snapToGrid w:val="0"/>
              <w:rPr>
                <w:rFonts w:ascii="仿宋_GB2312" w:hAnsi="Times New Roman" w:cs="Times New Roman"/>
                <w:kern w:val="0"/>
                <w:sz w:val="24"/>
                <w:szCs w:val="24"/>
              </w:rPr>
            </w:pPr>
            <w:r>
              <w:rPr>
                <w:rFonts w:hint="eastAsia" w:ascii="仿宋_GB2312" w:hAnsi="Times New Roman" w:cs="Times New Roman"/>
                <w:kern w:val="0"/>
                <w:sz w:val="24"/>
                <w:szCs w:val="24"/>
              </w:rPr>
              <w:t>公司可以选择在其业务所在地覆盖最全面的全球或地区气候情景来源。</w:t>
            </w:r>
          </w:p>
        </w:tc>
      </w:tr>
      <w:tr w14:paraId="0A82E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7" w:hRule="atLeast"/>
        </w:trPr>
        <w:tc>
          <w:tcPr>
            <w:tcW w:w="2547" w:type="dxa"/>
            <w:vAlign w:val="center"/>
          </w:tcPr>
          <w:p w14:paraId="52347CE7">
            <w:pPr>
              <w:widowControl/>
              <w:adjustRightInd w:val="0"/>
              <w:snapToGrid w:val="0"/>
              <w:jc w:val="center"/>
              <w:rPr>
                <w:rFonts w:ascii="仿宋_GB2312" w:hAnsi="Times New Roman" w:cs="Times New Roman"/>
                <w:kern w:val="0"/>
                <w:sz w:val="24"/>
                <w:szCs w:val="24"/>
              </w:rPr>
            </w:pPr>
            <w:r>
              <w:rPr>
                <w:rFonts w:hint="eastAsia" w:ascii="仿宋_GB2312" w:hAnsi="Times New Roman" w:cs="Times New Roman"/>
                <w:kern w:val="0"/>
                <w:sz w:val="24"/>
                <w:szCs w:val="24"/>
              </w:rPr>
              <w:t>确定的时间范围</w:t>
            </w:r>
          </w:p>
        </w:tc>
        <w:tc>
          <w:tcPr>
            <w:tcW w:w="5749" w:type="dxa"/>
            <w:vAlign w:val="center"/>
          </w:tcPr>
          <w:p w14:paraId="1D86DE48">
            <w:pPr>
              <w:widowControl/>
              <w:adjustRightInd w:val="0"/>
              <w:snapToGrid w:val="0"/>
              <w:rPr>
                <w:rFonts w:ascii="仿宋_GB2312" w:hAnsi="Times New Roman" w:cs="Times New Roman"/>
                <w:kern w:val="0"/>
                <w:sz w:val="24"/>
                <w:szCs w:val="24"/>
              </w:rPr>
            </w:pPr>
            <w:r>
              <w:rPr>
                <w:rFonts w:hint="eastAsia" w:ascii="仿宋_GB2312" w:hAnsi="Times New Roman" w:cs="Times New Roman"/>
                <w:kern w:val="0"/>
                <w:sz w:val="24"/>
                <w:szCs w:val="24"/>
              </w:rPr>
              <w:t>综合考虑公司的资本规划、投资期限以及资产使用年限，以及所在地政策规划（如我国提出的力争2030年前实现碳达峰，2060年前实现碳中和目标）等，公司可以选择与时间范围匹配的情景来源</w:t>
            </w:r>
            <w:r>
              <w:rPr>
                <w:rFonts w:ascii="Times New Roman" w:hAnsi="Times New Roman" w:cs="Times New Roman"/>
                <w:kern w:val="0"/>
                <w:sz w:val="24"/>
                <w:szCs w:val="24"/>
              </w:rPr>
              <w:t>。</w:t>
            </w:r>
          </w:p>
        </w:tc>
      </w:tr>
    </w:tbl>
    <w:p w14:paraId="367DE31D">
      <w:pPr>
        <w:widowControl/>
        <w:adjustRightInd w:val="0"/>
        <w:snapToGrid w:val="0"/>
        <w:spacing w:before="156" w:beforeLines="50" w:line="560" w:lineRule="exact"/>
        <w:ind w:firstLine="600" w:firstLineChars="200"/>
        <w:rPr>
          <w:rFonts w:ascii="Times New Roman" w:hAnsi="Times New Roman" w:cs="Times New Roman"/>
          <w:szCs w:val="30"/>
        </w:rPr>
      </w:pPr>
      <w:r>
        <w:rPr>
          <w:rFonts w:hint="eastAsia" w:ascii="Times New Roman" w:hAnsi="Times New Roman" w:cs="Times New Roman"/>
          <w:szCs w:val="30"/>
        </w:rPr>
        <w:t>典型的气候相关情景是基于目标温度变化以及一系列能源、政策和技术等假设。因此，</w:t>
      </w:r>
      <w:r>
        <w:rPr>
          <w:rFonts w:ascii="Times New Roman" w:hAnsi="Times New Roman" w:cs="Times New Roman"/>
          <w:szCs w:val="30"/>
        </w:rPr>
        <w:t>在确定情景来源后需要选择情景分析所基于的温升幅度。公司可以选择高对比性的情景，例如</w:t>
      </w:r>
      <w:r>
        <w:rPr>
          <w:rFonts w:hint="eastAsia" w:ascii="Times New Roman" w:hAnsi="Times New Roman" w:cs="Times New Roman"/>
          <w:szCs w:val="30"/>
        </w:rPr>
        <w:t>温升</w:t>
      </w:r>
      <w:r>
        <w:rPr>
          <w:rFonts w:ascii="Times New Roman" w:hAnsi="Times New Roman" w:cs="Times New Roman"/>
          <w:szCs w:val="30"/>
        </w:rPr>
        <w:t>1.5</w:t>
      </w:r>
      <w:r>
        <w:rPr>
          <w:rFonts w:hint="eastAsia" w:ascii="Times New Roman" w:hAnsi="Times New Roman" w:cs="Times New Roman"/>
          <w:szCs w:val="30"/>
        </w:rPr>
        <w:t>摄氏度的情景，以及温升</w:t>
      </w:r>
      <w:r>
        <w:rPr>
          <w:rFonts w:ascii="Times New Roman" w:hAnsi="Times New Roman" w:cs="Times New Roman"/>
          <w:szCs w:val="30"/>
        </w:rPr>
        <w:t>3摄氏度或以上的情景，以展示更多不同路径及结果</w:t>
      </w:r>
      <w:r>
        <w:rPr>
          <w:rFonts w:hint="eastAsia" w:ascii="Times New Roman" w:hAnsi="Times New Roman" w:cs="Times New Roman"/>
          <w:szCs w:val="30"/>
        </w:rPr>
        <w:t>、</w:t>
      </w:r>
      <w:r>
        <w:rPr>
          <w:rFonts w:hint="eastAsia" w:ascii="仿宋_GB2312" w:hAnsi="Times New Roman" w:cs="Times New Roman"/>
          <w:szCs w:val="30"/>
        </w:rPr>
        <w:t>分析不同状况下气候相关风险和机遇的潜在影响</w:t>
      </w:r>
      <w:r>
        <w:rPr>
          <w:rFonts w:ascii="Times New Roman" w:hAnsi="Times New Roman" w:cs="Times New Roman"/>
          <w:szCs w:val="30"/>
        </w:rPr>
        <w:t>。例如，</w:t>
      </w:r>
      <w:r>
        <w:rPr>
          <w:rFonts w:hint="eastAsia" w:ascii="Times New Roman" w:hAnsi="Times New Roman" w:cs="Times New Roman"/>
          <w:szCs w:val="30"/>
        </w:rPr>
        <w:t>温升</w:t>
      </w:r>
      <w:r>
        <w:rPr>
          <w:rFonts w:ascii="Times New Roman" w:hAnsi="Times New Roman" w:cs="Times New Roman"/>
          <w:szCs w:val="30"/>
        </w:rPr>
        <w:t>1.5摄氏度的情景符合《巴黎协定》</w:t>
      </w:r>
      <w:r>
        <w:rPr>
          <w:rFonts w:hint="eastAsia" w:ascii="Times New Roman" w:hAnsi="Times New Roman" w:cs="Times New Roman"/>
          <w:szCs w:val="30"/>
        </w:rPr>
        <w:t>约定</w:t>
      </w:r>
      <w:r>
        <w:rPr>
          <w:rFonts w:ascii="Times New Roman" w:hAnsi="Times New Roman" w:cs="Times New Roman"/>
          <w:szCs w:val="30"/>
        </w:rPr>
        <w:t>，即于</w:t>
      </w:r>
      <w:r>
        <w:rPr>
          <w:rFonts w:hint="eastAsia" w:ascii="Times New Roman" w:hAnsi="Times New Roman" w:cs="Times New Roman"/>
          <w:szCs w:val="30"/>
        </w:rPr>
        <w:t>本世纪末</w:t>
      </w:r>
      <w:r>
        <w:rPr>
          <w:rFonts w:ascii="Times New Roman" w:hAnsi="Times New Roman" w:cs="Times New Roman"/>
          <w:szCs w:val="30"/>
        </w:rPr>
        <w:t>将全球平均气温上升幅度限制在1.5摄氏度以内</w:t>
      </w:r>
      <w:r>
        <w:rPr>
          <w:rFonts w:hint="eastAsia" w:ascii="Times New Roman" w:hAnsi="Times New Roman" w:cs="Times New Roman"/>
          <w:szCs w:val="30"/>
        </w:rPr>
        <w:t>的目标</w:t>
      </w:r>
      <w:r>
        <w:rPr>
          <w:rFonts w:ascii="Times New Roman" w:hAnsi="Times New Roman" w:cs="Times New Roman"/>
          <w:szCs w:val="30"/>
        </w:rPr>
        <w:t>。</w:t>
      </w:r>
    </w:p>
    <w:p w14:paraId="39E09793">
      <w:pPr>
        <w:widowControl/>
        <w:adjustRightInd w:val="0"/>
        <w:snapToGrid w:val="0"/>
        <w:spacing w:line="560" w:lineRule="exact"/>
        <w:ind w:firstLine="602" w:firstLineChars="200"/>
        <w:outlineLvl w:val="2"/>
        <w:rPr>
          <w:rFonts w:ascii="仿宋_GB2312" w:hAnsi="Times New Roman" w:cs="Times New Roman"/>
          <w:b/>
          <w:bCs/>
          <w:szCs w:val="30"/>
        </w:rPr>
      </w:pPr>
      <w:bookmarkStart w:id="153" w:name="_Toc181612786"/>
      <w:bookmarkStart w:id="154" w:name="_Toc6828"/>
      <w:bookmarkStart w:id="155" w:name="_Toc7544"/>
      <w:bookmarkStart w:id="156" w:name="_Toc2399"/>
      <w:bookmarkStart w:id="157" w:name="_Toc11623"/>
      <w:bookmarkStart w:id="158" w:name="_Toc187328673"/>
      <w:bookmarkStart w:id="159" w:name="_Toc181613097"/>
      <w:r>
        <w:rPr>
          <w:rFonts w:hint="eastAsia" w:ascii="仿宋_GB2312" w:hAnsi="Times New Roman" w:cs="Times New Roman"/>
          <w:b/>
          <w:bCs/>
          <w:szCs w:val="30"/>
        </w:rPr>
        <w:t>步骤三：确定用于情景分析的变量</w:t>
      </w:r>
      <w:bookmarkEnd w:id="153"/>
      <w:bookmarkEnd w:id="154"/>
      <w:bookmarkEnd w:id="155"/>
      <w:bookmarkEnd w:id="156"/>
      <w:bookmarkEnd w:id="157"/>
      <w:bookmarkEnd w:id="158"/>
      <w:bookmarkEnd w:id="159"/>
    </w:p>
    <w:p w14:paraId="40498B65">
      <w:pPr>
        <w:widowControl/>
        <w:adjustRightInd w:val="0"/>
        <w:snapToGrid w:val="0"/>
        <w:spacing w:line="560" w:lineRule="exact"/>
        <w:ind w:firstLine="600" w:firstLineChars="200"/>
        <w:rPr>
          <w:rFonts w:ascii="仿宋_GB2312" w:hAnsi="Times New Roman" w:cs="Times New Roman"/>
          <w:szCs w:val="30"/>
        </w:rPr>
      </w:pPr>
      <w:r>
        <w:rPr>
          <w:rFonts w:hint="eastAsia" w:ascii="仿宋_GB2312" w:hAnsi="Times New Roman" w:cs="Times New Roman"/>
          <w:szCs w:val="30"/>
        </w:rPr>
        <w:t>披露主体需要了解所在行业性质以及气候相关的相关风险和机遇，以便优先考虑对其情景分析影响最大的变量。不同的公司，即使是同一类风险，对其影响最大的变量也可能会有所不同。</w:t>
      </w:r>
    </w:p>
    <w:p w14:paraId="695A07BD">
      <w:pPr>
        <w:widowControl/>
        <w:adjustRightInd w:val="0"/>
        <w:snapToGrid w:val="0"/>
        <w:spacing w:after="156" w:afterLines="50" w:line="560" w:lineRule="exact"/>
        <w:ind w:firstLine="600" w:firstLineChars="200"/>
        <w:rPr>
          <w:rFonts w:ascii="仿宋_GB2312" w:hAnsi="Times New Roman" w:cs="Times New Roman"/>
          <w:szCs w:val="30"/>
        </w:rPr>
      </w:pPr>
      <w:r>
        <w:rPr>
          <w:rFonts w:hint="eastAsia" w:ascii="仿宋_GB2312" w:hAnsi="Times New Roman" w:cs="Times New Roman"/>
          <w:szCs w:val="30"/>
        </w:rPr>
        <w:t>例如，建筑企业、数据中心运营商可能均将平均气温上升视为重大气候相关风险，但其用于评估该风险影响的变量可能有所不同。建筑企业因为气温上升预计会导致户外工作时长下降，从而产生财务影响，可能选择与员工生产率相关的变量；数据中心运营商因为气温上升导致冷气使用量增加，从而增加营运成本，可能将电价作为相关变量。</w:t>
      </w:r>
    </w:p>
    <w:p w14:paraId="388B7C31">
      <w:pPr>
        <w:widowControl/>
        <w:adjustRightInd w:val="0"/>
        <w:snapToGrid w:val="0"/>
        <w:spacing w:line="560" w:lineRule="exact"/>
        <w:jc w:val="center"/>
        <w:rPr>
          <w:rFonts w:ascii="Times New Roman" w:hAnsi="Times New Roman" w:eastAsia="黑体" w:cs="Times New Roman"/>
          <w:kern w:val="0"/>
          <w:sz w:val="24"/>
          <w:szCs w:val="24"/>
          <w:lang w:bidi="ar"/>
        </w:rPr>
      </w:pPr>
      <w:r>
        <w:rPr>
          <w:rFonts w:hint="eastAsia" w:ascii="Times New Roman" w:hAnsi="Times New Roman" w:eastAsia="黑体" w:cs="Times New Roman"/>
          <w:kern w:val="0"/>
          <w:sz w:val="24"/>
          <w:szCs w:val="24"/>
          <w:lang w:bidi="ar"/>
        </w:rPr>
        <w:t>表</w:t>
      </w:r>
      <w:r>
        <w:rPr>
          <w:rFonts w:ascii="Times New Roman" w:hAnsi="Times New Roman" w:eastAsia="黑体" w:cs="Times New Roman"/>
          <w:kern w:val="0"/>
          <w:sz w:val="24"/>
          <w:szCs w:val="24"/>
          <w:lang w:bidi="ar"/>
        </w:rPr>
        <w:t>8</w:t>
      </w:r>
      <w:r>
        <w:rPr>
          <w:rFonts w:hint="eastAsia" w:ascii="Times New Roman" w:hAnsi="Times New Roman" w:eastAsia="黑体" w:cs="Times New Roman"/>
          <w:kern w:val="0"/>
          <w:sz w:val="24"/>
          <w:szCs w:val="24"/>
          <w:lang w:bidi="ar"/>
        </w:rPr>
        <w:t>：常见气候相关风险的变量</w:t>
      </w:r>
    </w:p>
    <w:tbl>
      <w:tblPr>
        <w:tblStyle w:val="8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47"/>
        <w:gridCol w:w="2693"/>
        <w:gridCol w:w="2693"/>
      </w:tblGrid>
      <w:tr w14:paraId="25E00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547" w:type="dxa"/>
          </w:tcPr>
          <w:p w14:paraId="7803C5AC">
            <w:pPr>
              <w:widowControl/>
              <w:adjustRightInd w:val="0"/>
              <w:snapToGrid w:val="0"/>
              <w:jc w:val="center"/>
              <w:rPr>
                <w:rFonts w:ascii="仿宋_GB2312" w:hAnsi="Times New Roman" w:cs="Times New Roman"/>
                <w:kern w:val="0"/>
                <w:sz w:val="24"/>
                <w:szCs w:val="24"/>
              </w:rPr>
            </w:pPr>
            <w:r>
              <w:rPr>
                <w:rFonts w:hint="eastAsia" w:ascii="仿宋_GB2312" w:hAnsi="Times New Roman" w:cs="Times New Roman"/>
                <w:b/>
                <w:bCs/>
                <w:kern w:val="0"/>
                <w:sz w:val="24"/>
                <w:szCs w:val="24"/>
              </w:rPr>
              <w:t>风险类型</w:t>
            </w:r>
          </w:p>
        </w:tc>
        <w:tc>
          <w:tcPr>
            <w:tcW w:w="2693" w:type="dxa"/>
          </w:tcPr>
          <w:p w14:paraId="59F62473">
            <w:pPr>
              <w:widowControl/>
              <w:adjustRightInd w:val="0"/>
              <w:snapToGrid w:val="0"/>
              <w:rPr>
                <w:rFonts w:ascii="仿宋_GB2312" w:hAnsi="Times New Roman" w:cs="Times New Roman"/>
                <w:kern w:val="0"/>
                <w:sz w:val="24"/>
                <w:szCs w:val="24"/>
              </w:rPr>
            </w:pPr>
            <w:r>
              <w:rPr>
                <w:rFonts w:hint="eastAsia" w:ascii="仿宋_GB2312" w:hAnsi="Times New Roman" w:cs="Times New Roman"/>
                <w:b/>
                <w:bCs/>
                <w:kern w:val="0"/>
                <w:sz w:val="24"/>
                <w:szCs w:val="24"/>
              </w:rPr>
              <w:t>风险的影响</w:t>
            </w:r>
          </w:p>
        </w:tc>
        <w:tc>
          <w:tcPr>
            <w:tcW w:w="2693" w:type="dxa"/>
          </w:tcPr>
          <w:p w14:paraId="634E1E6C">
            <w:pPr>
              <w:widowControl/>
              <w:adjustRightInd w:val="0"/>
              <w:snapToGrid w:val="0"/>
              <w:rPr>
                <w:rFonts w:ascii="仿宋_GB2312" w:hAnsi="Times New Roman" w:cs="Times New Roman"/>
                <w:kern w:val="0"/>
                <w:sz w:val="24"/>
                <w:szCs w:val="24"/>
              </w:rPr>
            </w:pPr>
            <w:r>
              <w:rPr>
                <w:rFonts w:hint="eastAsia" w:ascii="仿宋_GB2312" w:hAnsi="Times New Roman" w:cs="Times New Roman"/>
                <w:b/>
                <w:bCs/>
                <w:kern w:val="0"/>
                <w:sz w:val="24"/>
                <w:szCs w:val="24"/>
              </w:rPr>
              <w:t>变量举例</w:t>
            </w:r>
          </w:p>
        </w:tc>
      </w:tr>
      <w:tr w14:paraId="62D1E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7933" w:type="dxa"/>
            <w:gridSpan w:val="3"/>
            <w:vAlign w:val="center"/>
          </w:tcPr>
          <w:p w14:paraId="208D3C80">
            <w:pPr>
              <w:widowControl/>
              <w:adjustRightInd w:val="0"/>
              <w:snapToGrid w:val="0"/>
              <w:jc w:val="left"/>
              <w:rPr>
                <w:rFonts w:ascii="黑体" w:hAnsi="黑体" w:eastAsia="黑体" w:cs="Times New Roman"/>
                <w:kern w:val="0"/>
                <w:sz w:val="24"/>
                <w:szCs w:val="24"/>
              </w:rPr>
            </w:pPr>
            <w:r>
              <w:rPr>
                <w:rFonts w:hint="eastAsia" w:ascii="黑体" w:hAnsi="黑体" w:eastAsia="黑体" w:cs="Times New Roman"/>
                <w:kern w:val="0"/>
                <w:sz w:val="24"/>
                <w:szCs w:val="24"/>
              </w:rPr>
              <w:t>气候相关物理风险</w:t>
            </w:r>
          </w:p>
        </w:tc>
      </w:tr>
      <w:tr w14:paraId="47DB2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47" w:type="dxa"/>
            <w:vAlign w:val="center"/>
          </w:tcPr>
          <w:p w14:paraId="50B46BBC">
            <w:pPr>
              <w:widowControl/>
              <w:adjustRightInd w:val="0"/>
              <w:snapToGrid w:val="0"/>
              <w:jc w:val="center"/>
              <w:rPr>
                <w:rFonts w:ascii="仿宋_GB2312" w:hAnsi="Times New Roman" w:cs="Times New Roman"/>
                <w:kern w:val="0"/>
                <w:sz w:val="24"/>
                <w:szCs w:val="24"/>
              </w:rPr>
            </w:pPr>
            <w:r>
              <w:rPr>
                <w:rFonts w:hint="eastAsia" w:ascii="仿宋_GB2312" w:hAnsi="Times New Roman" w:cs="Times New Roman"/>
                <w:kern w:val="0"/>
                <w:sz w:val="24"/>
                <w:szCs w:val="24"/>
              </w:rPr>
              <w:t>洪灾严重程度增加</w:t>
            </w:r>
          </w:p>
        </w:tc>
        <w:tc>
          <w:tcPr>
            <w:tcW w:w="2693" w:type="dxa"/>
          </w:tcPr>
          <w:p w14:paraId="75A4273B">
            <w:pPr>
              <w:widowControl/>
              <w:adjustRightInd w:val="0"/>
              <w:snapToGrid w:val="0"/>
              <w:rPr>
                <w:rFonts w:ascii="Times New Roman" w:hAnsi="Times New Roman" w:cs="Times New Roman"/>
                <w:kern w:val="0"/>
                <w:sz w:val="24"/>
                <w:szCs w:val="24"/>
              </w:rPr>
            </w:pPr>
            <w:r>
              <w:rPr>
                <w:rFonts w:hint="eastAsia" w:ascii="Times New Roman" w:hAnsi="Times New Roman" w:cs="Times New Roman"/>
                <w:kern w:val="0"/>
                <w:sz w:val="24"/>
                <w:szCs w:val="24"/>
              </w:rPr>
              <w:t>洪灾频率及严重程度增加可能导致设备损坏，从而导致资产减值增加或者修理支出增加</w:t>
            </w:r>
          </w:p>
        </w:tc>
        <w:tc>
          <w:tcPr>
            <w:tcW w:w="2693" w:type="dxa"/>
          </w:tcPr>
          <w:p w14:paraId="6E366ECD">
            <w:pPr>
              <w:widowControl/>
              <w:adjustRightInd w:val="0"/>
              <w:snapToGrid w:val="0"/>
              <w:rPr>
                <w:rFonts w:ascii="Times New Roman" w:hAnsi="Times New Roman" w:cs="Times New Roman"/>
                <w:kern w:val="0"/>
                <w:sz w:val="24"/>
                <w:szCs w:val="24"/>
              </w:rPr>
            </w:pPr>
            <w:r>
              <w:rPr>
                <w:rFonts w:ascii="Times New Roman" w:hAnsi="Times New Roman" w:cs="Times New Roman"/>
                <w:kern w:val="0"/>
                <w:sz w:val="24"/>
                <w:szCs w:val="24"/>
              </w:rPr>
              <w:t>1.</w:t>
            </w:r>
            <w:r>
              <w:rPr>
                <w:rFonts w:hint="eastAsia" w:ascii="Times New Roman" w:hAnsi="Times New Roman" w:cs="Times New Roman"/>
                <w:kern w:val="0"/>
                <w:sz w:val="24"/>
                <w:szCs w:val="24"/>
              </w:rPr>
              <w:t>洪灾发生频率</w:t>
            </w:r>
          </w:p>
          <w:p w14:paraId="0F87458E">
            <w:pPr>
              <w:widowControl/>
              <w:adjustRightInd w:val="0"/>
              <w:snapToGrid w:val="0"/>
              <w:rPr>
                <w:rFonts w:ascii="Times New Roman" w:hAnsi="Times New Roman" w:cs="Times New Roman"/>
                <w:kern w:val="0"/>
                <w:sz w:val="24"/>
                <w:szCs w:val="24"/>
              </w:rPr>
            </w:pPr>
            <w:r>
              <w:rPr>
                <w:rFonts w:ascii="Times New Roman" w:hAnsi="Times New Roman" w:cs="Times New Roman"/>
                <w:kern w:val="0"/>
                <w:sz w:val="24"/>
                <w:szCs w:val="24"/>
              </w:rPr>
              <w:t>2.</w:t>
            </w:r>
            <w:r>
              <w:rPr>
                <w:rFonts w:hint="eastAsia" w:ascii="Times New Roman" w:hAnsi="Times New Roman" w:cs="Times New Roman"/>
                <w:kern w:val="0"/>
                <w:sz w:val="24"/>
                <w:szCs w:val="24"/>
              </w:rPr>
              <w:t>洪灾造成的预期损失</w:t>
            </w:r>
          </w:p>
          <w:p w14:paraId="3842A1EB">
            <w:pPr>
              <w:widowControl/>
              <w:adjustRightInd w:val="0"/>
              <w:snapToGrid w:val="0"/>
              <w:rPr>
                <w:rFonts w:ascii="Times New Roman" w:hAnsi="Times New Roman" w:cs="Times New Roman"/>
                <w:kern w:val="0"/>
                <w:sz w:val="24"/>
                <w:szCs w:val="24"/>
              </w:rPr>
            </w:pPr>
            <w:r>
              <w:rPr>
                <w:rFonts w:ascii="Times New Roman" w:hAnsi="Times New Roman" w:cs="Times New Roman"/>
                <w:kern w:val="0"/>
                <w:sz w:val="24"/>
                <w:szCs w:val="24"/>
              </w:rPr>
              <w:t>3.</w:t>
            </w:r>
            <w:r>
              <w:rPr>
                <w:rFonts w:hint="eastAsia" w:ascii="Times New Roman" w:hAnsi="Times New Roman" w:cs="Times New Roman"/>
                <w:kern w:val="0"/>
                <w:sz w:val="24"/>
                <w:szCs w:val="24"/>
              </w:rPr>
              <w:t>业务中断造成的预期营运损失</w:t>
            </w:r>
          </w:p>
        </w:tc>
      </w:tr>
      <w:tr w14:paraId="1E665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47" w:type="dxa"/>
            <w:vAlign w:val="center"/>
          </w:tcPr>
          <w:p w14:paraId="70C821EF">
            <w:pPr>
              <w:widowControl/>
              <w:adjustRightInd w:val="0"/>
              <w:snapToGrid w:val="0"/>
              <w:jc w:val="center"/>
              <w:rPr>
                <w:rFonts w:ascii="仿宋_GB2312" w:hAnsi="Times New Roman" w:cs="Times New Roman"/>
                <w:kern w:val="0"/>
                <w:sz w:val="24"/>
                <w:szCs w:val="24"/>
              </w:rPr>
            </w:pPr>
            <w:r>
              <w:rPr>
                <w:rFonts w:hint="eastAsia" w:ascii="仿宋_GB2312" w:hAnsi="Times New Roman" w:cs="Times New Roman"/>
                <w:kern w:val="0"/>
                <w:sz w:val="24"/>
                <w:szCs w:val="24"/>
              </w:rPr>
              <w:t>平均气温上升</w:t>
            </w:r>
          </w:p>
        </w:tc>
        <w:tc>
          <w:tcPr>
            <w:tcW w:w="2693" w:type="dxa"/>
            <w:vAlign w:val="center"/>
          </w:tcPr>
          <w:p w14:paraId="224635EE">
            <w:pPr>
              <w:widowControl/>
              <w:adjustRightInd w:val="0"/>
              <w:snapToGrid w:val="0"/>
              <w:rPr>
                <w:rFonts w:ascii="Times New Roman" w:hAnsi="Times New Roman" w:cs="Times New Roman"/>
                <w:kern w:val="0"/>
                <w:sz w:val="24"/>
                <w:szCs w:val="24"/>
              </w:rPr>
            </w:pPr>
            <w:r>
              <w:rPr>
                <w:rFonts w:ascii="Times New Roman" w:hAnsi="Times New Roman" w:cs="Times New Roman"/>
                <w:kern w:val="0"/>
                <w:sz w:val="24"/>
                <w:szCs w:val="24"/>
              </w:rPr>
              <w:t>1.</w:t>
            </w:r>
            <w:r>
              <w:rPr>
                <w:rFonts w:hint="eastAsia" w:ascii="Times New Roman" w:hAnsi="Times New Roman" w:cs="Times New Roman"/>
                <w:kern w:val="0"/>
                <w:sz w:val="24"/>
                <w:szCs w:val="24"/>
              </w:rPr>
              <w:t>平均气温上升会降低户外工作的生产效率</w:t>
            </w:r>
          </w:p>
          <w:p w14:paraId="4BA7D29D">
            <w:pPr>
              <w:widowControl/>
              <w:adjustRightInd w:val="0"/>
              <w:snapToGrid w:val="0"/>
              <w:rPr>
                <w:rFonts w:ascii="Times New Roman" w:hAnsi="Times New Roman" w:cs="Times New Roman"/>
                <w:kern w:val="0"/>
                <w:sz w:val="24"/>
                <w:szCs w:val="24"/>
              </w:rPr>
            </w:pPr>
            <w:r>
              <w:rPr>
                <w:rFonts w:ascii="Times New Roman" w:hAnsi="Times New Roman" w:cs="Times New Roman"/>
                <w:kern w:val="0"/>
                <w:sz w:val="24"/>
                <w:szCs w:val="24"/>
              </w:rPr>
              <w:t>2.</w:t>
            </w:r>
            <w:r>
              <w:rPr>
                <w:rFonts w:hint="eastAsia" w:ascii="Times New Roman" w:hAnsi="Times New Roman" w:cs="Times New Roman"/>
                <w:kern w:val="0"/>
                <w:sz w:val="24"/>
                <w:szCs w:val="24"/>
              </w:rPr>
              <w:t>使用冷气频率增加导致的开支上升</w:t>
            </w:r>
          </w:p>
        </w:tc>
        <w:tc>
          <w:tcPr>
            <w:tcW w:w="2693" w:type="dxa"/>
          </w:tcPr>
          <w:p w14:paraId="0BAA155C">
            <w:pPr>
              <w:widowControl/>
              <w:adjustRightInd w:val="0"/>
              <w:snapToGrid w:val="0"/>
              <w:rPr>
                <w:rFonts w:ascii="Times New Roman" w:hAnsi="Times New Roman" w:cs="Times New Roman"/>
                <w:kern w:val="0"/>
                <w:sz w:val="24"/>
                <w:szCs w:val="24"/>
              </w:rPr>
            </w:pPr>
            <w:r>
              <w:rPr>
                <w:rFonts w:ascii="Times New Roman" w:hAnsi="Times New Roman" w:cs="Times New Roman"/>
                <w:kern w:val="0"/>
                <w:sz w:val="24"/>
                <w:szCs w:val="24"/>
              </w:rPr>
              <w:t>1.</w:t>
            </w:r>
            <w:r>
              <w:rPr>
                <w:rFonts w:hint="eastAsia" w:ascii="Times New Roman" w:hAnsi="Times New Roman" w:cs="Times New Roman"/>
                <w:kern w:val="0"/>
                <w:sz w:val="24"/>
                <w:szCs w:val="24"/>
              </w:rPr>
              <w:t>使用冷气天数的变化情况（例如温度超过</w:t>
            </w:r>
            <w:r>
              <w:rPr>
                <w:rFonts w:ascii="Times New Roman" w:hAnsi="Times New Roman" w:cs="Times New Roman"/>
                <w:kern w:val="0"/>
                <w:sz w:val="24"/>
                <w:szCs w:val="24"/>
              </w:rPr>
              <w:t>25</w:t>
            </w:r>
            <w:r>
              <w:rPr>
                <w:rFonts w:hint="eastAsia" w:ascii="Times New Roman" w:hAnsi="Times New Roman" w:cs="Times New Roman"/>
                <w:kern w:val="0"/>
                <w:sz w:val="24"/>
                <w:szCs w:val="24"/>
              </w:rPr>
              <w:t>℃的天数）</w:t>
            </w:r>
          </w:p>
          <w:p w14:paraId="1A682977">
            <w:pPr>
              <w:widowControl/>
              <w:adjustRightInd w:val="0"/>
              <w:snapToGrid w:val="0"/>
              <w:rPr>
                <w:rFonts w:ascii="Times New Roman" w:hAnsi="Times New Roman" w:cs="Times New Roman"/>
                <w:kern w:val="0"/>
                <w:sz w:val="24"/>
                <w:szCs w:val="24"/>
              </w:rPr>
            </w:pPr>
            <w:r>
              <w:rPr>
                <w:rFonts w:ascii="Times New Roman" w:hAnsi="Times New Roman" w:cs="Times New Roman"/>
                <w:kern w:val="0"/>
                <w:sz w:val="24"/>
                <w:szCs w:val="24"/>
              </w:rPr>
              <w:t>2.</w:t>
            </w:r>
            <w:r>
              <w:rPr>
                <w:rFonts w:hint="eastAsia" w:ascii="Times New Roman" w:hAnsi="Times New Roman" w:cs="Times New Roman"/>
                <w:kern w:val="0"/>
                <w:sz w:val="24"/>
                <w:szCs w:val="24"/>
              </w:rPr>
              <w:t>炎热天气对员工生产率的影响</w:t>
            </w:r>
          </w:p>
        </w:tc>
      </w:tr>
      <w:tr w14:paraId="5BDDA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33" w:type="dxa"/>
            <w:gridSpan w:val="3"/>
            <w:vAlign w:val="center"/>
          </w:tcPr>
          <w:p w14:paraId="269F9445">
            <w:pPr>
              <w:widowControl/>
              <w:adjustRightInd w:val="0"/>
              <w:snapToGrid w:val="0"/>
              <w:rPr>
                <w:rFonts w:ascii="Times New Roman" w:hAnsi="Times New Roman" w:cs="Times New Roman"/>
                <w:kern w:val="0"/>
                <w:sz w:val="24"/>
                <w:szCs w:val="24"/>
              </w:rPr>
            </w:pPr>
            <w:r>
              <w:rPr>
                <w:rFonts w:hint="eastAsia" w:ascii="Times New Roman" w:hAnsi="Times New Roman" w:eastAsia="黑体" w:cs="Times New Roman"/>
                <w:kern w:val="0"/>
                <w:sz w:val="24"/>
                <w:szCs w:val="24"/>
              </w:rPr>
              <w:t>气候相关转型风险</w:t>
            </w:r>
          </w:p>
        </w:tc>
      </w:tr>
      <w:tr w14:paraId="30C54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47" w:type="dxa"/>
            <w:vAlign w:val="center"/>
          </w:tcPr>
          <w:p w14:paraId="586FE546">
            <w:pPr>
              <w:widowControl/>
              <w:adjustRightInd w:val="0"/>
              <w:snapToGrid w:val="0"/>
              <w:jc w:val="center"/>
              <w:rPr>
                <w:rFonts w:ascii="仿宋_GB2312" w:hAnsi="Times New Roman" w:cs="Times New Roman"/>
                <w:kern w:val="0"/>
                <w:sz w:val="24"/>
                <w:szCs w:val="24"/>
              </w:rPr>
            </w:pPr>
            <w:r>
              <w:rPr>
                <w:rFonts w:hint="eastAsia" w:ascii="仿宋_GB2312" w:hAnsi="Times New Roman" w:cs="Times New Roman"/>
                <w:kern w:val="0"/>
                <w:sz w:val="24"/>
                <w:szCs w:val="24"/>
              </w:rPr>
              <w:t>碳价上升</w:t>
            </w:r>
          </w:p>
        </w:tc>
        <w:tc>
          <w:tcPr>
            <w:tcW w:w="2693" w:type="dxa"/>
            <w:vAlign w:val="center"/>
          </w:tcPr>
          <w:p w14:paraId="39C815A7">
            <w:pPr>
              <w:widowControl/>
              <w:adjustRightInd w:val="0"/>
              <w:snapToGrid w:val="0"/>
              <w:rPr>
                <w:rFonts w:ascii="Times New Roman" w:hAnsi="Times New Roman" w:cs="Times New Roman"/>
                <w:kern w:val="0"/>
                <w:sz w:val="24"/>
                <w:szCs w:val="24"/>
              </w:rPr>
            </w:pPr>
            <w:r>
              <w:rPr>
                <w:rFonts w:hint="eastAsia" w:ascii="Times New Roman" w:hAnsi="Times New Roman" w:cs="Times New Roman"/>
                <w:kern w:val="0"/>
                <w:sz w:val="24"/>
                <w:szCs w:val="24"/>
              </w:rPr>
              <w:t>碳配额价格上升</w:t>
            </w:r>
          </w:p>
        </w:tc>
        <w:tc>
          <w:tcPr>
            <w:tcW w:w="2693" w:type="dxa"/>
          </w:tcPr>
          <w:p w14:paraId="72F4C50F">
            <w:pPr>
              <w:widowControl/>
              <w:adjustRightInd w:val="0"/>
              <w:snapToGrid w:val="0"/>
              <w:rPr>
                <w:rFonts w:ascii="Times New Roman" w:hAnsi="Times New Roman" w:cs="Times New Roman"/>
                <w:kern w:val="0"/>
                <w:sz w:val="24"/>
                <w:szCs w:val="24"/>
              </w:rPr>
            </w:pPr>
            <w:r>
              <w:rPr>
                <w:rFonts w:ascii="Times New Roman" w:hAnsi="Times New Roman" w:cs="Times New Roman"/>
                <w:kern w:val="0"/>
                <w:sz w:val="24"/>
                <w:szCs w:val="24"/>
              </w:rPr>
              <w:t>1.</w:t>
            </w:r>
            <w:r>
              <w:rPr>
                <w:rFonts w:hint="eastAsia" w:ascii="Times New Roman" w:hAnsi="Times New Roman" w:cs="Times New Roman"/>
                <w:kern w:val="0"/>
                <w:sz w:val="24"/>
                <w:szCs w:val="24"/>
              </w:rPr>
              <w:t>碳价格</w:t>
            </w:r>
          </w:p>
          <w:p w14:paraId="322A5553">
            <w:pPr>
              <w:widowControl/>
              <w:adjustRightInd w:val="0"/>
              <w:snapToGrid w:val="0"/>
              <w:rPr>
                <w:rFonts w:ascii="Times New Roman" w:hAnsi="Times New Roman" w:cs="Times New Roman"/>
                <w:kern w:val="0"/>
                <w:sz w:val="24"/>
                <w:szCs w:val="24"/>
              </w:rPr>
            </w:pPr>
            <w:r>
              <w:rPr>
                <w:rFonts w:ascii="Times New Roman" w:hAnsi="Times New Roman" w:cs="Times New Roman"/>
                <w:kern w:val="0"/>
                <w:sz w:val="24"/>
                <w:szCs w:val="24"/>
              </w:rPr>
              <w:t>2.</w:t>
            </w:r>
            <w:r>
              <w:rPr>
                <w:rFonts w:hint="eastAsia" w:ascii="Times New Roman" w:hAnsi="Times New Roman" w:cs="Times New Roman"/>
                <w:kern w:val="0"/>
                <w:sz w:val="24"/>
                <w:szCs w:val="24"/>
              </w:rPr>
              <w:t>温室气体排放量</w:t>
            </w:r>
          </w:p>
        </w:tc>
      </w:tr>
      <w:tr w14:paraId="2F50F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47" w:type="dxa"/>
            <w:vAlign w:val="center"/>
          </w:tcPr>
          <w:p w14:paraId="31922176">
            <w:pPr>
              <w:widowControl/>
              <w:adjustRightInd w:val="0"/>
              <w:snapToGrid w:val="0"/>
              <w:jc w:val="center"/>
              <w:rPr>
                <w:rFonts w:ascii="仿宋_GB2312" w:hAnsi="Times New Roman" w:cs="Times New Roman"/>
                <w:kern w:val="0"/>
                <w:sz w:val="24"/>
                <w:szCs w:val="24"/>
              </w:rPr>
            </w:pPr>
            <w:r>
              <w:rPr>
                <w:rFonts w:hint="eastAsia" w:ascii="仿宋_GB2312" w:hAnsi="Times New Roman" w:cs="Times New Roman"/>
                <w:kern w:val="0"/>
                <w:sz w:val="24"/>
                <w:szCs w:val="24"/>
              </w:rPr>
              <w:t>使用低碳能源</w:t>
            </w:r>
          </w:p>
        </w:tc>
        <w:tc>
          <w:tcPr>
            <w:tcW w:w="2693" w:type="dxa"/>
          </w:tcPr>
          <w:p w14:paraId="5355B942">
            <w:pPr>
              <w:widowControl/>
              <w:adjustRightInd w:val="0"/>
              <w:snapToGrid w:val="0"/>
              <w:rPr>
                <w:rFonts w:ascii="Times New Roman" w:hAnsi="Times New Roman" w:cs="Times New Roman"/>
                <w:kern w:val="0"/>
                <w:sz w:val="24"/>
                <w:szCs w:val="24"/>
              </w:rPr>
            </w:pPr>
            <w:r>
              <w:rPr>
                <w:rFonts w:ascii="Times New Roman" w:hAnsi="Times New Roman" w:cs="Times New Roman"/>
                <w:kern w:val="0"/>
                <w:sz w:val="24"/>
                <w:szCs w:val="24"/>
              </w:rPr>
              <w:t>1.</w:t>
            </w:r>
            <w:r>
              <w:rPr>
                <w:rFonts w:hint="eastAsia" w:ascii="Times New Roman" w:hAnsi="Times New Roman" w:cs="Times New Roman"/>
                <w:kern w:val="0"/>
                <w:sz w:val="24"/>
                <w:szCs w:val="24"/>
              </w:rPr>
              <w:t>向低碳能源的转型需要升级现有设备</w:t>
            </w:r>
          </w:p>
          <w:p w14:paraId="2706BAB5">
            <w:pPr>
              <w:widowControl/>
              <w:adjustRightInd w:val="0"/>
              <w:snapToGrid w:val="0"/>
              <w:rPr>
                <w:rFonts w:ascii="Times New Roman" w:hAnsi="Times New Roman" w:cs="Times New Roman"/>
                <w:kern w:val="0"/>
                <w:sz w:val="24"/>
                <w:szCs w:val="24"/>
              </w:rPr>
            </w:pPr>
            <w:r>
              <w:rPr>
                <w:rFonts w:ascii="Times New Roman" w:hAnsi="Times New Roman" w:cs="Times New Roman"/>
                <w:kern w:val="0"/>
                <w:sz w:val="24"/>
                <w:szCs w:val="24"/>
              </w:rPr>
              <w:t>2.</w:t>
            </w:r>
            <w:r>
              <w:rPr>
                <w:rFonts w:hint="eastAsia" w:ascii="Times New Roman" w:hAnsi="Times New Roman" w:cs="Times New Roman"/>
                <w:kern w:val="0"/>
                <w:sz w:val="24"/>
                <w:szCs w:val="24"/>
              </w:rPr>
              <w:t>改用低碳能源的成本变化</w:t>
            </w:r>
          </w:p>
        </w:tc>
        <w:tc>
          <w:tcPr>
            <w:tcW w:w="2693" w:type="dxa"/>
          </w:tcPr>
          <w:p w14:paraId="1E047FBA">
            <w:pPr>
              <w:widowControl/>
              <w:adjustRightInd w:val="0"/>
              <w:snapToGrid w:val="0"/>
              <w:rPr>
                <w:rFonts w:ascii="Times New Roman" w:hAnsi="Times New Roman" w:cs="Times New Roman"/>
                <w:kern w:val="0"/>
                <w:sz w:val="24"/>
                <w:szCs w:val="24"/>
              </w:rPr>
            </w:pPr>
            <w:r>
              <w:rPr>
                <w:rFonts w:ascii="Times New Roman" w:hAnsi="Times New Roman" w:cs="Times New Roman"/>
                <w:kern w:val="0"/>
                <w:sz w:val="24"/>
                <w:szCs w:val="24"/>
              </w:rPr>
              <w:t>1.</w:t>
            </w:r>
            <w:r>
              <w:rPr>
                <w:rFonts w:hint="eastAsia" w:ascii="Times New Roman" w:hAnsi="Times New Roman" w:cs="Times New Roman"/>
                <w:kern w:val="0"/>
                <w:sz w:val="24"/>
                <w:szCs w:val="24"/>
              </w:rPr>
              <w:t>能源价格</w:t>
            </w:r>
          </w:p>
          <w:p w14:paraId="1677F859">
            <w:pPr>
              <w:widowControl/>
              <w:adjustRightInd w:val="0"/>
              <w:snapToGrid w:val="0"/>
              <w:rPr>
                <w:rFonts w:ascii="Times New Roman" w:hAnsi="Times New Roman" w:cs="Times New Roman"/>
                <w:kern w:val="0"/>
                <w:sz w:val="24"/>
                <w:szCs w:val="24"/>
              </w:rPr>
            </w:pPr>
            <w:r>
              <w:rPr>
                <w:rFonts w:ascii="Times New Roman" w:hAnsi="Times New Roman" w:cs="Times New Roman"/>
                <w:kern w:val="0"/>
                <w:sz w:val="24"/>
                <w:szCs w:val="24"/>
              </w:rPr>
              <w:t>2.</w:t>
            </w:r>
            <w:r>
              <w:rPr>
                <w:rFonts w:hint="eastAsia" w:ascii="Times New Roman" w:hAnsi="Times New Roman" w:cs="Times New Roman"/>
                <w:kern w:val="0"/>
                <w:sz w:val="24"/>
                <w:szCs w:val="24"/>
              </w:rPr>
              <w:t>能源结构</w:t>
            </w:r>
          </w:p>
        </w:tc>
      </w:tr>
    </w:tbl>
    <w:p w14:paraId="5A5AF1B4">
      <w:pPr>
        <w:widowControl/>
        <w:adjustRightInd w:val="0"/>
        <w:snapToGrid w:val="0"/>
        <w:spacing w:line="560" w:lineRule="exact"/>
        <w:ind w:firstLine="602" w:firstLineChars="200"/>
        <w:outlineLvl w:val="2"/>
        <w:rPr>
          <w:rFonts w:ascii="仿宋_GB2312" w:hAnsi="Times New Roman" w:cs="Times New Roman"/>
          <w:b/>
          <w:bCs/>
          <w:szCs w:val="30"/>
        </w:rPr>
      </w:pPr>
      <w:bookmarkStart w:id="160" w:name="_Toc187328674"/>
      <w:bookmarkStart w:id="161" w:name="_Toc21288"/>
      <w:bookmarkStart w:id="162" w:name="_Toc181613098"/>
      <w:bookmarkStart w:id="163" w:name="_Toc5788"/>
      <w:bookmarkStart w:id="164" w:name="_Toc1906"/>
      <w:bookmarkStart w:id="165" w:name="_Toc181612787"/>
      <w:bookmarkStart w:id="166" w:name="_Toc13004"/>
      <w:r>
        <w:rPr>
          <w:rFonts w:hint="eastAsia" w:ascii="仿宋_GB2312" w:hAnsi="Times New Roman" w:cs="Times New Roman"/>
          <w:b/>
          <w:bCs/>
          <w:szCs w:val="30"/>
        </w:rPr>
        <w:t>步骤四：确定情景分析方法</w:t>
      </w:r>
      <w:bookmarkEnd w:id="160"/>
      <w:bookmarkEnd w:id="161"/>
      <w:bookmarkEnd w:id="162"/>
      <w:bookmarkEnd w:id="163"/>
      <w:bookmarkEnd w:id="164"/>
      <w:bookmarkEnd w:id="165"/>
      <w:bookmarkEnd w:id="166"/>
    </w:p>
    <w:p w14:paraId="6FBBF1A5">
      <w:pPr>
        <w:tabs>
          <w:tab w:val="left" w:pos="660"/>
        </w:tabs>
        <w:spacing w:line="560" w:lineRule="exact"/>
        <w:ind w:firstLine="600" w:firstLineChars="200"/>
        <w:rPr>
          <w:rFonts w:ascii="仿宋_GB2312" w:hAnsi="Times New Roman" w:cs="Times New Roman"/>
          <w:szCs w:val="30"/>
        </w:rPr>
      </w:pPr>
      <w:r>
        <w:rPr>
          <w:rFonts w:hint="eastAsia" w:ascii="仿宋_GB2312" w:hAnsi="Times New Roman" w:cs="Times New Roman"/>
          <w:szCs w:val="30"/>
        </w:rPr>
        <w:t>常见的情景分析方法包括定性分析法与定量分析法。披露主体在确定情景分析方法时结合面临的气候相关风险和机遇，应使用与自身能力或资源相称的方法，兼顾成本的可负担性。如果披露主体目前不具备进行气候情景定量分析的技能、能力或资源，但又面临较高的气候相关风险，则最初可以使用定性情景叙述等简单的方法，通过积累经验具备相关能力后，逐渐采用更先进的定量方法进行气候情景分析；如果披露主体面临较高的气候相关风险和机遇且具备必要的技能、能力和资源，可考虑使用定量分析方法。</w:t>
      </w:r>
    </w:p>
    <w:p w14:paraId="09D44EB6">
      <w:pPr>
        <w:tabs>
          <w:tab w:val="left" w:pos="660"/>
        </w:tabs>
        <w:spacing w:line="560" w:lineRule="exact"/>
        <w:ind w:firstLine="600" w:firstLineChars="200"/>
        <w:rPr>
          <w:rFonts w:ascii="Times New Roman" w:hAnsi="Times New Roman" w:cs="Times New Roman"/>
          <w:szCs w:val="30"/>
        </w:rPr>
      </w:pPr>
      <w:r>
        <w:rPr>
          <w:rFonts w:hint="eastAsia" w:ascii="仿宋_GB2312" w:hAnsi="Times New Roman" w:cs="Times New Roman"/>
          <w:szCs w:val="30"/>
        </w:rPr>
        <w:t>定性分析法可使用风险等级代表，例如，电价上涨对于能源开支的影响为“较高”，极端天气事件对资产价值的影响为“较低”等。定量分析法则可分析气候相关物理风险、转型风险影响的资产金额区间或占比等，例如，</w:t>
      </w:r>
      <w:r>
        <w:rPr>
          <w:rFonts w:ascii="Times New Roman" w:hAnsi="Times New Roman" w:cs="Times New Roman"/>
          <w:szCs w:val="30"/>
        </w:rPr>
        <w:t>2030</w:t>
      </w:r>
      <w:r>
        <w:rPr>
          <w:rFonts w:hint="eastAsia" w:ascii="仿宋_GB2312" w:hAnsi="Times New Roman" w:cs="Times New Roman"/>
          <w:szCs w:val="30"/>
        </w:rPr>
        <w:t>年如果用电量维持不变、电价的预期变动预计影响公司电力成本的</w:t>
      </w:r>
      <w:r>
        <w:rPr>
          <w:rFonts w:ascii="Times New Roman" w:hAnsi="Times New Roman" w:cs="Times New Roman"/>
          <w:szCs w:val="30"/>
        </w:rPr>
        <w:t>2</w:t>
      </w:r>
      <w:r>
        <w:rPr>
          <w:rFonts w:hint="eastAsia" w:ascii="Times New Roman" w:hAnsi="Times New Roman" w:cs="Times New Roman"/>
          <w:szCs w:val="30"/>
        </w:rPr>
        <w:t>%</w:t>
      </w:r>
      <w:r>
        <w:rPr>
          <w:rFonts w:ascii="Times New Roman" w:hAnsi="Times New Roman" w:cs="Times New Roman"/>
          <w:szCs w:val="30"/>
        </w:rPr>
        <w:t>-5%</w:t>
      </w:r>
      <w:r>
        <w:rPr>
          <w:rFonts w:hint="eastAsia" w:ascii="Times New Roman" w:hAnsi="Times New Roman" w:cs="Times New Roman"/>
          <w:szCs w:val="30"/>
        </w:rPr>
        <w:t>，2060年极寒、干旱等极端天气事件</w:t>
      </w:r>
      <w:r>
        <w:rPr>
          <w:rFonts w:hint="eastAsia" w:ascii="仿宋_GB2312" w:hAnsi="Times New Roman" w:cs="Times New Roman"/>
          <w:szCs w:val="30"/>
        </w:rPr>
        <w:t>预计影响</w:t>
      </w:r>
      <w:r>
        <w:rPr>
          <w:rFonts w:hint="eastAsia" w:ascii="Times New Roman" w:hAnsi="Times New Roman" w:cs="Times New Roman"/>
          <w:szCs w:val="30"/>
        </w:rPr>
        <w:t>公司的水力发电业务收入的</w:t>
      </w:r>
      <w:r>
        <w:rPr>
          <w:rFonts w:ascii="Times New Roman" w:hAnsi="Times New Roman" w:cs="Times New Roman"/>
          <w:szCs w:val="30"/>
        </w:rPr>
        <w:t>10%</w:t>
      </w:r>
      <w:r>
        <w:rPr>
          <w:rFonts w:hint="eastAsia" w:ascii="Times New Roman" w:hAnsi="Times New Roman" w:cs="Times New Roman"/>
          <w:szCs w:val="30"/>
        </w:rPr>
        <w:t>。</w:t>
      </w:r>
    </w:p>
    <w:p w14:paraId="1DD98036">
      <w:pPr>
        <w:widowControl/>
        <w:adjustRightInd w:val="0"/>
        <w:snapToGrid w:val="0"/>
        <w:spacing w:line="560" w:lineRule="exact"/>
        <w:ind w:firstLine="602" w:firstLineChars="200"/>
        <w:outlineLvl w:val="2"/>
        <w:rPr>
          <w:rFonts w:ascii="仿宋_GB2312" w:hAnsi="Times New Roman" w:cs="Times New Roman"/>
          <w:b/>
          <w:bCs/>
          <w:szCs w:val="30"/>
        </w:rPr>
      </w:pPr>
      <w:bookmarkStart w:id="167" w:name="_Toc8626"/>
      <w:bookmarkStart w:id="168" w:name="_Toc187328675"/>
      <w:bookmarkStart w:id="169" w:name="_Toc1629"/>
      <w:bookmarkStart w:id="170" w:name="_Toc10446"/>
      <w:bookmarkStart w:id="171" w:name="_Toc181612788"/>
      <w:bookmarkStart w:id="172" w:name="_Toc26182"/>
      <w:bookmarkStart w:id="173" w:name="_Toc181613099"/>
      <w:r>
        <w:rPr>
          <w:rFonts w:hint="eastAsia" w:ascii="仿宋_GB2312" w:hAnsi="Times New Roman" w:cs="Times New Roman"/>
          <w:b/>
          <w:bCs/>
          <w:szCs w:val="30"/>
        </w:rPr>
        <w:t>步骤五：开展气候相关情景分析</w:t>
      </w:r>
      <w:bookmarkEnd w:id="167"/>
      <w:bookmarkEnd w:id="168"/>
      <w:bookmarkEnd w:id="169"/>
      <w:bookmarkEnd w:id="170"/>
      <w:bookmarkEnd w:id="171"/>
      <w:bookmarkEnd w:id="172"/>
      <w:bookmarkEnd w:id="173"/>
    </w:p>
    <w:p w14:paraId="0BC7C91E">
      <w:pPr>
        <w:tabs>
          <w:tab w:val="left" w:pos="660"/>
        </w:tabs>
        <w:spacing w:line="560" w:lineRule="exact"/>
        <w:ind w:firstLine="600" w:firstLineChars="200"/>
        <w:rPr>
          <w:rFonts w:ascii="仿宋_GB2312" w:hAnsi="Times New Roman" w:cs="Times New Roman"/>
          <w:szCs w:val="30"/>
        </w:rPr>
      </w:pPr>
      <w:bookmarkStart w:id="174" w:name="OLE_LINK3"/>
      <w:r>
        <w:rPr>
          <w:rFonts w:hint="eastAsia" w:ascii="仿宋_GB2312" w:hAnsi="Times New Roman" w:cs="Times New Roman"/>
          <w:szCs w:val="30"/>
        </w:rPr>
        <w:t>披露主体</w:t>
      </w:r>
      <w:bookmarkEnd w:id="174"/>
      <w:r>
        <w:rPr>
          <w:rFonts w:hint="eastAsia" w:ascii="仿宋_GB2312" w:hAnsi="Times New Roman" w:cs="Times New Roman"/>
          <w:szCs w:val="30"/>
        </w:rPr>
        <w:t>可以根据上述步骤确定的情景来源、分析方法等进行情景分析。</w:t>
      </w:r>
    </w:p>
    <w:p w14:paraId="280656C4">
      <w:pPr>
        <w:tabs>
          <w:tab w:val="left" w:pos="660"/>
        </w:tabs>
        <w:spacing w:line="560" w:lineRule="exact"/>
        <w:ind w:firstLine="600" w:firstLineChars="200"/>
        <w:rPr>
          <w:rFonts w:ascii="仿宋_GB2312" w:hAnsi="Times New Roman" w:cs="Times New Roman"/>
          <w:szCs w:val="30"/>
        </w:rPr>
      </w:pPr>
      <w:r>
        <w:rPr>
          <w:rFonts w:hint="eastAsia" w:ascii="仿宋_GB2312" w:hAnsi="Times New Roman" w:cs="Times New Roman"/>
          <w:szCs w:val="30"/>
        </w:rPr>
        <w:t>计划开展情景分析的披露主体无需每年更新气候情景模型，可以按照战略规划周期（如每三到五年）进行气候相关情景分析。计划开展情景分析的，披露主体至少应根据战略规划周期更新气候相关情景分析，并且当业务模式出现重大变动（资产收购、业务转型等）、之前的估计与目前情况不符或出现之前假设无效等情形，披露主体需要再次开展分析，以评估公司在发生变动后受气候风险影响的程度。如果披露主体并未每年进行情景分析，则披露主体对气候相关情景分析的披露可以与上一个报告期间保持不变。</w:t>
      </w:r>
    </w:p>
    <w:p w14:paraId="7C4D7518">
      <w:pPr>
        <w:widowControl/>
        <w:jc w:val="left"/>
        <w:rPr>
          <w:rFonts w:ascii="Times New Roman" w:hAnsi="Times New Roman" w:eastAsia="黑体" w:cs="Times New Roman"/>
          <w:b/>
          <w:bCs/>
          <w:szCs w:val="30"/>
        </w:rPr>
      </w:pPr>
      <w:r>
        <w:rPr>
          <w:rFonts w:ascii="Times New Roman" w:hAnsi="Times New Roman" w:eastAsia="黑体" w:cs="Times New Roman"/>
          <w:b/>
          <w:bCs/>
          <w:szCs w:val="30"/>
        </w:rPr>
        <w:br w:type="page"/>
      </w:r>
    </w:p>
    <w:p w14:paraId="2C5CAD41">
      <w:pPr>
        <w:spacing w:line="560" w:lineRule="exact"/>
        <w:jc w:val="center"/>
        <w:outlineLvl w:val="0"/>
        <w:rPr>
          <w:rFonts w:ascii="Times New Roman" w:hAnsi="Times New Roman" w:eastAsia="黑体" w:cs="Times New Roman"/>
          <w:b/>
          <w:bCs/>
          <w:szCs w:val="30"/>
        </w:rPr>
      </w:pPr>
      <w:bookmarkStart w:id="175" w:name="_Toc22178"/>
      <w:bookmarkStart w:id="176" w:name="_Toc181613100"/>
      <w:bookmarkStart w:id="177" w:name="_Toc29898"/>
      <w:bookmarkStart w:id="178" w:name="_Toc21460"/>
      <w:bookmarkStart w:id="179" w:name="_Toc187328676"/>
      <w:r>
        <w:rPr>
          <w:rFonts w:hint="eastAsia" w:ascii="Times New Roman" w:hAnsi="Times New Roman" w:eastAsia="黑体" w:cs="Times New Roman"/>
          <w:b/>
          <w:bCs/>
          <w:szCs w:val="30"/>
        </w:rPr>
        <w:t>第四章</w:t>
      </w:r>
      <w:r>
        <w:rPr>
          <w:rFonts w:ascii="Times New Roman" w:hAnsi="Times New Roman" w:eastAsia="黑体" w:cs="Times New Roman"/>
          <w:b/>
          <w:bCs/>
          <w:szCs w:val="30"/>
        </w:rPr>
        <w:t xml:space="preserve"> </w:t>
      </w:r>
      <w:r>
        <w:rPr>
          <w:rFonts w:hint="eastAsia" w:ascii="Times New Roman" w:hAnsi="Times New Roman" w:eastAsia="黑体" w:cs="Times New Roman"/>
          <w:b/>
          <w:bCs/>
          <w:szCs w:val="30"/>
        </w:rPr>
        <w:t>核算温室气体排放量的流程和方法</w:t>
      </w:r>
      <w:bookmarkEnd w:id="175"/>
      <w:bookmarkEnd w:id="176"/>
      <w:bookmarkEnd w:id="177"/>
      <w:bookmarkEnd w:id="178"/>
      <w:bookmarkEnd w:id="179"/>
    </w:p>
    <w:p w14:paraId="057BE502">
      <w:pPr>
        <w:widowControl/>
        <w:adjustRightInd w:val="0"/>
        <w:snapToGrid w:val="0"/>
        <w:spacing w:line="560" w:lineRule="exact"/>
        <w:ind w:firstLine="600" w:firstLineChars="200"/>
        <w:outlineLvl w:val="1"/>
        <w:rPr>
          <w:rFonts w:ascii="黑体" w:hAnsi="黑体" w:eastAsia="黑体" w:cs="Times New Roman"/>
          <w:szCs w:val="30"/>
        </w:rPr>
      </w:pPr>
      <w:bookmarkStart w:id="180" w:name="_Toc30116"/>
      <w:bookmarkStart w:id="181" w:name="_Toc187328677"/>
      <w:bookmarkStart w:id="182" w:name="_Toc32507"/>
      <w:bookmarkStart w:id="183" w:name="_Toc14397"/>
      <w:bookmarkStart w:id="184" w:name="_Toc181613101"/>
      <w:r>
        <w:rPr>
          <w:rFonts w:hint="eastAsia" w:ascii="黑体" w:hAnsi="黑体" w:eastAsia="黑体" w:cs="Times New Roman"/>
          <w:bCs/>
          <w:szCs w:val="30"/>
        </w:rPr>
        <w:t>一、</w:t>
      </w:r>
      <w:r>
        <w:rPr>
          <w:rFonts w:hint="eastAsia" w:ascii="黑体" w:hAnsi="黑体" w:eastAsia="黑体" w:cs="Times New Roman"/>
          <w:szCs w:val="30"/>
        </w:rPr>
        <w:t>界定组织边界</w:t>
      </w:r>
      <w:bookmarkEnd w:id="180"/>
      <w:bookmarkEnd w:id="181"/>
      <w:bookmarkEnd w:id="182"/>
      <w:bookmarkEnd w:id="183"/>
      <w:bookmarkEnd w:id="184"/>
    </w:p>
    <w:p w14:paraId="5C2F1F35">
      <w:pPr>
        <w:adjustRightInd w:val="0"/>
        <w:snapToGrid w:val="0"/>
        <w:spacing w:line="560" w:lineRule="exact"/>
        <w:ind w:firstLine="600" w:firstLineChars="200"/>
        <w:rPr>
          <w:rFonts w:ascii="仿宋_GB2312" w:hAnsi="Times New Roman" w:cs="Times New Roman"/>
          <w:szCs w:val="30"/>
        </w:rPr>
      </w:pPr>
      <w:r>
        <w:rPr>
          <w:rFonts w:hint="eastAsia" w:ascii="仿宋_GB2312" w:hAnsi="Times New Roman" w:cs="Times New Roman"/>
          <w:szCs w:val="30"/>
        </w:rPr>
        <w:t>组织边界决定了披露主体所拥有或控制的温室气体排放活动。因此，披露主体在对温室气体排放量进行核算和报告前，需首先确定温室气体排放量的组织边界。常用的方法包括股权比例法和控制权法等。需要注意的是，披露主体所选用的组织边界界定方法需一致，即披露主体不应对不同的业务单位应用不同的界定方法。</w:t>
      </w:r>
    </w:p>
    <w:p w14:paraId="3EB34024">
      <w:pPr>
        <w:widowControl/>
        <w:adjustRightInd w:val="0"/>
        <w:snapToGrid w:val="0"/>
        <w:spacing w:line="560" w:lineRule="exact"/>
        <w:ind w:firstLine="600" w:firstLineChars="200"/>
        <w:rPr>
          <w:rFonts w:ascii="仿宋_GB2312" w:hAnsi="Times New Roman" w:cs="Times New Roman"/>
          <w:szCs w:val="30"/>
        </w:rPr>
      </w:pPr>
      <w:r>
        <w:rPr>
          <w:rFonts w:hint="eastAsia" w:ascii="仿宋_GB2312" w:hAnsi="Times New Roman" w:cs="Times New Roman"/>
          <w:szCs w:val="30"/>
        </w:rPr>
        <w:t>在采用股权比例法下，披露主体根据其在业务中的股权比例核算温室气体排放量。使用股权比例法时，披露主体与业务之间的经济实质重于法律形式（所有权结构），披露主体核算的温室气体排放量应反映其经济利益的比例。</w:t>
      </w:r>
    </w:p>
    <w:p w14:paraId="19392F6F">
      <w:pPr>
        <w:widowControl/>
        <w:adjustRightInd w:val="0"/>
        <w:snapToGrid w:val="0"/>
        <w:spacing w:line="560" w:lineRule="exact"/>
        <w:ind w:firstLine="600" w:firstLineChars="200"/>
        <w:rPr>
          <w:rFonts w:ascii="仿宋_GB2312" w:hAnsi="Times New Roman" w:cs="Times New Roman"/>
          <w:szCs w:val="30"/>
        </w:rPr>
      </w:pPr>
      <w:r>
        <w:rPr>
          <w:rFonts w:hint="eastAsia" w:ascii="仿宋_GB2312" w:hAnsi="Times New Roman" w:cs="Times New Roman"/>
          <w:szCs w:val="30"/>
        </w:rPr>
        <w:t>在控制权法下，披露主体需要核算其所控制业务范围内的全部温室气体排放量。其中，披露主体不核算享有权益但不具有控制权的业务所产生的温室气体排放量。当采用控制权法时，披露主体应选择运营控制权法或财务控制权法。</w:t>
      </w:r>
    </w:p>
    <w:p w14:paraId="242607D9">
      <w:pPr>
        <w:widowControl/>
        <w:adjustRightInd w:val="0"/>
        <w:snapToGrid w:val="0"/>
        <w:spacing w:line="560" w:lineRule="exact"/>
        <w:jc w:val="center"/>
        <w:rPr>
          <w:rFonts w:ascii="Times New Roman" w:hAnsi="Times New Roman" w:eastAsia="黑体" w:cs="Times New Roman"/>
          <w:kern w:val="0"/>
          <w:sz w:val="24"/>
          <w:szCs w:val="24"/>
        </w:rPr>
      </w:pPr>
      <w:r>
        <w:rPr>
          <w:rFonts w:hint="eastAsia" w:ascii="Times New Roman" w:hAnsi="Times New Roman" w:eastAsia="黑体" w:cs="Times New Roman"/>
          <w:kern w:val="0"/>
          <w:sz w:val="24"/>
          <w:szCs w:val="24"/>
        </w:rPr>
        <w:t>表</w:t>
      </w:r>
      <w:r>
        <w:rPr>
          <w:rFonts w:ascii="Times New Roman" w:hAnsi="Times New Roman" w:eastAsia="黑体" w:cs="Times New Roman"/>
          <w:kern w:val="0"/>
          <w:sz w:val="24"/>
          <w:szCs w:val="24"/>
        </w:rPr>
        <w:t>9</w:t>
      </w:r>
      <w:r>
        <w:rPr>
          <w:rFonts w:hint="eastAsia" w:ascii="Times New Roman" w:hAnsi="Times New Roman" w:eastAsia="黑体" w:cs="Times New Roman"/>
          <w:kern w:val="0"/>
          <w:sz w:val="24"/>
          <w:szCs w:val="24"/>
        </w:rPr>
        <w:t>：组织边界的定义方法</w:t>
      </w:r>
    </w:p>
    <w:tbl>
      <w:tblPr>
        <w:tblStyle w:val="8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
        <w:gridCol w:w="6741"/>
      </w:tblGrid>
      <w:tr w14:paraId="579F3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Align w:val="center"/>
          </w:tcPr>
          <w:p w14:paraId="6C687D77">
            <w:pPr>
              <w:widowControl/>
              <w:adjustRightInd w:val="0"/>
              <w:snapToGrid w:val="0"/>
              <w:jc w:val="center"/>
              <w:rPr>
                <w:rFonts w:ascii="仿宋_GB2312" w:hAnsi="Times New Roman" w:cs="Times New Roman"/>
                <w:b/>
                <w:bCs/>
                <w:kern w:val="0"/>
                <w:sz w:val="24"/>
                <w:szCs w:val="24"/>
              </w:rPr>
            </w:pPr>
            <w:r>
              <w:rPr>
                <w:rFonts w:hint="eastAsia" w:ascii="仿宋_GB2312" w:hAnsi="Times New Roman" w:cs="Times New Roman"/>
                <w:b/>
                <w:bCs/>
                <w:kern w:val="0"/>
                <w:sz w:val="24"/>
                <w:szCs w:val="24"/>
              </w:rPr>
              <w:t>方法</w:t>
            </w:r>
          </w:p>
        </w:tc>
        <w:tc>
          <w:tcPr>
            <w:tcW w:w="6741" w:type="dxa"/>
            <w:vAlign w:val="center"/>
          </w:tcPr>
          <w:p w14:paraId="1860D674">
            <w:pPr>
              <w:widowControl/>
              <w:adjustRightInd w:val="0"/>
              <w:snapToGrid w:val="0"/>
              <w:jc w:val="center"/>
              <w:rPr>
                <w:rFonts w:ascii="仿宋_GB2312" w:hAnsi="Times New Roman" w:cs="Times New Roman"/>
                <w:b/>
                <w:bCs/>
                <w:kern w:val="0"/>
                <w:sz w:val="24"/>
                <w:szCs w:val="24"/>
              </w:rPr>
            </w:pPr>
            <w:r>
              <w:rPr>
                <w:rFonts w:hint="eastAsia" w:ascii="仿宋_GB2312" w:hAnsi="Times New Roman" w:cs="Times New Roman"/>
                <w:b/>
                <w:bCs/>
                <w:kern w:val="0"/>
                <w:sz w:val="24"/>
                <w:szCs w:val="24"/>
              </w:rPr>
              <w:t>说明</w:t>
            </w:r>
          </w:p>
        </w:tc>
      </w:tr>
      <w:tr w14:paraId="5DD8C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5" w:hRule="atLeast"/>
          <w:jc w:val="center"/>
        </w:trPr>
        <w:tc>
          <w:tcPr>
            <w:tcW w:w="1555" w:type="dxa"/>
            <w:vAlign w:val="center"/>
          </w:tcPr>
          <w:p w14:paraId="580C7732">
            <w:pPr>
              <w:widowControl/>
              <w:adjustRightInd w:val="0"/>
              <w:snapToGrid w:val="0"/>
              <w:rPr>
                <w:rFonts w:ascii="仿宋_GB2312" w:hAnsi="Times New Roman" w:cs="Times New Roman"/>
                <w:kern w:val="0"/>
                <w:sz w:val="24"/>
                <w:szCs w:val="24"/>
              </w:rPr>
            </w:pPr>
            <w:r>
              <w:rPr>
                <w:rFonts w:hint="eastAsia" w:ascii="仿宋_GB2312" w:hAnsi="Times New Roman" w:cs="Times New Roman"/>
                <w:kern w:val="0"/>
                <w:sz w:val="24"/>
                <w:szCs w:val="24"/>
              </w:rPr>
              <w:t>股权比例法</w:t>
            </w:r>
          </w:p>
        </w:tc>
        <w:tc>
          <w:tcPr>
            <w:tcW w:w="6741" w:type="dxa"/>
            <w:vAlign w:val="center"/>
          </w:tcPr>
          <w:p w14:paraId="69319BBE">
            <w:pPr>
              <w:widowControl/>
              <w:adjustRightInd w:val="0"/>
              <w:snapToGrid w:val="0"/>
              <w:rPr>
                <w:rFonts w:ascii="Times New Roman" w:hAnsi="Times New Roman" w:cs="Times New Roman"/>
                <w:kern w:val="0"/>
                <w:sz w:val="24"/>
                <w:szCs w:val="24"/>
              </w:rPr>
            </w:pPr>
            <w:r>
              <w:rPr>
                <w:rFonts w:hint="eastAsia" w:ascii="Times New Roman" w:hAnsi="Times New Roman" w:cs="Times New Roman"/>
                <w:kern w:val="0"/>
                <w:sz w:val="24"/>
                <w:szCs w:val="24"/>
              </w:rPr>
              <w:t>公司根据其在运营中的股权比例核算温室气体排放。例如，对子公司持股比例为</w:t>
            </w:r>
            <w:r>
              <w:rPr>
                <w:rFonts w:ascii="Times New Roman" w:hAnsi="Times New Roman" w:cs="Times New Roman"/>
                <w:kern w:val="0"/>
                <w:sz w:val="24"/>
                <w:szCs w:val="24"/>
              </w:rPr>
              <w:t>70%</w:t>
            </w:r>
            <w:r>
              <w:rPr>
                <w:rFonts w:hint="eastAsia" w:ascii="Times New Roman" w:hAnsi="Times New Roman" w:cs="Times New Roman"/>
                <w:kern w:val="0"/>
                <w:sz w:val="24"/>
                <w:szCs w:val="24"/>
              </w:rPr>
              <w:t>，则合并时仅按照该子公司排放量的</w:t>
            </w:r>
            <w:r>
              <w:rPr>
                <w:rFonts w:ascii="Times New Roman" w:hAnsi="Times New Roman" w:cs="Times New Roman"/>
                <w:kern w:val="0"/>
                <w:sz w:val="24"/>
                <w:szCs w:val="24"/>
              </w:rPr>
              <w:t>70%</w:t>
            </w:r>
            <w:r>
              <w:rPr>
                <w:rFonts w:hint="eastAsia" w:ascii="Times New Roman" w:hAnsi="Times New Roman" w:cs="Times New Roman"/>
                <w:kern w:val="0"/>
                <w:sz w:val="24"/>
                <w:szCs w:val="24"/>
              </w:rPr>
              <w:t>进行合并。</w:t>
            </w:r>
          </w:p>
        </w:tc>
      </w:tr>
      <w:tr w14:paraId="3A0F6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7" w:hRule="atLeast"/>
          <w:jc w:val="center"/>
        </w:trPr>
        <w:tc>
          <w:tcPr>
            <w:tcW w:w="1555" w:type="dxa"/>
            <w:vAlign w:val="center"/>
          </w:tcPr>
          <w:p w14:paraId="33396F09">
            <w:pPr>
              <w:widowControl/>
              <w:adjustRightInd w:val="0"/>
              <w:snapToGrid w:val="0"/>
              <w:rPr>
                <w:rFonts w:ascii="仿宋_GB2312" w:hAnsi="Times New Roman" w:cs="Times New Roman"/>
                <w:kern w:val="0"/>
                <w:sz w:val="24"/>
                <w:szCs w:val="24"/>
              </w:rPr>
            </w:pPr>
            <w:r>
              <w:rPr>
                <w:rFonts w:hint="eastAsia" w:ascii="仿宋_GB2312" w:hAnsi="Times New Roman" w:cs="Times New Roman"/>
                <w:kern w:val="0"/>
                <w:sz w:val="24"/>
                <w:szCs w:val="24"/>
              </w:rPr>
              <w:t>控制权法</w:t>
            </w:r>
          </w:p>
        </w:tc>
        <w:tc>
          <w:tcPr>
            <w:tcW w:w="6741" w:type="dxa"/>
            <w:vAlign w:val="center"/>
          </w:tcPr>
          <w:p w14:paraId="56D4C81E">
            <w:pPr>
              <w:widowControl/>
              <w:adjustRightInd w:val="0"/>
              <w:snapToGrid w:val="0"/>
              <w:rPr>
                <w:rFonts w:ascii="Times New Roman" w:hAnsi="Times New Roman" w:cs="Times New Roman"/>
                <w:kern w:val="0"/>
                <w:sz w:val="24"/>
                <w:szCs w:val="24"/>
              </w:rPr>
            </w:pPr>
            <w:r>
              <w:rPr>
                <w:rFonts w:hint="eastAsia" w:ascii="Times New Roman" w:hAnsi="Times New Roman" w:cs="Times New Roman"/>
                <w:kern w:val="0"/>
                <w:sz w:val="24"/>
                <w:szCs w:val="24"/>
              </w:rPr>
              <w:t>1. 财务控制权法：公司对其具有财务控制权的温室气体排放进行</w:t>
            </w:r>
            <w:r>
              <w:rPr>
                <w:rFonts w:ascii="Times New Roman" w:hAnsi="Times New Roman" w:cs="Times New Roman"/>
                <w:kern w:val="0"/>
                <w:sz w:val="24"/>
                <w:szCs w:val="24"/>
              </w:rPr>
              <w:t>100%</w:t>
            </w:r>
            <w:r>
              <w:rPr>
                <w:rFonts w:hint="eastAsia" w:ascii="Times New Roman" w:hAnsi="Times New Roman" w:cs="Times New Roman"/>
                <w:kern w:val="0"/>
                <w:sz w:val="24"/>
                <w:szCs w:val="24"/>
              </w:rPr>
              <w:t>核算。例如，对持股</w:t>
            </w:r>
            <w:r>
              <w:rPr>
                <w:rFonts w:ascii="Times New Roman" w:hAnsi="Times New Roman" w:cs="Times New Roman"/>
                <w:kern w:val="0"/>
                <w:sz w:val="24"/>
                <w:szCs w:val="24"/>
              </w:rPr>
              <w:t>55%</w:t>
            </w:r>
            <w:r>
              <w:rPr>
                <w:rFonts w:hint="eastAsia" w:ascii="Times New Roman" w:hAnsi="Times New Roman" w:cs="Times New Roman"/>
                <w:kern w:val="0"/>
                <w:sz w:val="24"/>
                <w:szCs w:val="24"/>
              </w:rPr>
              <w:t>但具有财务控制权的子公司，按照该子公司排放量的</w:t>
            </w:r>
            <w:r>
              <w:rPr>
                <w:rFonts w:ascii="Times New Roman" w:hAnsi="Times New Roman" w:cs="Times New Roman"/>
                <w:kern w:val="0"/>
                <w:sz w:val="24"/>
                <w:szCs w:val="24"/>
              </w:rPr>
              <w:t>100%</w:t>
            </w:r>
            <w:r>
              <w:rPr>
                <w:rFonts w:hint="eastAsia" w:ascii="Times New Roman" w:hAnsi="Times New Roman" w:cs="Times New Roman"/>
                <w:kern w:val="0"/>
                <w:sz w:val="24"/>
                <w:szCs w:val="24"/>
              </w:rPr>
              <w:t>进行合并。</w:t>
            </w:r>
          </w:p>
          <w:p w14:paraId="2E051322">
            <w:pPr>
              <w:widowControl/>
              <w:adjustRightInd w:val="0"/>
              <w:snapToGrid w:val="0"/>
              <w:rPr>
                <w:rFonts w:ascii="Times New Roman" w:hAnsi="Times New Roman" w:cs="Times New Roman"/>
                <w:kern w:val="0"/>
                <w:sz w:val="24"/>
                <w:szCs w:val="24"/>
              </w:rPr>
            </w:pPr>
            <w:r>
              <w:rPr>
                <w:rFonts w:hint="eastAsia" w:ascii="Times New Roman" w:hAnsi="Times New Roman" w:cs="Times New Roman"/>
                <w:kern w:val="0"/>
                <w:sz w:val="24"/>
                <w:szCs w:val="24"/>
              </w:rPr>
              <w:t>2. 运营控制权法：公司对其具有运营控制权的温室气体排放进行</w:t>
            </w:r>
            <w:r>
              <w:rPr>
                <w:rFonts w:ascii="Times New Roman" w:hAnsi="Times New Roman" w:cs="Times New Roman"/>
                <w:kern w:val="0"/>
                <w:sz w:val="24"/>
                <w:szCs w:val="24"/>
              </w:rPr>
              <w:t>100%</w:t>
            </w:r>
            <w:r>
              <w:rPr>
                <w:rFonts w:hint="eastAsia" w:ascii="Times New Roman" w:hAnsi="Times New Roman" w:cs="Times New Roman"/>
                <w:kern w:val="0"/>
                <w:sz w:val="24"/>
                <w:szCs w:val="24"/>
              </w:rPr>
              <w:t>核算。</w:t>
            </w:r>
          </w:p>
        </w:tc>
      </w:tr>
    </w:tbl>
    <w:p w14:paraId="4CB8D77F">
      <w:pPr>
        <w:widowControl/>
        <w:adjustRightInd w:val="0"/>
        <w:snapToGrid w:val="0"/>
        <w:spacing w:before="156" w:beforeLines="50" w:line="560" w:lineRule="exact"/>
        <w:ind w:firstLine="600" w:firstLineChars="200"/>
        <w:outlineLvl w:val="1"/>
        <w:rPr>
          <w:rFonts w:ascii="黑体" w:hAnsi="黑体" w:eastAsia="黑体" w:cs="Times New Roman"/>
          <w:bCs/>
          <w:szCs w:val="30"/>
        </w:rPr>
      </w:pPr>
      <w:bookmarkStart w:id="185" w:name="_Toc181613102"/>
      <w:bookmarkStart w:id="186" w:name="_Toc22289"/>
      <w:bookmarkStart w:id="187" w:name="_Toc3361"/>
      <w:bookmarkStart w:id="188" w:name="_Toc11347"/>
      <w:bookmarkStart w:id="189" w:name="_Toc187328678"/>
      <w:r>
        <w:rPr>
          <w:rFonts w:hint="eastAsia" w:ascii="黑体" w:hAnsi="黑体" w:eastAsia="黑体" w:cs="Times New Roman"/>
          <w:bCs/>
          <w:szCs w:val="30"/>
        </w:rPr>
        <w:t>二、界定运营边界</w:t>
      </w:r>
      <w:bookmarkEnd w:id="185"/>
      <w:bookmarkEnd w:id="186"/>
      <w:bookmarkEnd w:id="187"/>
      <w:bookmarkEnd w:id="188"/>
      <w:bookmarkEnd w:id="189"/>
    </w:p>
    <w:p w14:paraId="254DB3DF">
      <w:pPr>
        <w:adjustRightInd w:val="0"/>
        <w:snapToGrid w:val="0"/>
        <w:spacing w:line="560" w:lineRule="exact"/>
        <w:ind w:firstLine="600" w:firstLineChars="200"/>
        <w:rPr>
          <w:rFonts w:ascii="仿宋_GB2312" w:hAnsi="Times New Roman" w:cs="Times New Roman"/>
          <w:szCs w:val="30"/>
        </w:rPr>
      </w:pPr>
      <w:r>
        <w:rPr>
          <w:rFonts w:hint="eastAsia" w:ascii="仿宋_GB2312" w:hAnsi="Times New Roman" w:cs="Times New Roman"/>
          <w:szCs w:val="30"/>
        </w:rPr>
        <w:t xml:space="preserve">披露主体在确定组织边界后，需要设定其运营边界，即识别与其运营相关的排放。与运营相关的排放可分为直接温室气体排放与间接温室气体排放。其中，直接温室气体排放是指来自披露主体拥有或控制的排放源的排放；间接温室气体排放是指由披露主体活动导致的、但发生在其他披露主体拥有或控制的排放源的排放。 </w:t>
      </w:r>
    </w:p>
    <w:p w14:paraId="48F68381">
      <w:pPr>
        <w:adjustRightInd w:val="0"/>
        <w:snapToGrid w:val="0"/>
        <w:spacing w:line="560" w:lineRule="exact"/>
        <w:ind w:firstLine="600" w:firstLineChars="200"/>
        <w:rPr>
          <w:rFonts w:ascii="仿宋_GB2312" w:hAnsi="Times New Roman" w:cs="Times New Roman"/>
          <w:szCs w:val="30"/>
        </w:rPr>
      </w:pPr>
      <w:r>
        <w:rPr>
          <w:rFonts w:hint="eastAsia" w:ascii="仿宋_GB2312" w:hAnsi="Times New Roman" w:cs="Times New Roman"/>
          <w:szCs w:val="30"/>
        </w:rPr>
        <w:t>温室气体排放还可分类为范围一、范围二和范围三排放。</w:t>
      </w:r>
    </w:p>
    <w:p w14:paraId="727027E8">
      <w:pPr>
        <w:widowControl/>
        <w:adjustRightInd w:val="0"/>
        <w:snapToGrid w:val="0"/>
        <w:spacing w:line="560" w:lineRule="exact"/>
        <w:jc w:val="center"/>
        <w:rPr>
          <w:rFonts w:ascii="Times New Roman" w:hAnsi="Times New Roman" w:eastAsia="黑体" w:cs="Times New Roman"/>
          <w:kern w:val="0"/>
          <w:sz w:val="24"/>
          <w:szCs w:val="24"/>
          <w:lang w:bidi="ar"/>
        </w:rPr>
      </w:pPr>
      <w:r>
        <w:rPr>
          <w:rFonts w:hint="eastAsia" w:ascii="Times New Roman" w:hAnsi="Times New Roman" w:eastAsia="黑体" w:cs="Times New Roman"/>
          <w:kern w:val="0"/>
          <w:sz w:val="24"/>
          <w:szCs w:val="24"/>
          <w:lang w:bidi="ar"/>
        </w:rPr>
        <w:t>表</w:t>
      </w:r>
      <w:r>
        <w:rPr>
          <w:rFonts w:ascii="Times New Roman" w:hAnsi="Times New Roman" w:eastAsia="黑体" w:cs="Times New Roman"/>
          <w:kern w:val="0"/>
          <w:sz w:val="24"/>
          <w:szCs w:val="24"/>
          <w:lang w:bidi="ar"/>
        </w:rPr>
        <w:t>10</w:t>
      </w:r>
      <w:r>
        <w:rPr>
          <w:rFonts w:hint="eastAsia" w:ascii="Times New Roman" w:hAnsi="Times New Roman" w:eastAsia="黑体" w:cs="Times New Roman"/>
          <w:kern w:val="0"/>
          <w:sz w:val="24"/>
          <w:szCs w:val="24"/>
          <w:lang w:bidi="ar"/>
        </w:rPr>
        <w:t>：温室气体排放范围</w:t>
      </w:r>
    </w:p>
    <w:tbl>
      <w:tblPr>
        <w:tblStyle w:val="8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9"/>
        <w:gridCol w:w="7167"/>
      </w:tblGrid>
      <w:tr w14:paraId="3DA1F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tcPr>
          <w:p w14:paraId="7C8C19A4">
            <w:pPr>
              <w:widowControl/>
              <w:adjustRightInd w:val="0"/>
              <w:snapToGrid w:val="0"/>
              <w:spacing w:line="264" w:lineRule="auto"/>
              <w:jc w:val="center"/>
              <w:rPr>
                <w:rFonts w:ascii="仿宋_GB2312" w:hAnsi="Times New Roman" w:cs="Times New Roman"/>
                <w:b/>
                <w:bCs/>
                <w:kern w:val="0"/>
                <w:sz w:val="24"/>
                <w:szCs w:val="24"/>
              </w:rPr>
            </w:pPr>
            <w:r>
              <w:rPr>
                <w:rFonts w:hint="eastAsia" w:ascii="仿宋_GB2312" w:hAnsi="Times New Roman" w:cs="Times New Roman"/>
                <w:b/>
                <w:bCs/>
                <w:kern w:val="0"/>
                <w:sz w:val="24"/>
                <w:szCs w:val="24"/>
              </w:rPr>
              <w:t>范围</w:t>
            </w:r>
          </w:p>
        </w:tc>
        <w:tc>
          <w:tcPr>
            <w:tcW w:w="7167" w:type="dxa"/>
          </w:tcPr>
          <w:p w14:paraId="01B4CDAE">
            <w:pPr>
              <w:widowControl/>
              <w:adjustRightInd w:val="0"/>
              <w:snapToGrid w:val="0"/>
              <w:spacing w:line="264" w:lineRule="auto"/>
              <w:jc w:val="center"/>
              <w:rPr>
                <w:rFonts w:ascii="仿宋_GB2312" w:hAnsi="Times New Roman" w:cs="Times New Roman"/>
                <w:b/>
                <w:bCs/>
                <w:kern w:val="0"/>
                <w:sz w:val="24"/>
                <w:szCs w:val="24"/>
              </w:rPr>
            </w:pPr>
            <w:r>
              <w:rPr>
                <w:rFonts w:hint="eastAsia" w:ascii="仿宋_GB2312" w:hAnsi="Times New Roman" w:cs="Times New Roman"/>
                <w:b/>
                <w:bCs/>
                <w:kern w:val="0"/>
                <w:sz w:val="24"/>
                <w:szCs w:val="24"/>
              </w:rPr>
              <w:t>描述</w:t>
            </w:r>
          </w:p>
        </w:tc>
      </w:tr>
      <w:tr w14:paraId="6E96B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Align w:val="center"/>
          </w:tcPr>
          <w:p w14:paraId="2E9B6A70">
            <w:pPr>
              <w:widowControl/>
              <w:adjustRightInd w:val="0"/>
              <w:snapToGrid w:val="0"/>
              <w:spacing w:line="264" w:lineRule="auto"/>
              <w:rPr>
                <w:rFonts w:ascii="仿宋_GB2312" w:hAnsi="Times New Roman" w:cs="Times New Roman"/>
                <w:kern w:val="0"/>
                <w:sz w:val="24"/>
                <w:szCs w:val="24"/>
              </w:rPr>
            </w:pPr>
            <w:r>
              <w:rPr>
                <w:rFonts w:hint="eastAsia" w:ascii="仿宋_GB2312" w:hAnsi="Times New Roman" w:cs="Times New Roman"/>
                <w:kern w:val="0"/>
                <w:sz w:val="24"/>
                <w:szCs w:val="24"/>
              </w:rPr>
              <w:t>范围一</w:t>
            </w:r>
          </w:p>
        </w:tc>
        <w:tc>
          <w:tcPr>
            <w:tcW w:w="7167" w:type="dxa"/>
          </w:tcPr>
          <w:p w14:paraId="186541CD">
            <w:pPr>
              <w:widowControl/>
              <w:adjustRightInd w:val="0"/>
              <w:snapToGrid w:val="0"/>
              <w:spacing w:line="264" w:lineRule="auto"/>
              <w:rPr>
                <w:rFonts w:ascii="仿宋_GB2312" w:hAnsi="Times New Roman" w:cs="Times New Roman"/>
                <w:kern w:val="0"/>
                <w:sz w:val="24"/>
                <w:szCs w:val="24"/>
              </w:rPr>
            </w:pPr>
            <w:r>
              <w:rPr>
                <w:rFonts w:hint="eastAsia" w:ascii="仿宋_GB2312" w:hAnsi="Times New Roman" w:cs="Times New Roman"/>
                <w:kern w:val="0"/>
                <w:sz w:val="24"/>
                <w:szCs w:val="24"/>
              </w:rPr>
              <w:t>公司拥有或控制的排放源的直接温室气体排放</w:t>
            </w:r>
          </w:p>
        </w:tc>
      </w:tr>
      <w:tr w14:paraId="073F2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Align w:val="center"/>
          </w:tcPr>
          <w:p w14:paraId="51012048">
            <w:pPr>
              <w:widowControl/>
              <w:adjustRightInd w:val="0"/>
              <w:snapToGrid w:val="0"/>
              <w:spacing w:line="264" w:lineRule="auto"/>
              <w:rPr>
                <w:rFonts w:ascii="仿宋_GB2312" w:hAnsi="Times New Roman" w:cs="Times New Roman"/>
                <w:kern w:val="0"/>
                <w:sz w:val="24"/>
                <w:szCs w:val="24"/>
              </w:rPr>
            </w:pPr>
            <w:r>
              <w:rPr>
                <w:rFonts w:hint="eastAsia" w:ascii="仿宋_GB2312" w:hAnsi="Times New Roman" w:cs="Times New Roman"/>
                <w:kern w:val="0"/>
                <w:sz w:val="24"/>
                <w:szCs w:val="24"/>
              </w:rPr>
              <w:t>范围二</w:t>
            </w:r>
          </w:p>
        </w:tc>
        <w:tc>
          <w:tcPr>
            <w:tcW w:w="7167" w:type="dxa"/>
          </w:tcPr>
          <w:p w14:paraId="49FCFFC2">
            <w:pPr>
              <w:widowControl/>
              <w:adjustRightInd w:val="0"/>
              <w:snapToGrid w:val="0"/>
              <w:spacing w:line="264" w:lineRule="auto"/>
              <w:rPr>
                <w:rFonts w:ascii="仿宋_GB2312" w:hAnsi="Times New Roman" w:cs="Times New Roman"/>
                <w:kern w:val="0"/>
                <w:sz w:val="24"/>
                <w:szCs w:val="24"/>
              </w:rPr>
            </w:pPr>
            <w:r>
              <w:rPr>
                <w:rFonts w:hint="eastAsia" w:ascii="仿宋_GB2312" w:hAnsi="Times New Roman" w:cs="Times New Roman"/>
                <w:kern w:val="0"/>
                <w:sz w:val="24"/>
                <w:szCs w:val="24"/>
              </w:rPr>
              <w:t>公司自用的外购电力、蒸汽、供热或制冷产生的间接温室气体排放</w:t>
            </w:r>
          </w:p>
        </w:tc>
      </w:tr>
      <w:tr w14:paraId="53933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29" w:type="dxa"/>
            <w:vAlign w:val="center"/>
          </w:tcPr>
          <w:p w14:paraId="41466FA9">
            <w:pPr>
              <w:widowControl/>
              <w:adjustRightInd w:val="0"/>
              <w:snapToGrid w:val="0"/>
              <w:spacing w:line="264" w:lineRule="auto"/>
              <w:rPr>
                <w:rFonts w:ascii="仿宋_GB2312" w:hAnsi="Times New Roman" w:cs="Times New Roman"/>
                <w:kern w:val="0"/>
                <w:sz w:val="24"/>
                <w:szCs w:val="24"/>
              </w:rPr>
            </w:pPr>
            <w:r>
              <w:rPr>
                <w:rFonts w:hint="eastAsia" w:ascii="仿宋_GB2312" w:hAnsi="Times New Roman" w:cs="Times New Roman"/>
                <w:kern w:val="0"/>
                <w:sz w:val="24"/>
                <w:szCs w:val="24"/>
              </w:rPr>
              <w:t>范围三</w:t>
            </w:r>
          </w:p>
        </w:tc>
        <w:tc>
          <w:tcPr>
            <w:tcW w:w="7167" w:type="dxa"/>
          </w:tcPr>
          <w:p w14:paraId="6310799A">
            <w:pPr>
              <w:widowControl/>
              <w:adjustRightInd w:val="0"/>
              <w:snapToGrid w:val="0"/>
              <w:spacing w:line="264" w:lineRule="auto"/>
              <w:rPr>
                <w:rFonts w:ascii="仿宋_GB2312" w:hAnsi="Times New Roman" w:cs="Times New Roman"/>
                <w:kern w:val="0"/>
                <w:sz w:val="24"/>
                <w:szCs w:val="24"/>
              </w:rPr>
            </w:pPr>
            <w:r>
              <w:rPr>
                <w:rFonts w:hint="eastAsia" w:ascii="仿宋_GB2312" w:hAnsi="Times New Roman" w:cs="Times New Roman"/>
                <w:kern w:val="0"/>
                <w:sz w:val="24"/>
                <w:szCs w:val="24"/>
              </w:rPr>
              <w:t>公司价值链上发生的所有间接排放（除范围二以外的），包括上游和下游的排放</w:t>
            </w:r>
          </w:p>
        </w:tc>
      </w:tr>
    </w:tbl>
    <w:p w14:paraId="1964BD2E">
      <w:pPr>
        <w:widowControl/>
        <w:adjustRightInd w:val="0"/>
        <w:snapToGrid w:val="0"/>
        <w:spacing w:line="560" w:lineRule="exact"/>
        <w:ind w:firstLine="600" w:firstLineChars="200"/>
        <w:outlineLvl w:val="1"/>
        <w:rPr>
          <w:rFonts w:ascii="黑体" w:hAnsi="黑体" w:eastAsia="黑体" w:cs="Times New Roman"/>
          <w:szCs w:val="30"/>
        </w:rPr>
      </w:pPr>
      <w:bookmarkStart w:id="190" w:name="_Toc2908"/>
      <w:bookmarkStart w:id="191" w:name="_Toc12398"/>
      <w:bookmarkStart w:id="192" w:name="_Toc7060"/>
      <w:bookmarkStart w:id="193" w:name="_Toc187328679"/>
      <w:bookmarkStart w:id="194" w:name="_Toc181613103"/>
      <w:r>
        <w:rPr>
          <w:rFonts w:hint="eastAsia" w:ascii="黑体" w:hAnsi="黑体" w:eastAsia="黑体" w:cs="Times New Roman"/>
          <w:szCs w:val="30"/>
        </w:rPr>
        <w:t>三、界定时间范围</w:t>
      </w:r>
      <w:bookmarkEnd w:id="190"/>
      <w:bookmarkEnd w:id="191"/>
      <w:bookmarkEnd w:id="192"/>
      <w:bookmarkEnd w:id="193"/>
      <w:bookmarkEnd w:id="194"/>
    </w:p>
    <w:p w14:paraId="43B31CE6">
      <w:pPr>
        <w:widowControl/>
        <w:adjustRightInd w:val="0"/>
        <w:snapToGrid w:val="0"/>
        <w:spacing w:line="560" w:lineRule="exact"/>
        <w:ind w:firstLine="600" w:firstLineChars="200"/>
        <w:rPr>
          <w:rFonts w:ascii="黑体" w:hAnsi="黑体" w:eastAsia="黑体" w:cs="Times New Roman"/>
          <w:b/>
          <w:bCs/>
          <w:sz w:val="32"/>
          <w:szCs w:val="32"/>
        </w:rPr>
      </w:pPr>
      <w:r>
        <w:rPr>
          <w:rFonts w:hint="eastAsia" w:ascii="仿宋_GB2312" w:hAnsi="Times New Roman" w:cs="Times New Roman"/>
          <w:szCs w:val="30"/>
        </w:rPr>
        <w:t>温室气体排放核算与报告的时间范围，应与可持续发展报告的报告期间保持一致。</w:t>
      </w:r>
    </w:p>
    <w:p w14:paraId="2FD4999B">
      <w:pPr>
        <w:widowControl/>
        <w:adjustRightInd w:val="0"/>
        <w:snapToGrid w:val="0"/>
        <w:spacing w:line="560" w:lineRule="exact"/>
        <w:ind w:firstLine="600" w:firstLineChars="200"/>
        <w:outlineLvl w:val="1"/>
        <w:rPr>
          <w:rFonts w:ascii="黑体" w:hAnsi="黑体" w:eastAsia="黑体" w:cs="Times New Roman"/>
          <w:szCs w:val="30"/>
        </w:rPr>
      </w:pPr>
      <w:bookmarkStart w:id="195" w:name="_Toc26866"/>
      <w:bookmarkStart w:id="196" w:name="_Toc187328680"/>
      <w:bookmarkStart w:id="197" w:name="_Toc181613104"/>
      <w:bookmarkStart w:id="198" w:name="_Toc8582"/>
      <w:bookmarkStart w:id="199" w:name="_Toc7400"/>
      <w:r>
        <w:rPr>
          <w:rFonts w:hint="eastAsia" w:ascii="黑体" w:hAnsi="黑体" w:eastAsia="黑体" w:cs="Times New Roman"/>
          <w:szCs w:val="30"/>
        </w:rPr>
        <w:t>四、识别温室气体排放源</w:t>
      </w:r>
      <w:bookmarkEnd w:id="195"/>
      <w:bookmarkEnd w:id="196"/>
      <w:bookmarkEnd w:id="197"/>
      <w:bookmarkEnd w:id="198"/>
      <w:bookmarkEnd w:id="199"/>
    </w:p>
    <w:p w14:paraId="37AB651D">
      <w:pPr>
        <w:widowControl/>
        <w:adjustRightInd w:val="0"/>
        <w:snapToGrid w:val="0"/>
        <w:spacing w:line="560" w:lineRule="exact"/>
        <w:ind w:firstLine="600" w:firstLineChars="200"/>
        <w:rPr>
          <w:rFonts w:ascii="仿宋_GB2312" w:hAnsi="Times New Roman" w:cs="Times New Roman"/>
          <w:szCs w:val="30"/>
        </w:rPr>
      </w:pPr>
      <w:r>
        <w:rPr>
          <w:rFonts w:hint="eastAsia" w:ascii="仿宋_GB2312" w:hAnsi="Times New Roman" w:cs="Times New Roman"/>
          <w:szCs w:val="30"/>
        </w:rPr>
        <w:t>披露主体在确定排放组织和运营边界后，根据自身运营生产流程及相关生产设备开始识别边界内相关排放源。</w:t>
      </w:r>
    </w:p>
    <w:tbl>
      <w:tblPr>
        <w:tblStyle w:val="82"/>
        <w:tblpPr w:leftFromText="180" w:rightFromText="180" w:vertAnchor="text" w:horzAnchor="margin" w:tblpY="66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11"/>
        <w:gridCol w:w="6285"/>
      </w:tblGrid>
      <w:tr w14:paraId="72860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1" w:type="dxa"/>
          </w:tcPr>
          <w:p w14:paraId="214407FE">
            <w:pPr>
              <w:widowControl/>
              <w:adjustRightInd w:val="0"/>
              <w:snapToGrid w:val="0"/>
              <w:jc w:val="center"/>
              <w:rPr>
                <w:rFonts w:ascii="仿宋_GB2312" w:hAnsi="Times New Roman" w:cs="Times New Roman"/>
                <w:b/>
                <w:bCs/>
                <w:kern w:val="0"/>
                <w:sz w:val="24"/>
                <w:szCs w:val="24"/>
              </w:rPr>
            </w:pPr>
            <w:r>
              <w:rPr>
                <w:rFonts w:hint="eastAsia" w:ascii="仿宋_GB2312" w:hAnsi="Times New Roman" w:cs="Times New Roman"/>
                <w:b/>
                <w:bCs/>
                <w:kern w:val="0"/>
                <w:sz w:val="24"/>
                <w:szCs w:val="24"/>
              </w:rPr>
              <w:t>范围</w:t>
            </w:r>
          </w:p>
        </w:tc>
        <w:tc>
          <w:tcPr>
            <w:tcW w:w="6285" w:type="dxa"/>
          </w:tcPr>
          <w:p w14:paraId="7E284253">
            <w:pPr>
              <w:widowControl/>
              <w:adjustRightInd w:val="0"/>
              <w:snapToGrid w:val="0"/>
              <w:jc w:val="center"/>
              <w:rPr>
                <w:rFonts w:ascii="仿宋_GB2312" w:hAnsi="Times New Roman" w:cs="Times New Roman"/>
                <w:b/>
                <w:bCs/>
                <w:kern w:val="0"/>
                <w:sz w:val="24"/>
                <w:szCs w:val="24"/>
              </w:rPr>
            </w:pPr>
            <w:r>
              <w:rPr>
                <w:rFonts w:hint="eastAsia" w:ascii="仿宋_GB2312" w:hAnsi="Times New Roman" w:cs="Times New Roman"/>
                <w:b/>
                <w:bCs/>
                <w:kern w:val="0"/>
                <w:sz w:val="24"/>
                <w:szCs w:val="24"/>
              </w:rPr>
              <w:t>温室气体排放源</w:t>
            </w:r>
          </w:p>
        </w:tc>
      </w:tr>
      <w:tr w14:paraId="485B2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1" w:type="dxa"/>
            <w:vAlign w:val="center"/>
          </w:tcPr>
          <w:p w14:paraId="405CC073">
            <w:pPr>
              <w:widowControl/>
              <w:adjustRightInd w:val="0"/>
              <w:snapToGrid w:val="0"/>
              <w:rPr>
                <w:rFonts w:ascii="仿宋_GB2312" w:hAnsi="Times New Roman" w:cs="Times New Roman"/>
                <w:kern w:val="0"/>
                <w:sz w:val="24"/>
                <w:szCs w:val="24"/>
              </w:rPr>
            </w:pPr>
            <w:r>
              <w:rPr>
                <w:rFonts w:hint="eastAsia" w:ascii="仿宋_GB2312" w:hAnsi="Times New Roman" w:cs="Times New Roman"/>
                <w:kern w:val="0"/>
                <w:sz w:val="24"/>
                <w:szCs w:val="24"/>
              </w:rPr>
              <w:t>范围一排放源</w:t>
            </w:r>
          </w:p>
        </w:tc>
        <w:tc>
          <w:tcPr>
            <w:tcW w:w="6285" w:type="dxa"/>
          </w:tcPr>
          <w:p w14:paraId="6DDF7B5E">
            <w:pPr>
              <w:widowControl/>
              <w:adjustRightInd w:val="0"/>
              <w:snapToGrid w:val="0"/>
              <w:rPr>
                <w:rFonts w:ascii="仿宋_GB2312" w:hAnsi="Times New Roman" w:cs="Times New Roman"/>
                <w:kern w:val="0"/>
                <w:sz w:val="24"/>
                <w:szCs w:val="24"/>
              </w:rPr>
            </w:pPr>
            <w:r>
              <w:rPr>
                <w:rFonts w:hint="eastAsia" w:ascii="仿宋_GB2312" w:hAnsi="Times New Roman" w:cs="Times New Roman"/>
                <w:kern w:val="0"/>
                <w:sz w:val="24"/>
                <w:szCs w:val="24"/>
              </w:rPr>
              <w:t>1.固定源排放：锅炉、熔炉、燃烧器、涡轮、加热器、焚烧炉和燃烧塔等。</w:t>
            </w:r>
          </w:p>
          <w:p w14:paraId="41FACB8C">
            <w:pPr>
              <w:widowControl/>
              <w:adjustRightInd w:val="0"/>
              <w:snapToGrid w:val="0"/>
              <w:rPr>
                <w:rFonts w:ascii="仿宋_GB2312" w:hAnsi="Times New Roman" w:cs="Times New Roman"/>
                <w:kern w:val="0"/>
                <w:sz w:val="24"/>
                <w:szCs w:val="24"/>
              </w:rPr>
            </w:pPr>
            <w:r>
              <w:rPr>
                <w:rFonts w:hint="eastAsia" w:ascii="仿宋_GB2312" w:hAnsi="Times New Roman" w:cs="Times New Roman"/>
                <w:kern w:val="0"/>
                <w:sz w:val="24"/>
                <w:szCs w:val="24"/>
              </w:rPr>
              <w:t>2.移动源排放：汽车、卡车、巴士、火车、飞机、轮船、船舶等。</w:t>
            </w:r>
          </w:p>
          <w:p w14:paraId="1630B559">
            <w:pPr>
              <w:widowControl/>
              <w:adjustRightInd w:val="0"/>
              <w:snapToGrid w:val="0"/>
              <w:rPr>
                <w:rFonts w:ascii="仿宋_GB2312" w:hAnsi="Times New Roman" w:cs="Times New Roman"/>
                <w:kern w:val="0"/>
                <w:sz w:val="24"/>
                <w:szCs w:val="24"/>
              </w:rPr>
            </w:pPr>
            <w:r>
              <w:rPr>
                <w:rFonts w:hint="eastAsia" w:ascii="仿宋_GB2312" w:hAnsi="Times New Roman" w:cs="Times New Roman"/>
                <w:kern w:val="0"/>
                <w:sz w:val="24"/>
                <w:szCs w:val="24"/>
              </w:rPr>
              <w:t>3.工业制程排放：如水泥生产过程中煅烧环节产生的二氧化碳，石化工艺中催化裂化产生的二氧化碳，电解铝产生的全氟碳化物等。</w:t>
            </w:r>
          </w:p>
          <w:p w14:paraId="694576AB">
            <w:pPr>
              <w:widowControl/>
              <w:adjustRightInd w:val="0"/>
              <w:snapToGrid w:val="0"/>
              <w:rPr>
                <w:rFonts w:ascii="仿宋_GB2312" w:hAnsi="Times New Roman" w:cs="Times New Roman"/>
                <w:kern w:val="0"/>
                <w:sz w:val="24"/>
                <w:szCs w:val="24"/>
              </w:rPr>
            </w:pPr>
            <w:r>
              <w:rPr>
                <w:rFonts w:hint="eastAsia" w:ascii="仿宋_GB2312" w:hAnsi="Times New Roman" w:cs="Times New Roman"/>
                <w:kern w:val="0"/>
                <w:sz w:val="24"/>
                <w:szCs w:val="24"/>
              </w:rPr>
              <w:t>4.无组织排放（逸散排放）：设备的接缝、密封件、包装和垫圈等发生的有意和无意的泄露，以及煤堆、废水处理、维修区、冷却塔等。</w:t>
            </w:r>
          </w:p>
        </w:tc>
      </w:tr>
      <w:tr w14:paraId="58A77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1" w:type="dxa"/>
            <w:vAlign w:val="center"/>
          </w:tcPr>
          <w:p w14:paraId="161408F9">
            <w:pPr>
              <w:widowControl/>
              <w:adjustRightInd w:val="0"/>
              <w:snapToGrid w:val="0"/>
              <w:rPr>
                <w:rFonts w:ascii="仿宋_GB2312" w:hAnsi="Times New Roman" w:cs="Times New Roman"/>
                <w:kern w:val="0"/>
                <w:sz w:val="24"/>
                <w:szCs w:val="24"/>
              </w:rPr>
            </w:pPr>
            <w:r>
              <w:rPr>
                <w:rFonts w:hint="eastAsia" w:ascii="仿宋_GB2312" w:hAnsi="Times New Roman" w:cs="Times New Roman"/>
                <w:kern w:val="0"/>
                <w:sz w:val="24"/>
                <w:szCs w:val="24"/>
              </w:rPr>
              <w:t>范围二排放源</w:t>
            </w:r>
          </w:p>
        </w:tc>
        <w:tc>
          <w:tcPr>
            <w:tcW w:w="6285" w:type="dxa"/>
          </w:tcPr>
          <w:p w14:paraId="336E95A3">
            <w:pPr>
              <w:widowControl/>
              <w:adjustRightInd w:val="0"/>
              <w:snapToGrid w:val="0"/>
              <w:rPr>
                <w:rFonts w:ascii="仿宋_GB2312" w:hAnsi="Times New Roman" w:cs="Times New Roman"/>
                <w:kern w:val="0"/>
                <w:sz w:val="24"/>
                <w:szCs w:val="24"/>
              </w:rPr>
            </w:pPr>
            <w:r>
              <w:rPr>
                <w:rFonts w:hint="eastAsia" w:ascii="仿宋_GB2312" w:hAnsi="Times New Roman" w:cs="Times New Roman"/>
                <w:kern w:val="0"/>
                <w:sz w:val="24"/>
                <w:szCs w:val="24"/>
              </w:rPr>
              <w:t>外购电力、热力、制冷或蒸汽</w:t>
            </w:r>
          </w:p>
        </w:tc>
      </w:tr>
      <w:tr w14:paraId="1FE34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011" w:type="dxa"/>
            <w:vAlign w:val="center"/>
          </w:tcPr>
          <w:p w14:paraId="2271B680">
            <w:pPr>
              <w:widowControl/>
              <w:adjustRightInd w:val="0"/>
              <w:snapToGrid w:val="0"/>
              <w:rPr>
                <w:rFonts w:ascii="仿宋_GB2312" w:hAnsi="Times New Roman" w:cs="Times New Roman"/>
                <w:kern w:val="0"/>
                <w:sz w:val="24"/>
                <w:szCs w:val="24"/>
              </w:rPr>
            </w:pPr>
            <w:r>
              <w:rPr>
                <w:rFonts w:hint="eastAsia" w:ascii="仿宋_GB2312" w:hAnsi="Times New Roman" w:cs="Times New Roman"/>
                <w:kern w:val="0"/>
                <w:sz w:val="24"/>
                <w:szCs w:val="24"/>
              </w:rPr>
              <w:t>范围三排放源</w:t>
            </w:r>
          </w:p>
        </w:tc>
        <w:tc>
          <w:tcPr>
            <w:tcW w:w="6285" w:type="dxa"/>
          </w:tcPr>
          <w:p w14:paraId="6D169DCE">
            <w:pPr>
              <w:widowControl/>
              <w:adjustRightInd w:val="0"/>
              <w:snapToGrid w:val="0"/>
              <w:rPr>
                <w:rFonts w:ascii="仿宋_GB2312" w:hAnsi="Times New Roman" w:cs="Times New Roman"/>
                <w:kern w:val="0"/>
                <w:sz w:val="24"/>
                <w:szCs w:val="24"/>
              </w:rPr>
            </w:pPr>
            <w:r>
              <w:rPr>
                <w:rFonts w:hint="eastAsia" w:ascii="仿宋_GB2312" w:hAnsi="Times New Roman" w:cs="Times New Roman"/>
                <w:kern w:val="0"/>
                <w:sz w:val="24"/>
                <w:szCs w:val="24"/>
              </w:rPr>
              <w:t>价值链上产生温室气体排放的活动</w:t>
            </w:r>
          </w:p>
        </w:tc>
      </w:tr>
    </w:tbl>
    <w:p w14:paraId="40455EAD">
      <w:pPr>
        <w:widowControl/>
        <w:adjustRightInd w:val="0"/>
        <w:snapToGrid w:val="0"/>
        <w:spacing w:line="560" w:lineRule="exact"/>
        <w:jc w:val="center"/>
        <w:rPr>
          <w:rFonts w:ascii="仿宋_GB2312" w:hAnsi="Times New Roman" w:cs="Times New Roman"/>
          <w:szCs w:val="30"/>
        </w:rPr>
      </w:pPr>
      <w:r>
        <w:rPr>
          <w:rFonts w:hint="eastAsia" w:ascii="Times New Roman" w:hAnsi="Times New Roman" w:eastAsia="黑体" w:cs="Times New Roman"/>
          <w:kern w:val="0"/>
          <w:sz w:val="24"/>
          <w:szCs w:val="24"/>
          <w:lang w:bidi="ar"/>
        </w:rPr>
        <w:t>表</w:t>
      </w:r>
      <w:r>
        <w:rPr>
          <w:rFonts w:ascii="Times New Roman" w:hAnsi="Times New Roman" w:eastAsia="黑体" w:cs="Times New Roman"/>
          <w:kern w:val="0"/>
          <w:sz w:val="24"/>
          <w:szCs w:val="24"/>
          <w:lang w:bidi="ar"/>
        </w:rPr>
        <w:t>11</w:t>
      </w:r>
      <w:r>
        <w:rPr>
          <w:rFonts w:hint="eastAsia" w:ascii="Times New Roman" w:hAnsi="Times New Roman" w:eastAsia="黑体" w:cs="Times New Roman"/>
          <w:kern w:val="0"/>
          <w:sz w:val="24"/>
          <w:szCs w:val="24"/>
          <w:lang w:bidi="ar"/>
        </w:rPr>
        <w:t>：温室气体排放源</w:t>
      </w:r>
    </w:p>
    <w:p w14:paraId="6575E2DE">
      <w:pPr>
        <w:widowControl/>
        <w:adjustRightInd w:val="0"/>
        <w:snapToGrid w:val="0"/>
        <w:spacing w:before="156" w:beforeLines="50" w:line="560" w:lineRule="exact"/>
        <w:ind w:firstLine="600" w:firstLineChars="200"/>
        <w:jc w:val="left"/>
        <w:outlineLvl w:val="1"/>
        <w:rPr>
          <w:rFonts w:ascii="黑体" w:hAnsi="黑体" w:eastAsia="黑体" w:cs="Times New Roman"/>
          <w:szCs w:val="30"/>
        </w:rPr>
      </w:pPr>
      <w:bookmarkStart w:id="200" w:name="_Toc19672"/>
      <w:bookmarkStart w:id="201" w:name="_Toc14966"/>
      <w:bookmarkStart w:id="202" w:name="_Toc5181"/>
      <w:bookmarkStart w:id="203" w:name="_Toc181613105"/>
      <w:bookmarkStart w:id="204" w:name="_Toc187328681"/>
      <w:r>
        <w:rPr>
          <w:rFonts w:hint="eastAsia" w:ascii="黑体" w:hAnsi="黑体" w:eastAsia="黑体" w:cs="Times New Roman"/>
          <w:szCs w:val="30"/>
        </w:rPr>
        <w:t>五、计算温室气体排放量</w:t>
      </w:r>
      <w:bookmarkEnd w:id="200"/>
      <w:bookmarkEnd w:id="201"/>
      <w:bookmarkEnd w:id="202"/>
      <w:bookmarkEnd w:id="203"/>
      <w:bookmarkEnd w:id="204"/>
    </w:p>
    <w:p w14:paraId="0DF85D5F">
      <w:pPr>
        <w:widowControl/>
        <w:adjustRightInd w:val="0"/>
        <w:snapToGrid w:val="0"/>
        <w:spacing w:line="560" w:lineRule="exact"/>
        <w:ind w:firstLine="602" w:firstLineChars="200"/>
        <w:rPr>
          <w:rFonts w:ascii="仿宋_GB2312" w:hAnsi="Times New Roman" w:cs="Times New Roman"/>
          <w:b/>
          <w:bCs/>
          <w:szCs w:val="30"/>
        </w:rPr>
      </w:pPr>
      <w:r>
        <w:rPr>
          <w:rFonts w:hint="eastAsia" w:ascii="仿宋_GB2312" w:hAnsi="Times New Roman" w:cs="Times New Roman"/>
          <w:b/>
          <w:bCs/>
          <w:szCs w:val="30"/>
        </w:rPr>
        <w:t>（一）范围一排放计算方法</w:t>
      </w:r>
    </w:p>
    <w:p w14:paraId="3F37BA7C">
      <w:pPr>
        <w:widowControl/>
        <w:adjustRightInd w:val="0"/>
        <w:snapToGrid w:val="0"/>
        <w:spacing w:line="560" w:lineRule="exact"/>
        <w:ind w:firstLine="600" w:firstLineChars="200"/>
        <w:rPr>
          <w:rFonts w:ascii="仿宋_GB2312" w:hAnsi="Times New Roman" w:cs="Times New Roman"/>
          <w:szCs w:val="30"/>
        </w:rPr>
      </w:pPr>
      <w:r>
        <w:rPr>
          <w:rFonts w:hint="eastAsia" w:ascii="仿宋_GB2312" w:hAnsi="Times New Roman" w:cs="Times New Roman"/>
          <w:szCs w:val="30"/>
        </w:rPr>
        <w:t>范围一温室气体排放量一般采用排放因子法或者物料平衡法进行核算。排放因子是每一单位排放源活动水平（如每吨煤）所对应的温室气体排放量。具体核算方法可以参考国家主管部门发布的相关行业温室气体排放核算与报告指南，以及相关的国家标准等；排放因子可以参考国家主管部门发布的有关温室气体排放因子数据库。</w:t>
      </w:r>
    </w:p>
    <w:p w14:paraId="0C97DE38">
      <w:pPr>
        <w:widowControl/>
        <w:adjustRightInd w:val="0"/>
        <w:snapToGrid w:val="0"/>
        <w:spacing w:line="560" w:lineRule="exact"/>
        <w:ind w:firstLine="600" w:firstLineChars="200"/>
        <w:rPr>
          <w:rFonts w:ascii="Times New Roman" w:hAnsi="Times New Roman" w:cs="Times New Roman"/>
          <w:szCs w:val="30"/>
        </w:rPr>
      </w:pPr>
      <w:r>
        <w:rPr>
          <w:rFonts w:hint="eastAsia" w:ascii="Times New Roman" w:hAnsi="Times New Roman" w:cs="Times New Roman"/>
          <w:szCs w:val="30"/>
        </w:rPr>
        <w:t>在核算并披露报告期内的温室气体排放总量时，披露主体应当将不同温室气体排放量换算成二氧化碳当量公吨数。不同温室气体的特性不同、对全球增温的影响不同，全球变暖潜势值（</w:t>
      </w:r>
      <w:r>
        <w:rPr>
          <w:rFonts w:ascii="Times New Roman" w:hAnsi="Times New Roman" w:cs="Times New Roman"/>
          <w:szCs w:val="30"/>
        </w:rPr>
        <w:t>GWP</w:t>
      </w:r>
      <w:r>
        <w:rPr>
          <w:rFonts w:hint="eastAsia" w:ascii="Times New Roman" w:hAnsi="Times New Roman" w:cs="Times New Roman"/>
          <w:szCs w:val="30"/>
        </w:rPr>
        <w:t>）是最常用于将其他温室气体排放量换算成二氧化碳当量的指标，</w:t>
      </w:r>
      <w:r>
        <w:rPr>
          <w:rFonts w:ascii="Times New Roman" w:hAnsi="Times New Roman" w:cs="Times New Roman"/>
          <w:szCs w:val="30"/>
        </w:rPr>
        <w:t>代表在给定时间内，不同温室气体相对于二氧化碳对全球变暖的贡献程度。GWP值由政府间气候变化专门委员会（IPCC）定义并定期更新，</w:t>
      </w:r>
      <w:r>
        <w:rPr>
          <w:rFonts w:hint="eastAsia" w:ascii="Times New Roman" w:hAnsi="Times New Roman" w:cs="Times New Roman"/>
          <w:szCs w:val="30"/>
        </w:rPr>
        <w:t>如根据IPCC第六次评估报告，甲烷的100年时间范围全球变暖潜势值为28，即表明排放1吨甲烷对气候变化的影响相当于28吨二氧化碳。</w:t>
      </w:r>
    </w:p>
    <w:p w14:paraId="75B1A93D">
      <w:pPr>
        <w:widowControl/>
        <w:adjustRightInd w:val="0"/>
        <w:snapToGrid w:val="0"/>
        <w:spacing w:line="560" w:lineRule="exact"/>
        <w:jc w:val="center"/>
        <w:rPr>
          <w:rFonts w:ascii="Times New Roman" w:hAnsi="Times New Roman" w:eastAsia="黑体" w:cs="Times New Roman"/>
          <w:kern w:val="0"/>
          <w:sz w:val="24"/>
          <w:szCs w:val="24"/>
          <w:lang w:bidi="ar"/>
        </w:rPr>
      </w:pPr>
      <w:r>
        <w:rPr>
          <w:rFonts w:hint="eastAsia" w:ascii="Times New Roman" w:hAnsi="Times New Roman" w:eastAsia="黑体" w:cs="Times New Roman"/>
          <w:kern w:val="0"/>
          <w:sz w:val="24"/>
          <w:szCs w:val="24"/>
          <w:lang w:bidi="ar"/>
        </w:rPr>
        <w:t>表</w:t>
      </w:r>
      <w:r>
        <w:rPr>
          <w:rFonts w:ascii="Times New Roman" w:hAnsi="Times New Roman" w:eastAsia="黑体" w:cs="Times New Roman"/>
          <w:kern w:val="0"/>
          <w:sz w:val="24"/>
          <w:szCs w:val="24"/>
          <w:lang w:bidi="ar"/>
        </w:rPr>
        <w:t>12</w:t>
      </w:r>
      <w:r>
        <w:rPr>
          <w:rFonts w:hint="eastAsia" w:ascii="Times New Roman" w:hAnsi="Times New Roman" w:eastAsia="黑体" w:cs="Times New Roman"/>
          <w:kern w:val="0"/>
          <w:sz w:val="24"/>
          <w:szCs w:val="24"/>
          <w:lang w:bidi="ar"/>
        </w:rPr>
        <w:t>：范围一排放计算方法示例</w:t>
      </w:r>
    </w:p>
    <w:tbl>
      <w:tblPr>
        <w:tblStyle w:val="8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0"/>
        <w:gridCol w:w="6316"/>
      </w:tblGrid>
      <w:tr w14:paraId="226E5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980" w:type="dxa"/>
          </w:tcPr>
          <w:p w14:paraId="68DBE1DB">
            <w:pPr>
              <w:widowControl/>
              <w:adjustRightInd w:val="0"/>
              <w:snapToGrid w:val="0"/>
              <w:jc w:val="center"/>
              <w:rPr>
                <w:rFonts w:ascii="仿宋_GB2312" w:hAnsi="Times New Roman" w:cs="Times New Roman"/>
                <w:b/>
                <w:bCs/>
                <w:kern w:val="0"/>
                <w:sz w:val="24"/>
                <w:szCs w:val="24"/>
              </w:rPr>
            </w:pPr>
            <w:r>
              <w:rPr>
                <w:rFonts w:hint="eastAsia" w:ascii="仿宋_GB2312" w:hAnsi="Times New Roman" w:cs="Times New Roman"/>
                <w:b/>
                <w:bCs/>
                <w:kern w:val="0"/>
                <w:sz w:val="24"/>
                <w:szCs w:val="24"/>
              </w:rPr>
              <w:t>范围一排放源</w:t>
            </w:r>
          </w:p>
        </w:tc>
        <w:tc>
          <w:tcPr>
            <w:tcW w:w="6316" w:type="dxa"/>
          </w:tcPr>
          <w:p w14:paraId="64B1E1D0">
            <w:pPr>
              <w:widowControl/>
              <w:adjustRightInd w:val="0"/>
              <w:snapToGrid w:val="0"/>
              <w:jc w:val="center"/>
              <w:rPr>
                <w:rFonts w:ascii="仿宋_GB2312" w:hAnsi="Times New Roman" w:cs="Times New Roman"/>
                <w:b/>
                <w:bCs/>
                <w:kern w:val="0"/>
                <w:sz w:val="24"/>
                <w:szCs w:val="24"/>
              </w:rPr>
            </w:pPr>
            <w:r>
              <w:rPr>
                <w:rFonts w:hint="eastAsia" w:ascii="仿宋_GB2312" w:hAnsi="Times New Roman" w:cs="Times New Roman"/>
                <w:b/>
                <w:bCs/>
                <w:kern w:val="0"/>
                <w:sz w:val="24"/>
                <w:szCs w:val="24"/>
              </w:rPr>
              <w:t>温室气体排放计算方法</w:t>
            </w:r>
          </w:p>
        </w:tc>
      </w:tr>
      <w:tr w14:paraId="34C40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0" w:type="dxa"/>
          </w:tcPr>
          <w:p w14:paraId="77BE4317">
            <w:pPr>
              <w:widowControl/>
              <w:adjustRightInd w:val="0"/>
              <w:snapToGrid w:val="0"/>
              <w:rPr>
                <w:rFonts w:ascii="仿宋_GB2312" w:hAnsi="Times New Roman" w:cs="Times New Roman"/>
                <w:kern w:val="0"/>
                <w:sz w:val="24"/>
                <w:szCs w:val="24"/>
              </w:rPr>
            </w:pPr>
            <w:r>
              <w:rPr>
                <w:rFonts w:hint="eastAsia" w:ascii="仿宋_GB2312" w:hAnsi="Times New Roman" w:cs="Times New Roman"/>
                <w:kern w:val="0"/>
                <w:sz w:val="24"/>
                <w:szCs w:val="24"/>
              </w:rPr>
              <w:t>固定排放源/移动排放源</w:t>
            </w:r>
          </w:p>
        </w:tc>
        <w:tc>
          <w:tcPr>
            <w:tcW w:w="6316" w:type="dxa"/>
          </w:tcPr>
          <w:p w14:paraId="36C4B8C8">
            <w:pPr>
              <w:widowControl/>
              <w:adjustRightInd w:val="0"/>
              <w:snapToGrid w:val="0"/>
              <w:rPr>
                <w:rFonts w:ascii="仿宋_GB2312" w:hAnsi="Times New Roman" w:cs="Times New Roman"/>
                <w:b/>
                <w:bCs/>
                <w:i/>
                <w:iCs/>
                <w:kern w:val="0"/>
                <w:sz w:val="24"/>
                <w:szCs w:val="24"/>
              </w:rPr>
            </w:pPr>
            <w:r>
              <w:rPr>
                <w:rFonts w:hint="eastAsia" w:ascii="仿宋_GB2312" w:hAnsi="Times New Roman" w:cs="Times New Roman"/>
                <w:b/>
                <w:bCs/>
                <w:i/>
                <w:iCs/>
                <w:kern w:val="0"/>
                <w:sz w:val="24"/>
                <w:szCs w:val="24"/>
              </w:rPr>
              <w:t>示例：排放因子法</w:t>
            </w:r>
          </w:p>
          <w:p w14:paraId="565A8A46">
            <w:pPr>
              <w:widowControl/>
              <w:adjustRightInd w:val="0"/>
              <w:snapToGrid w:val="0"/>
              <w:rPr>
                <w:rFonts w:ascii="仿宋_GB2312" w:hAnsi="Times New Roman" w:cs="Times New Roman"/>
                <w:kern w:val="0"/>
                <w:sz w:val="24"/>
                <w:szCs w:val="24"/>
              </w:rPr>
            </w:pPr>
            <w:r>
              <w:rPr>
                <w:rFonts w:hint="eastAsia" w:ascii="仿宋_GB2312" w:hAnsi="Times New Roman" w:cs="Times New Roman"/>
                <w:kern w:val="0"/>
                <w:sz w:val="24"/>
                <w:szCs w:val="24"/>
              </w:rPr>
              <w:t>采用排放因子法计算时，温室气体排放量为活动数据与温室气体排放因子的乘积</w:t>
            </w:r>
          </w:p>
          <w:p w14:paraId="11B41AF1">
            <w:pPr>
              <w:widowControl/>
              <w:adjustRightInd w:val="0"/>
              <w:snapToGrid w:val="0"/>
              <w:rPr>
                <w:rFonts w:ascii="仿宋_GB2312" w:hAnsi="Times New Roman" w:cs="Times New Roman"/>
                <w:kern w:val="0"/>
                <w:sz w:val="24"/>
                <w:szCs w:val="24"/>
              </w:rPr>
            </w:pPr>
            <m:oMathPara>
              <m:oMath>
                <m:sSub>
                  <m:sSubPr>
                    <m:ctrlPr>
                      <w:rPr>
                        <w:rFonts w:ascii="Cambria Math" w:hAnsi="Cambria Math" w:cs="Times New Roman"/>
                        <w:kern w:val="0"/>
                        <w:sz w:val="24"/>
                        <w:szCs w:val="24"/>
                      </w:rPr>
                    </m:ctrlPr>
                  </m:sSubPr>
                  <m:e>
                    <m:r>
                      <m:rPr/>
                      <w:rPr>
                        <w:rFonts w:ascii="Cambria Math" w:hAnsi="Cambria Math" w:cs="Times New Roman"/>
                        <w:kern w:val="0"/>
                        <w:sz w:val="24"/>
                        <w:szCs w:val="24"/>
                      </w:rPr>
                      <m:t>E</m:t>
                    </m:r>
                    <m:ctrlPr>
                      <w:rPr>
                        <w:rFonts w:ascii="Cambria Math" w:hAnsi="Cambria Math" w:cs="Times New Roman"/>
                        <w:kern w:val="0"/>
                        <w:sz w:val="24"/>
                        <w:szCs w:val="24"/>
                      </w:rPr>
                    </m:ctrlPr>
                  </m:e>
                  <m:sub>
                    <m:r>
                      <m:rPr/>
                      <w:rPr>
                        <w:rFonts w:hint="eastAsia" w:ascii="Cambria Math" w:hAnsi="Cambria Math" w:cs="Times New Roman"/>
                        <w:kern w:val="0"/>
                        <w:sz w:val="24"/>
                        <w:szCs w:val="24"/>
                      </w:rPr>
                      <m:t>GHG</m:t>
                    </m:r>
                    <m:ctrlPr>
                      <w:rPr>
                        <w:rFonts w:ascii="Cambria Math" w:hAnsi="Cambria Math" w:cs="Times New Roman"/>
                        <w:kern w:val="0"/>
                        <w:sz w:val="24"/>
                        <w:szCs w:val="24"/>
                      </w:rPr>
                    </m:ctrlPr>
                  </m:sub>
                </m:sSub>
                <m:r>
                  <m:rPr/>
                  <w:rPr>
                    <w:rFonts w:ascii="Cambria Math" w:hAnsi="Cambria Math" w:cs="Times New Roman"/>
                    <w:kern w:val="0"/>
                    <w:sz w:val="24"/>
                    <w:szCs w:val="24"/>
                  </w:rPr>
                  <m:t>=AD×EF×GWP</m:t>
                </m:r>
              </m:oMath>
            </m:oMathPara>
          </w:p>
          <w:p w14:paraId="4822119D">
            <w:pPr>
              <w:widowControl/>
              <w:adjustRightInd w:val="0"/>
              <w:snapToGrid w:val="0"/>
              <w:rPr>
                <w:rFonts w:ascii="仿宋_GB2312" w:hAnsi="Times New Roman" w:cs="Times New Roman"/>
                <w:iCs/>
                <w:kern w:val="0"/>
                <w:sz w:val="24"/>
                <w:szCs w:val="24"/>
              </w:rPr>
            </w:pPr>
            <m:oMath>
              <m:sSub>
                <m:sSubPr>
                  <m:ctrlPr>
                    <w:rPr>
                      <w:rFonts w:ascii="Cambria Math" w:hAnsi="Cambria Math" w:cs="Times New Roman"/>
                      <w:kern w:val="0"/>
                      <w:sz w:val="24"/>
                      <w:szCs w:val="24"/>
                    </w:rPr>
                  </m:ctrlPr>
                </m:sSubPr>
                <m:e>
                  <m:r>
                    <m:rPr/>
                    <w:rPr>
                      <w:rFonts w:ascii="Cambria Math" w:hAnsi="Cambria Math" w:cs="Times New Roman"/>
                      <w:kern w:val="0"/>
                      <w:sz w:val="24"/>
                      <w:szCs w:val="24"/>
                    </w:rPr>
                    <m:t>E</m:t>
                  </m:r>
                  <m:ctrlPr>
                    <w:rPr>
                      <w:rFonts w:ascii="Cambria Math" w:hAnsi="Cambria Math" w:cs="Times New Roman"/>
                      <w:kern w:val="0"/>
                      <w:sz w:val="24"/>
                      <w:szCs w:val="24"/>
                    </w:rPr>
                  </m:ctrlPr>
                </m:e>
                <m:sub>
                  <m:r>
                    <m:rPr/>
                    <w:rPr>
                      <w:rFonts w:hint="eastAsia" w:ascii="Cambria Math" w:hAnsi="Cambria Math" w:cs="Times New Roman"/>
                      <w:kern w:val="0"/>
                      <w:sz w:val="24"/>
                      <w:szCs w:val="24"/>
                    </w:rPr>
                    <m:t>GHG</m:t>
                  </m:r>
                  <m:ctrlPr>
                    <w:rPr>
                      <w:rFonts w:ascii="Cambria Math" w:hAnsi="Cambria Math" w:cs="Times New Roman"/>
                      <w:kern w:val="0"/>
                      <w:sz w:val="24"/>
                      <w:szCs w:val="24"/>
                    </w:rPr>
                  </m:ctrlPr>
                </m:sub>
              </m:sSub>
            </m:oMath>
            <w:r>
              <w:rPr>
                <w:rFonts w:hint="eastAsia" w:ascii="仿宋_GB2312" w:hAnsi="Times New Roman" w:cs="Times New Roman"/>
                <w:iCs/>
                <w:kern w:val="0"/>
                <w:sz w:val="24"/>
                <w:szCs w:val="24"/>
              </w:rPr>
              <w:t>——温室气体排放量，单位为吨二氧化碳当量（</w:t>
            </w:r>
            <w:r>
              <w:rPr>
                <w:rFonts w:ascii="Times New Roman" w:hAnsi="Times New Roman" w:cs="Times New Roman"/>
                <w:iCs/>
                <w:kern w:val="0"/>
                <w:sz w:val="24"/>
                <w:szCs w:val="24"/>
              </w:rPr>
              <w:t>t</w:t>
            </w:r>
            <w:r>
              <w:rPr>
                <w:rFonts w:ascii="Times New Roman" w:hAnsi="Times New Roman" w:cs="Times New Roman"/>
                <w:kern w:val="0"/>
                <w:sz w:val="24"/>
                <w:szCs w:val="24"/>
              </w:rPr>
              <w:t>CO</w:t>
            </w:r>
            <w:r>
              <w:rPr>
                <w:rFonts w:ascii="Times New Roman" w:hAnsi="Times New Roman" w:cs="Times New Roman"/>
                <w:kern w:val="0"/>
                <w:sz w:val="24"/>
                <w:szCs w:val="24"/>
                <w:vertAlign w:val="subscript"/>
              </w:rPr>
              <w:t>2</w:t>
            </w:r>
            <w:r>
              <w:rPr>
                <w:rFonts w:ascii="Times New Roman" w:hAnsi="Times New Roman" w:cs="Times New Roman"/>
                <w:kern w:val="0"/>
                <w:sz w:val="24"/>
                <w:szCs w:val="24"/>
              </w:rPr>
              <w:t>e</w:t>
            </w:r>
            <w:r>
              <w:rPr>
                <w:rFonts w:hint="eastAsia" w:ascii="仿宋_GB2312" w:hAnsi="Times New Roman" w:cs="Times New Roman"/>
                <w:iCs/>
                <w:kern w:val="0"/>
                <w:sz w:val="24"/>
                <w:szCs w:val="24"/>
              </w:rPr>
              <w:t>）</w:t>
            </w:r>
          </w:p>
          <w:p w14:paraId="52327F6B">
            <w:pPr>
              <w:widowControl/>
              <w:adjustRightInd w:val="0"/>
              <w:snapToGrid w:val="0"/>
              <w:rPr>
                <w:rFonts w:ascii="仿宋_GB2312" w:hAnsi="Times New Roman" w:cs="Times New Roman"/>
                <w:iCs/>
                <w:kern w:val="0"/>
                <w:sz w:val="24"/>
                <w:szCs w:val="24"/>
              </w:rPr>
            </w:pPr>
            <m:oMath>
              <m:r>
                <m:rPr/>
                <w:rPr>
                  <w:rFonts w:ascii="Cambria Math" w:hAnsi="Cambria Math" w:cs="Times New Roman"/>
                  <w:kern w:val="0"/>
                  <w:sz w:val="24"/>
                  <w:szCs w:val="24"/>
                </w:rPr>
                <m:t>AD</m:t>
              </m:r>
            </m:oMath>
            <w:r>
              <w:rPr>
                <w:rFonts w:hint="eastAsia" w:ascii="仿宋_GB2312" w:hAnsi="Times New Roman" w:cs="Times New Roman"/>
                <w:iCs/>
                <w:kern w:val="0"/>
                <w:sz w:val="24"/>
                <w:szCs w:val="24"/>
              </w:rPr>
              <w:t>——温室气体活动数据（如锅炉、车辆等排放源的化石燃料消耗量），单位根据具体排放源确定</w:t>
            </w:r>
          </w:p>
          <w:p w14:paraId="0F037AFA">
            <w:pPr>
              <w:widowControl/>
              <w:adjustRightInd w:val="0"/>
              <w:snapToGrid w:val="0"/>
              <w:rPr>
                <w:rFonts w:ascii="仿宋_GB2312" w:hAnsi="Times New Roman" w:cs="Times New Roman"/>
                <w:iCs/>
                <w:kern w:val="0"/>
                <w:sz w:val="24"/>
                <w:szCs w:val="24"/>
              </w:rPr>
            </w:pPr>
            <m:oMath>
              <m:r>
                <m:rPr/>
                <w:rPr>
                  <w:rFonts w:ascii="Cambria Math" w:hAnsi="Cambria Math" w:cs="Times New Roman"/>
                  <w:kern w:val="0"/>
                  <w:sz w:val="24"/>
                  <w:szCs w:val="24"/>
                </w:rPr>
                <m:t>EF</m:t>
              </m:r>
            </m:oMath>
            <w:r>
              <w:rPr>
                <w:rFonts w:hint="eastAsia" w:ascii="仿宋_GB2312" w:hAnsi="Times New Roman" w:cs="Times New Roman"/>
                <w:iCs/>
                <w:kern w:val="0"/>
                <w:sz w:val="24"/>
                <w:szCs w:val="24"/>
              </w:rPr>
              <w:t>——温室气体排放因子（如每吨化石燃料二氧化碳排放当量），单位与活动数据的单位相匹配</w:t>
            </w:r>
          </w:p>
          <w:p w14:paraId="1AD3DDB2">
            <w:pPr>
              <w:widowControl/>
              <w:adjustRightInd w:val="0"/>
              <w:snapToGrid w:val="0"/>
              <w:rPr>
                <w:rFonts w:ascii="仿宋_GB2312" w:hAnsi="Times New Roman" w:cs="Times New Roman"/>
                <w:kern w:val="0"/>
                <w:sz w:val="24"/>
                <w:szCs w:val="24"/>
              </w:rPr>
            </w:pPr>
            <m:oMath>
              <m:r>
                <m:rPr/>
                <w:rPr>
                  <w:rFonts w:ascii="Cambria Math" w:hAnsi="Cambria Math" w:cs="Times New Roman"/>
                  <w:kern w:val="0"/>
                  <w:sz w:val="24"/>
                  <w:szCs w:val="24"/>
                </w:rPr>
                <m:t>GWP</m:t>
              </m:r>
            </m:oMath>
            <w:r>
              <w:rPr>
                <w:rFonts w:hint="eastAsia" w:ascii="仿宋_GB2312" w:hAnsi="Times New Roman" w:cs="Times New Roman"/>
                <w:iCs/>
                <w:kern w:val="0"/>
                <w:sz w:val="24"/>
                <w:szCs w:val="24"/>
              </w:rPr>
              <w:t>——全球变暖潜势值，数值可参考政府间气候变化专门委员会（</w:t>
            </w:r>
            <w:r>
              <w:rPr>
                <w:rFonts w:ascii="Times New Roman" w:hAnsi="Times New Roman" w:cs="Times New Roman"/>
                <w:iCs/>
                <w:kern w:val="0"/>
                <w:sz w:val="24"/>
                <w:szCs w:val="24"/>
              </w:rPr>
              <w:t>IPCC</w:t>
            </w:r>
            <w:r>
              <w:rPr>
                <w:rFonts w:hint="eastAsia" w:ascii="仿宋_GB2312" w:hAnsi="Times New Roman" w:cs="Times New Roman"/>
                <w:iCs/>
                <w:kern w:val="0"/>
                <w:sz w:val="24"/>
                <w:szCs w:val="24"/>
              </w:rPr>
              <w:t>）最新提供的数据</w:t>
            </w:r>
          </w:p>
        </w:tc>
      </w:tr>
      <w:tr w14:paraId="45081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0" w:type="dxa"/>
          </w:tcPr>
          <w:p w14:paraId="60E11502">
            <w:pPr>
              <w:widowControl/>
              <w:adjustRightInd w:val="0"/>
              <w:snapToGrid w:val="0"/>
              <w:rPr>
                <w:rFonts w:ascii="仿宋_GB2312" w:hAnsi="Times New Roman" w:cs="Times New Roman"/>
                <w:kern w:val="0"/>
                <w:sz w:val="24"/>
                <w:szCs w:val="24"/>
              </w:rPr>
            </w:pPr>
            <w:r>
              <w:rPr>
                <w:rFonts w:hint="eastAsia" w:ascii="仿宋_GB2312" w:hAnsi="Times New Roman" w:cs="Times New Roman"/>
                <w:kern w:val="0"/>
                <w:sz w:val="24"/>
                <w:szCs w:val="24"/>
              </w:rPr>
              <w:t>过程排放</w:t>
            </w:r>
          </w:p>
        </w:tc>
        <w:tc>
          <w:tcPr>
            <w:tcW w:w="6316" w:type="dxa"/>
          </w:tcPr>
          <w:p w14:paraId="0363379A">
            <w:pPr>
              <w:widowControl/>
              <w:adjustRightInd w:val="0"/>
              <w:snapToGrid w:val="0"/>
              <w:rPr>
                <w:rFonts w:ascii="仿宋_GB2312" w:hAnsi="Times New Roman" w:cs="Times New Roman"/>
                <w:b/>
                <w:bCs/>
                <w:i/>
                <w:iCs/>
                <w:kern w:val="0"/>
                <w:sz w:val="24"/>
                <w:szCs w:val="24"/>
              </w:rPr>
            </w:pPr>
            <w:r>
              <w:rPr>
                <w:rFonts w:hint="eastAsia" w:ascii="仿宋_GB2312" w:hAnsi="Times New Roman" w:cs="Times New Roman"/>
                <w:b/>
                <w:bCs/>
                <w:i/>
                <w:iCs/>
                <w:kern w:val="0"/>
                <w:sz w:val="24"/>
                <w:szCs w:val="24"/>
              </w:rPr>
              <w:t>示例：物料平衡法</w:t>
            </w:r>
          </w:p>
          <w:p w14:paraId="1FD634A0">
            <w:pPr>
              <w:widowControl/>
              <w:adjustRightInd w:val="0"/>
              <w:snapToGrid w:val="0"/>
              <w:rPr>
                <w:rFonts w:ascii="仿宋_GB2312" w:hAnsi="Times New Roman" w:cs="Times New Roman"/>
                <w:kern w:val="0"/>
                <w:sz w:val="24"/>
                <w:szCs w:val="24"/>
              </w:rPr>
            </w:pPr>
            <w:r>
              <w:rPr>
                <w:rFonts w:hint="eastAsia" w:ascii="仿宋_GB2312" w:hAnsi="Times New Roman" w:cs="Times New Roman"/>
                <w:kern w:val="0"/>
                <w:sz w:val="24"/>
                <w:szCs w:val="24"/>
              </w:rPr>
              <w:t>使用物料平衡法计算时，根据质量守恒定律，用输入物料中的含碳量减去输出物料中的含碳量进行平衡计算得到二氧化碳排放量。</w:t>
            </w:r>
          </w:p>
          <w:p w14:paraId="765FD498">
            <w:pPr>
              <w:widowControl/>
              <w:adjustRightInd w:val="0"/>
              <w:snapToGrid w:val="0"/>
              <w:rPr>
                <w:rFonts w:ascii="仿宋_GB2312" w:hAnsi="Times New Roman" w:cs="Times New Roman"/>
                <w:i/>
                <w:iCs/>
                <w:kern w:val="0"/>
                <w:sz w:val="24"/>
                <w:szCs w:val="24"/>
              </w:rPr>
            </w:pPr>
            <m:oMathPara>
              <m:oMath>
                <m:sSub>
                  <m:sSubPr>
                    <m:ctrlPr>
                      <w:rPr>
                        <w:rFonts w:ascii="Cambria Math" w:hAnsi="Cambria Math" w:cs="Times New Roman"/>
                        <w:kern w:val="0"/>
                        <w:sz w:val="24"/>
                        <w:szCs w:val="24"/>
                      </w:rPr>
                    </m:ctrlPr>
                  </m:sSubPr>
                  <m:e>
                    <m:r>
                      <m:rPr/>
                      <w:rPr>
                        <w:rFonts w:ascii="Cambria Math" w:hAnsi="Cambria Math" w:cs="Times New Roman"/>
                        <w:kern w:val="0"/>
                        <w:sz w:val="24"/>
                        <w:szCs w:val="24"/>
                      </w:rPr>
                      <m:t>E</m:t>
                    </m:r>
                    <m:ctrlPr>
                      <w:rPr>
                        <w:rFonts w:ascii="Cambria Math" w:hAnsi="Cambria Math" w:cs="Times New Roman"/>
                        <w:kern w:val="0"/>
                        <w:sz w:val="24"/>
                        <w:szCs w:val="24"/>
                      </w:rPr>
                    </m:ctrlPr>
                  </m:e>
                  <m:sub>
                    <m:r>
                      <m:rPr/>
                      <w:rPr>
                        <w:rFonts w:hint="eastAsia" w:ascii="Cambria Math" w:hAnsi="Cambria Math" w:cs="Times New Roman"/>
                        <w:kern w:val="0"/>
                        <w:sz w:val="24"/>
                        <w:szCs w:val="24"/>
                      </w:rPr>
                      <m:t>GHG</m:t>
                    </m:r>
                    <m:ctrlPr>
                      <w:rPr>
                        <w:rFonts w:ascii="Cambria Math" w:hAnsi="Cambria Math" w:cs="Times New Roman"/>
                        <w:kern w:val="0"/>
                        <w:sz w:val="24"/>
                        <w:szCs w:val="24"/>
                      </w:rPr>
                    </m:ctrlPr>
                  </m:sub>
                </m:sSub>
                <m:r>
                  <m:rPr/>
                  <w:rPr>
                    <w:rFonts w:ascii="Cambria Math" w:hAnsi="Cambria Math" w:cs="Times New Roman"/>
                    <w:kern w:val="0"/>
                    <w:sz w:val="24"/>
                    <w:szCs w:val="24"/>
                  </w:rPr>
                  <m:t>=</m:t>
                </m:r>
                <m:d>
                  <m:dPr>
                    <m:begChr m:val="["/>
                    <m:endChr m:val="]"/>
                    <m:ctrlPr>
                      <w:rPr>
                        <w:rFonts w:ascii="Cambria Math" w:hAnsi="Cambria Math" w:cs="Times New Roman"/>
                        <w:i/>
                        <w:kern w:val="0"/>
                        <w:sz w:val="24"/>
                        <w:szCs w:val="24"/>
                      </w:rPr>
                    </m:ctrlPr>
                  </m:dPr>
                  <m:e>
                    <m:nary>
                      <m:naryPr>
                        <m:chr m:val="∑"/>
                        <m:limLoc m:val="undOvr"/>
                        <m:subHide m:val="1"/>
                        <m:supHide m:val="1"/>
                        <m:ctrlPr>
                          <w:rPr>
                            <w:rFonts w:ascii="Cambria Math" w:hAnsi="Cambria Math" w:cs="Times New Roman"/>
                            <w:i/>
                            <w:kern w:val="0"/>
                            <w:sz w:val="24"/>
                            <w:szCs w:val="24"/>
                          </w:rPr>
                        </m:ctrlPr>
                      </m:naryPr>
                      <m:sub>
                        <m:ctrlPr>
                          <w:rPr>
                            <w:rFonts w:ascii="Cambria Math" w:hAnsi="Cambria Math" w:cs="Times New Roman"/>
                            <w:i/>
                            <w:kern w:val="0"/>
                            <w:sz w:val="24"/>
                            <w:szCs w:val="24"/>
                          </w:rPr>
                        </m:ctrlPr>
                      </m:sub>
                      <m:sup>
                        <m:ctrlPr>
                          <w:rPr>
                            <w:rFonts w:ascii="Cambria Math" w:hAnsi="Cambria Math" w:cs="Times New Roman"/>
                            <w:i/>
                            <w:kern w:val="0"/>
                            <w:sz w:val="24"/>
                            <w:szCs w:val="24"/>
                          </w:rPr>
                        </m:ctrlPr>
                      </m:sup>
                      <m:e>
                        <m:r>
                          <m:rPr>
                            <m:sty m:val="p"/>
                          </m:rPr>
                          <w:rPr>
                            <w:rFonts w:hint="eastAsia" w:ascii="Cambria Math" w:hAnsi="Cambria Math" w:cs="Times New Roman"/>
                            <w:kern w:val="0"/>
                            <w:sz w:val="24"/>
                            <w:szCs w:val="24"/>
                          </w:rPr>
                          <m:t>（</m:t>
                        </m:r>
                        <m:sSub>
                          <m:sSubPr>
                            <m:ctrlPr>
                              <w:rPr>
                                <w:rFonts w:ascii="Cambria Math" w:hAnsi="Cambria Math" w:cs="Times New Roman"/>
                                <w:kern w:val="0"/>
                                <w:sz w:val="24"/>
                                <w:szCs w:val="24"/>
                              </w:rPr>
                            </m:ctrlPr>
                          </m:sSubPr>
                          <m:e>
                            <m:r>
                              <m:rPr/>
                              <w:rPr>
                                <w:rFonts w:hint="eastAsia" w:ascii="Cambria Math" w:hAnsi="Cambria Math" w:cs="Times New Roman"/>
                                <w:kern w:val="0"/>
                                <w:sz w:val="24"/>
                                <w:szCs w:val="24"/>
                              </w:rPr>
                              <m:t>M</m:t>
                            </m:r>
                            <m:ctrlPr>
                              <w:rPr>
                                <w:rFonts w:ascii="Cambria Math" w:hAnsi="Cambria Math" w:cs="Times New Roman"/>
                                <w:kern w:val="0"/>
                                <w:sz w:val="24"/>
                                <w:szCs w:val="24"/>
                              </w:rPr>
                            </m:ctrlPr>
                          </m:e>
                          <m:sub>
                            <m:r>
                              <m:rPr/>
                              <w:rPr>
                                <w:rFonts w:ascii="Cambria Math" w:hAnsi="Cambria Math" w:cs="Times New Roman"/>
                                <w:kern w:val="0"/>
                                <w:sz w:val="24"/>
                                <w:szCs w:val="24"/>
                              </w:rPr>
                              <m:t>1</m:t>
                            </m:r>
                            <m:ctrlPr>
                              <w:rPr>
                                <w:rFonts w:ascii="Cambria Math" w:hAnsi="Cambria Math" w:cs="Times New Roman"/>
                                <w:kern w:val="0"/>
                                <w:sz w:val="24"/>
                                <w:szCs w:val="24"/>
                              </w:rPr>
                            </m:ctrlPr>
                          </m:sub>
                        </m:sSub>
                        <m:r>
                          <m:rPr/>
                          <w:rPr>
                            <w:rFonts w:ascii="Cambria Math" w:hAnsi="Cambria Math" w:cs="Times New Roman"/>
                            <w:kern w:val="0"/>
                            <w:sz w:val="24"/>
                            <w:szCs w:val="24"/>
                          </w:rPr>
                          <m:t>×</m:t>
                        </m:r>
                        <m:sSub>
                          <m:sSubPr>
                            <m:ctrlPr>
                              <w:rPr>
                                <w:rFonts w:ascii="Cambria Math" w:hAnsi="Cambria Math" w:cs="Times New Roman"/>
                                <w:kern w:val="0"/>
                                <w:sz w:val="24"/>
                                <w:szCs w:val="24"/>
                              </w:rPr>
                            </m:ctrlPr>
                          </m:sSubPr>
                          <m:e>
                            <m:r>
                              <m:rPr/>
                              <w:rPr>
                                <w:rFonts w:hint="eastAsia" w:ascii="Cambria Math" w:hAnsi="Cambria Math" w:cs="Times New Roman"/>
                                <w:kern w:val="0"/>
                                <w:sz w:val="24"/>
                                <w:szCs w:val="24"/>
                              </w:rPr>
                              <m:t>CC</m:t>
                            </m:r>
                            <m:ctrlPr>
                              <w:rPr>
                                <w:rFonts w:ascii="Cambria Math" w:hAnsi="Cambria Math" w:cs="Times New Roman"/>
                                <w:kern w:val="0"/>
                                <w:sz w:val="24"/>
                                <w:szCs w:val="24"/>
                              </w:rPr>
                            </m:ctrlPr>
                          </m:e>
                          <m:sub>
                            <m:r>
                              <m:rPr/>
                              <w:rPr>
                                <w:rFonts w:ascii="Cambria Math" w:hAnsi="Cambria Math" w:cs="Times New Roman"/>
                                <w:kern w:val="0"/>
                                <w:sz w:val="24"/>
                                <w:szCs w:val="24"/>
                              </w:rPr>
                              <m:t>1</m:t>
                            </m:r>
                            <m:ctrlPr>
                              <w:rPr>
                                <w:rFonts w:ascii="Cambria Math" w:hAnsi="Cambria Math" w:cs="Times New Roman"/>
                                <w:kern w:val="0"/>
                                <w:sz w:val="24"/>
                                <w:szCs w:val="24"/>
                              </w:rPr>
                            </m:ctrlPr>
                          </m:sub>
                        </m:sSub>
                        <m:r>
                          <m:rPr>
                            <m:sty m:val="p"/>
                          </m:rPr>
                          <w:rPr>
                            <w:rFonts w:hint="eastAsia" w:ascii="Cambria Math" w:hAnsi="Cambria Math" w:cs="Times New Roman"/>
                            <w:kern w:val="0"/>
                            <w:sz w:val="24"/>
                            <w:szCs w:val="24"/>
                          </w:rPr>
                          <m:t>）</m:t>
                        </m:r>
                        <m:r>
                          <m:rPr/>
                          <w:rPr>
                            <w:rFonts w:ascii="Cambria Math" w:hAnsi="Cambria Math" w:cs="Times New Roman"/>
                            <w:kern w:val="0"/>
                            <w:sz w:val="24"/>
                            <w:szCs w:val="24"/>
                          </w:rPr>
                          <m:t>−</m:t>
                        </m:r>
                        <m:nary>
                          <m:naryPr>
                            <m:chr m:val="∑"/>
                            <m:limLoc m:val="undOvr"/>
                            <m:subHide m:val="1"/>
                            <m:supHide m:val="1"/>
                            <m:ctrlPr>
                              <w:rPr>
                                <w:rFonts w:ascii="Cambria Math" w:hAnsi="Cambria Math" w:cs="Times New Roman"/>
                                <w:i/>
                                <w:kern w:val="0"/>
                                <w:sz w:val="24"/>
                                <w:szCs w:val="24"/>
                              </w:rPr>
                            </m:ctrlPr>
                          </m:naryPr>
                          <m:sub>
                            <m:ctrlPr>
                              <w:rPr>
                                <w:rFonts w:ascii="Cambria Math" w:hAnsi="Cambria Math" w:cs="Times New Roman"/>
                                <w:i/>
                                <w:kern w:val="0"/>
                                <w:sz w:val="24"/>
                                <w:szCs w:val="24"/>
                              </w:rPr>
                            </m:ctrlPr>
                          </m:sub>
                          <m:sup>
                            <m:ctrlPr>
                              <w:rPr>
                                <w:rFonts w:ascii="Cambria Math" w:hAnsi="Cambria Math" w:cs="Times New Roman"/>
                                <w:i/>
                                <w:kern w:val="0"/>
                                <w:sz w:val="24"/>
                                <w:szCs w:val="24"/>
                              </w:rPr>
                            </m:ctrlPr>
                          </m:sup>
                          <m:e>
                            <m:r>
                              <m:rPr>
                                <m:sty m:val="p"/>
                              </m:rPr>
                              <w:rPr>
                                <w:rFonts w:hint="eastAsia" w:ascii="Cambria Math" w:hAnsi="Cambria Math" w:cs="Times New Roman"/>
                                <w:kern w:val="0"/>
                                <w:sz w:val="24"/>
                                <w:szCs w:val="24"/>
                              </w:rPr>
                              <m:t>（</m:t>
                            </m:r>
                            <m:sSub>
                              <m:sSubPr>
                                <m:ctrlPr>
                                  <w:rPr>
                                    <w:rFonts w:ascii="Cambria Math" w:hAnsi="Cambria Math" w:cs="Times New Roman"/>
                                    <w:kern w:val="0"/>
                                    <w:sz w:val="24"/>
                                    <w:szCs w:val="24"/>
                                  </w:rPr>
                                </m:ctrlPr>
                              </m:sSubPr>
                              <m:e>
                                <m:r>
                                  <m:rPr/>
                                  <w:rPr>
                                    <w:rFonts w:hint="eastAsia" w:ascii="Cambria Math" w:hAnsi="Cambria Math" w:cs="Times New Roman"/>
                                    <w:kern w:val="0"/>
                                    <w:sz w:val="24"/>
                                    <w:szCs w:val="24"/>
                                  </w:rPr>
                                  <m:t>M</m:t>
                                </m:r>
                                <m:ctrlPr>
                                  <w:rPr>
                                    <w:rFonts w:ascii="Cambria Math" w:hAnsi="Cambria Math" w:cs="Times New Roman"/>
                                    <w:kern w:val="0"/>
                                    <w:sz w:val="24"/>
                                    <w:szCs w:val="24"/>
                                  </w:rPr>
                                </m:ctrlPr>
                              </m:e>
                              <m:sub>
                                <m:r>
                                  <m:rPr/>
                                  <w:rPr>
                                    <w:rFonts w:ascii="Cambria Math" w:hAnsi="Cambria Math" w:cs="Times New Roman"/>
                                    <w:kern w:val="0"/>
                                    <w:sz w:val="24"/>
                                    <w:szCs w:val="24"/>
                                  </w:rPr>
                                  <m:t>0</m:t>
                                </m:r>
                                <m:ctrlPr>
                                  <w:rPr>
                                    <w:rFonts w:ascii="Cambria Math" w:hAnsi="Cambria Math" w:cs="Times New Roman"/>
                                    <w:kern w:val="0"/>
                                    <w:sz w:val="24"/>
                                    <w:szCs w:val="24"/>
                                  </w:rPr>
                                </m:ctrlPr>
                              </m:sub>
                            </m:sSub>
                            <m:r>
                              <m:rPr/>
                              <w:rPr>
                                <w:rFonts w:ascii="Cambria Math" w:hAnsi="Cambria Math" w:cs="Times New Roman"/>
                                <w:kern w:val="0"/>
                                <w:sz w:val="24"/>
                                <w:szCs w:val="24"/>
                              </w:rPr>
                              <m:t>×</m:t>
                            </m:r>
                            <m:sSub>
                              <m:sSubPr>
                                <m:ctrlPr>
                                  <w:rPr>
                                    <w:rFonts w:ascii="Cambria Math" w:hAnsi="Cambria Math" w:cs="Times New Roman"/>
                                    <w:kern w:val="0"/>
                                    <w:sz w:val="24"/>
                                    <w:szCs w:val="24"/>
                                  </w:rPr>
                                </m:ctrlPr>
                              </m:sSubPr>
                              <m:e>
                                <m:r>
                                  <m:rPr/>
                                  <w:rPr>
                                    <w:rFonts w:hint="eastAsia" w:ascii="Cambria Math" w:hAnsi="Cambria Math" w:cs="Times New Roman"/>
                                    <w:kern w:val="0"/>
                                    <w:sz w:val="24"/>
                                    <w:szCs w:val="24"/>
                                  </w:rPr>
                                  <m:t>CC</m:t>
                                </m:r>
                                <m:ctrlPr>
                                  <w:rPr>
                                    <w:rFonts w:ascii="Cambria Math" w:hAnsi="Cambria Math" w:cs="Times New Roman"/>
                                    <w:kern w:val="0"/>
                                    <w:sz w:val="24"/>
                                    <w:szCs w:val="24"/>
                                  </w:rPr>
                                </m:ctrlPr>
                              </m:e>
                              <m:sub>
                                <m:r>
                                  <m:rPr/>
                                  <w:rPr>
                                    <w:rFonts w:ascii="Cambria Math" w:hAnsi="Cambria Math" w:cs="Times New Roman"/>
                                    <w:kern w:val="0"/>
                                    <w:sz w:val="24"/>
                                    <w:szCs w:val="24"/>
                                  </w:rPr>
                                  <m:t>0</m:t>
                                </m:r>
                                <m:ctrlPr>
                                  <w:rPr>
                                    <w:rFonts w:ascii="Cambria Math" w:hAnsi="Cambria Math" w:cs="Times New Roman"/>
                                    <w:kern w:val="0"/>
                                    <w:sz w:val="24"/>
                                    <w:szCs w:val="24"/>
                                  </w:rPr>
                                </m:ctrlPr>
                              </m:sub>
                            </m:sSub>
                            <m:r>
                              <m:rPr>
                                <m:sty m:val="p"/>
                              </m:rPr>
                              <w:rPr>
                                <w:rFonts w:hint="eastAsia" w:ascii="Cambria Math" w:hAnsi="Cambria Math" w:cs="Times New Roman"/>
                                <w:kern w:val="0"/>
                                <w:sz w:val="24"/>
                                <w:szCs w:val="24"/>
                              </w:rPr>
                              <m:t>）</m:t>
                            </m:r>
                            <m:ctrlPr>
                              <w:rPr>
                                <w:rFonts w:ascii="Cambria Math" w:hAnsi="Cambria Math" w:cs="Times New Roman"/>
                                <w:i/>
                                <w:kern w:val="0"/>
                                <w:sz w:val="24"/>
                                <w:szCs w:val="24"/>
                              </w:rPr>
                            </m:ctrlPr>
                          </m:e>
                        </m:nary>
                        <m:ctrlPr>
                          <w:rPr>
                            <w:rFonts w:ascii="Cambria Math" w:hAnsi="Cambria Math" w:cs="Times New Roman"/>
                            <w:i/>
                            <w:kern w:val="0"/>
                            <w:sz w:val="24"/>
                            <w:szCs w:val="24"/>
                          </w:rPr>
                        </m:ctrlPr>
                      </m:e>
                    </m:nary>
                    <m:ctrlPr>
                      <w:rPr>
                        <w:rFonts w:ascii="Cambria Math" w:hAnsi="Cambria Math" w:cs="Times New Roman"/>
                        <w:i/>
                        <w:kern w:val="0"/>
                        <w:sz w:val="24"/>
                        <w:szCs w:val="24"/>
                      </w:rPr>
                    </m:ctrlPr>
                  </m:e>
                </m:d>
                <m:r>
                  <m:rPr/>
                  <w:rPr>
                    <w:rFonts w:ascii="Cambria Math" w:hAnsi="Cambria Math" w:cs="Times New Roman"/>
                    <w:kern w:val="0"/>
                    <w:sz w:val="24"/>
                    <w:szCs w:val="24"/>
                  </w:rPr>
                  <m:t>×</m:t>
                </m:r>
                <m:f>
                  <m:fPr>
                    <m:ctrlPr>
                      <w:rPr>
                        <w:rFonts w:ascii="Cambria Math" w:hAnsi="Cambria Math" w:cs="Times New Roman"/>
                        <w:i/>
                        <w:kern w:val="0"/>
                        <w:sz w:val="24"/>
                        <w:szCs w:val="24"/>
                      </w:rPr>
                    </m:ctrlPr>
                  </m:fPr>
                  <m:num>
                    <m:r>
                      <m:rPr/>
                      <w:rPr>
                        <w:rFonts w:ascii="Cambria Math" w:hAnsi="Cambria Math" w:cs="Times New Roman"/>
                        <w:kern w:val="0"/>
                        <w:sz w:val="24"/>
                        <w:szCs w:val="24"/>
                      </w:rPr>
                      <m:t>44</m:t>
                    </m:r>
                    <m:ctrlPr>
                      <w:rPr>
                        <w:rFonts w:ascii="Cambria Math" w:hAnsi="Cambria Math" w:cs="Times New Roman"/>
                        <w:i/>
                        <w:kern w:val="0"/>
                        <w:sz w:val="24"/>
                        <w:szCs w:val="24"/>
                      </w:rPr>
                    </m:ctrlPr>
                  </m:num>
                  <m:den>
                    <m:r>
                      <m:rPr/>
                      <w:rPr>
                        <w:rFonts w:ascii="Cambria Math" w:hAnsi="Cambria Math" w:cs="Times New Roman"/>
                        <w:kern w:val="0"/>
                        <w:sz w:val="24"/>
                        <w:szCs w:val="24"/>
                      </w:rPr>
                      <m:t>12</m:t>
                    </m:r>
                    <m:ctrlPr>
                      <w:rPr>
                        <w:rFonts w:ascii="Cambria Math" w:hAnsi="Cambria Math" w:cs="Times New Roman"/>
                        <w:i/>
                        <w:kern w:val="0"/>
                        <w:sz w:val="24"/>
                        <w:szCs w:val="24"/>
                      </w:rPr>
                    </m:ctrlPr>
                  </m:den>
                </m:f>
                <m:r>
                  <m:rPr/>
                  <w:rPr>
                    <w:rFonts w:ascii="Cambria Math" w:hAnsi="Cambria Math" w:cs="Times New Roman"/>
                    <w:kern w:val="0"/>
                    <w:sz w:val="24"/>
                    <w:szCs w:val="24"/>
                  </w:rPr>
                  <m:t>×</m:t>
                </m:r>
                <m:r>
                  <m:rPr/>
                  <w:rPr>
                    <w:rFonts w:hint="eastAsia" w:ascii="Cambria Math" w:hAnsi="Cambria Math" w:cs="Times New Roman"/>
                    <w:kern w:val="0"/>
                    <w:sz w:val="24"/>
                    <w:szCs w:val="24"/>
                  </w:rPr>
                  <m:t>GWP</m:t>
                </m:r>
              </m:oMath>
            </m:oMathPara>
          </w:p>
          <w:p w14:paraId="00D49698">
            <w:pPr>
              <w:widowControl/>
              <w:adjustRightInd w:val="0"/>
              <w:snapToGrid w:val="0"/>
              <w:rPr>
                <w:rFonts w:ascii="仿宋_GB2312" w:hAnsi="Times New Roman" w:cs="Times New Roman"/>
                <w:iCs/>
                <w:kern w:val="0"/>
                <w:sz w:val="24"/>
                <w:szCs w:val="24"/>
              </w:rPr>
            </w:pPr>
            <m:oMath>
              <m:sSub>
                <m:sSubPr>
                  <m:ctrlPr>
                    <w:rPr>
                      <w:rFonts w:ascii="Cambria Math" w:hAnsi="Cambria Math" w:cs="Times New Roman"/>
                      <w:kern w:val="0"/>
                      <w:sz w:val="24"/>
                      <w:szCs w:val="24"/>
                    </w:rPr>
                  </m:ctrlPr>
                </m:sSubPr>
                <m:e>
                  <m:r>
                    <m:rPr/>
                    <w:rPr>
                      <w:rFonts w:ascii="Cambria Math" w:hAnsi="Cambria Math" w:cs="Times New Roman"/>
                      <w:kern w:val="0"/>
                      <w:sz w:val="24"/>
                      <w:szCs w:val="24"/>
                    </w:rPr>
                    <m:t>E</m:t>
                  </m:r>
                  <m:ctrlPr>
                    <w:rPr>
                      <w:rFonts w:ascii="Cambria Math" w:hAnsi="Cambria Math" w:cs="Times New Roman"/>
                      <w:kern w:val="0"/>
                      <w:sz w:val="24"/>
                      <w:szCs w:val="24"/>
                    </w:rPr>
                  </m:ctrlPr>
                </m:e>
                <m:sub>
                  <m:r>
                    <m:rPr/>
                    <w:rPr>
                      <w:rFonts w:hint="eastAsia" w:ascii="Cambria Math" w:hAnsi="Cambria Math" w:cs="Times New Roman"/>
                      <w:kern w:val="0"/>
                      <w:sz w:val="24"/>
                      <w:szCs w:val="24"/>
                    </w:rPr>
                    <m:t>GHG</m:t>
                  </m:r>
                  <m:ctrlPr>
                    <w:rPr>
                      <w:rFonts w:ascii="Cambria Math" w:hAnsi="Cambria Math" w:cs="Times New Roman"/>
                      <w:kern w:val="0"/>
                      <w:sz w:val="24"/>
                      <w:szCs w:val="24"/>
                    </w:rPr>
                  </m:ctrlPr>
                </m:sub>
              </m:sSub>
            </m:oMath>
            <w:r>
              <w:rPr>
                <w:rFonts w:hint="eastAsia" w:ascii="仿宋_GB2312" w:hAnsi="Times New Roman" w:cs="Times New Roman"/>
                <w:iCs/>
                <w:kern w:val="0"/>
                <w:sz w:val="24"/>
                <w:szCs w:val="24"/>
              </w:rPr>
              <w:t>——温室气体排放量，单位为吨二氧化碳当量（</w:t>
            </w:r>
            <w:r>
              <w:rPr>
                <w:rFonts w:ascii="Times New Roman" w:hAnsi="Times New Roman" w:cs="Times New Roman"/>
                <w:iCs/>
                <w:kern w:val="0"/>
                <w:sz w:val="24"/>
                <w:szCs w:val="24"/>
              </w:rPr>
              <w:t>t</w:t>
            </w:r>
            <w:r>
              <w:rPr>
                <w:rFonts w:ascii="Times New Roman" w:hAnsi="Times New Roman" w:cs="Times New Roman"/>
                <w:kern w:val="0"/>
                <w:sz w:val="24"/>
                <w:szCs w:val="24"/>
              </w:rPr>
              <w:t>CO</w:t>
            </w:r>
            <w:r>
              <w:rPr>
                <w:rFonts w:ascii="Times New Roman" w:hAnsi="Times New Roman" w:cs="Times New Roman"/>
                <w:kern w:val="0"/>
                <w:sz w:val="24"/>
                <w:szCs w:val="24"/>
                <w:vertAlign w:val="subscript"/>
              </w:rPr>
              <w:t>2</w:t>
            </w:r>
            <w:r>
              <w:rPr>
                <w:rFonts w:ascii="Times New Roman" w:hAnsi="Times New Roman" w:cs="Times New Roman"/>
                <w:kern w:val="0"/>
                <w:sz w:val="24"/>
                <w:szCs w:val="24"/>
              </w:rPr>
              <w:t>e</w:t>
            </w:r>
            <w:r>
              <w:rPr>
                <w:rFonts w:hint="eastAsia" w:ascii="仿宋_GB2312" w:hAnsi="Times New Roman" w:cs="Times New Roman"/>
                <w:iCs/>
                <w:kern w:val="0"/>
                <w:sz w:val="24"/>
                <w:szCs w:val="24"/>
              </w:rPr>
              <w:t>）</w:t>
            </w:r>
          </w:p>
          <w:p w14:paraId="2F312C04">
            <w:pPr>
              <w:widowControl/>
              <w:adjustRightInd w:val="0"/>
              <w:snapToGrid w:val="0"/>
              <w:rPr>
                <w:rFonts w:ascii="仿宋_GB2312" w:hAnsi="Times New Roman" w:cs="Times New Roman"/>
                <w:iCs/>
                <w:kern w:val="0"/>
                <w:sz w:val="24"/>
                <w:szCs w:val="24"/>
              </w:rPr>
            </w:pPr>
            <m:oMath>
              <m:sSub>
                <m:sSubPr>
                  <m:ctrlPr>
                    <w:rPr>
                      <w:rFonts w:ascii="Cambria Math" w:hAnsi="Cambria Math" w:cs="Times New Roman"/>
                      <w:kern w:val="0"/>
                      <w:sz w:val="24"/>
                      <w:szCs w:val="24"/>
                    </w:rPr>
                  </m:ctrlPr>
                </m:sSubPr>
                <m:e>
                  <m:r>
                    <m:rPr/>
                    <w:rPr>
                      <w:rFonts w:hint="eastAsia" w:ascii="Cambria Math" w:hAnsi="Cambria Math" w:cs="Times New Roman"/>
                      <w:kern w:val="0"/>
                      <w:sz w:val="24"/>
                      <w:szCs w:val="24"/>
                    </w:rPr>
                    <m:t>M</m:t>
                  </m:r>
                  <m:ctrlPr>
                    <w:rPr>
                      <w:rFonts w:ascii="Cambria Math" w:hAnsi="Cambria Math" w:cs="Times New Roman"/>
                      <w:kern w:val="0"/>
                      <w:sz w:val="24"/>
                      <w:szCs w:val="24"/>
                    </w:rPr>
                  </m:ctrlPr>
                </m:e>
                <m:sub>
                  <m:r>
                    <m:rPr/>
                    <w:rPr>
                      <w:rFonts w:ascii="Cambria Math" w:hAnsi="Cambria Math" w:cs="Times New Roman"/>
                      <w:kern w:val="0"/>
                      <w:sz w:val="24"/>
                      <w:szCs w:val="24"/>
                    </w:rPr>
                    <m:t>1</m:t>
                  </m:r>
                  <m:ctrlPr>
                    <w:rPr>
                      <w:rFonts w:ascii="Cambria Math" w:hAnsi="Cambria Math" w:cs="Times New Roman"/>
                      <w:kern w:val="0"/>
                      <w:sz w:val="24"/>
                      <w:szCs w:val="24"/>
                    </w:rPr>
                  </m:ctrlPr>
                </m:sub>
              </m:sSub>
            </m:oMath>
            <w:r>
              <w:rPr>
                <w:rFonts w:hint="eastAsia" w:ascii="仿宋_GB2312" w:hAnsi="Times New Roman" w:cs="Times New Roman"/>
                <w:iCs/>
                <w:kern w:val="0"/>
                <w:sz w:val="24"/>
                <w:szCs w:val="24"/>
              </w:rPr>
              <w:t>——输入物料的量，单位根据具体排放源确定</w:t>
            </w:r>
          </w:p>
          <w:p w14:paraId="4BE875C7">
            <w:pPr>
              <w:widowControl/>
              <w:adjustRightInd w:val="0"/>
              <w:snapToGrid w:val="0"/>
              <w:rPr>
                <w:rFonts w:ascii="仿宋_GB2312" w:hAnsi="Times New Roman" w:cs="Times New Roman"/>
                <w:iCs/>
                <w:kern w:val="0"/>
                <w:sz w:val="24"/>
                <w:szCs w:val="24"/>
              </w:rPr>
            </w:pPr>
            <m:oMath>
              <m:sSub>
                <m:sSubPr>
                  <m:ctrlPr>
                    <w:rPr>
                      <w:rFonts w:ascii="Cambria Math" w:hAnsi="Cambria Math" w:cs="Times New Roman"/>
                      <w:kern w:val="0"/>
                      <w:sz w:val="24"/>
                      <w:szCs w:val="24"/>
                    </w:rPr>
                  </m:ctrlPr>
                </m:sSubPr>
                <m:e>
                  <m:r>
                    <m:rPr/>
                    <w:rPr>
                      <w:rFonts w:hint="eastAsia" w:ascii="Cambria Math" w:hAnsi="Cambria Math" w:cs="Times New Roman"/>
                      <w:kern w:val="0"/>
                      <w:sz w:val="24"/>
                      <w:szCs w:val="24"/>
                    </w:rPr>
                    <m:t>M</m:t>
                  </m:r>
                  <m:ctrlPr>
                    <w:rPr>
                      <w:rFonts w:ascii="Cambria Math" w:hAnsi="Cambria Math" w:cs="Times New Roman"/>
                      <w:kern w:val="0"/>
                      <w:sz w:val="24"/>
                      <w:szCs w:val="24"/>
                    </w:rPr>
                  </m:ctrlPr>
                </m:e>
                <m:sub>
                  <m:r>
                    <m:rPr/>
                    <w:rPr>
                      <w:rFonts w:ascii="Cambria Math" w:hAnsi="Cambria Math" w:cs="Times New Roman"/>
                      <w:kern w:val="0"/>
                      <w:sz w:val="24"/>
                      <w:szCs w:val="24"/>
                    </w:rPr>
                    <m:t>0</m:t>
                  </m:r>
                  <m:ctrlPr>
                    <w:rPr>
                      <w:rFonts w:ascii="Cambria Math" w:hAnsi="Cambria Math" w:cs="Times New Roman"/>
                      <w:kern w:val="0"/>
                      <w:sz w:val="24"/>
                      <w:szCs w:val="24"/>
                    </w:rPr>
                  </m:ctrlPr>
                </m:sub>
              </m:sSub>
            </m:oMath>
            <w:r>
              <w:rPr>
                <w:rFonts w:hint="eastAsia" w:ascii="仿宋_GB2312" w:hAnsi="Times New Roman" w:cs="Times New Roman"/>
                <w:iCs/>
                <w:kern w:val="0"/>
                <w:sz w:val="24"/>
                <w:szCs w:val="24"/>
              </w:rPr>
              <w:t>——输出物料的量，单位根据具体排放源确定</w:t>
            </w:r>
          </w:p>
          <w:p w14:paraId="3853AC81">
            <w:pPr>
              <w:widowControl/>
              <w:adjustRightInd w:val="0"/>
              <w:snapToGrid w:val="0"/>
              <w:rPr>
                <w:rFonts w:ascii="仿宋_GB2312" w:hAnsi="Times New Roman" w:cs="Times New Roman"/>
                <w:iCs/>
                <w:kern w:val="0"/>
                <w:sz w:val="24"/>
                <w:szCs w:val="24"/>
              </w:rPr>
            </w:pPr>
            <m:oMath>
              <m:sSub>
                <m:sSubPr>
                  <m:ctrlPr>
                    <w:rPr>
                      <w:rFonts w:ascii="Cambria Math" w:hAnsi="Cambria Math" w:cs="Times New Roman"/>
                      <w:kern w:val="0"/>
                      <w:sz w:val="24"/>
                      <w:szCs w:val="24"/>
                    </w:rPr>
                  </m:ctrlPr>
                </m:sSubPr>
                <m:e>
                  <m:r>
                    <m:rPr/>
                    <w:rPr>
                      <w:rFonts w:hint="eastAsia" w:ascii="Cambria Math" w:hAnsi="Cambria Math" w:cs="Times New Roman"/>
                      <w:kern w:val="0"/>
                      <w:sz w:val="24"/>
                      <w:szCs w:val="24"/>
                    </w:rPr>
                    <m:t>CC</m:t>
                  </m:r>
                  <m:ctrlPr>
                    <w:rPr>
                      <w:rFonts w:ascii="Cambria Math" w:hAnsi="Cambria Math" w:cs="Times New Roman"/>
                      <w:kern w:val="0"/>
                      <w:sz w:val="24"/>
                      <w:szCs w:val="24"/>
                    </w:rPr>
                  </m:ctrlPr>
                </m:e>
                <m:sub>
                  <m:r>
                    <m:rPr/>
                    <w:rPr>
                      <w:rFonts w:ascii="Cambria Math" w:hAnsi="Cambria Math" w:cs="Times New Roman"/>
                      <w:kern w:val="0"/>
                      <w:sz w:val="24"/>
                      <w:szCs w:val="24"/>
                    </w:rPr>
                    <m:t>1</m:t>
                  </m:r>
                  <m:ctrlPr>
                    <w:rPr>
                      <w:rFonts w:ascii="Cambria Math" w:hAnsi="Cambria Math" w:cs="Times New Roman"/>
                      <w:kern w:val="0"/>
                      <w:sz w:val="24"/>
                      <w:szCs w:val="24"/>
                    </w:rPr>
                  </m:ctrlPr>
                </m:sub>
              </m:sSub>
            </m:oMath>
            <w:r>
              <w:rPr>
                <w:rFonts w:hint="eastAsia" w:ascii="仿宋_GB2312" w:hAnsi="Times New Roman" w:cs="Times New Roman"/>
                <w:iCs/>
                <w:kern w:val="0"/>
                <w:sz w:val="24"/>
                <w:szCs w:val="24"/>
              </w:rPr>
              <w:t>——输入物料的含碳量，单位与输入物料的量的单位相匹配</w:t>
            </w:r>
          </w:p>
          <w:p w14:paraId="34AC0F8A">
            <w:pPr>
              <w:widowControl/>
              <w:adjustRightInd w:val="0"/>
              <w:snapToGrid w:val="0"/>
              <w:rPr>
                <w:rFonts w:ascii="仿宋_GB2312" w:hAnsi="Times New Roman" w:cs="Times New Roman"/>
                <w:iCs/>
                <w:kern w:val="0"/>
                <w:sz w:val="24"/>
                <w:szCs w:val="24"/>
              </w:rPr>
            </w:pPr>
            <m:oMath>
              <m:sSub>
                <m:sSubPr>
                  <m:ctrlPr>
                    <w:rPr>
                      <w:rFonts w:ascii="Cambria Math" w:hAnsi="Cambria Math" w:cs="Times New Roman"/>
                      <w:kern w:val="0"/>
                      <w:sz w:val="24"/>
                      <w:szCs w:val="24"/>
                    </w:rPr>
                  </m:ctrlPr>
                </m:sSubPr>
                <m:e>
                  <m:r>
                    <m:rPr/>
                    <w:rPr>
                      <w:rFonts w:hint="eastAsia" w:ascii="Cambria Math" w:hAnsi="Cambria Math" w:cs="Times New Roman"/>
                      <w:kern w:val="0"/>
                      <w:sz w:val="24"/>
                      <w:szCs w:val="24"/>
                    </w:rPr>
                    <m:t>CC</m:t>
                  </m:r>
                  <m:ctrlPr>
                    <w:rPr>
                      <w:rFonts w:ascii="Cambria Math" w:hAnsi="Cambria Math" w:cs="Times New Roman"/>
                      <w:kern w:val="0"/>
                      <w:sz w:val="24"/>
                      <w:szCs w:val="24"/>
                    </w:rPr>
                  </m:ctrlPr>
                </m:e>
                <m:sub>
                  <m:r>
                    <m:rPr/>
                    <w:rPr>
                      <w:rFonts w:ascii="Cambria Math" w:hAnsi="Cambria Math" w:cs="Times New Roman"/>
                      <w:kern w:val="0"/>
                      <w:sz w:val="24"/>
                      <w:szCs w:val="24"/>
                    </w:rPr>
                    <m:t>0</m:t>
                  </m:r>
                  <m:ctrlPr>
                    <w:rPr>
                      <w:rFonts w:ascii="Cambria Math" w:hAnsi="Cambria Math" w:cs="Times New Roman"/>
                      <w:kern w:val="0"/>
                      <w:sz w:val="24"/>
                      <w:szCs w:val="24"/>
                    </w:rPr>
                  </m:ctrlPr>
                </m:sub>
              </m:sSub>
            </m:oMath>
            <w:r>
              <w:rPr>
                <w:rFonts w:hint="eastAsia" w:ascii="仿宋_GB2312" w:hAnsi="Times New Roman" w:cs="Times New Roman"/>
                <w:iCs/>
                <w:kern w:val="0"/>
                <w:sz w:val="24"/>
                <w:szCs w:val="24"/>
              </w:rPr>
              <w:t>——输出物料的含碳量，单位与输出物料的量的单位相匹配</w:t>
            </w:r>
          </w:p>
          <w:p w14:paraId="48438BE8">
            <w:pPr>
              <w:widowControl/>
              <w:adjustRightInd w:val="0"/>
              <w:snapToGrid w:val="0"/>
              <w:rPr>
                <w:rFonts w:ascii="仿宋_GB2312" w:hAnsi="Times New Roman" w:cs="Times New Roman"/>
                <w:kern w:val="0"/>
                <w:sz w:val="24"/>
                <w:szCs w:val="24"/>
              </w:rPr>
            </w:pPr>
            <m:oMath>
              <m:f>
                <m:fPr>
                  <m:ctrlPr>
                    <w:rPr>
                      <w:rFonts w:ascii="Cambria Math" w:hAnsi="Cambria Math" w:cs="Times New Roman"/>
                      <w:i/>
                      <w:kern w:val="0"/>
                      <w:sz w:val="24"/>
                      <w:szCs w:val="24"/>
                    </w:rPr>
                  </m:ctrlPr>
                </m:fPr>
                <m:num>
                  <m:r>
                    <m:rPr/>
                    <w:rPr>
                      <w:rFonts w:ascii="Cambria Math" w:hAnsi="Cambria Math" w:cs="Times New Roman"/>
                      <w:kern w:val="0"/>
                      <w:sz w:val="24"/>
                      <w:szCs w:val="24"/>
                    </w:rPr>
                    <m:t>44</m:t>
                  </m:r>
                  <m:ctrlPr>
                    <w:rPr>
                      <w:rFonts w:ascii="Cambria Math" w:hAnsi="Cambria Math" w:cs="Times New Roman"/>
                      <w:i/>
                      <w:kern w:val="0"/>
                      <w:sz w:val="24"/>
                      <w:szCs w:val="24"/>
                    </w:rPr>
                  </m:ctrlPr>
                </m:num>
                <m:den>
                  <m:r>
                    <m:rPr/>
                    <w:rPr>
                      <w:rFonts w:ascii="Cambria Math" w:hAnsi="Cambria Math" w:cs="Times New Roman"/>
                      <w:kern w:val="0"/>
                      <w:sz w:val="24"/>
                      <w:szCs w:val="24"/>
                    </w:rPr>
                    <m:t>12</m:t>
                  </m:r>
                  <m:ctrlPr>
                    <w:rPr>
                      <w:rFonts w:ascii="Cambria Math" w:hAnsi="Cambria Math" w:cs="Times New Roman"/>
                      <w:i/>
                      <w:kern w:val="0"/>
                      <w:sz w:val="24"/>
                      <w:szCs w:val="24"/>
                    </w:rPr>
                  </m:ctrlPr>
                </m:den>
              </m:f>
            </m:oMath>
            <w:r>
              <w:rPr>
                <w:rFonts w:hint="eastAsia" w:ascii="仿宋_GB2312" w:hAnsi="Times New Roman" w:cs="Times New Roman"/>
                <w:iCs/>
                <w:kern w:val="0"/>
                <w:sz w:val="24"/>
                <w:szCs w:val="24"/>
              </w:rPr>
              <w:t>——碳质量转化为温室气体质量的转换系数（二氧化碳与碳的相对分子质量之比）</w:t>
            </w:r>
          </w:p>
        </w:tc>
      </w:tr>
    </w:tbl>
    <w:p w14:paraId="285BA035">
      <w:pPr>
        <w:widowControl/>
        <w:adjustRightInd w:val="0"/>
        <w:snapToGrid w:val="0"/>
        <w:spacing w:line="560" w:lineRule="exact"/>
        <w:ind w:firstLine="602" w:firstLineChars="200"/>
        <w:rPr>
          <w:rFonts w:ascii="仿宋_GB2312" w:hAnsi="Times New Roman" w:cs="Times New Roman"/>
          <w:b/>
          <w:bCs/>
          <w:szCs w:val="30"/>
        </w:rPr>
      </w:pPr>
      <w:r>
        <w:rPr>
          <w:rFonts w:hint="eastAsia" w:ascii="仿宋_GB2312" w:hAnsi="Times New Roman" w:cs="Times New Roman"/>
          <w:b/>
          <w:bCs/>
          <w:szCs w:val="30"/>
        </w:rPr>
        <w:t>（二）范围二排放计算方法</w:t>
      </w:r>
    </w:p>
    <w:p w14:paraId="27B31D8E">
      <w:pPr>
        <w:widowControl/>
        <w:adjustRightInd w:val="0"/>
        <w:snapToGrid w:val="0"/>
        <w:spacing w:line="560" w:lineRule="exact"/>
        <w:ind w:firstLine="600" w:firstLineChars="200"/>
        <w:rPr>
          <w:rFonts w:ascii="仿宋_GB2312" w:hAnsi="Times New Roman" w:cs="Times New Roman"/>
          <w:szCs w:val="30"/>
        </w:rPr>
      </w:pPr>
      <w:r>
        <w:rPr>
          <w:rFonts w:hint="eastAsia" w:ascii="仿宋_GB2312" w:hAnsi="Times New Roman" w:cs="Times New Roman"/>
          <w:szCs w:val="30"/>
        </w:rPr>
        <w:t>一般而言，公司涉及的范围二排放源以外购电力和外购热力为主，主要采用排放因子法计算。</w:t>
      </w:r>
    </w:p>
    <w:p w14:paraId="1FF4E8B6">
      <w:pPr>
        <w:widowControl/>
        <w:adjustRightInd w:val="0"/>
        <w:snapToGrid w:val="0"/>
        <w:spacing w:line="560" w:lineRule="exact"/>
        <w:ind w:firstLine="600" w:firstLineChars="200"/>
        <w:rPr>
          <w:rFonts w:ascii="仿宋_GB2312" w:hAnsi="Times New Roman" w:cs="Times New Roman"/>
          <w:szCs w:val="30"/>
        </w:rPr>
      </w:pPr>
      <w:r>
        <w:rPr>
          <w:rFonts w:hint="eastAsia" w:ascii="仿宋_GB2312" w:hAnsi="Times New Roman" w:cs="Times New Roman"/>
          <w:szCs w:val="30"/>
        </w:rPr>
        <w:t>1.公司购入的电力消费所对应的电力生产环节二氧化碳排放量计算公式为：</w:t>
      </w:r>
    </w:p>
    <w:p w14:paraId="2276DC95">
      <w:pPr>
        <w:widowControl/>
        <w:adjustRightInd w:val="0"/>
        <w:snapToGrid w:val="0"/>
        <w:spacing w:line="560" w:lineRule="exact"/>
        <w:ind w:firstLine="600" w:firstLineChars="200"/>
        <w:rPr>
          <w:rFonts w:ascii="仿宋_GB2312" w:hAnsi="Times New Roman" w:cs="Times New Roman"/>
          <w:i/>
          <w:szCs w:val="30"/>
        </w:rPr>
      </w:pPr>
      <m:oMathPara>
        <m:oMath>
          <m:sSub>
            <m:sSubPr>
              <m:ctrlPr>
                <w:rPr>
                  <w:rFonts w:ascii="Cambria Math" w:hAnsi="Cambria Math" w:cs="Times New Roman"/>
                  <w:i/>
                  <w:szCs w:val="30"/>
                </w:rPr>
              </m:ctrlPr>
            </m:sSubPr>
            <m:e>
              <m:r>
                <m:rPr/>
                <w:rPr>
                  <w:rFonts w:ascii="Cambria Math" w:hAnsi="Cambria Math" w:cs="Times New Roman"/>
                  <w:szCs w:val="30"/>
                </w:rPr>
                <m:t>E</m:t>
              </m:r>
              <m:ctrlPr>
                <w:rPr>
                  <w:rFonts w:ascii="Cambria Math" w:hAnsi="Cambria Math" w:cs="Times New Roman"/>
                  <w:i/>
                  <w:szCs w:val="30"/>
                </w:rPr>
              </m:ctrlPr>
            </m:e>
            <m:sub>
              <m:r>
                <m:rPr/>
                <w:rPr>
                  <w:rFonts w:hint="eastAsia" w:ascii="Cambria Math" w:hAnsi="Cambria Math" w:cs="Times New Roman"/>
                  <w:szCs w:val="30"/>
                </w:rPr>
                <m:t>外购电</m:t>
              </m:r>
              <m:ctrlPr>
                <w:rPr>
                  <w:rFonts w:ascii="Cambria Math" w:hAnsi="Cambria Math" w:cs="Times New Roman"/>
                  <w:i/>
                  <w:szCs w:val="30"/>
                </w:rPr>
              </m:ctrlPr>
            </m:sub>
          </m:sSub>
          <m:r>
            <m:rPr/>
            <w:rPr>
              <w:rFonts w:ascii="Cambria Math" w:hAnsi="Cambria Math" w:cs="Times New Roman"/>
              <w:szCs w:val="30"/>
            </w:rPr>
            <m:t>=</m:t>
          </m:r>
          <m:sSub>
            <m:sSubPr>
              <m:ctrlPr>
                <w:rPr>
                  <w:rFonts w:ascii="Cambria Math" w:hAnsi="Cambria Math" w:cs="Times New Roman"/>
                  <w:i/>
                  <w:szCs w:val="30"/>
                </w:rPr>
              </m:ctrlPr>
            </m:sSubPr>
            <m:e>
              <m:r>
                <m:rPr/>
                <w:rPr>
                  <w:rFonts w:ascii="Cambria Math" w:hAnsi="Cambria Math" w:cs="Times New Roman"/>
                  <w:szCs w:val="30"/>
                </w:rPr>
                <m:t>AD</m:t>
              </m:r>
              <m:ctrlPr>
                <w:rPr>
                  <w:rFonts w:ascii="Cambria Math" w:hAnsi="Cambria Math" w:cs="Times New Roman"/>
                  <w:i/>
                  <w:szCs w:val="30"/>
                </w:rPr>
              </m:ctrlPr>
            </m:e>
            <m:sub>
              <m:r>
                <m:rPr/>
                <w:rPr>
                  <w:rFonts w:hint="eastAsia" w:ascii="Cambria Math" w:hAnsi="Cambria Math" w:cs="Times New Roman"/>
                  <w:szCs w:val="30"/>
                </w:rPr>
                <m:t>电</m:t>
              </m:r>
              <m:ctrlPr>
                <w:rPr>
                  <w:rFonts w:ascii="Cambria Math" w:hAnsi="Cambria Math" w:cs="Times New Roman"/>
                  <w:i/>
                  <w:szCs w:val="30"/>
                </w:rPr>
              </m:ctrlPr>
            </m:sub>
          </m:sSub>
          <m:r>
            <m:rPr/>
            <w:rPr>
              <w:rFonts w:hint="eastAsia" w:ascii="Cambria Math" w:hAnsi="Cambria Math" w:cs="Times New Roman"/>
              <w:szCs w:val="30"/>
            </w:rPr>
            <m:t>×</m:t>
          </m:r>
          <m:sSub>
            <m:sSubPr>
              <m:ctrlPr>
                <w:rPr>
                  <w:rFonts w:ascii="Cambria Math" w:hAnsi="Cambria Math" w:cs="Times New Roman"/>
                  <w:i/>
                  <w:szCs w:val="30"/>
                </w:rPr>
              </m:ctrlPr>
            </m:sSubPr>
            <m:e>
              <m:r>
                <m:rPr/>
                <w:rPr>
                  <w:rFonts w:ascii="Cambria Math" w:hAnsi="Cambria Math" w:cs="Times New Roman"/>
                  <w:szCs w:val="30"/>
                </w:rPr>
                <m:t>EF</m:t>
              </m:r>
              <m:ctrlPr>
                <w:rPr>
                  <w:rFonts w:ascii="Cambria Math" w:hAnsi="Cambria Math" w:cs="Times New Roman"/>
                  <w:i/>
                  <w:szCs w:val="30"/>
                </w:rPr>
              </m:ctrlPr>
            </m:e>
            <m:sub>
              <m:r>
                <m:rPr/>
                <w:rPr>
                  <w:rFonts w:hint="eastAsia" w:ascii="Cambria Math" w:hAnsi="Cambria Math" w:cs="Times New Roman"/>
                  <w:szCs w:val="30"/>
                </w:rPr>
                <m:t>电</m:t>
              </m:r>
              <m:ctrlPr>
                <w:rPr>
                  <w:rFonts w:ascii="Cambria Math" w:hAnsi="Cambria Math" w:cs="Times New Roman"/>
                  <w:i/>
                  <w:szCs w:val="30"/>
                </w:rPr>
              </m:ctrlPr>
            </m:sub>
          </m:sSub>
        </m:oMath>
      </m:oMathPara>
    </w:p>
    <w:p w14:paraId="7B2F69DD">
      <w:pPr>
        <w:widowControl/>
        <w:adjustRightInd w:val="0"/>
        <w:snapToGrid w:val="0"/>
        <w:spacing w:line="560" w:lineRule="exact"/>
        <w:ind w:firstLine="600" w:firstLineChars="200"/>
        <w:rPr>
          <w:rFonts w:ascii="Times New Roman" w:hAnsi="Times New Roman" w:cs="Times New Roman"/>
          <w:szCs w:val="30"/>
          <w:vertAlign w:val="subscript"/>
        </w:rPr>
      </w:pPr>
      <w:r>
        <w:rPr>
          <w:rFonts w:ascii="Times New Roman" w:hAnsi="Times New Roman" w:cs="Times New Roman"/>
          <w:szCs w:val="30"/>
        </w:rPr>
        <w:t>E</w:t>
      </w:r>
      <w:r>
        <w:rPr>
          <w:rFonts w:hint="eastAsia" w:ascii="Times New Roman" w:hAnsi="Times New Roman" w:cs="Times New Roman"/>
          <w:szCs w:val="30"/>
          <w:vertAlign w:val="subscript"/>
        </w:rPr>
        <w:t>外购电</w:t>
      </w:r>
      <w:r>
        <w:rPr>
          <w:rFonts w:hint="eastAsia" w:ascii="Times New Roman" w:hAnsi="Times New Roman" w:cs="Times New Roman"/>
          <w:szCs w:val="30"/>
        </w:rPr>
        <w:t>——外购电力所对应的电力生产环节二氧化碳排放量，单位为吨二氧化碳（</w:t>
      </w:r>
      <w:r>
        <w:rPr>
          <w:rFonts w:ascii="Times New Roman" w:hAnsi="Times New Roman" w:cs="Times New Roman"/>
          <w:szCs w:val="30"/>
        </w:rPr>
        <w:t>tCO</w:t>
      </w:r>
      <w:r>
        <w:rPr>
          <w:rFonts w:ascii="Times New Roman" w:hAnsi="Times New Roman" w:cs="Times New Roman"/>
          <w:szCs w:val="30"/>
          <w:vertAlign w:val="subscript"/>
        </w:rPr>
        <w:t>2</w:t>
      </w:r>
      <w:r>
        <w:rPr>
          <w:rFonts w:hint="eastAsia" w:ascii="Times New Roman" w:hAnsi="Times New Roman" w:cs="Times New Roman"/>
          <w:szCs w:val="30"/>
        </w:rPr>
        <w:t>）；</w:t>
      </w:r>
    </w:p>
    <w:p w14:paraId="41F4083C">
      <w:pPr>
        <w:widowControl/>
        <w:adjustRightInd w:val="0"/>
        <w:snapToGrid w:val="0"/>
        <w:spacing w:line="560" w:lineRule="exact"/>
        <w:ind w:firstLine="600" w:firstLineChars="200"/>
        <w:rPr>
          <w:rFonts w:ascii="Times New Roman" w:hAnsi="Times New Roman" w:cs="Times New Roman"/>
          <w:szCs w:val="30"/>
        </w:rPr>
      </w:pPr>
      <w:r>
        <w:rPr>
          <w:rFonts w:ascii="Times New Roman" w:hAnsi="Times New Roman" w:cs="Times New Roman"/>
          <w:szCs w:val="30"/>
        </w:rPr>
        <w:t>AD</w:t>
      </w:r>
      <w:r>
        <w:rPr>
          <w:rFonts w:hint="eastAsia" w:ascii="Times New Roman" w:hAnsi="Times New Roman" w:cs="Times New Roman"/>
          <w:szCs w:val="30"/>
          <w:vertAlign w:val="subscript"/>
        </w:rPr>
        <w:t>电</w:t>
      </w:r>
      <w:r>
        <w:rPr>
          <w:rFonts w:hint="eastAsia" w:ascii="Times New Roman" w:hAnsi="Times New Roman" w:cs="Times New Roman"/>
          <w:szCs w:val="30"/>
        </w:rPr>
        <w:t>——核算和报告年度内的外购电量，单位为兆瓦时（</w:t>
      </w:r>
      <w:r>
        <w:rPr>
          <w:rFonts w:ascii="Times New Roman" w:hAnsi="Times New Roman" w:cs="Times New Roman"/>
          <w:szCs w:val="30"/>
        </w:rPr>
        <w:t>MW</w:t>
      </w:r>
      <w:r>
        <w:rPr>
          <w:rFonts w:hint="eastAsia" w:ascii="Times New Roman" w:hAnsi="Times New Roman" w:cs="Times New Roman"/>
          <w:szCs w:val="30"/>
        </w:rPr>
        <w:t>·</w:t>
      </w:r>
      <w:r>
        <w:rPr>
          <w:rFonts w:ascii="Times New Roman" w:hAnsi="Times New Roman" w:cs="Times New Roman"/>
          <w:szCs w:val="30"/>
        </w:rPr>
        <w:t>h</w:t>
      </w:r>
      <w:r>
        <w:rPr>
          <w:rFonts w:hint="eastAsia" w:ascii="Times New Roman" w:hAnsi="Times New Roman" w:cs="Times New Roman"/>
          <w:szCs w:val="30"/>
        </w:rPr>
        <w:t>）；</w:t>
      </w:r>
    </w:p>
    <w:p w14:paraId="6510FFA0">
      <w:pPr>
        <w:widowControl/>
        <w:adjustRightInd w:val="0"/>
        <w:snapToGrid w:val="0"/>
        <w:spacing w:line="560" w:lineRule="exact"/>
        <w:ind w:firstLine="600" w:firstLineChars="200"/>
        <w:rPr>
          <w:rFonts w:ascii="Times New Roman" w:hAnsi="Times New Roman" w:cs="Times New Roman"/>
          <w:szCs w:val="30"/>
        </w:rPr>
      </w:pPr>
      <w:r>
        <w:rPr>
          <w:rFonts w:ascii="Times New Roman" w:hAnsi="Times New Roman" w:cs="Times New Roman"/>
          <w:szCs w:val="30"/>
        </w:rPr>
        <w:t>EF</w:t>
      </w:r>
      <w:r>
        <w:rPr>
          <w:rFonts w:hint="eastAsia" w:ascii="Times New Roman" w:hAnsi="Times New Roman" w:cs="Times New Roman"/>
          <w:szCs w:val="30"/>
          <w:vertAlign w:val="subscript"/>
        </w:rPr>
        <w:t>电</w:t>
      </w:r>
      <w:r>
        <w:rPr>
          <w:rFonts w:hint="eastAsia" w:ascii="Times New Roman" w:hAnsi="Times New Roman" w:cs="Times New Roman"/>
          <w:szCs w:val="30"/>
        </w:rPr>
        <w:t>——电网排放因子，单位为吨二氧化碳</w:t>
      </w:r>
      <w:r>
        <w:rPr>
          <w:rFonts w:ascii="Times New Roman" w:hAnsi="Times New Roman" w:cs="Times New Roman"/>
          <w:szCs w:val="30"/>
        </w:rPr>
        <w:t>/</w:t>
      </w:r>
      <w:r>
        <w:rPr>
          <w:rFonts w:hint="eastAsia" w:ascii="Times New Roman" w:hAnsi="Times New Roman" w:cs="Times New Roman"/>
          <w:szCs w:val="30"/>
        </w:rPr>
        <w:t>兆瓦时（</w:t>
      </w:r>
      <w:r>
        <w:rPr>
          <w:rFonts w:ascii="Times New Roman" w:hAnsi="Times New Roman" w:cs="Times New Roman"/>
          <w:szCs w:val="30"/>
        </w:rPr>
        <w:t>tCO</w:t>
      </w:r>
      <w:r>
        <w:rPr>
          <w:rFonts w:ascii="Times New Roman" w:hAnsi="Times New Roman" w:cs="Times New Roman"/>
          <w:szCs w:val="30"/>
          <w:vertAlign w:val="subscript"/>
        </w:rPr>
        <w:t>2</w:t>
      </w:r>
      <w:r>
        <w:rPr>
          <w:rFonts w:ascii="Times New Roman" w:hAnsi="Times New Roman" w:cs="Times New Roman"/>
          <w:szCs w:val="30"/>
        </w:rPr>
        <w:t>/MW·h</w:t>
      </w:r>
      <w:r>
        <w:rPr>
          <w:rFonts w:hint="eastAsia" w:ascii="Times New Roman" w:hAnsi="Times New Roman" w:cs="Times New Roman"/>
          <w:szCs w:val="30"/>
        </w:rPr>
        <w:t>）。</w:t>
      </w:r>
    </w:p>
    <w:p w14:paraId="1A966ABB">
      <w:pPr>
        <w:widowControl/>
        <w:adjustRightInd w:val="0"/>
        <w:snapToGrid w:val="0"/>
        <w:spacing w:line="560" w:lineRule="exact"/>
        <w:ind w:firstLine="600" w:firstLineChars="200"/>
        <w:rPr>
          <w:rFonts w:ascii="Times New Roman" w:hAnsi="Times New Roman" w:cs="Times New Roman"/>
          <w:szCs w:val="30"/>
        </w:rPr>
      </w:pPr>
      <w:r>
        <w:rPr>
          <w:rFonts w:hint="eastAsia" w:ascii="Times New Roman" w:hAnsi="Times New Roman" w:cs="Times New Roman"/>
          <w:szCs w:val="30"/>
        </w:rPr>
        <w:t>对于电网排放因子的选择，可以参考使用生态环境部不定期更新发布的全国、区域和省级电力平均二氧化碳排放因子。</w:t>
      </w:r>
    </w:p>
    <w:p w14:paraId="2C4A7F70">
      <w:pPr>
        <w:widowControl/>
        <w:adjustRightInd w:val="0"/>
        <w:snapToGrid w:val="0"/>
        <w:spacing w:line="560" w:lineRule="exact"/>
        <w:ind w:firstLine="600" w:firstLineChars="200"/>
        <w:rPr>
          <w:rFonts w:ascii="仿宋_GB2312" w:hAnsi="Times New Roman" w:cs="Times New Roman"/>
          <w:szCs w:val="30"/>
        </w:rPr>
      </w:pPr>
      <w:r>
        <w:rPr>
          <w:rFonts w:hint="eastAsia" w:ascii="仿宋_GB2312" w:hAnsi="Times New Roman" w:cs="Times New Roman"/>
          <w:szCs w:val="30"/>
        </w:rPr>
        <w:t>2.公司购入的热力消费所对应的热力生产环节二氧化碳排放量计算公式为：</w:t>
      </w:r>
    </w:p>
    <w:p w14:paraId="2F840C6F">
      <w:pPr>
        <w:widowControl/>
        <w:adjustRightInd w:val="0"/>
        <w:snapToGrid w:val="0"/>
        <w:spacing w:line="560" w:lineRule="exact"/>
        <w:ind w:firstLine="600" w:firstLineChars="200"/>
        <w:rPr>
          <w:rFonts w:ascii="仿宋_GB2312" w:hAnsi="Times New Roman" w:cs="Times New Roman"/>
          <w:i/>
          <w:szCs w:val="30"/>
        </w:rPr>
      </w:pPr>
      <m:oMathPara>
        <m:oMath>
          <m:sSub>
            <m:sSubPr>
              <m:ctrlPr>
                <w:rPr>
                  <w:rFonts w:ascii="Cambria Math" w:hAnsi="Cambria Math" w:cs="Times New Roman"/>
                  <w:i/>
                  <w:szCs w:val="30"/>
                </w:rPr>
              </m:ctrlPr>
            </m:sSubPr>
            <m:e>
              <m:r>
                <m:rPr/>
                <w:rPr>
                  <w:rFonts w:ascii="Cambria Math" w:hAnsi="Cambria Math" w:cs="Times New Roman"/>
                  <w:szCs w:val="30"/>
                </w:rPr>
                <m:t>E</m:t>
              </m:r>
              <m:ctrlPr>
                <w:rPr>
                  <w:rFonts w:ascii="Cambria Math" w:hAnsi="Cambria Math" w:cs="Times New Roman"/>
                  <w:i/>
                  <w:szCs w:val="30"/>
                </w:rPr>
              </m:ctrlPr>
            </m:e>
            <m:sub>
              <m:r>
                <m:rPr/>
                <w:rPr>
                  <w:rFonts w:hint="eastAsia" w:ascii="Cambria Math" w:hAnsi="Cambria Math" w:cs="Times New Roman"/>
                  <w:szCs w:val="30"/>
                </w:rPr>
                <m:t>外购热</m:t>
              </m:r>
              <m:ctrlPr>
                <w:rPr>
                  <w:rFonts w:ascii="Cambria Math" w:hAnsi="Cambria Math" w:cs="Times New Roman"/>
                  <w:i/>
                  <w:szCs w:val="30"/>
                </w:rPr>
              </m:ctrlPr>
            </m:sub>
          </m:sSub>
          <m:r>
            <m:rPr/>
            <w:rPr>
              <w:rFonts w:ascii="Cambria Math" w:hAnsi="Cambria Math" w:cs="Times New Roman"/>
              <w:szCs w:val="30"/>
            </w:rPr>
            <m:t>=</m:t>
          </m:r>
          <m:sSub>
            <m:sSubPr>
              <m:ctrlPr>
                <w:rPr>
                  <w:rFonts w:ascii="Cambria Math" w:hAnsi="Cambria Math" w:cs="Times New Roman"/>
                  <w:i/>
                  <w:szCs w:val="30"/>
                </w:rPr>
              </m:ctrlPr>
            </m:sSubPr>
            <m:e>
              <m:r>
                <m:rPr/>
                <w:rPr>
                  <w:rFonts w:ascii="Cambria Math" w:hAnsi="Cambria Math" w:cs="Times New Roman"/>
                  <w:szCs w:val="30"/>
                </w:rPr>
                <m:t>AD</m:t>
              </m:r>
              <m:ctrlPr>
                <w:rPr>
                  <w:rFonts w:ascii="Cambria Math" w:hAnsi="Cambria Math" w:cs="Times New Roman"/>
                  <w:i/>
                  <w:szCs w:val="30"/>
                </w:rPr>
              </m:ctrlPr>
            </m:e>
            <m:sub>
              <m:r>
                <m:rPr/>
                <w:rPr>
                  <w:rFonts w:hint="eastAsia" w:ascii="Cambria Math" w:hAnsi="Cambria Math" w:cs="Times New Roman"/>
                  <w:szCs w:val="30"/>
                </w:rPr>
                <m:t>热</m:t>
              </m:r>
              <m:ctrlPr>
                <w:rPr>
                  <w:rFonts w:ascii="Cambria Math" w:hAnsi="Cambria Math" w:cs="Times New Roman"/>
                  <w:i/>
                  <w:szCs w:val="30"/>
                </w:rPr>
              </m:ctrlPr>
            </m:sub>
          </m:sSub>
          <m:r>
            <m:rPr/>
            <w:rPr>
              <w:rFonts w:hint="eastAsia" w:ascii="Cambria Math" w:hAnsi="Cambria Math" w:cs="Times New Roman"/>
              <w:szCs w:val="30"/>
            </w:rPr>
            <m:t>×</m:t>
          </m:r>
          <m:sSub>
            <m:sSubPr>
              <m:ctrlPr>
                <w:rPr>
                  <w:rFonts w:ascii="Cambria Math" w:hAnsi="Cambria Math" w:cs="Times New Roman"/>
                  <w:i/>
                  <w:szCs w:val="30"/>
                </w:rPr>
              </m:ctrlPr>
            </m:sSubPr>
            <m:e>
              <m:r>
                <m:rPr/>
                <w:rPr>
                  <w:rFonts w:ascii="Cambria Math" w:hAnsi="Cambria Math" w:cs="Times New Roman"/>
                  <w:szCs w:val="30"/>
                </w:rPr>
                <m:t>EF</m:t>
              </m:r>
              <m:ctrlPr>
                <w:rPr>
                  <w:rFonts w:ascii="Cambria Math" w:hAnsi="Cambria Math" w:cs="Times New Roman"/>
                  <w:i/>
                  <w:szCs w:val="30"/>
                </w:rPr>
              </m:ctrlPr>
            </m:e>
            <m:sub>
              <m:r>
                <m:rPr/>
                <w:rPr>
                  <w:rFonts w:hint="eastAsia" w:ascii="Cambria Math" w:hAnsi="Cambria Math" w:cs="Times New Roman"/>
                  <w:szCs w:val="30"/>
                </w:rPr>
                <m:t>热</m:t>
              </m:r>
              <m:ctrlPr>
                <w:rPr>
                  <w:rFonts w:ascii="Cambria Math" w:hAnsi="Cambria Math" w:cs="Times New Roman"/>
                  <w:i/>
                  <w:szCs w:val="30"/>
                </w:rPr>
              </m:ctrlPr>
            </m:sub>
          </m:sSub>
        </m:oMath>
      </m:oMathPara>
    </w:p>
    <w:p w14:paraId="21A6CB89">
      <w:pPr>
        <w:widowControl/>
        <w:adjustRightInd w:val="0"/>
        <w:snapToGrid w:val="0"/>
        <w:spacing w:line="560" w:lineRule="exact"/>
        <w:ind w:firstLine="600" w:firstLineChars="200"/>
        <w:rPr>
          <w:rFonts w:ascii="Times New Roman" w:hAnsi="Times New Roman" w:cs="Times New Roman"/>
          <w:szCs w:val="30"/>
          <w:vertAlign w:val="subscript"/>
        </w:rPr>
      </w:pPr>
      <w:r>
        <w:rPr>
          <w:rFonts w:ascii="Times New Roman" w:hAnsi="Times New Roman" w:cs="Times New Roman"/>
          <w:szCs w:val="30"/>
        </w:rPr>
        <w:t>E</w:t>
      </w:r>
      <w:r>
        <w:rPr>
          <w:rFonts w:hint="eastAsia" w:ascii="Times New Roman" w:hAnsi="Times New Roman" w:cs="Times New Roman"/>
          <w:szCs w:val="30"/>
          <w:vertAlign w:val="subscript"/>
        </w:rPr>
        <w:t>外购热</w:t>
      </w:r>
      <w:r>
        <w:rPr>
          <w:rFonts w:hint="eastAsia" w:ascii="Times New Roman" w:hAnsi="Times New Roman" w:cs="Times New Roman"/>
          <w:szCs w:val="30"/>
        </w:rPr>
        <w:t>——外购热力所对应的热力生产环节二氧化碳排放量，单位为吨二氧化碳（</w:t>
      </w:r>
      <w:r>
        <w:rPr>
          <w:rFonts w:ascii="Times New Roman" w:hAnsi="Times New Roman" w:cs="Times New Roman"/>
          <w:szCs w:val="30"/>
        </w:rPr>
        <w:t>tCO</w:t>
      </w:r>
      <w:r>
        <w:rPr>
          <w:rFonts w:ascii="Times New Roman" w:hAnsi="Times New Roman" w:cs="Times New Roman"/>
          <w:szCs w:val="30"/>
          <w:vertAlign w:val="subscript"/>
        </w:rPr>
        <w:t>2</w:t>
      </w:r>
      <w:r>
        <w:rPr>
          <w:rFonts w:hint="eastAsia" w:ascii="Times New Roman" w:hAnsi="Times New Roman" w:cs="Times New Roman"/>
          <w:szCs w:val="30"/>
        </w:rPr>
        <w:t>）；</w:t>
      </w:r>
    </w:p>
    <w:p w14:paraId="7D2AF55D">
      <w:pPr>
        <w:widowControl/>
        <w:adjustRightInd w:val="0"/>
        <w:snapToGrid w:val="0"/>
        <w:spacing w:line="560" w:lineRule="exact"/>
        <w:ind w:firstLine="600" w:firstLineChars="200"/>
        <w:rPr>
          <w:rFonts w:ascii="Times New Roman" w:hAnsi="Times New Roman" w:cs="Times New Roman"/>
          <w:szCs w:val="30"/>
        </w:rPr>
      </w:pPr>
      <w:r>
        <w:rPr>
          <w:rFonts w:ascii="Times New Roman" w:hAnsi="Times New Roman" w:cs="Times New Roman"/>
          <w:szCs w:val="30"/>
        </w:rPr>
        <w:t>AD</w:t>
      </w:r>
      <w:r>
        <w:rPr>
          <w:rFonts w:hint="eastAsia" w:ascii="Times New Roman" w:hAnsi="Times New Roman" w:cs="Times New Roman"/>
          <w:szCs w:val="30"/>
          <w:vertAlign w:val="subscript"/>
        </w:rPr>
        <w:t>热</w:t>
      </w:r>
      <w:r>
        <w:rPr>
          <w:rFonts w:hint="eastAsia" w:ascii="Times New Roman" w:hAnsi="Times New Roman" w:cs="Times New Roman"/>
          <w:szCs w:val="30"/>
        </w:rPr>
        <w:t>——核算和报告年度内的外购热力，单位为吉焦（</w:t>
      </w:r>
      <w:r>
        <w:rPr>
          <w:rFonts w:ascii="Times New Roman" w:hAnsi="Times New Roman" w:cs="Times New Roman"/>
          <w:szCs w:val="30"/>
        </w:rPr>
        <w:t>GJ</w:t>
      </w:r>
      <w:r>
        <w:rPr>
          <w:rFonts w:hint="eastAsia" w:ascii="Times New Roman" w:hAnsi="Times New Roman" w:cs="Times New Roman"/>
          <w:szCs w:val="30"/>
        </w:rPr>
        <w:t>）；</w:t>
      </w:r>
    </w:p>
    <w:p w14:paraId="5C3D7F6D">
      <w:pPr>
        <w:widowControl/>
        <w:adjustRightInd w:val="0"/>
        <w:snapToGrid w:val="0"/>
        <w:spacing w:line="560" w:lineRule="exact"/>
        <w:ind w:firstLine="600" w:firstLineChars="200"/>
        <w:rPr>
          <w:rFonts w:ascii="Times New Roman" w:hAnsi="Times New Roman" w:cs="Times New Roman"/>
          <w:szCs w:val="30"/>
        </w:rPr>
      </w:pPr>
      <w:r>
        <w:rPr>
          <w:rFonts w:ascii="Times New Roman" w:hAnsi="Times New Roman" w:cs="Times New Roman"/>
          <w:szCs w:val="30"/>
        </w:rPr>
        <w:t>EF</w:t>
      </w:r>
      <w:r>
        <w:rPr>
          <w:rFonts w:hint="eastAsia" w:ascii="Times New Roman" w:hAnsi="Times New Roman" w:cs="Times New Roman"/>
          <w:szCs w:val="30"/>
          <w:vertAlign w:val="subscript"/>
        </w:rPr>
        <w:t>热</w:t>
      </w:r>
      <w:r>
        <w:rPr>
          <w:rFonts w:hint="eastAsia" w:ascii="Times New Roman" w:hAnsi="Times New Roman" w:cs="Times New Roman"/>
          <w:szCs w:val="30"/>
        </w:rPr>
        <w:t>——热力消费的排放因子，单位为吨二氧化碳</w:t>
      </w:r>
      <w:r>
        <w:rPr>
          <w:rFonts w:ascii="Times New Roman" w:hAnsi="Times New Roman" w:cs="Times New Roman"/>
          <w:szCs w:val="30"/>
        </w:rPr>
        <w:t>/</w:t>
      </w:r>
      <w:r>
        <w:rPr>
          <w:rFonts w:hint="eastAsia" w:ascii="Times New Roman" w:hAnsi="Times New Roman" w:cs="Times New Roman"/>
          <w:szCs w:val="30"/>
        </w:rPr>
        <w:t>吉焦（</w:t>
      </w:r>
      <w:r>
        <w:rPr>
          <w:rFonts w:ascii="Times New Roman" w:hAnsi="Times New Roman" w:cs="Times New Roman"/>
          <w:szCs w:val="30"/>
        </w:rPr>
        <w:t>tCO</w:t>
      </w:r>
      <w:r>
        <w:rPr>
          <w:rFonts w:ascii="Times New Roman" w:hAnsi="Times New Roman" w:cs="Times New Roman"/>
          <w:szCs w:val="30"/>
          <w:vertAlign w:val="subscript"/>
        </w:rPr>
        <w:t>2</w:t>
      </w:r>
      <w:r>
        <w:rPr>
          <w:rFonts w:ascii="Times New Roman" w:hAnsi="Times New Roman" w:cs="Times New Roman"/>
          <w:szCs w:val="30"/>
        </w:rPr>
        <w:t>/GJ</w:t>
      </w:r>
      <w:r>
        <w:rPr>
          <w:rFonts w:hint="eastAsia" w:ascii="Times New Roman" w:hAnsi="Times New Roman" w:cs="Times New Roman"/>
          <w:szCs w:val="30"/>
        </w:rPr>
        <w:t>）。</w:t>
      </w:r>
    </w:p>
    <w:p w14:paraId="4936C4CF">
      <w:pPr>
        <w:widowControl/>
        <w:adjustRightInd w:val="0"/>
        <w:snapToGrid w:val="0"/>
        <w:spacing w:line="560" w:lineRule="exact"/>
        <w:ind w:firstLine="600" w:firstLineChars="200"/>
        <w:rPr>
          <w:rFonts w:ascii="Times New Roman" w:hAnsi="Times New Roman" w:cs="Times New Roman"/>
          <w:szCs w:val="30"/>
        </w:rPr>
      </w:pPr>
      <w:r>
        <w:rPr>
          <w:rFonts w:hint="eastAsia" w:ascii="Times New Roman" w:hAnsi="Times New Roman" w:cs="Times New Roman"/>
          <w:szCs w:val="30"/>
        </w:rPr>
        <w:t>若外购热力可溯源，具备实测条件，可采用供热单位提供的二氧化碳排放因子；若条件不具备，热力供应的二氧化碳排放因子可采用推荐值</w:t>
      </w:r>
      <w:r>
        <w:rPr>
          <w:rFonts w:ascii="Times New Roman" w:hAnsi="Times New Roman" w:cs="Times New Roman"/>
          <w:szCs w:val="30"/>
        </w:rPr>
        <w:t>0.11</w:t>
      </w:r>
      <w:r>
        <w:rPr>
          <w:rFonts w:hint="eastAsia" w:ascii="Times New Roman" w:hAnsi="Times New Roman" w:cs="Times New Roman"/>
          <w:szCs w:val="30"/>
        </w:rPr>
        <w:t>吨</w:t>
      </w:r>
      <w:r>
        <w:rPr>
          <w:rFonts w:ascii="Times New Roman" w:hAnsi="Times New Roman" w:cs="Times New Roman"/>
          <w:szCs w:val="30"/>
        </w:rPr>
        <w:t>CO</w:t>
      </w:r>
      <w:r>
        <w:rPr>
          <w:rFonts w:ascii="Times New Roman" w:hAnsi="Times New Roman" w:cs="Times New Roman"/>
          <w:szCs w:val="30"/>
          <w:vertAlign w:val="subscript"/>
        </w:rPr>
        <w:t>2</w:t>
      </w:r>
      <w:r>
        <w:rPr>
          <w:rFonts w:ascii="Times New Roman" w:hAnsi="Times New Roman" w:cs="Times New Roman"/>
          <w:szCs w:val="30"/>
        </w:rPr>
        <w:t>/ GJ</w:t>
      </w:r>
      <w:r>
        <w:rPr>
          <w:rFonts w:hint="eastAsia" w:ascii="Times New Roman" w:hAnsi="Times New Roman" w:cs="Times New Roman"/>
          <w:szCs w:val="30"/>
        </w:rPr>
        <w:t>，同时根据主管部门最新发布的数据及时更新。</w:t>
      </w:r>
    </w:p>
    <w:p w14:paraId="1D2ADBA9">
      <w:pPr>
        <w:widowControl/>
        <w:adjustRightInd w:val="0"/>
        <w:snapToGrid w:val="0"/>
        <w:spacing w:line="560" w:lineRule="exact"/>
        <w:ind w:firstLine="602" w:firstLineChars="200"/>
        <w:rPr>
          <w:rFonts w:ascii="仿宋_GB2312" w:hAnsi="Times New Roman" w:cs="Times New Roman"/>
          <w:b/>
          <w:bCs/>
          <w:szCs w:val="30"/>
        </w:rPr>
      </w:pPr>
      <w:r>
        <w:rPr>
          <w:rFonts w:hint="eastAsia" w:ascii="仿宋_GB2312" w:hAnsi="Times New Roman" w:cs="Times New Roman"/>
          <w:b/>
          <w:bCs/>
          <w:szCs w:val="30"/>
        </w:rPr>
        <w:t>（三）范围三排放计算方法</w:t>
      </w:r>
    </w:p>
    <w:p w14:paraId="2989AD05">
      <w:pPr>
        <w:widowControl/>
        <w:adjustRightInd w:val="0"/>
        <w:snapToGrid w:val="0"/>
        <w:spacing w:line="560" w:lineRule="exact"/>
        <w:ind w:firstLine="600" w:firstLineChars="200"/>
        <w:rPr>
          <w:rFonts w:ascii="Times New Roman" w:hAnsi="Times New Roman" w:cs="Times New Roman"/>
          <w:szCs w:val="30"/>
        </w:rPr>
      </w:pPr>
      <w:r>
        <w:rPr>
          <w:rFonts w:hint="eastAsia" w:ascii="Times New Roman" w:hAnsi="Times New Roman" w:cs="Times New Roman"/>
          <w:szCs w:val="30"/>
        </w:rPr>
        <w:t>范围三排放可分为上游排放和下游排放，共包括</w:t>
      </w:r>
      <w:r>
        <w:rPr>
          <w:rFonts w:ascii="Times New Roman" w:hAnsi="Times New Roman" w:cs="Times New Roman"/>
          <w:szCs w:val="30"/>
        </w:rPr>
        <w:t>15</w:t>
      </w:r>
      <w:r>
        <w:rPr>
          <w:rFonts w:hint="eastAsia" w:ascii="Times New Roman" w:hAnsi="Times New Roman" w:cs="Times New Roman"/>
          <w:szCs w:val="30"/>
        </w:rPr>
        <w:t>个类别。上游排放是指与购买或收购的商品和服务相关的间接温室气体排放，下游排放是指与售出商品和服务相关的间接温室气体排放。</w:t>
      </w:r>
    </w:p>
    <w:p w14:paraId="799E4D68">
      <w:pPr>
        <w:widowControl/>
        <w:adjustRightInd w:val="0"/>
        <w:snapToGrid w:val="0"/>
        <w:spacing w:line="560" w:lineRule="exact"/>
        <w:ind w:firstLine="600" w:firstLineChars="200"/>
        <w:rPr>
          <w:rFonts w:ascii="Times New Roman" w:hAnsi="Times New Roman" w:cs="Times New Roman"/>
          <w:szCs w:val="30"/>
        </w:rPr>
      </w:pPr>
      <w:r>
        <w:rPr>
          <w:rFonts w:hint="eastAsia" w:ascii="Times New Roman" w:hAnsi="Times New Roman" w:cs="Times New Roman"/>
          <w:szCs w:val="30"/>
        </w:rPr>
        <w:t>有条件的披露主体可以就温室气体范围三排放量进行核算，明确纳入其核算的具体排放类别。如果核算全部类别的范围三排放难度较大，公司可以根据自身实际情况先行核算部分重要类别，后逐步扩大核算范围。例如，部分公司可能并无任何租赁资产，因此类别</w:t>
      </w:r>
      <w:r>
        <w:rPr>
          <w:rFonts w:ascii="Times New Roman" w:hAnsi="Times New Roman" w:cs="Times New Roman"/>
          <w:szCs w:val="30"/>
        </w:rPr>
        <w:t>8</w:t>
      </w:r>
      <w:r>
        <w:rPr>
          <w:rFonts w:hint="eastAsia" w:ascii="Times New Roman" w:hAnsi="Times New Roman" w:cs="Times New Roman"/>
          <w:szCs w:val="30"/>
        </w:rPr>
        <w:t>“上游租赁的资产”以及类别</w:t>
      </w:r>
      <w:r>
        <w:rPr>
          <w:rFonts w:ascii="Times New Roman" w:hAnsi="Times New Roman" w:cs="Times New Roman"/>
          <w:szCs w:val="30"/>
        </w:rPr>
        <w:t>13</w:t>
      </w:r>
      <w:r>
        <w:rPr>
          <w:rFonts w:hint="eastAsia" w:ascii="Times New Roman" w:hAnsi="Times New Roman" w:cs="Times New Roman"/>
          <w:szCs w:val="30"/>
        </w:rPr>
        <w:t>“下游租赁的资产”均不适用；如预计范围三排放中的部分类别在规模上与其他排放源相比显著较小，或由于数据缺乏、收集数据能力有限以及其他限制因素，可以暂不核算。</w:t>
      </w:r>
    </w:p>
    <w:p w14:paraId="47E9D90C">
      <w:pPr>
        <w:widowControl/>
        <w:adjustRightInd w:val="0"/>
        <w:snapToGrid w:val="0"/>
        <w:spacing w:line="560" w:lineRule="exact"/>
        <w:jc w:val="center"/>
        <w:rPr>
          <w:rFonts w:ascii="Times New Roman" w:hAnsi="Times New Roman" w:eastAsia="黑体" w:cs="Times New Roman"/>
          <w:kern w:val="0"/>
          <w:sz w:val="24"/>
          <w:szCs w:val="24"/>
          <w:lang w:bidi="ar"/>
        </w:rPr>
      </w:pPr>
      <w:r>
        <w:rPr>
          <w:rFonts w:hint="eastAsia" w:ascii="Times New Roman" w:hAnsi="Times New Roman" w:eastAsia="黑体" w:cs="Times New Roman"/>
          <w:kern w:val="0"/>
          <w:sz w:val="24"/>
          <w:szCs w:val="24"/>
          <w:lang w:bidi="ar"/>
        </w:rPr>
        <w:t>表</w:t>
      </w:r>
      <w:r>
        <w:rPr>
          <w:rFonts w:ascii="Times New Roman" w:hAnsi="Times New Roman" w:eastAsia="黑体" w:cs="Times New Roman"/>
          <w:kern w:val="0"/>
          <w:sz w:val="24"/>
          <w:szCs w:val="24"/>
          <w:lang w:bidi="ar"/>
        </w:rPr>
        <w:t>13</w:t>
      </w:r>
      <w:r>
        <w:rPr>
          <w:rFonts w:hint="eastAsia" w:ascii="Times New Roman" w:hAnsi="Times New Roman" w:eastAsia="黑体" w:cs="Times New Roman"/>
          <w:kern w:val="0"/>
          <w:sz w:val="24"/>
          <w:szCs w:val="24"/>
          <w:lang w:bidi="ar"/>
        </w:rPr>
        <w:t>：范围三温室气体排放类别</w:t>
      </w:r>
    </w:p>
    <w:tbl>
      <w:tblPr>
        <w:tblStyle w:val="8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48"/>
        <w:gridCol w:w="4048"/>
      </w:tblGrid>
      <w:tr w14:paraId="2175E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48" w:type="dxa"/>
          </w:tcPr>
          <w:p w14:paraId="1F5D986F">
            <w:pPr>
              <w:widowControl/>
              <w:adjustRightInd w:val="0"/>
              <w:snapToGrid w:val="0"/>
              <w:jc w:val="center"/>
              <w:rPr>
                <w:rFonts w:ascii="仿宋_GB2312" w:hAnsi="Times New Roman" w:cs="Times New Roman"/>
                <w:b/>
                <w:bCs/>
                <w:kern w:val="0"/>
                <w:sz w:val="24"/>
                <w:szCs w:val="24"/>
              </w:rPr>
            </w:pPr>
            <w:r>
              <w:rPr>
                <w:rFonts w:hint="eastAsia" w:ascii="仿宋_GB2312" w:hAnsi="Times New Roman" w:cs="Times New Roman"/>
                <w:b/>
                <w:bCs/>
                <w:kern w:val="0"/>
                <w:sz w:val="24"/>
                <w:szCs w:val="24"/>
              </w:rPr>
              <w:t>上游排放</w:t>
            </w:r>
          </w:p>
        </w:tc>
        <w:tc>
          <w:tcPr>
            <w:tcW w:w="4048" w:type="dxa"/>
          </w:tcPr>
          <w:p w14:paraId="0E73A800">
            <w:pPr>
              <w:widowControl/>
              <w:adjustRightInd w:val="0"/>
              <w:snapToGrid w:val="0"/>
              <w:jc w:val="center"/>
              <w:rPr>
                <w:rFonts w:ascii="仿宋_GB2312" w:hAnsi="Times New Roman" w:cs="Times New Roman"/>
                <w:b/>
                <w:bCs/>
                <w:kern w:val="0"/>
                <w:sz w:val="24"/>
                <w:szCs w:val="24"/>
              </w:rPr>
            </w:pPr>
            <w:r>
              <w:rPr>
                <w:rFonts w:hint="eastAsia" w:ascii="仿宋_GB2312" w:hAnsi="Times New Roman" w:cs="Times New Roman"/>
                <w:b/>
                <w:bCs/>
                <w:kern w:val="0"/>
                <w:sz w:val="24"/>
                <w:szCs w:val="24"/>
              </w:rPr>
              <w:t>下游排放</w:t>
            </w:r>
          </w:p>
        </w:tc>
      </w:tr>
      <w:tr w14:paraId="25D39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2" w:hRule="atLeast"/>
          <w:jc w:val="center"/>
        </w:trPr>
        <w:tc>
          <w:tcPr>
            <w:tcW w:w="4248" w:type="dxa"/>
            <w:vAlign w:val="center"/>
          </w:tcPr>
          <w:p w14:paraId="50B4F938">
            <w:pPr>
              <w:widowControl/>
              <w:numPr>
                <w:ilvl w:val="0"/>
                <w:numId w:val="2"/>
              </w:numPr>
              <w:adjustRightInd w:val="0"/>
              <w:snapToGrid w:val="0"/>
              <w:rPr>
                <w:rFonts w:ascii="Times New Roman" w:hAnsi="Times New Roman" w:cs="Times New Roman"/>
                <w:kern w:val="0"/>
                <w:sz w:val="24"/>
                <w:szCs w:val="20"/>
              </w:rPr>
            </w:pPr>
            <w:r>
              <w:rPr>
                <w:rFonts w:hint="eastAsia" w:ascii="Times New Roman" w:hAnsi="Times New Roman" w:cs="Times New Roman"/>
                <w:kern w:val="0"/>
                <w:sz w:val="24"/>
                <w:szCs w:val="20"/>
              </w:rPr>
              <w:t>购买的货物和服务</w:t>
            </w:r>
          </w:p>
          <w:p w14:paraId="6666621A">
            <w:pPr>
              <w:widowControl/>
              <w:numPr>
                <w:ilvl w:val="0"/>
                <w:numId w:val="2"/>
              </w:numPr>
              <w:adjustRightInd w:val="0"/>
              <w:snapToGrid w:val="0"/>
              <w:rPr>
                <w:rFonts w:ascii="Times New Roman" w:hAnsi="Times New Roman" w:cs="Times New Roman"/>
                <w:kern w:val="0"/>
                <w:sz w:val="24"/>
                <w:szCs w:val="20"/>
              </w:rPr>
            </w:pPr>
            <w:r>
              <w:rPr>
                <w:rFonts w:hint="eastAsia" w:ascii="Times New Roman" w:hAnsi="Times New Roman" w:cs="Times New Roman"/>
                <w:kern w:val="0"/>
                <w:sz w:val="24"/>
                <w:szCs w:val="20"/>
              </w:rPr>
              <w:t>资本货物</w:t>
            </w:r>
          </w:p>
          <w:p w14:paraId="32970E03">
            <w:pPr>
              <w:widowControl/>
              <w:numPr>
                <w:ilvl w:val="0"/>
                <w:numId w:val="2"/>
              </w:numPr>
              <w:adjustRightInd w:val="0"/>
              <w:snapToGrid w:val="0"/>
              <w:rPr>
                <w:rFonts w:ascii="Times New Roman" w:hAnsi="Times New Roman" w:cs="Times New Roman"/>
                <w:kern w:val="0"/>
                <w:sz w:val="24"/>
                <w:szCs w:val="20"/>
              </w:rPr>
            </w:pPr>
            <w:r>
              <w:rPr>
                <w:rFonts w:hint="eastAsia" w:ascii="Times New Roman" w:hAnsi="Times New Roman" w:cs="Times New Roman"/>
                <w:kern w:val="0"/>
                <w:sz w:val="24"/>
                <w:szCs w:val="20"/>
              </w:rPr>
              <w:t>燃料和能源相关活动（未包括在范围一和范围二中的部分）</w:t>
            </w:r>
          </w:p>
          <w:p w14:paraId="00A4DC29">
            <w:pPr>
              <w:widowControl/>
              <w:numPr>
                <w:ilvl w:val="0"/>
                <w:numId w:val="2"/>
              </w:numPr>
              <w:adjustRightInd w:val="0"/>
              <w:snapToGrid w:val="0"/>
              <w:rPr>
                <w:rFonts w:ascii="Times New Roman" w:hAnsi="Times New Roman" w:cs="Times New Roman"/>
                <w:kern w:val="0"/>
                <w:sz w:val="24"/>
                <w:szCs w:val="20"/>
              </w:rPr>
            </w:pPr>
            <w:r>
              <w:rPr>
                <w:rFonts w:hint="eastAsia" w:ascii="Times New Roman" w:hAnsi="Times New Roman" w:cs="Times New Roman"/>
                <w:kern w:val="0"/>
                <w:sz w:val="24"/>
                <w:szCs w:val="20"/>
              </w:rPr>
              <w:t>上游运输和分配</w:t>
            </w:r>
          </w:p>
          <w:p w14:paraId="030A9CE1">
            <w:pPr>
              <w:widowControl/>
              <w:numPr>
                <w:ilvl w:val="0"/>
                <w:numId w:val="2"/>
              </w:numPr>
              <w:adjustRightInd w:val="0"/>
              <w:snapToGrid w:val="0"/>
              <w:rPr>
                <w:rFonts w:ascii="Times New Roman" w:hAnsi="Times New Roman" w:cs="Times New Roman"/>
                <w:kern w:val="0"/>
                <w:sz w:val="24"/>
                <w:szCs w:val="20"/>
              </w:rPr>
            </w:pPr>
            <w:r>
              <w:rPr>
                <w:rFonts w:hint="eastAsia" w:ascii="Times New Roman" w:hAnsi="Times New Roman" w:cs="Times New Roman"/>
                <w:kern w:val="0"/>
                <w:sz w:val="24"/>
                <w:szCs w:val="20"/>
              </w:rPr>
              <w:t>操作中产生的废物</w:t>
            </w:r>
          </w:p>
          <w:p w14:paraId="05B3C5A7">
            <w:pPr>
              <w:widowControl/>
              <w:numPr>
                <w:ilvl w:val="0"/>
                <w:numId w:val="2"/>
              </w:numPr>
              <w:adjustRightInd w:val="0"/>
              <w:snapToGrid w:val="0"/>
              <w:rPr>
                <w:rFonts w:ascii="Times New Roman" w:hAnsi="Times New Roman" w:cs="Times New Roman"/>
                <w:kern w:val="0"/>
                <w:sz w:val="24"/>
                <w:szCs w:val="20"/>
              </w:rPr>
            </w:pPr>
            <w:r>
              <w:rPr>
                <w:rFonts w:hint="eastAsia" w:ascii="Times New Roman" w:hAnsi="Times New Roman" w:cs="Times New Roman"/>
                <w:kern w:val="0"/>
                <w:sz w:val="24"/>
                <w:szCs w:val="20"/>
              </w:rPr>
              <w:t>商务旅行</w:t>
            </w:r>
          </w:p>
          <w:p w14:paraId="4246E626">
            <w:pPr>
              <w:widowControl/>
              <w:numPr>
                <w:ilvl w:val="0"/>
                <w:numId w:val="2"/>
              </w:numPr>
              <w:adjustRightInd w:val="0"/>
              <w:snapToGrid w:val="0"/>
              <w:rPr>
                <w:rFonts w:ascii="Times New Roman" w:hAnsi="Times New Roman" w:cs="Times New Roman"/>
                <w:kern w:val="0"/>
                <w:sz w:val="24"/>
                <w:szCs w:val="20"/>
              </w:rPr>
            </w:pPr>
            <w:r>
              <w:rPr>
                <w:rFonts w:hint="eastAsia" w:ascii="Times New Roman" w:hAnsi="Times New Roman" w:cs="Times New Roman"/>
                <w:kern w:val="0"/>
                <w:sz w:val="24"/>
                <w:szCs w:val="20"/>
              </w:rPr>
              <w:t>雇员通勤</w:t>
            </w:r>
          </w:p>
          <w:p w14:paraId="37484773">
            <w:pPr>
              <w:widowControl/>
              <w:numPr>
                <w:ilvl w:val="0"/>
                <w:numId w:val="2"/>
              </w:numPr>
              <w:adjustRightInd w:val="0"/>
              <w:snapToGrid w:val="0"/>
              <w:rPr>
                <w:rFonts w:ascii="Times New Roman" w:hAnsi="Times New Roman" w:cs="Times New Roman"/>
                <w:kern w:val="0"/>
                <w:sz w:val="24"/>
                <w:szCs w:val="20"/>
              </w:rPr>
            </w:pPr>
            <w:r>
              <w:rPr>
                <w:rFonts w:hint="eastAsia" w:ascii="Times New Roman" w:hAnsi="Times New Roman" w:cs="Times New Roman"/>
                <w:kern w:val="0"/>
                <w:sz w:val="24"/>
                <w:szCs w:val="20"/>
              </w:rPr>
              <w:t>上游租赁的资产</w:t>
            </w:r>
          </w:p>
        </w:tc>
        <w:tc>
          <w:tcPr>
            <w:tcW w:w="4048" w:type="dxa"/>
          </w:tcPr>
          <w:p w14:paraId="4A6060C8">
            <w:pPr>
              <w:widowControl/>
              <w:numPr>
                <w:ilvl w:val="0"/>
                <w:numId w:val="2"/>
              </w:numPr>
              <w:adjustRightInd w:val="0"/>
              <w:snapToGrid w:val="0"/>
              <w:rPr>
                <w:rFonts w:ascii="Times New Roman" w:hAnsi="Times New Roman" w:cs="Times New Roman"/>
                <w:kern w:val="0"/>
                <w:sz w:val="24"/>
                <w:szCs w:val="20"/>
              </w:rPr>
            </w:pPr>
            <w:r>
              <w:rPr>
                <w:rFonts w:hint="eastAsia" w:ascii="Times New Roman" w:hAnsi="Times New Roman" w:cs="Times New Roman"/>
                <w:kern w:val="0"/>
                <w:sz w:val="24"/>
                <w:szCs w:val="20"/>
              </w:rPr>
              <w:t>下游运输和分配</w:t>
            </w:r>
          </w:p>
          <w:p w14:paraId="7EC7954E">
            <w:pPr>
              <w:widowControl/>
              <w:numPr>
                <w:ilvl w:val="0"/>
                <w:numId w:val="2"/>
              </w:numPr>
              <w:adjustRightInd w:val="0"/>
              <w:snapToGrid w:val="0"/>
              <w:rPr>
                <w:rFonts w:ascii="Times New Roman" w:hAnsi="Times New Roman" w:cs="Times New Roman"/>
                <w:kern w:val="0"/>
                <w:sz w:val="24"/>
                <w:szCs w:val="20"/>
              </w:rPr>
            </w:pPr>
            <w:r>
              <w:rPr>
                <w:rFonts w:hint="eastAsia" w:ascii="Times New Roman" w:hAnsi="Times New Roman" w:cs="Times New Roman"/>
                <w:kern w:val="0"/>
                <w:sz w:val="24"/>
                <w:szCs w:val="20"/>
              </w:rPr>
              <w:t>销售产品的加工</w:t>
            </w:r>
          </w:p>
          <w:p w14:paraId="1D87B5A9">
            <w:pPr>
              <w:widowControl/>
              <w:numPr>
                <w:ilvl w:val="0"/>
                <w:numId w:val="2"/>
              </w:numPr>
              <w:adjustRightInd w:val="0"/>
              <w:snapToGrid w:val="0"/>
              <w:rPr>
                <w:rFonts w:ascii="Times New Roman" w:hAnsi="Times New Roman" w:cs="Times New Roman"/>
                <w:kern w:val="0"/>
                <w:sz w:val="24"/>
                <w:szCs w:val="20"/>
              </w:rPr>
            </w:pPr>
            <w:r>
              <w:rPr>
                <w:rFonts w:hint="eastAsia" w:ascii="Times New Roman" w:hAnsi="Times New Roman" w:cs="Times New Roman"/>
                <w:kern w:val="0"/>
                <w:sz w:val="24"/>
                <w:szCs w:val="20"/>
              </w:rPr>
              <w:t>销售产品的使用</w:t>
            </w:r>
          </w:p>
          <w:p w14:paraId="18FB3F00">
            <w:pPr>
              <w:widowControl/>
              <w:numPr>
                <w:ilvl w:val="0"/>
                <w:numId w:val="2"/>
              </w:numPr>
              <w:adjustRightInd w:val="0"/>
              <w:snapToGrid w:val="0"/>
              <w:rPr>
                <w:rFonts w:ascii="Times New Roman" w:hAnsi="Times New Roman" w:cs="Times New Roman"/>
                <w:kern w:val="0"/>
                <w:sz w:val="24"/>
                <w:szCs w:val="20"/>
              </w:rPr>
            </w:pPr>
            <w:r>
              <w:rPr>
                <w:rFonts w:hint="eastAsia" w:ascii="Times New Roman" w:hAnsi="Times New Roman" w:cs="Times New Roman"/>
                <w:kern w:val="0"/>
                <w:sz w:val="24"/>
                <w:szCs w:val="20"/>
              </w:rPr>
              <w:t>售出产品的报废处理</w:t>
            </w:r>
          </w:p>
          <w:p w14:paraId="135A4391">
            <w:pPr>
              <w:widowControl/>
              <w:numPr>
                <w:ilvl w:val="0"/>
                <w:numId w:val="2"/>
              </w:numPr>
              <w:adjustRightInd w:val="0"/>
              <w:snapToGrid w:val="0"/>
              <w:rPr>
                <w:rFonts w:ascii="Times New Roman" w:hAnsi="Times New Roman" w:cs="Times New Roman"/>
                <w:kern w:val="0"/>
                <w:sz w:val="24"/>
                <w:szCs w:val="20"/>
              </w:rPr>
            </w:pPr>
            <w:r>
              <w:rPr>
                <w:rFonts w:hint="eastAsia" w:ascii="Times New Roman" w:hAnsi="Times New Roman" w:cs="Times New Roman"/>
                <w:kern w:val="0"/>
                <w:sz w:val="24"/>
                <w:szCs w:val="20"/>
              </w:rPr>
              <w:t>下游租赁的资产</w:t>
            </w:r>
          </w:p>
          <w:p w14:paraId="17D525DD">
            <w:pPr>
              <w:widowControl/>
              <w:numPr>
                <w:ilvl w:val="0"/>
                <w:numId w:val="2"/>
              </w:numPr>
              <w:adjustRightInd w:val="0"/>
              <w:snapToGrid w:val="0"/>
              <w:rPr>
                <w:rFonts w:ascii="Times New Roman" w:hAnsi="Times New Roman" w:cs="Times New Roman"/>
                <w:kern w:val="0"/>
                <w:sz w:val="24"/>
                <w:szCs w:val="20"/>
              </w:rPr>
            </w:pPr>
            <w:r>
              <w:rPr>
                <w:rFonts w:hint="eastAsia" w:ascii="Times New Roman" w:hAnsi="Times New Roman" w:cs="Times New Roman"/>
                <w:kern w:val="0"/>
                <w:sz w:val="24"/>
                <w:szCs w:val="20"/>
              </w:rPr>
              <w:t>特许权</w:t>
            </w:r>
          </w:p>
          <w:p w14:paraId="7522A8B0">
            <w:pPr>
              <w:widowControl/>
              <w:numPr>
                <w:ilvl w:val="0"/>
                <w:numId w:val="2"/>
              </w:numPr>
              <w:adjustRightInd w:val="0"/>
              <w:snapToGrid w:val="0"/>
              <w:rPr>
                <w:rFonts w:ascii="Times New Roman" w:hAnsi="Times New Roman" w:cs="Times New Roman"/>
                <w:kern w:val="0"/>
                <w:sz w:val="24"/>
                <w:szCs w:val="20"/>
              </w:rPr>
            </w:pPr>
            <w:r>
              <w:rPr>
                <w:rFonts w:hint="eastAsia" w:ascii="Times New Roman" w:hAnsi="Times New Roman" w:cs="Times New Roman"/>
                <w:kern w:val="0"/>
                <w:sz w:val="24"/>
                <w:szCs w:val="20"/>
              </w:rPr>
              <w:t>投资</w:t>
            </w:r>
          </w:p>
        </w:tc>
      </w:tr>
    </w:tbl>
    <w:p w14:paraId="27E431F2">
      <w:pPr>
        <w:widowControl/>
        <w:adjustRightInd w:val="0"/>
        <w:snapToGrid w:val="0"/>
        <w:spacing w:line="560" w:lineRule="exact"/>
        <w:jc w:val="center"/>
        <w:rPr>
          <w:rFonts w:ascii="Times New Roman" w:hAnsi="Times New Roman" w:eastAsia="黑体" w:cs="Times New Roman"/>
          <w:kern w:val="0"/>
          <w:sz w:val="24"/>
          <w:szCs w:val="24"/>
          <w:lang w:bidi="ar"/>
        </w:rPr>
      </w:pPr>
      <w:r>
        <w:rPr>
          <w:rFonts w:hint="eastAsia" w:ascii="Times New Roman" w:hAnsi="Times New Roman" w:eastAsia="黑体" w:cs="Times New Roman"/>
          <w:kern w:val="0"/>
          <w:sz w:val="24"/>
          <w:szCs w:val="24"/>
          <w:lang w:bidi="ar"/>
        </w:rPr>
        <w:t>表</w:t>
      </w:r>
      <w:r>
        <w:rPr>
          <w:rFonts w:ascii="Times New Roman" w:hAnsi="Times New Roman" w:eastAsia="黑体" w:cs="Times New Roman"/>
          <w:kern w:val="0"/>
          <w:sz w:val="24"/>
          <w:szCs w:val="24"/>
          <w:lang w:bidi="ar"/>
        </w:rPr>
        <w:t>14</w:t>
      </w:r>
      <w:r>
        <w:rPr>
          <w:rFonts w:hint="eastAsia" w:ascii="Times New Roman" w:hAnsi="Times New Roman" w:eastAsia="黑体" w:cs="Times New Roman"/>
          <w:kern w:val="0"/>
          <w:sz w:val="24"/>
          <w:szCs w:val="24"/>
          <w:lang w:bidi="ar"/>
        </w:rPr>
        <w:t>：确定纳入范围三排放核算的考虑因素</w:t>
      </w:r>
    </w:p>
    <w:tbl>
      <w:tblPr>
        <w:tblStyle w:val="8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02"/>
        <w:gridCol w:w="5394"/>
      </w:tblGrid>
      <w:tr w14:paraId="61F28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02" w:type="dxa"/>
            <w:vAlign w:val="center"/>
          </w:tcPr>
          <w:p w14:paraId="0F896C38">
            <w:pPr>
              <w:widowControl/>
              <w:adjustRightInd w:val="0"/>
              <w:snapToGrid w:val="0"/>
              <w:jc w:val="center"/>
              <w:rPr>
                <w:rFonts w:ascii="仿宋_GB2312" w:hAnsi="Times New Roman" w:cs="Times New Roman"/>
                <w:b/>
                <w:bCs/>
                <w:kern w:val="0"/>
                <w:sz w:val="24"/>
                <w:szCs w:val="24"/>
              </w:rPr>
            </w:pPr>
            <w:r>
              <w:rPr>
                <w:rFonts w:hint="eastAsia" w:ascii="仿宋_GB2312" w:hAnsi="Times New Roman" w:cs="Times New Roman"/>
                <w:b/>
                <w:bCs/>
                <w:kern w:val="0"/>
                <w:sz w:val="24"/>
                <w:szCs w:val="24"/>
              </w:rPr>
              <w:t>因素</w:t>
            </w:r>
          </w:p>
        </w:tc>
        <w:tc>
          <w:tcPr>
            <w:tcW w:w="5394" w:type="dxa"/>
            <w:vAlign w:val="center"/>
          </w:tcPr>
          <w:p w14:paraId="00DA7D9E">
            <w:pPr>
              <w:widowControl/>
              <w:adjustRightInd w:val="0"/>
              <w:snapToGrid w:val="0"/>
              <w:jc w:val="center"/>
              <w:rPr>
                <w:rFonts w:ascii="仿宋_GB2312" w:hAnsi="Times New Roman" w:cs="Times New Roman"/>
                <w:b/>
                <w:bCs/>
                <w:kern w:val="0"/>
                <w:sz w:val="24"/>
                <w:szCs w:val="24"/>
              </w:rPr>
            </w:pPr>
            <w:r>
              <w:rPr>
                <w:rFonts w:hint="eastAsia" w:ascii="仿宋_GB2312" w:hAnsi="Times New Roman" w:cs="Times New Roman"/>
                <w:b/>
                <w:bCs/>
                <w:kern w:val="0"/>
                <w:sz w:val="24"/>
                <w:szCs w:val="24"/>
              </w:rPr>
              <w:t>描述</w:t>
            </w:r>
          </w:p>
        </w:tc>
      </w:tr>
      <w:tr w14:paraId="13C84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2902" w:type="dxa"/>
            <w:vAlign w:val="center"/>
          </w:tcPr>
          <w:p w14:paraId="73FCCED3">
            <w:pPr>
              <w:widowControl/>
              <w:adjustRightInd w:val="0"/>
              <w:snapToGrid w:val="0"/>
              <w:jc w:val="center"/>
              <w:rPr>
                <w:rFonts w:ascii="仿宋_GB2312" w:hAnsi="Times New Roman" w:cs="Times New Roman"/>
                <w:kern w:val="0"/>
                <w:sz w:val="24"/>
                <w:szCs w:val="24"/>
              </w:rPr>
            </w:pPr>
            <w:r>
              <w:rPr>
                <w:rFonts w:hint="eastAsia" w:ascii="仿宋_GB2312" w:hAnsi="Times New Roman" w:cs="Times New Roman"/>
                <w:kern w:val="0"/>
                <w:sz w:val="24"/>
                <w:szCs w:val="24"/>
              </w:rPr>
              <w:t>规模</w:t>
            </w:r>
          </w:p>
        </w:tc>
        <w:tc>
          <w:tcPr>
            <w:tcW w:w="5394" w:type="dxa"/>
            <w:vAlign w:val="center"/>
          </w:tcPr>
          <w:p w14:paraId="39CDBF33">
            <w:pPr>
              <w:widowControl/>
              <w:adjustRightInd w:val="0"/>
              <w:snapToGrid w:val="0"/>
              <w:jc w:val="left"/>
              <w:rPr>
                <w:rFonts w:ascii="仿宋_GB2312" w:hAnsi="Times New Roman" w:cs="Times New Roman"/>
                <w:kern w:val="0"/>
                <w:sz w:val="24"/>
                <w:szCs w:val="24"/>
              </w:rPr>
            </w:pPr>
            <w:r>
              <w:rPr>
                <w:rFonts w:hint="eastAsia" w:ascii="仿宋_GB2312" w:hAnsi="Times New Roman" w:cs="Times New Roman"/>
                <w:kern w:val="0"/>
                <w:sz w:val="24"/>
                <w:szCs w:val="24"/>
              </w:rPr>
              <w:t>对公司范围三总排放量影响重大，例如相对公司的范围一和范围二排放量规模较大</w:t>
            </w:r>
          </w:p>
        </w:tc>
      </w:tr>
      <w:tr w14:paraId="70F32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2902" w:type="dxa"/>
            <w:vAlign w:val="center"/>
          </w:tcPr>
          <w:p w14:paraId="0CA712F6">
            <w:pPr>
              <w:widowControl/>
              <w:adjustRightInd w:val="0"/>
              <w:snapToGrid w:val="0"/>
              <w:jc w:val="center"/>
              <w:rPr>
                <w:rFonts w:ascii="仿宋_GB2312" w:hAnsi="Times New Roman" w:cs="Times New Roman"/>
                <w:kern w:val="0"/>
                <w:sz w:val="24"/>
                <w:szCs w:val="24"/>
              </w:rPr>
            </w:pPr>
            <w:r>
              <w:rPr>
                <w:rFonts w:hint="eastAsia" w:ascii="仿宋_GB2312" w:hAnsi="Times New Roman" w:cs="Times New Roman"/>
                <w:kern w:val="0"/>
                <w:sz w:val="24"/>
                <w:szCs w:val="24"/>
              </w:rPr>
              <w:t>影响力</w:t>
            </w:r>
          </w:p>
        </w:tc>
        <w:tc>
          <w:tcPr>
            <w:tcW w:w="5394" w:type="dxa"/>
            <w:vAlign w:val="center"/>
          </w:tcPr>
          <w:p w14:paraId="727B6541">
            <w:pPr>
              <w:widowControl/>
              <w:adjustRightInd w:val="0"/>
              <w:snapToGrid w:val="0"/>
              <w:jc w:val="left"/>
              <w:rPr>
                <w:rFonts w:ascii="仿宋_GB2312" w:hAnsi="Times New Roman" w:cs="Times New Roman"/>
                <w:kern w:val="0"/>
                <w:sz w:val="24"/>
                <w:szCs w:val="24"/>
              </w:rPr>
            </w:pPr>
            <w:r>
              <w:rPr>
                <w:rFonts w:hint="eastAsia" w:ascii="仿宋_GB2312" w:hAnsi="Times New Roman" w:cs="Times New Roman"/>
                <w:kern w:val="0"/>
                <w:sz w:val="24"/>
                <w:szCs w:val="24"/>
              </w:rPr>
              <w:t>公司对于潜在的温室气体减排活动可施加影响力</w:t>
            </w:r>
          </w:p>
        </w:tc>
      </w:tr>
      <w:tr w14:paraId="5D99C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2902" w:type="dxa"/>
            <w:vAlign w:val="center"/>
          </w:tcPr>
          <w:p w14:paraId="592D8F19">
            <w:pPr>
              <w:widowControl/>
              <w:adjustRightInd w:val="0"/>
              <w:snapToGrid w:val="0"/>
              <w:jc w:val="center"/>
              <w:rPr>
                <w:rFonts w:ascii="仿宋_GB2312" w:hAnsi="Times New Roman" w:cs="Times New Roman"/>
                <w:kern w:val="0"/>
                <w:sz w:val="24"/>
                <w:szCs w:val="24"/>
              </w:rPr>
            </w:pPr>
            <w:r>
              <w:rPr>
                <w:rFonts w:hint="eastAsia" w:ascii="仿宋_GB2312" w:hAnsi="Times New Roman" w:cs="Times New Roman"/>
                <w:kern w:val="0"/>
                <w:sz w:val="24"/>
                <w:szCs w:val="24"/>
              </w:rPr>
              <w:t>行业标准</w:t>
            </w:r>
          </w:p>
        </w:tc>
        <w:tc>
          <w:tcPr>
            <w:tcW w:w="5394" w:type="dxa"/>
            <w:vAlign w:val="center"/>
          </w:tcPr>
          <w:p w14:paraId="73058AD1">
            <w:pPr>
              <w:widowControl/>
              <w:adjustRightInd w:val="0"/>
              <w:snapToGrid w:val="0"/>
              <w:jc w:val="left"/>
              <w:rPr>
                <w:rFonts w:ascii="仿宋_GB2312" w:hAnsi="Times New Roman" w:cs="Times New Roman"/>
                <w:kern w:val="0"/>
                <w:sz w:val="24"/>
                <w:szCs w:val="24"/>
              </w:rPr>
            </w:pPr>
            <w:r>
              <w:rPr>
                <w:rFonts w:hint="eastAsia" w:ascii="仿宋_GB2312" w:hAnsi="Times New Roman" w:cs="Times New Roman"/>
                <w:kern w:val="0"/>
                <w:sz w:val="24"/>
                <w:szCs w:val="24"/>
              </w:rPr>
              <w:t>行业特定标准已将其识别为重要的排放类别</w:t>
            </w:r>
          </w:p>
        </w:tc>
      </w:tr>
      <w:tr w14:paraId="055F5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2902" w:type="dxa"/>
            <w:vAlign w:val="center"/>
          </w:tcPr>
          <w:p w14:paraId="6D39D3C4">
            <w:pPr>
              <w:widowControl/>
              <w:adjustRightInd w:val="0"/>
              <w:snapToGrid w:val="0"/>
              <w:jc w:val="center"/>
              <w:rPr>
                <w:rFonts w:ascii="仿宋_GB2312" w:hAnsi="Times New Roman" w:cs="Times New Roman"/>
                <w:kern w:val="0"/>
                <w:sz w:val="24"/>
                <w:szCs w:val="24"/>
              </w:rPr>
            </w:pPr>
            <w:r>
              <w:rPr>
                <w:rFonts w:hint="eastAsia" w:ascii="仿宋_GB2312" w:hAnsi="Times New Roman" w:cs="Times New Roman"/>
                <w:kern w:val="0"/>
                <w:sz w:val="24"/>
                <w:szCs w:val="24"/>
              </w:rPr>
              <w:t>风险</w:t>
            </w:r>
          </w:p>
        </w:tc>
        <w:tc>
          <w:tcPr>
            <w:tcW w:w="5394" w:type="dxa"/>
            <w:vAlign w:val="center"/>
          </w:tcPr>
          <w:p w14:paraId="68ACEC72">
            <w:pPr>
              <w:widowControl/>
              <w:adjustRightInd w:val="0"/>
              <w:snapToGrid w:val="0"/>
              <w:jc w:val="left"/>
              <w:rPr>
                <w:rFonts w:ascii="仿宋_GB2312" w:hAnsi="Times New Roman" w:cs="Times New Roman"/>
                <w:kern w:val="0"/>
                <w:sz w:val="24"/>
                <w:szCs w:val="24"/>
              </w:rPr>
            </w:pPr>
            <w:r>
              <w:rPr>
                <w:rFonts w:hint="eastAsia" w:ascii="仿宋_GB2312" w:hAnsi="Times New Roman" w:cs="Times New Roman"/>
                <w:kern w:val="0"/>
                <w:sz w:val="24"/>
                <w:szCs w:val="24"/>
              </w:rPr>
              <w:t>构成公司的风险（例如气候变化相关转型风险中，如诉讼、声誉等风险）</w:t>
            </w:r>
          </w:p>
        </w:tc>
      </w:tr>
      <w:tr w14:paraId="5F694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02" w:type="dxa"/>
            <w:vAlign w:val="center"/>
          </w:tcPr>
          <w:p w14:paraId="5AAA5939">
            <w:pPr>
              <w:widowControl/>
              <w:adjustRightInd w:val="0"/>
              <w:snapToGrid w:val="0"/>
              <w:jc w:val="center"/>
              <w:rPr>
                <w:rFonts w:ascii="仿宋_GB2312" w:hAnsi="Times New Roman" w:cs="Times New Roman"/>
                <w:kern w:val="0"/>
                <w:sz w:val="24"/>
                <w:szCs w:val="24"/>
              </w:rPr>
            </w:pPr>
            <w:r>
              <w:rPr>
                <w:rFonts w:hint="eastAsia" w:ascii="仿宋_GB2312" w:hAnsi="Times New Roman" w:cs="Times New Roman"/>
                <w:kern w:val="0"/>
                <w:sz w:val="24"/>
                <w:szCs w:val="24"/>
              </w:rPr>
              <w:t>外包</w:t>
            </w:r>
          </w:p>
        </w:tc>
        <w:tc>
          <w:tcPr>
            <w:tcW w:w="5394" w:type="dxa"/>
            <w:vAlign w:val="center"/>
          </w:tcPr>
          <w:p w14:paraId="7D9D5EA5">
            <w:pPr>
              <w:widowControl/>
              <w:adjustRightInd w:val="0"/>
              <w:snapToGrid w:val="0"/>
              <w:jc w:val="left"/>
              <w:rPr>
                <w:rFonts w:ascii="仿宋_GB2312" w:hAnsi="Times New Roman" w:cs="Times New Roman"/>
                <w:kern w:val="0"/>
                <w:sz w:val="24"/>
                <w:szCs w:val="24"/>
              </w:rPr>
            </w:pPr>
            <w:r>
              <w:rPr>
                <w:rFonts w:hint="eastAsia" w:ascii="仿宋_GB2312" w:hAnsi="Times New Roman" w:cs="Times New Roman"/>
                <w:kern w:val="0"/>
                <w:sz w:val="24"/>
                <w:szCs w:val="24"/>
              </w:rPr>
              <w:t>以前报告期在公司内部完成而现在进行外包的活动，或公司外包而同行业其他公司通常在内部完成的活动</w:t>
            </w:r>
          </w:p>
        </w:tc>
      </w:tr>
      <w:tr w14:paraId="538CD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02" w:type="dxa"/>
            <w:vAlign w:val="center"/>
          </w:tcPr>
          <w:p w14:paraId="39C47E80">
            <w:pPr>
              <w:widowControl/>
              <w:adjustRightInd w:val="0"/>
              <w:snapToGrid w:val="0"/>
              <w:jc w:val="center"/>
              <w:rPr>
                <w:rFonts w:ascii="仿宋_GB2312" w:hAnsi="Times New Roman" w:cs="Times New Roman"/>
                <w:kern w:val="0"/>
                <w:sz w:val="24"/>
                <w:szCs w:val="24"/>
              </w:rPr>
            </w:pPr>
            <w:r>
              <w:rPr>
                <w:rFonts w:hint="eastAsia" w:ascii="仿宋_GB2312" w:hAnsi="Times New Roman" w:cs="Times New Roman"/>
                <w:kern w:val="0"/>
                <w:sz w:val="24"/>
                <w:szCs w:val="24"/>
              </w:rPr>
              <w:t>利益相关方</w:t>
            </w:r>
          </w:p>
        </w:tc>
        <w:tc>
          <w:tcPr>
            <w:tcW w:w="5394" w:type="dxa"/>
            <w:vAlign w:val="center"/>
          </w:tcPr>
          <w:p w14:paraId="29B10560">
            <w:pPr>
              <w:widowControl/>
              <w:adjustRightInd w:val="0"/>
              <w:snapToGrid w:val="0"/>
              <w:jc w:val="left"/>
              <w:rPr>
                <w:rFonts w:ascii="仿宋_GB2312" w:hAnsi="Times New Roman" w:cs="Times New Roman"/>
                <w:kern w:val="0"/>
                <w:sz w:val="24"/>
                <w:szCs w:val="24"/>
              </w:rPr>
            </w:pPr>
            <w:r>
              <w:rPr>
                <w:rFonts w:hint="eastAsia" w:ascii="仿宋_GB2312" w:hAnsi="Times New Roman" w:cs="Times New Roman"/>
                <w:kern w:val="0"/>
                <w:sz w:val="24"/>
                <w:szCs w:val="24"/>
              </w:rPr>
              <w:t>被利益相关方认为是重要的，例如客户、供应商、投资者等</w:t>
            </w:r>
          </w:p>
        </w:tc>
      </w:tr>
    </w:tbl>
    <w:p w14:paraId="22778250">
      <w:pPr>
        <w:widowControl/>
        <w:adjustRightInd w:val="0"/>
        <w:snapToGrid w:val="0"/>
        <w:spacing w:line="560" w:lineRule="exact"/>
        <w:ind w:firstLine="600" w:firstLineChars="200"/>
        <w:rPr>
          <w:rFonts w:ascii="仿宋_GB2312" w:hAnsi="Times New Roman" w:cs="Times New Roman"/>
          <w:szCs w:val="30"/>
        </w:rPr>
      </w:pPr>
      <w:r>
        <w:rPr>
          <w:rFonts w:hint="eastAsia" w:ascii="仿宋_GB2312" w:hAnsi="Times New Roman" w:cs="Times New Roman"/>
          <w:szCs w:val="30"/>
        </w:rPr>
        <w:t>公司计算</w:t>
      </w:r>
      <w:r>
        <w:rPr>
          <w:rFonts w:ascii="仿宋_GB2312" w:hAnsi="Times New Roman" w:cs="Times New Roman"/>
          <w:szCs w:val="30"/>
        </w:rPr>
        <w:t>范围三温室气体排放</w:t>
      </w:r>
      <w:r>
        <w:rPr>
          <w:rFonts w:hint="eastAsia" w:ascii="仿宋_GB2312" w:hAnsi="Times New Roman" w:cs="Times New Roman"/>
          <w:szCs w:val="30"/>
        </w:rPr>
        <w:t>量时，一般使用活动数据和排放因子两种类型的数据，进而通过以下公式计算：</w:t>
      </w:r>
    </w:p>
    <w:p w14:paraId="60BF2272">
      <w:pPr>
        <w:widowControl/>
        <w:adjustRightInd w:val="0"/>
        <w:snapToGrid w:val="0"/>
        <w:spacing w:line="560" w:lineRule="exact"/>
        <w:ind w:firstLine="600" w:firstLineChars="200"/>
        <w:rPr>
          <w:rFonts w:ascii="Times New Roman" w:hAnsi="Times New Roman" w:cs="Times New Roman"/>
          <w:szCs w:val="30"/>
        </w:rPr>
      </w:pPr>
      <w:r>
        <w:rPr>
          <w:rFonts w:hint="eastAsia" w:ascii="Times New Roman" w:hAnsi="Times New Roman" w:cs="Times New Roman"/>
          <w:szCs w:val="30"/>
        </w:rPr>
        <w:t>二氧化碳当量（</w:t>
      </w:r>
      <w:r>
        <w:rPr>
          <w:rFonts w:ascii="Times New Roman" w:hAnsi="Times New Roman" w:cs="Times New Roman"/>
          <w:szCs w:val="30"/>
        </w:rPr>
        <w:t>CO</w:t>
      </w:r>
      <w:r>
        <w:rPr>
          <w:rFonts w:ascii="Times New Roman" w:hAnsi="Times New Roman" w:cs="Times New Roman"/>
          <w:szCs w:val="30"/>
          <w:vertAlign w:val="subscript"/>
        </w:rPr>
        <w:t>2e</w:t>
      </w:r>
      <w:r>
        <w:rPr>
          <w:rFonts w:hint="eastAsia" w:ascii="Times New Roman" w:hAnsi="Times New Roman" w:cs="Times New Roman"/>
          <w:szCs w:val="30"/>
        </w:rPr>
        <w:t>）</w:t>
      </w:r>
      <w:r>
        <w:rPr>
          <w:rFonts w:ascii="Times New Roman" w:hAnsi="Times New Roman" w:cs="Times New Roman"/>
          <w:szCs w:val="30"/>
        </w:rPr>
        <w:t xml:space="preserve">= A </w:t>
      </w:r>
      <w:r>
        <w:rPr>
          <w:rFonts w:hint="eastAsia" w:ascii="Times New Roman" w:hAnsi="Times New Roman" w:cs="Times New Roman"/>
          <w:szCs w:val="30"/>
        </w:rPr>
        <w:t>×</w:t>
      </w:r>
      <w:r>
        <w:rPr>
          <w:rFonts w:ascii="Times New Roman" w:hAnsi="Times New Roman" w:cs="Times New Roman"/>
          <w:szCs w:val="30"/>
        </w:rPr>
        <w:t xml:space="preserve"> EF </w:t>
      </w:r>
      <w:r>
        <w:rPr>
          <w:rFonts w:hint="eastAsia" w:ascii="Times New Roman" w:hAnsi="Times New Roman" w:cs="Times New Roman"/>
          <w:szCs w:val="30"/>
        </w:rPr>
        <w:t>×</w:t>
      </w:r>
      <w:r>
        <w:rPr>
          <w:rFonts w:ascii="Times New Roman" w:hAnsi="Times New Roman" w:cs="Times New Roman"/>
          <w:szCs w:val="30"/>
        </w:rPr>
        <w:t xml:space="preserve"> GWP</w:t>
      </w:r>
    </w:p>
    <w:p w14:paraId="2311BA0B">
      <w:pPr>
        <w:widowControl/>
        <w:adjustRightInd w:val="0"/>
        <w:snapToGrid w:val="0"/>
        <w:spacing w:line="560" w:lineRule="exact"/>
        <w:ind w:firstLine="600" w:firstLineChars="200"/>
        <w:rPr>
          <w:rFonts w:ascii="Times New Roman" w:hAnsi="Times New Roman" w:cs="Times New Roman"/>
          <w:szCs w:val="30"/>
        </w:rPr>
      </w:pPr>
      <w:r>
        <w:rPr>
          <w:rFonts w:ascii="Times New Roman" w:hAnsi="Times New Roman" w:cs="Times New Roman"/>
          <w:szCs w:val="30"/>
        </w:rPr>
        <w:t>A——</w:t>
      </w:r>
      <w:r>
        <w:rPr>
          <w:rFonts w:hint="eastAsia" w:ascii="Times New Roman" w:hAnsi="Times New Roman" w:cs="Times New Roman"/>
          <w:szCs w:val="30"/>
        </w:rPr>
        <w:t>活动数据</w:t>
      </w:r>
    </w:p>
    <w:p w14:paraId="0229F6D3">
      <w:pPr>
        <w:widowControl/>
        <w:adjustRightInd w:val="0"/>
        <w:snapToGrid w:val="0"/>
        <w:spacing w:line="560" w:lineRule="exact"/>
        <w:ind w:firstLine="600" w:firstLineChars="200"/>
        <w:rPr>
          <w:rFonts w:ascii="Times New Roman" w:hAnsi="Times New Roman" w:cs="Times New Roman"/>
          <w:szCs w:val="30"/>
        </w:rPr>
      </w:pPr>
      <w:r>
        <w:rPr>
          <w:rFonts w:ascii="Times New Roman" w:hAnsi="Times New Roman" w:cs="Times New Roman"/>
          <w:szCs w:val="30"/>
        </w:rPr>
        <w:t>EF——</w:t>
      </w:r>
      <w:r>
        <w:rPr>
          <w:rFonts w:hint="eastAsia" w:ascii="Times New Roman" w:hAnsi="Times New Roman" w:cs="Times New Roman"/>
          <w:szCs w:val="30"/>
        </w:rPr>
        <w:t>排放因子</w:t>
      </w:r>
    </w:p>
    <w:p w14:paraId="3C5C2904">
      <w:pPr>
        <w:widowControl/>
        <w:adjustRightInd w:val="0"/>
        <w:snapToGrid w:val="0"/>
        <w:spacing w:line="560" w:lineRule="exact"/>
        <w:ind w:firstLine="600" w:firstLineChars="200"/>
        <w:rPr>
          <w:rFonts w:ascii="Times New Roman" w:hAnsi="Times New Roman" w:cs="Times New Roman"/>
          <w:szCs w:val="30"/>
        </w:rPr>
      </w:pPr>
      <w:r>
        <w:rPr>
          <w:rFonts w:ascii="Times New Roman" w:hAnsi="Times New Roman" w:cs="Times New Roman"/>
          <w:szCs w:val="30"/>
        </w:rPr>
        <w:t>GWP——</w:t>
      </w:r>
      <w:r>
        <w:rPr>
          <w:rFonts w:hint="eastAsia" w:ascii="Times New Roman" w:hAnsi="Times New Roman" w:cs="Times New Roman"/>
          <w:szCs w:val="30"/>
        </w:rPr>
        <w:t>全球变暖潜势值</w:t>
      </w:r>
    </w:p>
    <w:p w14:paraId="2740E09B">
      <w:pPr>
        <w:widowControl/>
        <w:adjustRightInd w:val="0"/>
        <w:snapToGrid w:val="0"/>
        <w:spacing w:line="560" w:lineRule="exact"/>
        <w:ind w:firstLine="600" w:firstLineChars="200"/>
        <w:rPr>
          <w:rFonts w:ascii="仿宋_GB2312" w:hAnsi="Times New Roman" w:cs="Times New Roman"/>
          <w:szCs w:val="30"/>
        </w:rPr>
      </w:pPr>
      <w:r>
        <w:rPr>
          <w:rFonts w:hint="eastAsia" w:ascii="仿宋_GB2312" w:hAnsi="Times New Roman" w:cs="Times New Roman"/>
          <w:szCs w:val="30"/>
        </w:rPr>
        <w:t>其中，活动数据是对产生温室气体排放的活动水平的量化测量；排放因子是指将活动数据转化为温室气体排放数据的因子；</w:t>
      </w:r>
      <w:r>
        <w:rPr>
          <w:rFonts w:ascii="Times New Roman" w:hAnsi="Times New Roman" w:cs="Times New Roman"/>
          <w:szCs w:val="30"/>
        </w:rPr>
        <w:t>全球变暖潜势值</w:t>
      </w:r>
      <w:r>
        <w:rPr>
          <w:rFonts w:hint="eastAsia" w:ascii="Times New Roman" w:hAnsi="Times New Roman" w:cs="Times New Roman"/>
          <w:szCs w:val="30"/>
        </w:rPr>
        <w:t>主要用于</w:t>
      </w:r>
      <w:r>
        <w:rPr>
          <w:rFonts w:hint="eastAsia" w:ascii="仿宋_GB2312" w:hAnsi="Times New Roman" w:cs="Times New Roman"/>
          <w:szCs w:val="30"/>
        </w:rPr>
        <w:t>将其他温室气体统一换算成二氧化碳当量(</w:t>
      </w:r>
      <w:r>
        <w:rPr>
          <w:rFonts w:ascii="Times New Roman" w:hAnsi="Times New Roman" w:cs="Times New Roman"/>
          <w:szCs w:val="30"/>
        </w:rPr>
        <w:t>CO</w:t>
      </w:r>
      <w:r>
        <w:rPr>
          <w:rFonts w:ascii="Times New Roman" w:hAnsi="Times New Roman" w:cs="Times New Roman"/>
          <w:szCs w:val="30"/>
          <w:vertAlign w:val="subscript"/>
        </w:rPr>
        <w:t>2e</w:t>
      </w:r>
      <w:r>
        <w:rPr>
          <w:rFonts w:hint="eastAsia" w:ascii="仿宋_GB2312" w:hAnsi="Times New Roman" w:cs="Times New Roman"/>
          <w:szCs w:val="30"/>
        </w:rPr>
        <w:t>)。</w:t>
      </w:r>
    </w:p>
    <w:p w14:paraId="6E1E67EE">
      <w:pPr>
        <w:widowControl/>
        <w:adjustRightInd w:val="0"/>
        <w:snapToGrid w:val="0"/>
        <w:spacing w:line="560" w:lineRule="exact"/>
        <w:jc w:val="center"/>
        <w:rPr>
          <w:rFonts w:ascii="Times New Roman" w:hAnsi="Times New Roman" w:eastAsia="黑体" w:cs="Times New Roman"/>
          <w:kern w:val="0"/>
          <w:sz w:val="24"/>
          <w:szCs w:val="24"/>
          <w:lang w:bidi="ar"/>
        </w:rPr>
      </w:pPr>
      <w:r>
        <w:rPr>
          <w:rFonts w:hint="eastAsia" w:ascii="Times New Roman" w:hAnsi="Times New Roman" w:eastAsia="黑体" w:cs="Times New Roman"/>
          <w:kern w:val="0"/>
          <w:sz w:val="24"/>
          <w:szCs w:val="24"/>
          <w:lang w:bidi="ar"/>
        </w:rPr>
        <w:t>表</w:t>
      </w:r>
      <w:r>
        <w:rPr>
          <w:rFonts w:ascii="Times New Roman" w:hAnsi="Times New Roman" w:eastAsia="黑体" w:cs="Times New Roman"/>
          <w:kern w:val="0"/>
          <w:sz w:val="24"/>
          <w:szCs w:val="24"/>
          <w:lang w:bidi="ar"/>
        </w:rPr>
        <w:t>15</w:t>
      </w:r>
      <w:r>
        <w:rPr>
          <w:rFonts w:hint="eastAsia" w:ascii="Times New Roman" w:hAnsi="Times New Roman" w:eastAsia="黑体" w:cs="Times New Roman"/>
          <w:kern w:val="0"/>
          <w:sz w:val="24"/>
          <w:szCs w:val="24"/>
          <w:lang w:bidi="ar"/>
        </w:rPr>
        <w:t>：活动数据和排放因子示例</w:t>
      </w:r>
    </w:p>
    <w:tbl>
      <w:tblPr>
        <w:tblStyle w:val="8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72"/>
        <w:gridCol w:w="5324"/>
      </w:tblGrid>
      <w:tr w14:paraId="536CA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72" w:type="dxa"/>
          </w:tcPr>
          <w:p w14:paraId="50F8060A">
            <w:pPr>
              <w:widowControl/>
              <w:adjustRightInd w:val="0"/>
              <w:snapToGrid w:val="0"/>
              <w:spacing w:line="264" w:lineRule="auto"/>
              <w:jc w:val="center"/>
              <w:rPr>
                <w:rFonts w:ascii="仿宋_GB2312" w:hAnsi="Times New Roman" w:cs="Times New Roman"/>
                <w:b/>
                <w:bCs/>
                <w:kern w:val="0"/>
                <w:sz w:val="24"/>
                <w:szCs w:val="24"/>
              </w:rPr>
            </w:pPr>
            <w:r>
              <w:rPr>
                <w:rFonts w:hint="eastAsia" w:ascii="仿宋_GB2312" w:hAnsi="Times New Roman" w:cs="Times New Roman"/>
                <w:b/>
                <w:bCs/>
                <w:kern w:val="0"/>
                <w:sz w:val="24"/>
                <w:szCs w:val="24"/>
              </w:rPr>
              <w:t>活动数据</w:t>
            </w:r>
          </w:p>
        </w:tc>
        <w:tc>
          <w:tcPr>
            <w:tcW w:w="5324" w:type="dxa"/>
          </w:tcPr>
          <w:p w14:paraId="3A98423F">
            <w:pPr>
              <w:widowControl/>
              <w:adjustRightInd w:val="0"/>
              <w:snapToGrid w:val="0"/>
              <w:spacing w:line="264" w:lineRule="auto"/>
              <w:jc w:val="center"/>
              <w:rPr>
                <w:rFonts w:ascii="仿宋_GB2312" w:hAnsi="Times New Roman" w:cs="Times New Roman"/>
                <w:b/>
                <w:bCs/>
                <w:kern w:val="0"/>
                <w:sz w:val="24"/>
                <w:szCs w:val="24"/>
              </w:rPr>
            </w:pPr>
            <w:r>
              <w:rPr>
                <w:rFonts w:hint="eastAsia" w:ascii="仿宋_GB2312" w:hAnsi="Times New Roman" w:cs="Times New Roman"/>
                <w:b/>
                <w:bCs/>
                <w:kern w:val="0"/>
                <w:sz w:val="24"/>
                <w:szCs w:val="24"/>
              </w:rPr>
              <w:t>排放因子</w:t>
            </w:r>
          </w:p>
        </w:tc>
      </w:tr>
      <w:tr w14:paraId="56F39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72" w:type="dxa"/>
            <w:vAlign w:val="center"/>
          </w:tcPr>
          <w:p w14:paraId="773E6445">
            <w:pPr>
              <w:widowControl/>
              <w:adjustRightInd w:val="0"/>
              <w:snapToGrid w:val="0"/>
              <w:spacing w:line="264" w:lineRule="auto"/>
              <w:jc w:val="left"/>
              <w:rPr>
                <w:rFonts w:ascii="仿宋_GB2312" w:hAnsi="Times New Roman" w:cs="Times New Roman"/>
                <w:b/>
                <w:bCs/>
                <w:kern w:val="0"/>
                <w:sz w:val="24"/>
                <w:szCs w:val="24"/>
              </w:rPr>
            </w:pPr>
            <w:r>
              <w:rPr>
                <w:rFonts w:hint="eastAsia" w:ascii="仿宋_GB2312" w:hAnsi="Times New Roman" w:cs="Times New Roman"/>
                <w:kern w:val="0"/>
                <w:sz w:val="24"/>
                <w:szCs w:val="24"/>
              </w:rPr>
              <w:t>消耗的燃料(升)</w:t>
            </w:r>
          </w:p>
        </w:tc>
        <w:tc>
          <w:tcPr>
            <w:tcW w:w="5324" w:type="dxa"/>
          </w:tcPr>
          <w:p w14:paraId="4E6612AF">
            <w:pPr>
              <w:widowControl/>
              <w:adjustRightInd w:val="0"/>
              <w:snapToGrid w:val="0"/>
              <w:spacing w:line="264" w:lineRule="auto"/>
              <w:jc w:val="left"/>
              <w:rPr>
                <w:rFonts w:ascii="仿宋_GB2312" w:hAnsi="Times New Roman" w:cs="Times New Roman"/>
                <w:b/>
                <w:bCs/>
                <w:kern w:val="0"/>
                <w:sz w:val="24"/>
                <w:szCs w:val="24"/>
              </w:rPr>
            </w:pPr>
            <w:r>
              <w:rPr>
                <w:rFonts w:hint="eastAsia" w:ascii="仿宋_GB2312" w:hAnsi="Times New Roman" w:cs="Times New Roman"/>
                <w:kern w:val="0"/>
                <w:sz w:val="24"/>
                <w:szCs w:val="24"/>
              </w:rPr>
              <w:t>消耗每升燃料产生的二氧化碳（千克/升)</w:t>
            </w:r>
          </w:p>
        </w:tc>
      </w:tr>
      <w:tr w14:paraId="73EC9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72" w:type="dxa"/>
            <w:vAlign w:val="center"/>
          </w:tcPr>
          <w:p w14:paraId="1E04C7C5">
            <w:pPr>
              <w:widowControl/>
              <w:adjustRightInd w:val="0"/>
              <w:snapToGrid w:val="0"/>
              <w:spacing w:line="264" w:lineRule="auto"/>
              <w:jc w:val="left"/>
              <w:rPr>
                <w:rFonts w:ascii="仿宋_GB2312" w:hAnsi="Times New Roman" w:cs="Times New Roman"/>
                <w:kern w:val="0"/>
                <w:sz w:val="24"/>
                <w:szCs w:val="24"/>
              </w:rPr>
            </w:pPr>
            <w:r>
              <w:rPr>
                <w:rFonts w:hint="eastAsia" w:ascii="仿宋_GB2312" w:hAnsi="Times New Roman" w:cs="Times New Roman"/>
                <w:kern w:val="0"/>
                <w:sz w:val="24"/>
                <w:szCs w:val="24"/>
              </w:rPr>
              <w:t>运轮距离（千米)</w:t>
            </w:r>
          </w:p>
        </w:tc>
        <w:tc>
          <w:tcPr>
            <w:tcW w:w="5324" w:type="dxa"/>
          </w:tcPr>
          <w:p w14:paraId="0159BEE4">
            <w:pPr>
              <w:widowControl/>
              <w:adjustRightInd w:val="0"/>
              <w:snapToGrid w:val="0"/>
              <w:spacing w:line="264" w:lineRule="auto"/>
              <w:jc w:val="left"/>
              <w:rPr>
                <w:rFonts w:ascii="仿宋_GB2312" w:hAnsi="Times New Roman" w:cs="Times New Roman"/>
                <w:kern w:val="0"/>
                <w:sz w:val="24"/>
                <w:szCs w:val="24"/>
              </w:rPr>
            </w:pPr>
            <w:r>
              <w:rPr>
                <w:rFonts w:hint="eastAsia" w:ascii="仿宋_GB2312" w:hAnsi="Times New Roman" w:cs="Times New Roman"/>
                <w:kern w:val="0"/>
                <w:sz w:val="24"/>
                <w:szCs w:val="24"/>
              </w:rPr>
              <w:t>每千米运输产生的二氧化碳（千克/千米）</w:t>
            </w:r>
          </w:p>
        </w:tc>
      </w:tr>
      <w:tr w14:paraId="30885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972" w:type="dxa"/>
            <w:vAlign w:val="center"/>
          </w:tcPr>
          <w:p w14:paraId="5856B957">
            <w:pPr>
              <w:widowControl/>
              <w:adjustRightInd w:val="0"/>
              <w:snapToGrid w:val="0"/>
              <w:spacing w:line="264" w:lineRule="auto"/>
              <w:jc w:val="left"/>
              <w:rPr>
                <w:rFonts w:ascii="仿宋_GB2312" w:hAnsi="Times New Roman" w:cs="Times New Roman"/>
                <w:kern w:val="0"/>
                <w:sz w:val="24"/>
                <w:szCs w:val="24"/>
              </w:rPr>
            </w:pPr>
            <w:r>
              <w:rPr>
                <w:rFonts w:hint="eastAsia" w:ascii="仿宋_GB2312" w:hAnsi="Times New Roman" w:cs="Times New Roman"/>
                <w:kern w:val="0"/>
                <w:sz w:val="24"/>
                <w:szCs w:val="24"/>
              </w:rPr>
              <w:t>采购的材料(千克)</w:t>
            </w:r>
          </w:p>
        </w:tc>
        <w:tc>
          <w:tcPr>
            <w:tcW w:w="5324" w:type="dxa"/>
          </w:tcPr>
          <w:p w14:paraId="1578B60B">
            <w:pPr>
              <w:widowControl/>
              <w:adjustRightInd w:val="0"/>
              <w:snapToGrid w:val="0"/>
              <w:spacing w:line="264" w:lineRule="auto"/>
              <w:jc w:val="left"/>
              <w:rPr>
                <w:rFonts w:ascii="仿宋_GB2312" w:hAnsi="Times New Roman" w:cs="Times New Roman"/>
                <w:kern w:val="0"/>
                <w:sz w:val="24"/>
                <w:szCs w:val="24"/>
              </w:rPr>
            </w:pPr>
            <w:r>
              <w:rPr>
                <w:rFonts w:hint="eastAsia" w:ascii="仿宋_GB2312" w:hAnsi="Times New Roman" w:cs="Times New Roman"/>
                <w:kern w:val="0"/>
                <w:sz w:val="24"/>
                <w:szCs w:val="24"/>
              </w:rPr>
              <w:t>采购每千克材料产生的碳氢化合物（千克/千克)</w:t>
            </w:r>
          </w:p>
        </w:tc>
      </w:tr>
      <w:tr w14:paraId="592FB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72" w:type="dxa"/>
            <w:vAlign w:val="center"/>
          </w:tcPr>
          <w:p w14:paraId="7018A4F6">
            <w:pPr>
              <w:widowControl/>
              <w:adjustRightInd w:val="0"/>
              <w:snapToGrid w:val="0"/>
              <w:spacing w:line="264" w:lineRule="auto"/>
              <w:jc w:val="left"/>
              <w:rPr>
                <w:rFonts w:ascii="仿宋_GB2312" w:hAnsi="Times New Roman" w:cs="Times New Roman"/>
                <w:kern w:val="0"/>
                <w:sz w:val="24"/>
                <w:szCs w:val="24"/>
              </w:rPr>
            </w:pPr>
            <w:r>
              <w:rPr>
                <w:rFonts w:hint="eastAsia" w:ascii="仿宋_GB2312" w:hAnsi="Times New Roman" w:cs="Times New Roman"/>
                <w:kern w:val="0"/>
                <w:sz w:val="24"/>
                <w:szCs w:val="24"/>
              </w:rPr>
              <w:t>运行时间（小时</w:t>
            </w:r>
            <w:r>
              <w:rPr>
                <w:rFonts w:ascii="仿宋_GB2312" w:hAnsi="Times New Roman" w:cs="Times New Roman"/>
                <w:kern w:val="0"/>
                <w:sz w:val="24"/>
                <w:szCs w:val="24"/>
              </w:rPr>
              <w:t>)</w:t>
            </w:r>
          </w:p>
        </w:tc>
        <w:tc>
          <w:tcPr>
            <w:tcW w:w="5324" w:type="dxa"/>
          </w:tcPr>
          <w:p w14:paraId="4D39795F">
            <w:pPr>
              <w:widowControl/>
              <w:adjustRightInd w:val="0"/>
              <w:snapToGrid w:val="0"/>
              <w:spacing w:line="264" w:lineRule="auto"/>
              <w:jc w:val="left"/>
              <w:rPr>
                <w:rFonts w:ascii="仿宋_GB2312" w:hAnsi="Times New Roman" w:cs="Times New Roman"/>
                <w:kern w:val="0"/>
                <w:sz w:val="24"/>
                <w:szCs w:val="24"/>
              </w:rPr>
            </w:pPr>
            <w:r>
              <w:rPr>
                <w:rFonts w:hint="eastAsia" w:ascii="仿宋_GB2312" w:hAnsi="Times New Roman" w:cs="Times New Roman"/>
                <w:kern w:val="0"/>
                <w:sz w:val="24"/>
                <w:szCs w:val="24"/>
              </w:rPr>
              <w:t>每小时运行产生的六氟化硫（千克/小时）</w:t>
            </w:r>
          </w:p>
        </w:tc>
      </w:tr>
      <w:tr w14:paraId="002D3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72" w:type="dxa"/>
            <w:vAlign w:val="center"/>
          </w:tcPr>
          <w:p w14:paraId="35132DAC">
            <w:pPr>
              <w:widowControl/>
              <w:adjustRightInd w:val="0"/>
              <w:snapToGrid w:val="0"/>
              <w:spacing w:line="264" w:lineRule="auto"/>
              <w:jc w:val="left"/>
              <w:rPr>
                <w:rFonts w:ascii="仿宋_GB2312" w:hAnsi="Times New Roman" w:cs="Times New Roman"/>
                <w:kern w:val="0"/>
                <w:sz w:val="24"/>
                <w:szCs w:val="24"/>
              </w:rPr>
            </w:pPr>
            <w:r>
              <w:rPr>
                <w:rFonts w:hint="eastAsia" w:ascii="仿宋_GB2312" w:hAnsi="Times New Roman" w:cs="Times New Roman"/>
                <w:kern w:val="0"/>
                <w:sz w:val="24"/>
                <w:szCs w:val="24"/>
              </w:rPr>
              <w:t>支出的金额（元人民币）</w:t>
            </w:r>
          </w:p>
        </w:tc>
        <w:tc>
          <w:tcPr>
            <w:tcW w:w="5324" w:type="dxa"/>
          </w:tcPr>
          <w:p w14:paraId="0BD343CD">
            <w:pPr>
              <w:widowControl/>
              <w:adjustRightInd w:val="0"/>
              <w:snapToGrid w:val="0"/>
              <w:spacing w:line="264" w:lineRule="auto"/>
              <w:jc w:val="left"/>
              <w:rPr>
                <w:rFonts w:ascii="仿宋_GB2312" w:hAnsi="Times New Roman" w:cs="Times New Roman"/>
                <w:kern w:val="0"/>
                <w:sz w:val="24"/>
                <w:szCs w:val="24"/>
              </w:rPr>
            </w:pPr>
            <w:r>
              <w:rPr>
                <w:rFonts w:hint="eastAsia" w:ascii="仿宋_GB2312" w:hAnsi="Times New Roman" w:cs="Times New Roman"/>
                <w:kern w:val="0"/>
                <w:sz w:val="24"/>
                <w:szCs w:val="24"/>
              </w:rPr>
              <w:t>支出每单位费用产生的二氧化碳（千克/元人民币）</w:t>
            </w:r>
          </w:p>
        </w:tc>
      </w:tr>
      <w:tr w14:paraId="343B5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72" w:type="dxa"/>
            <w:vAlign w:val="center"/>
          </w:tcPr>
          <w:p w14:paraId="5C563676">
            <w:pPr>
              <w:widowControl/>
              <w:adjustRightInd w:val="0"/>
              <w:snapToGrid w:val="0"/>
              <w:spacing w:line="264" w:lineRule="auto"/>
              <w:jc w:val="left"/>
              <w:rPr>
                <w:rFonts w:ascii="仿宋_GB2312" w:hAnsi="Times New Roman" w:cs="Times New Roman"/>
                <w:kern w:val="0"/>
                <w:sz w:val="24"/>
                <w:szCs w:val="24"/>
              </w:rPr>
            </w:pPr>
            <w:r>
              <w:rPr>
                <w:rFonts w:hint="eastAsia" w:ascii="仿宋_GB2312" w:hAnsi="Times New Roman" w:cs="Times New Roman"/>
                <w:kern w:val="0"/>
                <w:sz w:val="24"/>
                <w:szCs w:val="24"/>
              </w:rPr>
              <w:t>产生的废物（千克）</w:t>
            </w:r>
          </w:p>
        </w:tc>
        <w:tc>
          <w:tcPr>
            <w:tcW w:w="5324" w:type="dxa"/>
          </w:tcPr>
          <w:p w14:paraId="35CB2EBF">
            <w:pPr>
              <w:widowControl/>
              <w:adjustRightInd w:val="0"/>
              <w:snapToGrid w:val="0"/>
              <w:spacing w:line="264" w:lineRule="auto"/>
              <w:jc w:val="left"/>
              <w:rPr>
                <w:rFonts w:ascii="仿宋_GB2312" w:hAnsi="Times New Roman" w:cs="Times New Roman"/>
                <w:kern w:val="0"/>
                <w:sz w:val="24"/>
                <w:szCs w:val="24"/>
              </w:rPr>
            </w:pPr>
            <w:r>
              <w:rPr>
                <w:rFonts w:hint="eastAsia" w:ascii="仿宋_GB2312" w:hAnsi="Times New Roman" w:cs="Times New Roman"/>
                <w:kern w:val="0"/>
                <w:sz w:val="24"/>
                <w:szCs w:val="24"/>
              </w:rPr>
              <w:t>每千克废物产生的甲烷（千克/千克)</w:t>
            </w:r>
          </w:p>
        </w:tc>
      </w:tr>
      <w:tr w14:paraId="3CF6D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972" w:type="dxa"/>
            <w:vAlign w:val="center"/>
          </w:tcPr>
          <w:p w14:paraId="07CE3101">
            <w:pPr>
              <w:widowControl/>
              <w:adjustRightInd w:val="0"/>
              <w:snapToGrid w:val="0"/>
              <w:spacing w:line="264" w:lineRule="auto"/>
              <w:jc w:val="left"/>
              <w:rPr>
                <w:rFonts w:ascii="仿宋_GB2312" w:hAnsi="Times New Roman" w:cs="Times New Roman"/>
                <w:kern w:val="0"/>
                <w:sz w:val="24"/>
                <w:szCs w:val="24"/>
              </w:rPr>
            </w:pPr>
            <w:r>
              <w:rPr>
                <w:rFonts w:hint="eastAsia" w:ascii="仿宋_GB2312" w:hAnsi="Times New Roman" w:cs="Times New Roman"/>
                <w:kern w:val="0"/>
                <w:sz w:val="24"/>
                <w:szCs w:val="24"/>
              </w:rPr>
              <w:t>消耗的电力（千瓦时</w:t>
            </w:r>
            <w:r>
              <w:rPr>
                <w:rFonts w:ascii="仿宋_GB2312" w:hAnsi="Times New Roman" w:cs="Times New Roman"/>
                <w:kern w:val="0"/>
                <w:sz w:val="24"/>
                <w:szCs w:val="24"/>
              </w:rPr>
              <w:t>)</w:t>
            </w:r>
          </w:p>
        </w:tc>
        <w:tc>
          <w:tcPr>
            <w:tcW w:w="5324" w:type="dxa"/>
          </w:tcPr>
          <w:p w14:paraId="5F8D67A0">
            <w:pPr>
              <w:widowControl/>
              <w:adjustRightInd w:val="0"/>
              <w:snapToGrid w:val="0"/>
              <w:spacing w:line="264" w:lineRule="auto"/>
              <w:jc w:val="left"/>
              <w:rPr>
                <w:rFonts w:ascii="仿宋_GB2312" w:hAnsi="Times New Roman" w:cs="Times New Roman"/>
                <w:kern w:val="0"/>
                <w:sz w:val="24"/>
                <w:szCs w:val="24"/>
              </w:rPr>
            </w:pPr>
            <w:r>
              <w:rPr>
                <w:rFonts w:hint="eastAsia" w:ascii="仿宋_GB2312" w:hAnsi="Times New Roman" w:cs="Times New Roman"/>
                <w:kern w:val="0"/>
                <w:sz w:val="24"/>
                <w:szCs w:val="24"/>
              </w:rPr>
              <w:t>消耗每千瓦时电力产生的二氧化碳（千克/千瓦时）</w:t>
            </w:r>
          </w:p>
        </w:tc>
      </w:tr>
    </w:tbl>
    <w:p w14:paraId="3073565C">
      <w:pPr>
        <w:widowControl/>
        <w:adjustRightInd w:val="0"/>
        <w:snapToGrid w:val="0"/>
        <w:spacing w:line="560" w:lineRule="exact"/>
        <w:ind w:firstLine="600" w:firstLineChars="200"/>
        <w:rPr>
          <w:rFonts w:ascii="Times New Roman" w:hAnsi="Times New Roman" w:cs="Times New Roman"/>
          <w:szCs w:val="30"/>
        </w:rPr>
      </w:pPr>
      <w:r>
        <w:rPr>
          <w:rFonts w:hint="eastAsia" w:ascii="Times New Roman" w:hAnsi="Times New Roman" w:cs="Times New Roman"/>
          <w:szCs w:val="30"/>
        </w:rPr>
        <w:t>活动数据可以来自一手数据或二手数据，在其他条件相同的情况下应优先使用一手数据。其中，一手数据主要由价值链上的供应商或其他合作方直接提供；二手数据包括行业平均数据（如已公开的数据库、政府统计、文献研究和行业协会数据）、财务数据、替代数据和其他通用数据。若本报告期内所获得的价值链活动数据存在时间跨期（上一报告期）或时间区间不一致（仅涵盖本报告期部分时间或上一报告期部分月份和本报告期部分月份）的情况，则允许在注明所获活动数据时间区间的基础上进行核算和披露。随着活动数据可得性和及时性的提升，披露主体需尽可能使用最新的一手数据。</w:t>
      </w:r>
    </w:p>
    <w:p w14:paraId="50F3E7DA">
      <w:pPr>
        <w:widowControl/>
        <w:adjustRightInd w:val="0"/>
        <w:snapToGrid w:val="0"/>
        <w:spacing w:line="560" w:lineRule="exact"/>
        <w:jc w:val="center"/>
        <w:rPr>
          <w:rFonts w:ascii="Times New Roman" w:hAnsi="Times New Roman" w:eastAsia="黑体" w:cs="Times New Roman"/>
          <w:kern w:val="0"/>
          <w:sz w:val="24"/>
          <w:szCs w:val="24"/>
          <w:lang w:bidi="ar"/>
        </w:rPr>
      </w:pPr>
      <w:r>
        <w:rPr>
          <w:rFonts w:hint="eastAsia" w:ascii="Times New Roman" w:hAnsi="Times New Roman" w:eastAsia="黑体" w:cs="Times New Roman"/>
          <w:kern w:val="0"/>
          <w:sz w:val="24"/>
          <w:szCs w:val="24"/>
          <w:lang w:bidi="ar"/>
        </w:rPr>
        <w:t>表</w:t>
      </w:r>
      <w:r>
        <w:rPr>
          <w:rFonts w:ascii="Times New Roman" w:hAnsi="Times New Roman" w:eastAsia="黑体" w:cs="Times New Roman"/>
          <w:kern w:val="0"/>
          <w:sz w:val="24"/>
          <w:szCs w:val="24"/>
          <w:lang w:bidi="ar"/>
        </w:rPr>
        <w:t>16：范围三类别一手数据和二手数据的示例</w:t>
      </w:r>
    </w:p>
    <w:tbl>
      <w:tblPr>
        <w:tblStyle w:val="82"/>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05"/>
        <w:gridCol w:w="3086"/>
        <w:gridCol w:w="2805"/>
      </w:tblGrid>
      <w:tr w14:paraId="66A0A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405" w:type="dxa"/>
            <w:vAlign w:val="center"/>
          </w:tcPr>
          <w:p w14:paraId="3ACEC484">
            <w:pPr>
              <w:widowControl/>
              <w:adjustRightInd w:val="0"/>
              <w:snapToGrid w:val="0"/>
              <w:spacing w:line="400" w:lineRule="exact"/>
              <w:jc w:val="center"/>
              <w:rPr>
                <w:rFonts w:ascii="Times New Roman" w:hAnsi="Times New Roman" w:cs="Times New Roman"/>
                <w:b/>
                <w:bCs/>
                <w:kern w:val="0"/>
                <w:sz w:val="24"/>
                <w:szCs w:val="24"/>
              </w:rPr>
            </w:pPr>
            <w:r>
              <w:rPr>
                <w:rFonts w:hint="eastAsia" w:ascii="Times New Roman" w:hAnsi="Times New Roman" w:cs="Times New Roman"/>
                <w:b/>
                <w:bCs/>
                <w:kern w:val="0"/>
                <w:sz w:val="24"/>
                <w:szCs w:val="24"/>
              </w:rPr>
              <w:t>类别</w:t>
            </w:r>
          </w:p>
        </w:tc>
        <w:tc>
          <w:tcPr>
            <w:tcW w:w="3086" w:type="dxa"/>
            <w:vAlign w:val="center"/>
          </w:tcPr>
          <w:p w14:paraId="3012B89B">
            <w:pPr>
              <w:widowControl/>
              <w:adjustRightInd w:val="0"/>
              <w:snapToGrid w:val="0"/>
              <w:spacing w:line="400" w:lineRule="exact"/>
              <w:jc w:val="center"/>
              <w:rPr>
                <w:rFonts w:ascii="Times New Roman" w:hAnsi="Times New Roman" w:cs="Times New Roman"/>
                <w:b/>
                <w:bCs/>
                <w:kern w:val="0"/>
                <w:sz w:val="24"/>
                <w:szCs w:val="24"/>
              </w:rPr>
            </w:pPr>
            <w:r>
              <w:rPr>
                <w:rFonts w:hint="eastAsia" w:ascii="Times New Roman" w:hAnsi="Times New Roman" w:cs="Times New Roman"/>
                <w:b/>
                <w:bCs/>
                <w:kern w:val="0"/>
                <w:sz w:val="24"/>
                <w:szCs w:val="24"/>
              </w:rPr>
              <w:t>一手数据示例</w:t>
            </w:r>
          </w:p>
        </w:tc>
        <w:tc>
          <w:tcPr>
            <w:tcW w:w="2805" w:type="dxa"/>
            <w:vAlign w:val="center"/>
          </w:tcPr>
          <w:p w14:paraId="29C9FE62">
            <w:pPr>
              <w:widowControl/>
              <w:adjustRightInd w:val="0"/>
              <w:snapToGrid w:val="0"/>
              <w:spacing w:line="400" w:lineRule="exact"/>
              <w:jc w:val="center"/>
              <w:rPr>
                <w:rFonts w:ascii="Times New Roman" w:hAnsi="Times New Roman" w:cs="Times New Roman"/>
                <w:b/>
                <w:bCs/>
                <w:kern w:val="0"/>
                <w:sz w:val="24"/>
                <w:szCs w:val="24"/>
              </w:rPr>
            </w:pPr>
            <w:r>
              <w:rPr>
                <w:rFonts w:hint="eastAsia" w:ascii="Times New Roman" w:hAnsi="Times New Roman" w:cs="Times New Roman"/>
                <w:b/>
                <w:bCs/>
                <w:kern w:val="0"/>
                <w:sz w:val="24"/>
                <w:szCs w:val="24"/>
              </w:rPr>
              <w:t>二手数据示例</w:t>
            </w:r>
          </w:p>
        </w:tc>
      </w:tr>
      <w:tr w14:paraId="4D641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05" w:type="dxa"/>
            <w:vAlign w:val="center"/>
          </w:tcPr>
          <w:p w14:paraId="1E145F59">
            <w:pPr>
              <w:widowControl/>
              <w:adjustRightInd w:val="0"/>
              <w:snapToGrid w:val="0"/>
              <w:jc w:val="left"/>
              <w:rPr>
                <w:rFonts w:ascii="Times New Roman" w:hAnsi="Times New Roman" w:cs="Times New Roman"/>
                <w:kern w:val="0"/>
                <w:sz w:val="24"/>
                <w:szCs w:val="24"/>
              </w:rPr>
            </w:pPr>
            <w:r>
              <w:rPr>
                <w:rFonts w:hint="eastAsia" w:ascii="Times New Roman" w:hAnsi="Times New Roman" w:cs="Times New Roman"/>
                <w:kern w:val="0"/>
                <w:sz w:val="24"/>
                <w:szCs w:val="24"/>
              </w:rPr>
              <w:t>1.购买的货物和服务</w:t>
            </w:r>
          </w:p>
        </w:tc>
        <w:tc>
          <w:tcPr>
            <w:tcW w:w="3086" w:type="dxa"/>
            <w:vAlign w:val="center"/>
          </w:tcPr>
          <w:p w14:paraId="3F3A6606">
            <w:pPr>
              <w:widowControl/>
              <w:adjustRightInd w:val="0"/>
              <w:snapToGrid w:val="0"/>
              <w:jc w:val="left"/>
              <w:rPr>
                <w:rFonts w:ascii="Times New Roman" w:hAnsi="Times New Roman" w:cs="Times New Roman"/>
                <w:kern w:val="0"/>
                <w:sz w:val="24"/>
                <w:szCs w:val="24"/>
              </w:rPr>
            </w:pPr>
            <w:r>
              <w:rPr>
                <w:rFonts w:hint="eastAsia" w:ascii="Times New Roman" w:hAnsi="Times New Roman" w:cs="Times New Roman"/>
                <w:kern w:val="0"/>
                <w:sz w:val="24"/>
                <w:szCs w:val="24"/>
              </w:rPr>
              <w:t>来自供应商的特定场地能耗或排放数据</w:t>
            </w:r>
          </w:p>
        </w:tc>
        <w:tc>
          <w:tcPr>
            <w:tcW w:w="2805" w:type="dxa"/>
            <w:vAlign w:val="center"/>
          </w:tcPr>
          <w:p w14:paraId="7EEBB0A5">
            <w:pPr>
              <w:widowControl/>
              <w:adjustRightInd w:val="0"/>
              <w:snapToGrid w:val="0"/>
              <w:jc w:val="left"/>
              <w:rPr>
                <w:rFonts w:ascii="Times New Roman" w:hAnsi="Times New Roman" w:cs="Times New Roman"/>
                <w:kern w:val="0"/>
                <w:sz w:val="24"/>
                <w:szCs w:val="24"/>
              </w:rPr>
            </w:pPr>
            <w:r>
              <w:rPr>
                <w:rFonts w:hint="eastAsia" w:ascii="Times New Roman" w:hAnsi="Times New Roman" w:cs="Times New Roman"/>
                <w:kern w:val="0"/>
                <w:sz w:val="24"/>
                <w:szCs w:val="24"/>
              </w:rPr>
              <w:t>来自全生命周期清单数据库的每单位耗材的行业平均排放因子</w:t>
            </w:r>
          </w:p>
        </w:tc>
      </w:tr>
      <w:tr w14:paraId="051CE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05" w:type="dxa"/>
            <w:vAlign w:val="center"/>
          </w:tcPr>
          <w:p w14:paraId="536056F2">
            <w:pPr>
              <w:widowControl/>
              <w:adjustRightInd w:val="0"/>
              <w:snapToGrid w:val="0"/>
              <w:jc w:val="left"/>
              <w:rPr>
                <w:rFonts w:ascii="Times New Roman" w:hAnsi="Times New Roman" w:cs="Times New Roman"/>
                <w:kern w:val="0"/>
                <w:sz w:val="24"/>
                <w:szCs w:val="24"/>
              </w:rPr>
            </w:pPr>
            <w:r>
              <w:rPr>
                <w:rFonts w:hint="eastAsia" w:ascii="Times New Roman" w:hAnsi="Times New Roman" w:cs="Times New Roman"/>
                <w:kern w:val="0"/>
                <w:sz w:val="24"/>
                <w:szCs w:val="24"/>
              </w:rPr>
              <w:t>2.资本货物</w:t>
            </w:r>
          </w:p>
        </w:tc>
        <w:tc>
          <w:tcPr>
            <w:tcW w:w="3086" w:type="dxa"/>
            <w:vAlign w:val="center"/>
          </w:tcPr>
          <w:p w14:paraId="64A722A1">
            <w:pPr>
              <w:widowControl/>
              <w:adjustRightInd w:val="0"/>
              <w:snapToGrid w:val="0"/>
              <w:jc w:val="left"/>
              <w:rPr>
                <w:rFonts w:ascii="Times New Roman" w:hAnsi="Times New Roman" w:cs="Times New Roman"/>
                <w:kern w:val="0"/>
                <w:sz w:val="24"/>
                <w:szCs w:val="24"/>
              </w:rPr>
            </w:pPr>
            <w:r>
              <w:rPr>
                <w:rFonts w:hint="eastAsia" w:ascii="Times New Roman" w:hAnsi="Times New Roman" w:cs="Times New Roman"/>
                <w:kern w:val="0"/>
                <w:sz w:val="24"/>
                <w:szCs w:val="24"/>
              </w:rPr>
              <w:t>来自供应商的特定场地能耗或排放数据</w:t>
            </w:r>
          </w:p>
        </w:tc>
        <w:tc>
          <w:tcPr>
            <w:tcW w:w="2805" w:type="dxa"/>
            <w:vAlign w:val="center"/>
          </w:tcPr>
          <w:p w14:paraId="46302212">
            <w:pPr>
              <w:widowControl/>
              <w:adjustRightInd w:val="0"/>
              <w:snapToGrid w:val="0"/>
              <w:jc w:val="left"/>
              <w:rPr>
                <w:rFonts w:ascii="Times New Roman" w:hAnsi="Times New Roman" w:cs="Times New Roman"/>
                <w:kern w:val="0"/>
                <w:sz w:val="24"/>
                <w:szCs w:val="24"/>
              </w:rPr>
            </w:pPr>
            <w:r>
              <w:rPr>
                <w:rFonts w:hint="eastAsia" w:ascii="Times New Roman" w:hAnsi="Times New Roman" w:cs="Times New Roman"/>
                <w:kern w:val="0"/>
                <w:sz w:val="24"/>
                <w:szCs w:val="24"/>
              </w:rPr>
              <w:t>基于行业的平均排放因子</w:t>
            </w:r>
          </w:p>
        </w:tc>
      </w:tr>
      <w:tr w14:paraId="625F0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405" w:type="dxa"/>
            <w:vAlign w:val="center"/>
          </w:tcPr>
          <w:p w14:paraId="398E2FFC">
            <w:pPr>
              <w:widowControl/>
              <w:adjustRightInd w:val="0"/>
              <w:snapToGrid w:val="0"/>
              <w:jc w:val="left"/>
              <w:rPr>
                <w:rFonts w:ascii="仿宋_GB2312" w:hAnsi="Times New Roman" w:cs="Times New Roman"/>
                <w:kern w:val="0"/>
                <w:sz w:val="24"/>
                <w:szCs w:val="24"/>
              </w:rPr>
            </w:pPr>
            <w:r>
              <w:rPr>
                <w:rFonts w:ascii="Times New Roman" w:hAnsi="Times New Roman" w:cs="Times New Roman"/>
                <w:kern w:val="0"/>
                <w:sz w:val="24"/>
                <w:szCs w:val="24"/>
              </w:rPr>
              <w:t>3.</w:t>
            </w:r>
            <w:r>
              <w:rPr>
                <w:rFonts w:hint="eastAsia" w:ascii="仿宋_GB2312" w:hAnsi="Times New Roman" w:cs="Times New Roman"/>
                <w:kern w:val="0"/>
                <w:sz w:val="24"/>
                <w:szCs w:val="24"/>
              </w:rPr>
              <w:t>燃料和能源相关活动（未包括在范围一和范围二中的部分）</w:t>
            </w:r>
          </w:p>
        </w:tc>
        <w:tc>
          <w:tcPr>
            <w:tcW w:w="3086" w:type="dxa"/>
            <w:vAlign w:val="center"/>
          </w:tcPr>
          <w:p w14:paraId="026D54F9">
            <w:pPr>
              <w:widowControl/>
              <w:adjustRightInd w:val="0"/>
              <w:snapToGrid w:val="0"/>
              <w:jc w:val="left"/>
              <w:rPr>
                <w:rFonts w:ascii="Times New Roman" w:hAnsi="Times New Roman" w:cs="Times New Roman"/>
                <w:kern w:val="0"/>
                <w:sz w:val="24"/>
                <w:szCs w:val="24"/>
              </w:rPr>
            </w:pPr>
            <w:r>
              <w:rPr>
                <w:rFonts w:hint="eastAsia" w:ascii="Times New Roman" w:hAnsi="Times New Roman" w:cs="Times New Roman"/>
                <w:kern w:val="0"/>
                <w:sz w:val="24"/>
                <w:szCs w:val="24"/>
              </w:rPr>
              <w:t>特定</w:t>
            </w:r>
            <w:r>
              <w:rPr>
                <w:rFonts w:hint="eastAsia" w:ascii="Times New Roman" w:hAnsi="Times New Roman" w:cs="Times New Roman"/>
                <w:kern w:val="0"/>
                <w:sz w:val="24"/>
                <w:szCs w:val="24"/>
                <w:lang w:eastAsia="zh-CN"/>
              </w:rPr>
              <w:t>企业</w:t>
            </w:r>
            <w:r>
              <w:rPr>
                <w:rFonts w:hint="eastAsia" w:ascii="Times New Roman" w:hAnsi="Times New Roman" w:cs="Times New Roman"/>
                <w:kern w:val="0"/>
                <w:sz w:val="24"/>
                <w:szCs w:val="24"/>
              </w:rPr>
              <w:t>的电力购买数据和外购电力的特定发电机排放率</w:t>
            </w:r>
          </w:p>
        </w:tc>
        <w:tc>
          <w:tcPr>
            <w:tcW w:w="2805" w:type="dxa"/>
            <w:vAlign w:val="center"/>
          </w:tcPr>
          <w:p w14:paraId="790C462A">
            <w:pPr>
              <w:widowControl/>
              <w:adjustRightInd w:val="0"/>
              <w:snapToGrid w:val="0"/>
              <w:jc w:val="left"/>
              <w:rPr>
                <w:rFonts w:ascii="Times New Roman" w:hAnsi="Times New Roman" w:cs="Times New Roman"/>
                <w:kern w:val="0"/>
                <w:sz w:val="24"/>
                <w:szCs w:val="24"/>
              </w:rPr>
            </w:pPr>
            <w:r>
              <w:rPr>
                <w:rFonts w:hint="eastAsia" w:ascii="Times New Roman" w:hAnsi="Times New Roman" w:cs="Times New Roman"/>
                <w:kern w:val="0"/>
                <w:sz w:val="24"/>
                <w:szCs w:val="24"/>
              </w:rPr>
              <w:t>基于上游排放的国家平均数据</w:t>
            </w:r>
          </w:p>
        </w:tc>
      </w:tr>
      <w:tr w14:paraId="55F5F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05" w:type="dxa"/>
            <w:vAlign w:val="center"/>
          </w:tcPr>
          <w:p w14:paraId="0E711768">
            <w:pPr>
              <w:widowControl/>
              <w:adjustRightInd w:val="0"/>
              <w:snapToGrid w:val="0"/>
              <w:jc w:val="left"/>
              <w:rPr>
                <w:rFonts w:ascii="仿宋_GB2312" w:hAnsi="Times New Roman" w:cs="Times New Roman"/>
                <w:kern w:val="0"/>
                <w:sz w:val="24"/>
                <w:szCs w:val="24"/>
              </w:rPr>
            </w:pPr>
            <w:r>
              <w:rPr>
                <w:rFonts w:hint="eastAsia" w:ascii="仿宋_GB2312" w:hAnsi="Times New Roman" w:cs="Times New Roman"/>
                <w:kern w:val="0"/>
                <w:sz w:val="24"/>
                <w:szCs w:val="24"/>
              </w:rPr>
              <w:t>4.上游运输和分配</w:t>
            </w:r>
          </w:p>
        </w:tc>
        <w:tc>
          <w:tcPr>
            <w:tcW w:w="3086" w:type="dxa"/>
            <w:vAlign w:val="center"/>
          </w:tcPr>
          <w:p w14:paraId="7CB0E820">
            <w:pPr>
              <w:widowControl/>
              <w:adjustRightInd w:val="0"/>
              <w:snapToGrid w:val="0"/>
              <w:jc w:val="left"/>
              <w:rPr>
                <w:rFonts w:ascii="Times New Roman" w:hAnsi="Times New Roman" w:cs="Times New Roman"/>
                <w:kern w:val="0"/>
                <w:sz w:val="24"/>
                <w:szCs w:val="24"/>
              </w:rPr>
            </w:pPr>
            <w:r>
              <w:rPr>
                <w:rFonts w:hint="eastAsia" w:ascii="Times New Roman" w:hAnsi="Times New Roman" w:cs="Times New Roman"/>
                <w:kern w:val="0"/>
                <w:sz w:val="24"/>
                <w:szCs w:val="24"/>
              </w:rPr>
              <w:t>来自第三方运输和配送供应商的特定活动能耗或排放数据</w:t>
            </w:r>
          </w:p>
        </w:tc>
        <w:tc>
          <w:tcPr>
            <w:tcW w:w="2805" w:type="dxa"/>
            <w:vAlign w:val="center"/>
          </w:tcPr>
          <w:p w14:paraId="0F0081F9">
            <w:pPr>
              <w:widowControl/>
              <w:adjustRightInd w:val="0"/>
              <w:snapToGrid w:val="0"/>
              <w:jc w:val="left"/>
              <w:rPr>
                <w:rFonts w:ascii="Times New Roman" w:hAnsi="Times New Roman" w:cs="Times New Roman"/>
                <w:kern w:val="0"/>
                <w:sz w:val="24"/>
                <w:szCs w:val="24"/>
              </w:rPr>
            </w:pPr>
            <w:r>
              <w:rPr>
                <w:rFonts w:hint="eastAsia" w:ascii="Times New Roman" w:hAnsi="Times New Roman" w:cs="Times New Roman"/>
                <w:kern w:val="0"/>
                <w:sz w:val="24"/>
                <w:szCs w:val="24"/>
              </w:rPr>
              <w:t>基于行业平均数据估算的一定模式下的运输距离</w:t>
            </w:r>
          </w:p>
        </w:tc>
      </w:tr>
      <w:tr w14:paraId="768C0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05" w:type="dxa"/>
            <w:vAlign w:val="center"/>
          </w:tcPr>
          <w:p w14:paraId="364A81E1">
            <w:pPr>
              <w:widowControl/>
              <w:adjustRightInd w:val="0"/>
              <w:snapToGrid w:val="0"/>
              <w:jc w:val="left"/>
              <w:rPr>
                <w:rFonts w:ascii="仿宋_GB2312" w:hAnsi="Times New Roman" w:cs="Times New Roman"/>
                <w:kern w:val="0"/>
                <w:sz w:val="24"/>
                <w:szCs w:val="24"/>
              </w:rPr>
            </w:pPr>
            <w:r>
              <w:rPr>
                <w:rFonts w:hint="eastAsia" w:ascii="仿宋_GB2312" w:hAnsi="Times New Roman" w:cs="Times New Roman"/>
                <w:kern w:val="0"/>
                <w:sz w:val="24"/>
                <w:szCs w:val="24"/>
              </w:rPr>
              <w:t>5.操作中产生的废物</w:t>
            </w:r>
          </w:p>
        </w:tc>
        <w:tc>
          <w:tcPr>
            <w:tcW w:w="3086" w:type="dxa"/>
            <w:vAlign w:val="center"/>
          </w:tcPr>
          <w:p w14:paraId="3401ACBA">
            <w:pPr>
              <w:widowControl/>
              <w:adjustRightInd w:val="0"/>
              <w:snapToGrid w:val="0"/>
              <w:jc w:val="left"/>
              <w:rPr>
                <w:rFonts w:ascii="Times New Roman" w:hAnsi="Times New Roman" w:cs="Times New Roman"/>
                <w:kern w:val="0"/>
                <w:sz w:val="24"/>
                <w:szCs w:val="24"/>
              </w:rPr>
            </w:pPr>
            <w:r>
              <w:rPr>
                <w:rFonts w:hint="eastAsia" w:ascii="Times New Roman" w:hAnsi="Times New Roman" w:cs="Times New Roman"/>
                <w:kern w:val="0"/>
                <w:sz w:val="24"/>
                <w:szCs w:val="24"/>
              </w:rPr>
              <w:t>来自废弃物管理公司的特定场地排放数据</w:t>
            </w:r>
          </w:p>
        </w:tc>
        <w:tc>
          <w:tcPr>
            <w:tcW w:w="2805" w:type="dxa"/>
            <w:vAlign w:val="center"/>
          </w:tcPr>
          <w:p w14:paraId="2E42964D">
            <w:pPr>
              <w:widowControl/>
              <w:adjustRightInd w:val="0"/>
              <w:snapToGrid w:val="0"/>
              <w:jc w:val="left"/>
              <w:rPr>
                <w:rFonts w:ascii="Times New Roman" w:hAnsi="Times New Roman" w:cs="Times New Roman"/>
                <w:kern w:val="0"/>
                <w:sz w:val="24"/>
                <w:szCs w:val="24"/>
              </w:rPr>
            </w:pPr>
            <w:r>
              <w:rPr>
                <w:rFonts w:hint="eastAsia" w:ascii="Times New Roman" w:hAnsi="Times New Roman" w:cs="Times New Roman"/>
                <w:kern w:val="0"/>
                <w:sz w:val="24"/>
                <w:szCs w:val="24"/>
              </w:rPr>
              <w:t>基于行业平均数据估算的产生废弃物吨数</w:t>
            </w:r>
          </w:p>
        </w:tc>
      </w:tr>
      <w:tr w14:paraId="0DC57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05" w:type="dxa"/>
            <w:vAlign w:val="center"/>
          </w:tcPr>
          <w:p w14:paraId="79988E9B">
            <w:pPr>
              <w:widowControl/>
              <w:adjustRightInd w:val="0"/>
              <w:snapToGrid w:val="0"/>
              <w:jc w:val="left"/>
              <w:rPr>
                <w:rFonts w:ascii="仿宋_GB2312" w:hAnsi="Times New Roman" w:cs="Times New Roman"/>
                <w:kern w:val="0"/>
                <w:sz w:val="24"/>
                <w:szCs w:val="24"/>
              </w:rPr>
            </w:pPr>
            <w:r>
              <w:rPr>
                <w:rFonts w:hint="eastAsia" w:ascii="仿宋_GB2312" w:hAnsi="Times New Roman" w:cs="Times New Roman"/>
                <w:kern w:val="0"/>
                <w:sz w:val="24"/>
                <w:szCs w:val="24"/>
              </w:rPr>
              <w:t>6.商务旅行</w:t>
            </w:r>
          </w:p>
        </w:tc>
        <w:tc>
          <w:tcPr>
            <w:tcW w:w="3086" w:type="dxa"/>
            <w:vAlign w:val="center"/>
          </w:tcPr>
          <w:p w14:paraId="79EEC3E8">
            <w:pPr>
              <w:widowControl/>
              <w:adjustRightInd w:val="0"/>
              <w:snapToGrid w:val="0"/>
              <w:jc w:val="left"/>
              <w:rPr>
                <w:rFonts w:ascii="Times New Roman" w:hAnsi="Times New Roman" w:cs="Times New Roman"/>
                <w:kern w:val="0"/>
                <w:sz w:val="24"/>
                <w:szCs w:val="24"/>
              </w:rPr>
            </w:pPr>
            <w:r>
              <w:rPr>
                <w:rFonts w:hint="eastAsia" w:ascii="Times New Roman" w:hAnsi="Times New Roman" w:cs="Times New Roman"/>
                <w:kern w:val="0"/>
                <w:sz w:val="24"/>
                <w:szCs w:val="24"/>
              </w:rPr>
              <w:t>来自运输供应商</w:t>
            </w:r>
            <w:r>
              <w:rPr>
                <w:rFonts w:hint="eastAsia" w:ascii="仿宋_GB2312" w:hAnsi="Times New Roman" w:cs="Times New Roman"/>
                <w:kern w:val="0"/>
                <w:sz w:val="24"/>
                <w:szCs w:val="24"/>
              </w:rPr>
              <w:t>（</w:t>
            </w:r>
            <w:r>
              <w:rPr>
                <w:rFonts w:hint="eastAsia" w:ascii="Times New Roman" w:hAnsi="Times New Roman" w:cs="Times New Roman"/>
                <w:kern w:val="0"/>
                <w:sz w:val="24"/>
                <w:szCs w:val="24"/>
              </w:rPr>
              <w:t>如航空公司）的特定活动数据</w:t>
            </w:r>
          </w:p>
        </w:tc>
        <w:tc>
          <w:tcPr>
            <w:tcW w:w="2805" w:type="dxa"/>
            <w:vAlign w:val="center"/>
          </w:tcPr>
          <w:p w14:paraId="4B4947F0">
            <w:pPr>
              <w:widowControl/>
              <w:adjustRightInd w:val="0"/>
              <w:snapToGrid w:val="0"/>
              <w:jc w:val="left"/>
              <w:rPr>
                <w:rFonts w:ascii="Times New Roman" w:hAnsi="Times New Roman" w:cs="Times New Roman"/>
                <w:kern w:val="0"/>
                <w:sz w:val="24"/>
                <w:szCs w:val="24"/>
              </w:rPr>
            </w:pPr>
            <w:r>
              <w:rPr>
                <w:rFonts w:hint="eastAsia" w:ascii="Times New Roman" w:hAnsi="Times New Roman" w:cs="Times New Roman"/>
                <w:kern w:val="0"/>
                <w:sz w:val="24"/>
                <w:szCs w:val="24"/>
              </w:rPr>
              <w:t>基于行业平均估算的旅行距离</w:t>
            </w:r>
          </w:p>
        </w:tc>
      </w:tr>
      <w:tr w14:paraId="09792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405" w:type="dxa"/>
            <w:vAlign w:val="center"/>
          </w:tcPr>
          <w:p w14:paraId="3A8040CD">
            <w:pPr>
              <w:widowControl/>
              <w:adjustRightInd w:val="0"/>
              <w:snapToGrid w:val="0"/>
              <w:jc w:val="left"/>
              <w:rPr>
                <w:rFonts w:ascii="仿宋_GB2312" w:hAnsi="Times New Roman" w:cs="Times New Roman"/>
                <w:kern w:val="0"/>
                <w:sz w:val="24"/>
                <w:szCs w:val="24"/>
              </w:rPr>
            </w:pPr>
            <w:r>
              <w:rPr>
                <w:rFonts w:hint="eastAsia" w:ascii="仿宋_GB2312" w:hAnsi="Times New Roman" w:cs="Times New Roman"/>
                <w:kern w:val="0"/>
                <w:sz w:val="24"/>
                <w:szCs w:val="24"/>
              </w:rPr>
              <w:t>7.雇员通勤</w:t>
            </w:r>
          </w:p>
        </w:tc>
        <w:tc>
          <w:tcPr>
            <w:tcW w:w="3086" w:type="dxa"/>
            <w:vAlign w:val="center"/>
          </w:tcPr>
          <w:p w14:paraId="6C574096">
            <w:pPr>
              <w:widowControl/>
              <w:adjustRightInd w:val="0"/>
              <w:snapToGrid w:val="0"/>
              <w:jc w:val="left"/>
              <w:rPr>
                <w:rFonts w:ascii="Times New Roman" w:hAnsi="Times New Roman" w:cs="Times New Roman"/>
                <w:kern w:val="0"/>
                <w:sz w:val="24"/>
                <w:szCs w:val="24"/>
              </w:rPr>
            </w:pPr>
            <w:r>
              <w:rPr>
                <w:rFonts w:hint="eastAsia" w:ascii="Times New Roman" w:hAnsi="Times New Roman" w:cs="Times New Roman"/>
                <w:kern w:val="0"/>
                <w:sz w:val="24"/>
                <w:szCs w:val="24"/>
              </w:rPr>
              <w:t>从员工处收集的具体通勤距离和交通方式</w:t>
            </w:r>
          </w:p>
        </w:tc>
        <w:tc>
          <w:tcPr>
            <w:tcW w:w="2805" w:type="dxa"/>
            <w:vAlign w:val="center"/>
          </w:tcPr>
          <w:p w14:paraId="3B36F117">
            <w:pPr>
              <w:widowControl/>
              <w:adjustRightInd w:val="0"/>
              <w:snapToGrid w:val="0"/>
              <w:jc w:val="left"/>
              <w:rPr>
                <w:rFonts w:ascii="Times New Roman" w:hAnsi="Times New Roman" w:cs="Times New Roman"/>
                <w:kern w:val="0"/>
                <w:sz w:val="24"/>
                <w:szCs w:val="24"/>
              </w:rPr>
            </w:pPr>
            <w:r>
              <w:rPr>
                <w:rFonts w:hint="eastAsia" w:ascii="Times New Roman" w:hAnsi="Times New Roman" w:cs="Times New Roman"/>
                <w:kern w:val="0"/>
                <w:sz w:val="24"/>
                <w:szCs w:val="24"/>
              </w:rPr>
              <w:t>基于行业平均估算的通勤距离</w:t>
            </w:r>
          </w:p>
        </w:tc>
      </w:tr>
      <w:tr w14:paraId="186A9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05" w:type="dxa"/>
            <w:vAlign w:val="center"/>
          </w:tcPr>
          <w:p w14:paraId="26B5D7BD">
            <w:pPr>
              <w:widowControl/>
              <w:adjustRightInd w:val="0"/>
              <w:snapToGrid w:val="0"/>
              <w:jc w:val="left"/>
              <w:rPr>
                <w:rFonts w:ascii="Times New Roman" w:hAnsi="Times New Roman" w:cs="Times New Roman"/>
                <w:kern w:val="0"/>
                <w:sz w:val="24"/>
                <w:szCs w:val="24"/>
              </w:rPr>
            </w:pPr>
            <w:r>
              <w:rPr>
                <w:rFonts w:hint="eastAsia" w:ascii="Times New Roman" w:hAnsi="Times New Roman" w:cs="Times New Roman"/>
                <w:kern w:val="0"/>
                <w:sz w:val="24"/>
                <w:szCs w:val="24"/>
              </w:rPr>
              <w:t>8.上游租赁的资产</w:t>
            </w:r>
          </w:p>
        </w:tc>
        <w:tc>
          <w:tcPr>
            <w:tcW w:w="3086" w:type="dxa"/>
            <w:vAlign w:val="center"/>
          </w:tcPr>
          <w:p w14:paraId="3430DE88">
            <w:pPr>
              <w:widowControl/>
              <w:adjustRightInd w:val="0"/>
              <w:snapToGrid w:val="0"/>
              <w:jc w:val="left"/>
              <w:rPr>
                <w:rFonts w:ascii="Times New Roman" w:hAnsi="Times New Roman" w:cs="Times New Roman"/>
                <w:kern w:val="0"/>
                <w:sz w:val="24"/>
                <w:szCs w:val="24"/>
              </w:rPr>
            </w:pPr>
            <w:r>
              <w:rPr>
                <w:rFonts w:hint="eastAsia" w:ascii="Times New Roman" w:hAnsi="Times New Roman" w:cs="Times New Roman"/>
                <w:kern w:val="0"/>
                <w:sz w:val="24"/>
                <w:szCs w:val="24"/>
              </w:rPr>
              <w:t>从物业账单或仪表收集的特定场地能耗数据</w:t>
            </w:r>
          </w:p>
        </w:tc>
        <w:tc>
          <w:tcPr>
            <w:tcW w:w="2805" w:type="dxa"/>
            <w:vAlign w:val="center"/>
          </w:tcPr>
          <w:p w14:paraId="01CE640B">
            <w:pPr>
              <w:widowControl/>
              <w:adjustRightInd w:val="0"/>
              <w:snapToGrid w:val="0"/>
              <w:jc w:val="left"/>
              <w:rPr>
                <w:rFonts w:ascii="Times New Roman" w:hAnsi="Times New Roman" w:cs="Times New Roman"/>
                <w:kern w:val="0"/>
                <w:sz w:val="24"/>
                <w:szCs w:val="24"/>
              </w:rPr>
            </w:pPr>
            <w:r>
              <w:rPr>
                <w:rFonts w:hint="eastAsia" w:ascii="Times New Roman" w:hAnsi="Times New Roman" w:cs="Times New Roman"/>
                <w:kern w:val="0"/>
                <w:sz w:val="24"/>
                <w:szCs w:val="24"/>
              </w:rPr>
              <w:t>基于行业平均数据估算的排放，例如依据建筑类型每层空间能耗估算</w:t>
            </w:r>
          </w:p>
        </w:tc>
      </w:tr>
      <w:bookmarkEnd w:id="0"/>
      <w:bookmarkEnd w:id="1"/>
      <w:bookmarkEnd w:id="2"/>
    </w:tbl>
    <w:p w14:paraId="4C990059">
      <w:pPr>
        <w:spacing w:line="560" w:lineRule="exact"/>
        <w:jc w:val="center"/>
        <w:outlineLvl w:val="0"/>
        <w:rPr>
          <w:rFonts w:ascii="Times New Roman" w:hAnsi="Times New Roman" w:eastAsia="黑体" w:cs="Times New Roman"/>
          <w:b/>
          <w:bCs/>
          <w:szCs w:val="30"/>
        </w:rPr>
        <w:sectPr>
          <w:footerReference r:id="rId6" w:type="default"/>
          <w:pgSz w:w="11906" w:h="16838"/>
          <w:pgMar w:top="1440" w:right="1800" w:bottom="1440" w:left="1800" w:header="851" w:footer="992" w:gutter="0"/>
          <w:cols w:space="720" w:num="1"/>
          <w:docGrid w:type="lines" w:linePitch="312" w:charSpace="0"/>
        </w:sectPr>
      </w:pPr>
      <w:bookmarkStart w:id="205" w:name="_Toc21954"/>
      <w:bookmarkStart w:id="206" w:name="_Toc177241772"/>
      <w:bookmarkStart w:id="207" w:name="_Toc12759"/>
    </w:p>
    <w:p w14:paraId="197D0DB7">
      <w:pPr>
        <w:spacing w:line="560" w:lineRule="exact"/>
        <w:jc w:val="center"/>
        <w:outlineLvl w:val="0"/>
        <w:rPr>
          <w:rFonts w:ascii="Times New Roman" w:hAnsi="Times New Roman" w:eastAsia="黑体" w:cs="Times New Roman"/>
          <w:b/>
          <w:bCs/>
          <w:szCs w:val="30"/>
        </w:rPr>
      </w:pPr>
      <w:bookmarkStart w:id="208" w:name="_Toc187328682"/>
      <w:bookmarkStart w:id="209" w:name="_Toc32178"/>
      <w:bookmarkStart w:id="210" w:name="_Toc181613106"/>
      <w:bookmarkStart w:id="211" w:name="_Toc27621"/>
      <w:bookmarkStart w:id="212" w:name="_Toc29550"/>
      <w:r>
        <w:rPr>
          <w:rFonts w:hint="eastAsia" w:ascii="Times New Roman" w:hAnsi="Times New Roman" w:eastAsia="黑体" w:cs="Times New Roman"/>
          <w:b/>
          <w:bCs/>
          <w:szCs w:val="30"/>
        </w:rPr>
        <w:t>第五章</w:t>
      </w:r>
      <w:r>
        <w:rPr>
          <w:rFonts w:ascii="Times New Roman" w:hAnsi="Times New Roman" w:eastAsia="黑体" w:cs="Times New Roman"/>
          <w:b/>
          <w:bCs/>
          <w:szCs w:val="30"/>
        </w:rPr>
        <w:t xml:space="preserve"> </w:t>
      </w:r>
      <w:r>
        <w:rPr>
          <w:rFonts w:hint="eastAsia" w:ascii="Times New Roman" w:hAnsi="Times New Roman" w:eastAsia="黑体" w:cs="Times New Roman"/>
          <w:b/>
          <w:bCs/>
          <w:szCs w:val="30"/>
        </w:rPr>
        <w:t>气候相关</w:t>
      </w:r>
      <w:bookmarkEnd w:id="205"/>
      <w:bookmarkEnd w:id="206"/>
      <w:r>
        <w:rPr>
          <w:rFonts w:hint="eastAsia" w:ascii="Times New Roman" w:hAnsi="Times New Roman" w:eastAsia="黑体" w:cs="Times New Roman"/>
          <w:b/>
          <w:bCs/>
          <w:szCs w:val="30"/>
        </w:rPr>
        <w:t>转型计划</w:t>
      </w:r>
      <w:bookmarkEnd w:id="208"/>
      <w:bookmarkEnd w:id="209"/>
      <w:bookmarkEnd w:id="210"/>
      <w:bookmarkEnd w:id="211"/>
      <w:bookmarkEnd w:id="212"/>
    </w:p>
    <w:p w14:paraId="4DF66E48">
      <w:pPr>
        <w:adjustRightInd w:val="0"/>
        <w:snapToGrid w:val="0"/>
        <w:spacing w:line="600" w:lineRule="exact"/>
        <w:ind w:firstLine="600" w:firstLineChars="200"/>
        <w:rPr>
          <w:rFonts w:ascii="仿宋_GB2312" w:hAnsi="Times New Roman" w:cs="Times New Roman"/>
          <w:szCs w:val="30"/>
        </w:rPr>
      </w:pPr>
      <w:r>
        <w:rPr>
          <w:rFonts w:hint="eastAsia" w:ascii="仿宋_GB2312" w:hAnsi="Times New Roman" w:cs="仿宋_GB2312"/>
          <w:color w:val="000000"/>
          <w:kern w:val="0"/>
          <w:szCs w:val="30"/>
        </w:rPr>
        <w:t>与气候相关的转型计划是指披露主体向低碳经济过渡的目标、行动或资源，包括减少温室气体排放的行动等。</w:t>
      </w:r>
      <w:r>
        <w:rPr>
          <w:rFonts w:hint="eastAsia" w:ascii="仿宋_GB2312" w:hAnsi="Times New Roman" w:cs="Times New Roman"/>
          <w:szCs w:val="30"/>
        </w:rPr>
        <w:t>对于部分</w:t>
      </w:r>
      <w:r>
        <w:rPr>
          <w:rFonts w:hint="eastAsia" w:ascii="仿宋_GB2312" w:hAnsi="Times New Roman" w:cs="仿宋_GB2312"/>
          <w:color w:val="000000"/>
          <w:kern w:val="0"/>
          <w:szCs w:val="30"/>
        </w:rPr>
        <w:t>披露主体</w:t>
      </w:r>
      <w:r>
        <w:rPr>
          <w:rFonts w:hint="eastAsia" w:ascii="仿宋_GB2312" w:hAnsi="Times New Roman" w:cs="Times New Roman"/>
          <w:szCs w:val="30"/>
        </w:rPr>
        <w:t>而言，气候相关转型计划可能是整体业务战略的一部分，因为该计划会调整</w:t>
      </w:r>
      <w:r>
        <w:rPr>
          <w:rFonts w:hint="eastAsia" w:ascii="仿宋_GB2312" w:hAnsi="Times New Roman" w:cs="仿宋_GB2312"/>
          <w:color w:val="000000"/>
          <w:kern w:val="0"/>
          <w:szCs w:val="30"/>
        </w:rPr>
        <w:t>披露主体</w:t>
      </w:r>
      <w:r>
        <w:rPr>
          <w:rFonts w:hint="eastAsia" w:ascii="仿宋_GB2312" w:hAnsi="Times New Roman" w:cs="Times New Roman"/>
          <w:szCs w:val="30"/>
        </w:rPr>
        <w:t>的业务模式以应对气候相关风险和机遇。对于其他</w:t>
      </w:r>
      <w:r>
        <w:rPr>
          <w:rFonts w:hint="eastAsia" w:ascii="仿宋_GB2312" w:hAnsi="Times New Roman" w:cs="仿宋_GB2312"/>
          <w:color w:val="000000"/>
          <w:kern w:val="0"/>
          <w:szCs w:val="30"/>
        </w:rPr>
        <w:t>披露主体</w:t>
      </w:r>
      <w:r>
        <w:rPr>
          <w:rFonts w:hint="eastAsia" w:ascii="仿宋_GB2312" w:hAnsi="Times New Roman" w:cs="Times New Roman"/>
          <w:szCs w:val="30"/>
        </w:rPr>
        <w:t>，气候相关转型计划可能更狭义地适用于特定产品线、业务部门或一系列公司活动，并与</w:t>
      </w:r>
      <w:r>
        <w:rPr>
          <w:rFonts w:hint="eastAsia" w:ascii="仿宋_GB2312" w:hAnsi="Times New Roman" w:cs="仿宋_GB2312"/>
          <w:color w:val="000000"/>
          <w:kern w:val="0"/>
          <w:szCs w:val="30"/>
        </w:rPr>
        <w:t>披露主体</w:t>
      </w:r>
      <w:r>
        <w:rPr>
          <w:rFonts w:hint="eastAsia" w:ascii="仿宋_GB2312" w:hAnsi="Times New Roman" w:cs="Times New Roman"/>
          <w:szCs w:val="30"/>
        </w:rPr>
        <w:t>的整体业务战略并列。</w:t>
      </w:r>
    </w:p>
    <w:p w14:paraId="569744D9">
      <w:pPr>
        <w:widowControl/>
        <w:adjustRightInd w:val="0"/>
        <w:snapToGrid w:val="0"/>
        <w:spacing w:line="560" w:lineRule="exact"/>
        <w:jc w:val="center"/>
        <w:rPr>
          <w:rFonts w:ascii="Times New Roman" w:hAnsi="Times New Roman" w:eastAsia="黑体" w:cs="Times New Roman"/>
          <w:kern w:val="0"/>
          <w:sz w:val="24"/>
          <w:szCs w:val="24"/>
        </w:rPr>
      </w:pPr>
      <w:r>
        <w:rPr>
          <w:rFonts w:hint="eastAsia" w:ascii="Times New Roman" w:hAnsi="Times New Roman" w:eastAsia="黑体" w:cs="Times New Roman"/>
          <w:kern w:val="0"/>
          <w:sz w:val="24"/>
          <w:szCs w:val="24"/>
          <w:lang w:bidi="ar"/>
        </w:rPr>
        <w:t>表1</w:t>
      </w:r>
      <w:r>
        <w:rPr>
          <w:rFonts w:ascii="Times New Roman" w:hAnsi="Times New Roman" w:eastAsia="黑体" w:cs="Times New Roman"/>
          <w:kern w:val="0"/>
          <w:sz w:val="24"/>
          <w:szCs w:val="24"/>
          <w:lang w:bidi="ar"/>
        </w:rPr>
        <w:t>7</w:t>
      </w:r>
      <w:r>
        <w:rPr>
          <w:rFonts w:hint="eastAsia" w:ascii="Times New Roman" w:hAnsi="Times New Roman" w:eastAsia="黑体" w:cs="Times New Roman"/>
          <w:kern w:val="0"/>
          <w:sz w:val="24"/>
          <w:szCs w:val="24"/>
          <w:lang w:bidi="ar"/>
        </w:rPr>
        <w:t>：有效气候相关转型计划的特征示例</w:t>
      </w:r>
    </w:p>
    <w:tbl>
      <w:tblPr>
        <w:tblStyle w:val="8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0"/>
        <w:gridCol w:w="6316"/>
      </w:tblGrid>
      <w:tr w14:paraId="4060B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0" w:type="dxa"/>
          </w:tcPr>
          <w:p w14:paraId="6231EA23">
            <w:pPr>
              <w:widowControl/>
              <w:adjustRightInd w:val="0"/>
              <w:snapToGrid w:val="0"/>
              <w:jc w:val="center"/>
              <w:rPr>
                <w:rFonts w:ascii="仿宋_GB2312" w:hAnsi="Times New Roman" w:cs="Times New Roman"/>
                <w:b/>
                <w:bCs/>
                <w:kern w:val="0"/>
                <w:sz w:val="24"/>
                <w:szCs w:val="24"/>
              </w:rPr>
            </w:pPr>
            <w:r>
              <w:rPr>
                <w:rFonts w:hint="eastAsia" w:ascii="仿宋_GB2312" w:hAnsi="Times New Roman" w:cs="Times New Roman"/>
                <w:b/>
                <w:bCs/>
                <w:kern w:val="0"/>
                <w:sz w:val="24"/>
                <w:szCs w:val="24"/>
              </w:rPr>
              <w:t>特征</w:t>
            </w:r>
          </w:p>
        </w:tc>
        <w:tc>
          <w:tcPr>
            <w:tcW w:w="6316" w:type="dxa"/>
          </w:tcPr>
          <w:p w14:paraId="29C60557">
            <w:pPr>
              <w:widowControl/>
              <w:adjustRightInd w:val="0"/>
              <w:snapToGrid w:val="0"/>
              <w:jc w:val="center"/>
              <w:rPr>
                <w:rFonts w:ascii="仿宋_GB2312" w:hAnsi="Times New Roman" w:cs="Times New Roman"/>
                <w:b/>
                <w:bCs/>
                <w:kern w:val="0"/>
                <w:sz w:val="24"/>
                <w:szCs w:val="24"/>
              </w:rPr>
            </w:pPr>
            <w:r>
              <w:rPr>
                <w:rFonts w:hint="eastAsia" w:ascii="仿宋_GB2312" w:hAnsi="Times New Roman" w:cs="Times New Roman"/>
                <w:b/>
                <w:bCs/>
                <w:kern w:val="0"/>
                <w:sz w:val="24"/>
                <w:szCs w:val="24"/>
              </w:rPr>
              <w:t>描述</w:t>
            </w:r>
          </w:p>
        </w:tc>
      </w:tr>
      <w:tr w14:paraId="4FAF4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0" w:type="dxa"/>
            <w:vAlign w:val="center"/>
          </w:tcPr>
          <w:p w14:paraId="0A276173">
            <w:pPr>
              <w:widowControl/>
              <w:adjustRightInd w:val="0"/>
              <w:snapToGrid w:val="0"/>
              <w:jc w:val="center"/>
              <w:rPr>
                <w:rFonts w:ascii="仿宋_GB2312" w:hAnsi="Times New Roman" w:cs="Times New Roman"/>
                <w:kern w:val="0"/>
                <w:sz w:val="24"/>
                <w:szCs w:val="24"/>
              </w:rPr>
            </w:pPr>
            <w:r>
              <w:rPr>
                <w:rFonts w:hint="eastAsia" w:ascii="仿宋_GB2312" w:hAnsi="Times New Roman" w:cs="Times New Roman"/>
                <w:kern w:val="0"/>
                <w:sz w:val="24"/>
                <w:szCs w:val="24"/>
              </w:rPr>
              <w:t>与战略保持一致</w:t>
            </w:r>
          </w:p>
        </w:tc>
        <w:tc>
          <w:tcPr>
            <w:tcW w:w="6316" w:type="dxa"/>
          </w:tcPr>
          <w:p w14:paraId="64AC1928">
            <w:pPr>
              <w:widowControl/>
              <w:rPr>
                <w:rFonts w:ascii="仿宋_GB2312" w:hAnsi="Times New Roman" w:cs="Times New Roman"/>
                <w:kern w:val="0"/>
                <w:sz w:val="24"/>
                <w:szCs w:val="24"/>
              </w:rPr>
            </w:pPr>
            <w:r>
              <w:rPr>
                <w:rFonts w:hint="eastAsia" w:ascii="仿宋_GB2312" w:hAnsi="Times New Roman" w:cs="Times New Roman"/>
                <w:kern w:val="0"/>
                <w:sz w:val="24"/>
                <w:szCs w:val="24"/>
              </w:rPr>
              <w:t>气候相关转型计划成为公司应对气候相关风险和机遇的广泛活动的一部分，并与这些活动保持一致，而这些活动又应该是组织整体业务战略的一部分，并与这些战略保持一致</w:t>
            </w:r>
          </w:p>
        </w:tc>
      </w:tr>
      <w:tr w14:paraId="3802D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0" w:type="dxa"/>
            <w:vAlign w:val="center"/>
          </w:tcPr>
          <w:p w14:paraId="105CEB17">
            <w:pPr>
              <w:widowControl/>
              <w:adjustRightInd w:val="0"/>
              <w:snapToGrid w:val="0"/>
              <w:jc w:val="center"/>
              <w:rPr>
                <w:rFonts w:ascii="仿宋_GB2312" w:hAnsi="Times New Roman" w:cs="Times New Roman"/>
                <w:kern w:val="0"/>
                <w:sz w:val="24"/>
                <w:szCs w:val="24"/>
              </w:rPr>
            </w:pPr>
            <w:r>
              <w:rPr>
                <w:rFonts w:hint="eastAsia" w:ascii="仿宋_GB2312" w:hAnsi="Times New Roman" w:cs="Times New Roman"/>
                <w:kern w:val="0"/>
                <w:sz w:val="24"/>
                <w:szCs w:val="24"/>
              </w:rPr>
              <w:t>以量化要素为基础</w:t>
            </w:r>
          </w:p>
        </w:tc>
        <w:tc>
          <w:tcPr>
            <w:tcW w:w="6316" w:type="dxa"/>
          </w:tcPr>
          <w:p w14:paraId="4E480972">
            <w:pPr>
              <w:widowControl/>
              <w:rPr>
                <w:rFonts w:ascii="仿宋_GB2312" w:hAnsi="Times New Roman" w:cs="Times New Roman"/>
                <w:kern w:val="0"/>
                <w:sz w:val="24"/>
                <w:szCs w:val="24"/>
              </w:rPr>
            </w:pPr>
            <w:r>
              <w:rPr>
                <w:rFonts w:hint="eastAsia" w:ascii="仿宋_GB2312" w:hAnsi="Times New Roman" w:cs="Times New Roman"/>
                <w:kern w:val="0"/>
                <w:sz w:val="24"/>
                <w:szCs w:val="24"/>
              </w:rPr>
              <w:t>气候相关转型计划旨在考虑并帮助组织实现向低碳经济转型的特定目标，应考虑以量化要素为基础</w:t>
            </w:r>
          </w:p>
        </w:tc>
      </w:tr>
      <w:tr w14:paraId="75716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980" w:type="dxa"/>
            <w:vAlign w:val="center"/>
          </w:tcPr>
          <w:p w14:paraId="4B118137">
            <w:pPr>
              <w:widowControl/>
              <w:adjustRightInd w:val="0"/>
              <w:snapToGrid w:val="0"/>
              <w:jc w:val="center"/>
              <w:rPr>
                <w:rFonts w:ascii="仿宋_GB2312" w:hAnsi="Times New Roman" w:cs="Times New Roman"/>
                <w:kern w:val="0"/>
                <w:sz w:val="24"/>
                <w:szCs w:val="24"/>
              </w:rPr>
            </w:pPr>
            <w:r>
              <w:rPr>
                <w:rFonts w:hint="eastAsia" w:ascii="仿宋_GB2312" w:hAnsi="Times New Roman" w:cs="Times New Roman"/>
                <w:kern w:val="0"/>
                <w:sz w:val="24"/>
                <w:szCs w:val="24"/>
              </w:rPr>
              <w:t>遵循有效的管理流程</w:t>
            </w:r>
          </w:p>
        </w:tc>
        <w:tc>
          <w:tcPr>
            <w:tcW w:w="6316" w:type="dxa"/>
          </w:tcPr>
          <w:p w14:paraId="15C40E66">
            <w:pPr>
              <w:widowControl/>
              <w:rPr>
                <w:rFonts w:ascii="仿宋_GB2312" w:hAnsi="Times New Roman" w:cs="Times New Roman"/>
                <w:kern w:val="0"/>
                <w:sz w:val="24"/>
                <w:szCs w:val="24"/>
              </w:rPr>
            </w:pPr>
            <w:r>
              <w:rPr>
                <w:rFonts w:hint="eastAsia" w:ascii="仿宋_GB2312" w:hAnsi="Times New Roman" w:cs="Times New Roman"/>
                <w:kern w:val="0"/>
                <w:sz w:val="24"/>
                <w:szCs w:val="24"/>
              </w:rPr>
              <w:t>就气候相关转型计划制定审批流程、监督及公司内部的问责制度，包括明确董事会和高级管理层在计划监督过程中扮演的角色</w:t>
            </w:r>
          </w:p>
        </w:tc>
      </w:tr>
      <w:tr w14:paraId="06411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0" w:type="dxa"/>
            <w:vAlign w:val="center"/>
          </w:tcPr>
          <w:p w14:paraId="4DF5FD4C">
            <w:pPr>
              <w:widowControl/>
              <w:adjustRightInd w:val="0"/>
              <w:snapToGrid w:val="0"/>
              <w:jc w:val="center"/>
              <w:rPr>
                <w:rFonts w:ascii="仿宋_GB2312" w:hAnsi="Times New Roman" w:cs="Times New Roman"/>
                <w:kern w:val="0"/>
                <w:sz w:val="24"/>
                <w:szCs w:val="24"/>
              </w:rPr>
            </w:pPr>
            <w:r>
              <w:rPr>
                <w:rFonts w:hint="eastAsia" w:ascii="仿宋_GB2312" w:hAnsi="Times New Roman" w:cs="Times New Roman"/>
                <w:kern w:val="0"/>
                <w:sz w:val="24"/>
                <w:szCs w:val="24"/>
              </w:rPr>
              <w:t>具有可执行性</w:t>
            </w:r>
          </w:p>
        </w:tc>
        <w:tc>
          <w:tcPr>
            <w:tcW w:w="6316" w:type="dxa"/>
          </w:tcPr>
          <w:p w14:paraId="2D447ED5">
            <w:pPr>
              <w:widowControl/>
              <w:rPr>
                <w:rFonts w:ascii="仿宋_GB2312" w:hAnsi="Times New Roman" w:cs="Times New Roman"/>
                <w:kern w:val="0"/>
                <w:sz w:val="24"/>
                <w:szCs w:val="24"/>
              </w:rPr>
            </w:pPr>
            <w:r>
              <w:rPr>
                <w:rFonts w:hint="eastAsia" w:ascii="仿宋_GB2312" w:hAnsi="Times New Roman" w:cs="Times New Roman"/>
                <w:kern w:val="0"/>
                <w:sz w:val="24"/>
                <w:szCs w:val="24"/>
              </w:rPr>
              <w:t>为有效实施转型计划采取的具体举措和行动</w:t>
            </w:r>
          </w:p>
        </w:tc>
      </w:tr>
      <w:tr w14:paraId="38C52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0" w:type="dxa"/>
            <w:vAlign w:val="center"/>
          </w:tcPr>
          <w:p w14:paraId="73458E36">
            <w:pPr>
              <w:widowControl/>
              <w:adjustRightInd w:val="0"/>
              <w:snapToGrid w:val="0"/>
              <w:jc w:val="center"/>
              <w:rPr>
                <w:rFonts w:ascii="仿宋_GB2312" w:hAnsi="Times New Roman" w:cs="Times New Roman"/>
                <w:kern w:val="0"/>
                <w:sz w:val="24"/>
                <w:szCs w:val="24"/>
              </w:rPr>
            </w:pPr>
            <w:r>
              <w:rPr>
                <w:rFonts w:hint="eastAsia" w:ascii="仿宋_GB2312" w:hAnsi="Times New Roman" w:cs="Times New Roman"/>
                <w:kern w:val="0"/>
                <w:sz w:val="24"/>
                <w:szCs w:val="24"/>
              </w:rPr>
              <w:t>具有可信度</w:t>
            </w:r>
          </w:p>
        </w:tc>
        <w:tc>
          <w:tcPr>
            <w:tcW w:w="6316" w:type="dxa"/>
          </w:tcPr>
          <w:p w14:paraId="3F2AA19C">
            <w:pPr>
              <w:widowControl/>
              <w:rPr>
                <w:rFonts w:ascii="仿宋_GB2312" w:hAnsi="Times New Roman" w:cs="Times New Roman"/>
                <w:kern w:val="0"/>
                <w:sz w:val="24"/>
                <w:szCs w:val="24"/>
              </w:rPr>
            </w:pPr>
            <w:r>
              <w:rPr>
                <w:rFonts w:hint="eastAsia" w:ascii="仿宋_GB2312" w:hAnsi="Times New Roman" w:cs="Times New Roman"/>
                <w:kern w:val="0"/>
                <w:sz w:val="24"/>
                <w:szCs w:val="24"/>
              </w:rPr>
              <w:t>气候相关转型计划包含的信息可让使用者评估公司的可信度，包括公司当前具备的能力、技术、转型路径以及财务计划等</w:t>
            </w:r>
          </w:p>
        </w:tc>
      </w:tr>
      <w:tr w14:paraId="4EB4B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0" w:type="dxa"/>
            <w:vAlign w:val="center"/>
          </w:tcPr>
          <w:p w14:paraId="353BD536">
            <w:pPr>
              <w:widowControl/>
              <w:adjustRightInd w:val="0"/>
              <w:snapToGrid w:val="0"/>
              <w:jc w:val="center"/>
              <w:rPr>
                <w:rFonts w:ascii="仿宋_GB2312" w:hAnsi="Times New Roman" w:cs="Times New Roman"/>
                <w:kern w:val="0"/>
                <w:sz w:val="24"/>
                <w:szCs w:val="24"/>
              </w:rPr>
            </w:pPr>
            <w:r>
              <w:rPr>
                <w:rFonts w:hint="eastAsia" w:ascii="仿宋_GB2312" w:hAnsi="Times New Roman" w:cs="Times New Roman"/>
                <w:kern w:val="0"/>
                <w:sz w:val="24"/>
                <w:szCs w:val="24"/>
              </w:rPr>
              <w:t>定期审查和更新</w:t>
            </w:r>
          </w:p>
        </w:tc>
        <w:tc>
          <w:tcPr>
            <w:tcW w:w="6316" w:type="dxa"/>
          </w:tcPr>
          <w:p w14:paraId="72B5BDAB">
            <w:pPr>
              <w:widowControl/>
              <w:rPr>
                <w:rFonts w:ascii="仿宋_GB2312" w:hAnsi="Times New Roman" w:cs="Times New Roman"/>
                <w:kern w:val="0"/>
                <w:sz w:val="24"/>
                <w:szCs w:val="24"/>
              </w:rPr>
            </w:pPr>
            <w:r>
              <w:rPr>
                <w:rFonts w:hint="eastAsia" w:ascii="仿宋_GB2312" w:hAnsi="Times New Roman" w:cs="Times New Roman"/>
                <w:kern w:val="0"/>
                <w:sz w:val="24"/>
                <w:szCs w:val="24"/>
              </w:rPr>
              <w:t>公司可以每五年审查一次转型计划，在必要时进行更新，以确保转型计划与组织总体战略规划相关且对其有效</w:t>
            </w:r>
          </w:p>
        </w:tc>
      </w:tr>
    </w:tbl>
    <w:p w14:paraId="3E849887">
      <w:pPr>
        <w:adjustRightInd w:val="0"/>
        <w:snapToGrid w:val="0"/>
        <w:spacing w:line="600" w:lineRule="exact"/>
        <w:ind w:firstLine="600" w:firstLineChars="200"/>
        <w:rPr>
          <w:rFonts w:ascii="仿宋_GB2312" w:hAnsi="Times New Roman" w:cs="仿宋_GB2312"/>
          <w:color w:val="000000"/>
          <w:kern w:val="0"/>
          <w:szCs w:val="30"/>
        </w:rPr>
      </w:pPr>
      <w:r>
        <w:rPr>
          <w:rFonts w:hint="eastAsia" w:ascii="仿宋_GB2312" w:hAnsi="Times New Roman" w:cs="仿宋_GB2312"/>
          <w:color w:val="000000"/>
          <w:kern w:val="0"/>
          <w:szCs w:val="30"/>
        </w:rPr>
        <w:t>披露主体制定转型计划涉及对战略的调整，如设立低碳转型相关目标和优先事项，包括减少其运营或价值链的温室气体的排放、加强气候适应能力等，并设定气候相关的短期、中期、长期阶段性目标。</w:t>
      </w:r>
    </w:p>
    <w:p w14:paraId="51182EBC">
      <w:pPr>
        <w:widowControl/>
        <w:adjustRightInd w:val="0"/>
        <w:snapToGrid w:val="0"/>
        <w:spacing w:line="600" w:lineRule="exact"/>
        <w:ind w:firstLine="600" w:firstLineChars="200"/>
        <w:jc w:val="left"/>
        <w:rPr>
          <w:rFonts w:ascii="仿宋_GB2312" w:hAnsi="Times New Roman" w:cs="仿宋_GB2312"/>
          <w:color w:val="000000"/>
          <w:kern w:val="0"/>
          <w:szCs w:val="30"/>
        </w:rPr>
      </w:pPr>
      <w:r>
        <w:rPr>
          <w:rFonts w:hint="eastAsia" w:ascii="仿宋_GB2312" w:hAnsi="Times New Roman" w:cs="仿宋_GB2312"/>
          <w:color w:val="000000"/>
          <w:kern w:val="0"/>
          <w:szCs w:val="30"/>
        </w:rPr>
        <w:t>气候相关转型计划涉及的行动包括政策、业务运营、产品和服务等维度。</w:t>
      </w:r>
    </w:p>
    <w:p w14:paraId="17665118">
      <w:pPr>
        <w:widowControl/>
        <w:adjustRightInd w:val="0"/>
        <w:snapToGrid w:val="0"/>
        <w:spacing w:line="560" w:lineRule="exact"/>
        <w:jc w:val="center"/>
        <w:rPr>
          <w:rFonts w:ascii="Times New Roman" w:hAnsi="Times New Roman" w:eastAsia="黑体" w:cs="Times New Roman"/>
          <w:kern w:val="0"/>
          <w:sz w:val="24"/>
          <w:szCs w:val="24"/>
        </w:rPr>
      </w:pPr>
      <w:r>
        <w:rPr>
          <w:rFonts w:hint="eastAsia" w:ascii="Times New Roman" w:hAnsi="Times New Roman" w:eastAsia="黑体" w:cs="Times New Roman"/>
          <w:kern w:val="0"/>
          <w:sz w:val="24"/>
          <w:szCs w:val="24"/>
          <w:lang w:bidi="ar"/>
        </w:rPr>
        <w:t>表1</w:t>
      </w:r>
      <w:r>
        <w:rPr>
          <w:rFonts w:ascii="Times New Roman" w:hAnsi="Times New Roman" w:eastAsia="黑体" w:cs="Times New Roman"/>
          <w:kern w:val="0"/>
          <w:sz w:val="24"/>
          <w:szCs w:val="24"/>
          <w:lang w:bidi="ar"/>
        </w:rPr>
        <w:t>8</w:t>
      </w:r>
      <w:r>
        <w:rPr>
          <w:rFonts w:hint="eastAsia" w:ascii="Times New Roman" w:hAnsi="Times New Roman" w:eastAsia="黑体" w:cs="Times New Roman"/>
          <w:kern w:val="0"/>
          <w:sz w:val="24"/>
          <w:szCs w:val="24"/>
          <w:lang w:bidi="ar"/>
        </w:rPr>
        <w:t>：气候相关转型计划的行动示例</w:t>
      </w:r>
    </w:p>
    <w:tbl>
      <w:tblPr>
        <w:tblStyle w:val="8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
        <w:gridCol w:w="6945"/>
      </w:tblGrid>
      <w:tr w14:paraId="27664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Align w:val="center"/>
          </w:tcPr>
          <w:p w14:paraId="1F80E39A">
            <w:pPr>
              <w:widowControl/>
              <w:adjustRightInd w:val="0"/>
              <w:snapToGrid w:val="0"/>
              <w:jc w:val="center"/>
              <w:rPr>
                <w:rFonts w:ascii="仿宋_GB2312" w:hAnsi="Times New Roman" w:cs="Times New Roman"/>
                <w:b/>
                <w:bCs/>
                <w:kern w:val="0"/>
                <w:sz w:val="24"/>
                <w:szCs w:val="24"/>
              </w:rPr>
            </w:pPr>
            <w:r>
              <w:rPr>
                <w:rFonts w:hint="eastAsia" w:ascii="仿宋_GB2312" w:hAnsi="Times New Roman" w:cs="Times New Roman"/>
                <w:b/>
                <w:bCs/>
                <w:kern w:val="0"/>
                <w:sz w:val="24"/>
                <w:szCs w:val="24"/>
              </w:rPr>
              <w:t>行动</w:t>
            </w:r>
          </w:p>
        </w:tc>
        <w:tc>
          <w:tcPr>
            <w:tcW w:w="6945" w:type="dxa"/>
          </w:tcPr>
          <w:p w14:paraId="1122E952">
            <w:pPr>
              <w:widowControl/>
              <w:adjustRightInd w:val="0"/>
              <w:snapToGrid w:val="0"/>
              <w:jc w:val="center"/>
              <w:rPr>
                <w:rFonts w:ascii="仿宋_GB2312" w:hAnsi="Times New Roman" w:cs="Times New Roman"/>
                <w:b/>
                <w:bCs/>
                <w:kern w:val="0"/>
                <w:sz w:val="24"/>
                <w:szCs w:val="24"/>
              </w:rPr>
            </w:pPr>
            <w:r>
              <w:rPr>
                <w:rFonts w:hint="eastAsia" w:ascii="仿宋_GB2312" w:hAnsi="Times New Roman" w:cs="Times New Roman"/>
                <w:b/>
                <w:bCs/>
                <w:kern w:val="0"/>
                <w:sz w:val="24"/>
                <w:szCs w:val="24"/>
              </w:rPr>
              <w:t>描述</w:t>
            </w:r>
          </w:p>
        </w:tc>
      </w:tr>
      <w:tr w14:paraId="76E7A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Align w:val="center"/>
          </w:tcPr>
          <w:p w14:paraId="20716CD5">
            <w:pPr>
              <w:widowControl/>
              <w:adjustRightInd w:val="0"/>
              <w:snapToGrid w:val="0"/>
              <w:rPr>
                <w:rFonts w:ascii="仿宋_GB2312" w:hAnsi="Times New Roman" w:cs="Times New Roman"/>
                <w:kern w:val="0"/>
                <w:sz w:val="24"/>
                <w:szCs w:val="24"/>
              </w:rPr>
            </w:pPr>
            <w:r>
              <w:rPr>
                <w:rFonts w:hint="eastAsia" w:ascii="仿宋_GB2312" w:hAnsi="Times New Roman" w:cs="Times New Roman"/>
                <w:kern w:val="0"/>
                <w:sz w:val="24"/>
                <w:szCs w:val="24"/>
              </w:rPr>
              <w:t>政策与条件</w:t>
            </w:r>
          </w:p>
        </w:tc>
        <w:tc>
          <w:tcPr>
            <w:tcW w:w="6945" w:type="dxa"/>
            <w:vAlign w:val="center"/>
          </w:tcPr>
          <w:p w14:paraId="7A3B5F89">
            <w:pPr>
              <w:adjustRightInd w:val="0"/>
              <w:snapToGrid w:val="0"/>
              <w:rPr>
                <w:rFonts w:ascii="仿宋_GB2312" w:hAnsi="Times New Roman" w:cs="Times New Roman"/>
                <w:kern w:val="0"/>
                <w:sz w:val="24"/>
                <w:szCs w:val="24"/>
              </w:rPr>
            </w:pPr>
            <w:r>
              <w:rPr>
                <w:rFonts w:hint="eastAsia" w:ascii="仿宋_GB2312" w:hAnsi="Times New Roman" w:cs="Times New Roman"/>
                <w:kern w:val="0"/>
                <w:sz w:val="24"/>
                <w:szCs w:val="24"/>
              </w:rPr>
              <w:t>使用或计划使用的任何政策或条件，如能源消耗、逐步淘汰高温室气体排放资产、采购和供应商活动中的气候相关考量、贷款或投资活动中的气候相关考量（如门槛、目标或限制）等，以及预期的主要贡献</w:t>
            </w:r>
          </w:p>
        </w:tc>
      </w:tr>
      <w:tr w14:paraId="0CBC8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Align w:val="center"/>
          </w:tcPr>
          <w:p w14:paraId="4ADE98FC">
            <w:pPr>
              <w:widowControl/>
              <w:adjustRightInd w:val="0"/>
              <w:snapToGrid w:val="0"/>
              <w:rPr>
                <w:rFonts w:ascii="仿宋_GB2312" w:hAnsi="Times New Roman" w:cs="Times New Roman"/>
                <w:kern w:val="0"/>
                <w:sz w:val="24"/>
                <w:szCs w:val="24"/>
              </w:rPr>
            </w:pPr>
            <w:r>
              <w:rPr>
                <w:rFonts w:hint="eastAsia" w:ascii="仿宋_GB2312" w:hAnsi="Times New Roman" w:cs="Times New Roman"/>
                <w:kern w:val="0"/>
                <w:sz w:val="24"/>
                <w:szCs w:val="24"/>
              </w:rPr>
              <w:t>业务运营</w:t>
            </w:r>
          </w:p>
        </w:tc>
        <w:tc>
          <w:tcPr>
            <w:tcW w:w="6945" w:type="dxa"/>
            <w:vAlign w:val="center"/>
          </w:tcPr>
          <w:p w14:paraId="3DC4D7A1">
            <w:pPr>
              <w:adjustRightInd w:val="0"/>
              <w:snapToGrid w:val="0"/>
              <w:rPr>
                <w:rFonts w:ascii="仿宋_GB2312" w:hAnsi="Times New Roman" w:cs="Times New Roman"/>
                <w:kern w:val="0"/>
                <w:sz w:val="24"/>
                <w:szCs w:val="24"/>
              </w:rPr>
            </w:pPr>
            <w:r>
              <w:rPr>
                <w:rFonts w:hint="eastAsia" w:ascii="仿宋_GB2312" w:hAnsi="Times New Roman" w:cs="Times New Roman"/>
                <w:kern w:val="0"/>
                <w:sz w:val="24"/>
                <w:szCs w:val="24"/>
              </w:rPr>
              <w:t>生产工艺或设备、劳动力的调整、供应链与采购；变更办公室和业务地点、负责任地淘汰或逐步淘汰温室气体密集型资产、对可能因向温室气体低排放、气候适应性经济转型而受到影响的长期资产的管理</w:t>
            </w:r>
          </w:p>
        </w:tc>
      </w:tr>
      <w:tr w14:paraId="72A08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55" w:type="dxa"/>
            <w:vAlign w:val="center"/>
          </w:tcPr>
          <w:p w14:paraId="7BB9E92D">
            <w:pPr>
              <w:widowControl/>
              <w:adjustRightInd w:val="0"/>
              <w:snapToGrid w:val="0"/>
              <w:rPr>
                <w:rFonts w:ascii="仿宋_GB2312" w:hAnsi="Times New Roman" w:cs="Times New Roman"/>
                <w:kern w:val="0"/>
                <w:sz w:val="24"/>
                <w:szCs w:val="24"/>
              </w:rPr>
            </w:pPr>
            <w:r>
              <w:rPr>
                <w:rFonts w:hint="eastAsia" w:ascii="仿宋_GB2312" w:hAnsi="Times New Roman" w:cs="Times New Roman"/>
                <w:kern w:val="0"/>
                <w:sz w:val="24"/>
                <w:szCs w:val="24"/>
              </w:rPr>
              <w:t>产品和服务</w:t>
            </w:r>
          </w:p>
        </w:tc>
        <w:tc>
          <w:tcPr>
            <w:tcW w:w="6945" w:type="dxa"/>
            <w:vAlign w:val="center"/>
          </w:tcPr>
          <w:p w14:paraId="0E2905AF">
            <w:pPr>
              <w:adjustRightInd w:val="0"/>
              <w:snapToGrid w:val="0"/>
              <w:rPr>
                <w:rFonts w:ascii="仿宋_GB2312" w:hAnsi="Times New Roman" w:cs="Times New Roman"/>
                <w:kern w:val="0"/>
                <w:sz w:val="24"/>
                <w:szCs w:val="24"/>
              </w:rPr>
            </w:pPr>
            <w:r>
              <w:rPr>
                <w:rFonts w:hint="eastAsia" w:ascii="仿宋_GB2312" w:hAnsi="Times New Roman" w:cs="Times New Roman"/>
                <w:kern w:val="0"/>
                <w:sz w:val="24"/>
                <w:szCs w:val="24"/>
              </w:rPr>
              <w:t>优化其所提供的产品和服务组合；对产品和服务进行分类或定义</w:t>
            </w:r>
          </w:p>
        </w:tc>
      </w:tr>
    </w:tbl>
    <w:p w14:paraId="23127D35">
      <w:pPr>
        <w:spacing w:line="560" w:lineRule="exact"/>
        <w:jc w:val="center"/>
        <w:outlineLvl w:val="0"/>
        <w:rPr>
          <w:rFonts w:ascii="Times New Roman" w:hAnsi="Times New Roman" w:eastAsia="黑体" w:cs="Times New Roman"/>
          <w:b/>
          <w:bCs/>
          <w:szCs w:val="30"/>
        </w:rPr>
      </w:pPr>
    </w:p>
    <w:p w14:paraId="36B9492B">
      <w:pPr>
        <w:ind w:firstLine="602" w:firstLineChars="200"/>
        <w:rPr>
          <w:rFonts w:ascii="Times New Roman" w:hAnsi="Times New Roman" w:eastAsia="黑体" w:cs="Times New Roman"/>
          <w:b/>
          <w:bCs/>
          <w:szCs w:val="30"/>
        </w:rPr>
        <w:sectPr>
          <w:pgSz w:w="11906" w:h="16838"/>
          <w:pgMar w:top="1440" w:right="1800" w:bottom="1440" w:left="1800" w:header="851" w:footer="992" w:gutter="0"/>
          <w:cols w:space="720" w:num="1"/>
          <w:docGrid w:type="lines" w:linePitch="312" w:charSpace="0"/>
        </w:sectPr>
      </w:pPr>
    </w:p>
    <w:p w14:paraId="5AFEAD9C">
      <w:pPr>
        <w:spacing w:line="560" w:lineRule="exact"/>
        <w:jc w:val="center"/>
        <w:outlineLvl w:val="0"/>
        <w:rPr>
          <w:rFonts w:ascii="Times New Roman" w:hAnsi="Times New Roman" w:eastAsia="黑体" w:cs="Times New Roman"/>
          <w:b/>
          <w:bCs/>
          <w:szCs w:val="30"/>
        </w:rPr>
      </w:pPr>
      <w:bookmarkStart w:id="213" w:name="_Toc22351"/>
      <w:bookmarkStart w:id="214" w:name="_Toc9177"/>
      <w:bookmarkStart w:id="215" w:name="_Toc10056"/>
      <w:bookmarkStart w:id="216" w:name="_Toc187328683"/>
      <w:bookmarkStart w:id="217" w:name="_Toc181613107"/>
      <w:r>
        <w:rPr>
          <w:rFonts w:hint="eastAsia" w:ascii="Times New Roman" w:hAnsi="Times New Roman" w:eastAsia="黑体" w:cs="Times New Roman"/>
          <w:b/>
          <w:bCs/>
          <w:szCs w:val="30"/>
        </w:rPr>
        <w:t>第六章</w:t>
      </w:r>
      <w:r>
        <w:rPr>
          <w:rFonts w:ascii="Times New Roman" w:hAnsi="Times New Roman" w:eastAsia="黑体" w:cs="Times New Roman"/>
          <w:b/>
          <w:bCs/>
          <w:szCs w:val="30"/>
        </w:rPr>
        <w:t xml:space="preserve"> </w:t>
      </w:r>
      <w:r>
        <w:rPr>
          <w:rFonts w:hint="eastAsia" w:ascii="Times New Roman" w:hAnsi="Times New Roman" w:eastAsia="黑体" w:cs="Times New Roman"/>
          <w:b/>
          <w:bCs/>
          <w:szCs w:val="30"/>
        </w:rPr>
        <w:t>披露要点</w:t>
      </w:r>
      <w:bookmarkEnd w:id="207"/>
      <w:bookmarkEnd w:id="213"/>
      <w:bookmarkEnd w:id="214"/>
      <w:bookmarkEnd w:id="215"/>
      <w:bookmarkEnd w:id="216"/>
      <w:bookmarkEnd w:id="217"/>
    </w:p>
    <w:p w14:paraId="5B2801E4">
      <w:pPr>
        <w:widowControl/>
        <w:adjustRightInd w:val="0"/>
        <w:snapToGrid w:val="0"/>
        <w:spacing w:line="560" w:lineRule="exact"/>
        <w:ind w:firstLine="602" w:firstLineChars="200"/>
        <w:outlineLvl w:val="1"/>
        <w:rPr>
          <w:rFonts w:ascii="黑体" w:hAnsi="黑体" w:eastAsia="黑体" w:cs="Times New Roman"/>
          <w:b/>
          <w:szCs w:val="30"/>
        </w:rPr>
      </w:pPr>
      <w:bookmarkStart w:id="218" w:name="_Toc187328684"/>
      <w:bookmarkStart w:id="219" w:name="_Toc3872"/>
      <w:bookmarkStart w:id="220" w:name="_Toc317"/>
      <w:bookmarkStart w:id="221" w:name="_Toc15208"/>
      <w:bookmarkStart w:id="222" w:name="_Toc181613108"/>
      <w:bookmarkStart w:id="223" w:name="_Toc19005"/>
      <w:bookmarkStart w:id="224" w:name="_Toc177241773"/>
      <w:bookmarkStart w:id="225" w:name="_Toc3218"/>
      <w:r>
        <w:rPr>
          <w:rFonts w:hint="eastAsia" w:ascii="黑体" w:hAnsi="黑体" w:eastAsia="黑体" w:cs="Times New Roman"/>
          <w:b/>
          <w:szCs w:val="30"/>
        </w:rPr>
        <w:t>一、气候相关治理</w:t>
      </w:r>
      <w:bookmarkEnd w:id="218"/>
      <w:bookmarkEnd w:id="219"/>
      <w:bookmarkEnd w:id="220"/>
      <w:bookmarkEnd w:id="221"/>
      <w:bookmarkEnd w:id="222"/>
      <w:bookmarkEnd w:id="223"/>
      <w:bookmarkEnd w:id="224"/>
      <w:bookmarkEnd w:id="225"/>
    </w:p>
    <w:p w14:paraId="176BC043">
      <w:pPr>
        <w:widowControl/>
        <w:adjustRightInd w:val="0"/>
        <w:snapToGrid w:val="0"/>
        <w:spacing w:line="560" w:lineRule="exact"/>
        <w:ind w:firstLine="600" w:firstLineChars="200"/>
        <w:rPr>
          <w:rFonts w:ascii="仿宋_GB2312" w:hAnsi="Times New Roman" w:cs="Times New Roman"/>
          <w:szCs w:val="30"/>
        </w:rPr>
      </w:pPr>
      <w:r>
        <w:rPr>
          <w:rFonts w:hint="eastAsia" w:ascii="仿宋_GB2312" w:hAnsi="Times New Roman" w:cs="Times New Roman"/>
          <w:szCs w:val="30"/>
        </w:rPr>
        <w:t>根据《指引》规定，披露主体针对可持续发展相关影响、风险和机遇的管理和监督已经建立整体性治理结构和内部制度的，可以对治理要素的内容进行整合披露，无需单独披露以下气候相关治理信息。</w:t>
      </w:r>
    </w:p>
    <w:p w14:paraId="0EB42151">
      <w:pPr>
        <w:widowControl/>
        <w:adjustRightInd w:val="0"/>
        <w:snapToGrid w:val="0"/>
        <w:spacing w:line="560" w:lineRule="exact"/>
        <w:ind w:firstLine="600" w:firstLineChars="200"/>
        <w:outlineLvl w:val="2"/>
        <w:rPr>
          <w:rFonts w:ascii="黑体" w:hAnsi="黑体" w:eastAsia="黑体" w:cs="黑体"/>
          <w:szCs w:val="30"/>
        </w:rPr>
      </w:pPr>
      <w:bookmarkStart w:id="226" w:name="_Toc752"/>
      <w:bookmarkStart w:id="227" w:name="_Toc171"/>
      <w:bookmarkStart w:id="228" w:name="_Toc5490"/>
      <w:bookmarkStart w:id="229" w:name="_Toc181613109"/>
      <w:bookmarkStart w:id="230" w:name="_Toc187328685"/>
      <w:r>
        <w:rPr>
          <w:rFonts w:hint="eastAsia" w:ascii="黑体" w:hAnsi="黑体" w:eastAsia="黑体" w:cs="黑体"/>
          <w:szCs w:val="30"/>
        </w:rPr>
        <w:t>披露要点1 气候相关治理机构</w:t>
      </w:r>
      <w:bookmarkEnd w:id="226"/>
      <w:bookmarkEnd w:id="227"/>
      <w:bookmarkEnd w:id="228"/>
      <w:bookmarkEnd w:id="229"/>
      <w:bookmarkEnd w:id="230"/>
    </w:p>
    <w:p w14:paraId="30F6ACEF">
      <w:pPr>
        <w:widowControl/>
        <w:adjustRightInd w:val="0"/>
        <w:snapToGrid w:val="0"/>
        <w:spacing w:line="560" w:lineRule="exact"/>
        <w:ind w:firstLine="600" w:firstLineChars="200"/>
        <w:jc w:val="left"/>
        <w:rPr>
          <w:rFonts w:ascii="仿宋_GB2312" w:hAnsi="Times New Roman" w:cs="Times New Roman"/>
          <w:szCs w:val="30"/>
        </w:rPr>
      </w:pPr>
      <w:r>
        <w:rPr>
          <w:rFonts w:hint="eastAsia" w:ascii="仿宋_GB2312" w:hAnsi="Times New Roman" w:cs="Times New Roman"/>
          <w:szCs w:val="30"/>
        </w:rPr>
        <w:t>1．描述负责监督管理气候相关影响、风险和机遇的治理机构（如董事会、专门委员会等）、管理层设置情况，可通过气候相关治理架构图等方式呈现（详细可参考《第一号</w:t>
      </w:r>
      <w:r>
        <w:rPr>
          <w:rFonts w:ascii="仿宋_GB2312" w:hAnsi="Times New Roman" w:cs="Times New Roman"/>
          <w:szCs w:val="30"/>
        </w:rPr>
        <w:t xml:space="preserve"> </w:t>
      </w:r>
      <w:r>
        <w:rPr>
          <w:rFonts w:hint="eastAsia" w:ascii="仿宋_GB2312" w:hAnsi="Times New Roman" w:cs="Times New Roman"/>
          <w:szCs w:val="30"/>
        </w:rPr>
        <w:t>总体要求与披露框架》指南中相关内容）。</w:t>
      </w:r>
    </w:p>
    <w:p w14:paraId="2CB21E8F">
      <w:pPr>
        <w:widowControl/>
        <w:adjustRightInd w:val="0"/>
        <w:snapToGrid w:val="0"/>
        <w:spacing w:line="560" w:lineRule="exact"/>
        <w:ind w:firstLine="600" w:firstLineChars="200"/>
        <w:jc w:val="left"/>
        <w:rPr>
          <w:rFonts w:ascii="仿宋_GB2312" w:hAnsi="Times New Roman" w:cs="Times New Roman"/>
          <w:szCs w:val="30"/>
        </w:rPr>
      </w:pPr>
      <w:r>
        <w:rPr>
          <w:rFonts w:hint="eastAsia" w:ascii="仿宋_GB2312" w:hAnsi="Times New Roman" w:cs="Times New Roman"/>
          <w:szCs w:val="30"/>
        </w:rPr>
        <w:t>2．描述气候相关治理机构的人员构成。</w:t>
      </w:r>
    </w:p>
    <w:p w14:paraId="05406329">
      <w:pPr>
        <w:widowControl/>
        <w:adjustRightInd w:val="0"/>
        <w:snapToGrid w:val="0"/>
        <w:spacing w:line="560" w:lineRule="exact"/>
        <w:ind w:firstLine="600" w:firstLineChars="200"/>
        <w:jc w:val="left"/>
        <w:rPr>
          <w:rFonts w:ascii="仿宋_GB2312" w:hAnsi="Times New Roman" w:cs="Times New Roman"/>
          <w:szCs w:val="30"/>
        </w:rPr>
      </w:pPr>
      <w:r>
        <w:rPr>
          <w:rFonts w:hint="eastAsia" w:ascii="仿宋_GB2312" w:hAnsi="Times New Roman" w:cs="Times New Roman"/>
          <w:szCs w:val="30"/>
        </w:rPr>
        <w:t>3．描述气候相关治理机构的职权范围。</w:t>
      </w:r>
    </w:p>
    <w:p w14:paraId="1BED7BD6">
      <w:pPr>
        <w:widowControl/>
        <w:adjustRightInd w:val="0"/>
        <w:snapToGrid w:val="0"/>
        <w:spacing w:line="560" w:lineRule="exact"/>
        <w:ind w:firstLine="600" w:firstLineChars="200"/>
        <w:jc w:val="left"/>
        <w:rPr>
          <w:rFonts w:ascii="仿宋_GB2312" w:hAnsi="Times New Roman" w:cs="Times New Roman"/>
          <w:szCs w:val="30"/>
        </w:rPr>
      </w:pPr>
      <w:r>
        <w:rPr>
          <w:rFonts w:hint="eastAsia" w:ascii="仿宋_GB2312" w:hAnsi="Times New Roman" w:cs="Times New Roman"/>
          <w:szCs w:val="30"/>
        </w:rPr>
        <w:t>4．描述气候相关治理机构的相关工作任务及目标等。</w:t>
      </w:r>
    </w:p>
    <w:p w14:paraId="497A7358">
      <w:pPr>
        <w:widowControl/>
        <w:adjustRightInd w:val="0"/>
        <w:snapToGrid w:val="0"/>
        <w:spacing w:line="560" w:lineRule="exact"/>
        <w:ind w:firstLine="600" w:firstLineChars="200"/>
        <w:outlineLvl w:val="2"/>
        <w:rPr>
          <w:rFonts w:ascii="黑体" w:hAnsi="黑体" w:eastAsia="黑体" w:cs="黑体"/>
          <w:szCs w:val="30"/>
        </w:rPr>
      </w:pPr>
      <w:bookmarkStart w:id="231" w:name="_Toc187328686"/>
      <w:bookmarkStart w:id="232" w:name="_Toc181613110"/>
      <w:bookmarkStart w:id="233" w:name="_Toc24392"/>
      <w:bookmarkStart w:id="234" w:name="_Toc1285"/>
      <w:bookmarkStart w:id="235" w:name="_Toc21131"/>
      <w:r>
        <w:rPr>
          <w:rFonts w:hint="eastAsia" w:ascii="黑体" w:hAnsi="黑体" w:eastAsia="黑体" w:cs="黑体"/>
          <w:szCs w:val="30"/>
        </w:rPr>
        <w:t>披露要点2 气候相关治理机构（人员）专业技能和能力</w:t>
      </w:r>
      <w:bookmarkEnd w:id="231"/>
      <w:bookmarkEnd w:id="232"/>
      <w:bookmarkEnd w:id="233"/>
      <w:bookmarkEnd w:id="234"/>
      <w:bookmarkEnd w:id="235"/>
    </w:p>
    <w:p w14:paraId="3ACB512C">
      <w:pPr>
        <w:widowControl/>
        <w:adjustRightInd w:val="0"/>
        <w:snapToGrid w:val="0"/>
        <w:spacing w:line="560" w:lineRule="exact"/>
        <w:ind w:firstLine="600" w:firstLineChars="200"/>
        <w:jc w:val="left"/>
        <w:rPr>
          <w:rFonts w:ascii="仿宋_GB2312" w:hAnsi="Times New Roman" w:cs="Times New Roman"/>
          <w:szCs w:val="30"/>
        </w:rPr>
      </w:pPr>
      <w:r>
        <w:rPr>
          <w:rFonts w:hint="eastAsia" w:ascii="仿宋_GB2312" w:hAnsi="Times New Roman" w:cs="Times New Roman"/>
          <w:szCs w:val="30"/>
        </w:rPr>
        <w:t>1．描述气候相关治理机构和人员在执行、监督气候相关影响、风险和机遇的战略、制度等方面的专业技能和能力。</w:t>
      </w:r>
    </w:p>
    <w:p w14:paraId="3B837157">
      <w:pPr>
        <w:widowControl/>
        <w:adjustRightInd w:val="0"/>
        <w:snapToGrid w:val="0"/>
        <w:spacing w:line="560" w:lineRule="exact"/>
        <w:ind w:firstLine="600" w:firstLineChars="200"/>
        <w:jc w:val="left"/>
        <w:rPr>
          <w:rFonts w:ascii="仿宋_GB2312" w:hAnsi="Times New Roman" w:cs="Times New Roman"/>
          <w:szCs w:val="30"/>
        </w:rPr>
      </w:pPr>
      <w:r>
        <w:rPr>
          <w:rFonts w:hint="eastAsia" w:ascii="仿宋_GB2312" w:hAnsi="Times New Roman" w:cs="Times New Roman"/>
          <w:szCs w:val="30"/>
        </w:rPr>
        <w:t>2．可描述提高治理机构人员相关专业技能的措施和规划等。</w:t>
      </w:r>
    </w:p>
    <w:p w14:paraId="71FFFDF3">
      <w:pPr>
        <w:widowControl/>
        <w:adjustRightInd w:val="0"/>
        <w:snapToGrid w:val="0"/>
        <w:spacing w:line="560" w:lineRule="exact"/>
        <w:ind w:firstLine="600" w:firstLineChars="200"/>
        <w:outlineLvl w:val="2"/>
        <w:rPr>
          <w:rFonts w:ascii="黑体" w:hAnsi="黑体" w:eastAsia="黑体" w:cs="黑体"/>
          <w:szCs w:val="30"/>
        </w:rPr>
      </w:pPr>
      <w:bookmarkStart w:id="236" w:name="_Toc181613111"/>
      <w:bookmarkStart w:id="237" w:name="_Toc187328687"/>
      <w:bookmarkStart w:id="238" w:name="_Toc11283"/>
      <w:bookmarkStart w:id="239" w:name="_Toc26709"/>
      <w:bookmarkStart w:id="240" w:name="_Toc21436"/>
      <w:r>
        <w:rPr>
          <w:rFonts w:hint="eastAsia" w:ascii="黑体" w:hAnsi="黑体" w:eastAsia="黑体" w:cs="黑体"/>
          <w:szCs w:val="30"/>
        </w:rPr>
        <w:t>披露要点3 气候相关治理机构（人员）获取信息的机制</w:t>
      </w:r>
      <w:bookmarkEnd w:id="236"/>
      <w:bookmarkEnd w:id="237"/>
      <w:bookmarkEnd w:id="238"/>
      <w:bookmarkEnd w:id="239"/>
      <w:bookmarkEnd w:id="240"/>
    </w:p>
    <w:p w14:paraId="035DA967">
      <w:pPr>
        <w:widowControl/>
        <w:adjustRightInd w:val="0"/>
        <w:snapToGrid w:val="0"/>
        <w:spacing w:line="560" w:lineRule="exact"/>
        <w:ind w:firstLine="600" w:firstLineChars="200"/>
        <w:jc w:val="left"/>
        <w:rPr>
          <w:rFonts w:ascii="仿宋_GB2312" w:hAnsi="Times New Roman" w:cs="Times New Roman"/>
          <w:szCs w:val="30"/>
        </w:rPr>
      </w:pPr>
      <w:r>
        <w:rPr>
          <w:rFonts w:hint="eastAsia" w:ascii="仿宋_GB2312" w:hAnsi="Times New Roman" w:cs="Times New Roman"/>
          <w:szCs w:val="30"/>
        </w:rPr>
        <w:t>1．描述为保障气候相关治理机构和人员及时获取气候影响、风险和机遇相关信息而建立的信息报告机制。</w:t>
      </w:r>
    </w:p>
    <w:p w14:paraId="553592B9">
      <w:pPr>
        <w:widowControl/>
        <w:adjustRightInd w:val="0"/>
        <w:snapToGrid w:val="0"/>
        <w:spacing w:line="560" w:lineRule="exact"/>
        <w:ind w:firstLine="600" w:firstLineChars="200"/>
        <w:jc w:val="left"/>
        <w:rPr>
          <w:rFonts w:ascii="仿宋_GB2312" w:hAnsi="Times New Roman" w:cs="Times New Roman"/>
          <w:szCs w:val="30"/>
        </w:rPr>
      </w:pPr>
      <w:r>
        <w:rPr>
          <w:rFonts w:hint="eastAsia" w:ascii="仿宋_GB2312" w:hAnsi="Times New Roman" w:cs="Times New Roman"/>
          <w:szCs w:val="30"/>
        </w:rPr>
        <w:t>2．描述气候相关治理机构和人员获取气候影响、风险和机遇相关信息的报告方式以及报告频率。</w:t>
      </w:r>
    </w:p>
    <w:p w14:paraId="23695817">
      <w:pPr>
        <w:widowControl/>
        <w:adjustRightInd w:val="0"/>
        <w:snapToGrid w:val="0"/>
        <w:spacing w:line="560" w:lineRule="exact"/>
        <w:ind w:firstLine="600" w:firstLineChars="200"/>
        <w:outlineLvl w:val="2"/>
        <w:rPr>
          <w:rFonts w:ascii="黑体" w:hAnsi="黑体" w:eastAsia="黑体" w:cs="黑体"/>
          <w:szCs w:val="30"/>
        </w:rPr>
      </w:pPr>
      <w:bookmarkStart w:id="241" w:name="_Toc187328688"/>
      <w:bookmarkStart w:id="242" w:name="_Toc27569"/>
      <w:bookmarkStart w:id="243" w:name="_Toc6967"/>
      <w:bookmarkStart w:id="244" w:name="_Toc181613112"/>
      <w:bookmarkStart w:id="245" w:name="_Toc21917"/>
      <w:r>
        <w:rPr>
          <w:rFonts w:hint="eastAsia" w:ascii="黑体" w:hAnsi="黑体" w:eastAsia="黑体" w:cs="黑体"/>
          <w:szCs w:val="30"/>
        </w:rPr>
        <w:t>披露要点4 气候相关治理机构（人员）监督情况</w:t>
      </w:r>
      <w:bookmarkEnd w:id="241"/>
      <w:bookmarkEnd w:id="242"/>
      <w:bookmarkEnd w:id="243"/>
      <w:bookmarkEnd w:id="244"/>
      <w:bookmarkEnd w:id="245"/>
    </w:p>
    <w:p w14:paraId="7FC20D90">
      <w:pPr>
        <w:widowControl/>
        <w:adjustRightInd w:val="0"/>
        <w:snapToGrid w:val="0"/>
        <w:spacing w:line="560" w:lineRule="exact"/>
        <w:ind w:firstLine="600" w:firstLineChars="200"/>
        <w:jc w:val="left"/>
        <w:rPr>
          <w:rFonts w:ascii="仿宋_GB2312" w:hAnsi="Times New Roman" w:cs="Times New Roman"/>
          <w:szCs w:val="30"/>
        </w:rPr>
      </w:pPr>
      <w:r>
        <w:rPr>
          <w:rFonts w:hint="eastAsia" w:ascii="仿宋_GB2312" w:hAnsi="Times New Roman" w:cs="Times New Roman"/>
          <w:szCs w:val="30"/>
        </w:rPr>
        <w:t>1．描述气候相关治理机构和人员监督管理气候相关影响、风险和机遇的目标设定、战略执行、目标实现进展的情况，包括内部控制制度、监督程序、监督措施及考核情况等。</w:t>
      </w:r>
    </w:p>
    <w:p w14:paraId="1EED6BA4">
      <w:pPr>
        <w:widowControl/>
        <w:adjustRightInd w:val="0"/>
        <w:snapToGrid w:val="0"/>
        <w:spacing w:line="560" w:lineRule="exact"/>
        <w:ind w:firstLine="600" w:firstLineChars="200"/>
        <w:outlineLvl w:val="2"/>
        <w:rPr>
          <w:rFonts w:ascii="黑体" w:hAnsi="黑体" w:eastAsia="黑体" w:cs="黑体"/>
          <w:szCs w:val="30"/>
        </w:rPr>
      </w:pPr>
      <w:bookmarkStart w:id="246" w:name="_Toc187328689"/>
      <w:bookmarkStart w:id="247" w:name="_Toc5396"/>
      <w:bookmarkStart w:id="248" w:name="_Toc18698"/>
      <w:bookmarkStart w:id="249" w:name="_Toc181613113"/>
      <w:bookmarkStart w:id="250" w:name="_Toc20354"/>
      <w:r>
        <w:rPr>
          <w:rFonts w:hint="eastAsia" w:ascii="黑体" w:hAnsi="黑体" w:eastAsia="黑体" w:cs="黑体"/>
          <w:szCs w:val="30"/>
        </w:rPr>
        <w:t>披露要点5 气候相关治理机构将气候相关因素纳入决策的情况</w:t>
      </w:r>
      <w:bookmarkEnd w:id="246"/>
      <w:bookmarkEnd w:id="247"/>
      <w:bookmarkEnd w:id="248"/>
      <w:bookmarkEnd w:id="249"/>
      <w:bookmarkEnd w:id="250"/>
    </w:p>
    <w:p w14:paraId="510FB5FD">
      <w:pPr>
        <w:widowControl/>
        <w:adjustRightInd w:val="0"/>
        <w:snapToGrid w:val="0"/>
        <w:spacing w:line="560" w:lineRule="exact"/>
        <w:ind w:firstLine="600" w:firstLineChars="200"/>
        <w:jc w:val="left"/>
        <w:rPr>
          <w:rFonts w:ascii="仿宋_GB2312" w:hAnsi="Times New Roman" w:cs="Times New Roman"/>
          <w:szCs w:val="30"/>
        </w:rPr>
      </w:pPr>
      <w:r>
        <w:rPr>
          <w:rFonts w:hint="eastAsia" w:ascii="仿宋_GB2312" w:hAnsi="Times New Roman" w:cs="Times New Roman"/>
          <w:szCs w:val="30"/>
        </w:rPr>
        <w:t>1．描述气候相关治理机构和人员在监督战略实施、重大交易决策、风险管理过程中，将气候相关影响、风险和机遇纳入决策考虑的措施、方法等。</w:t>
      </w:r>
    </w:p>
    <w:p w14:paraId="68EA324D">
      <w:pPr>
        <w:widowControl/>
        <w:adjustRightInd w:val="0"/>
        <w:snapToGrid w:val="0"/>
        <w:spacing w:line="560" w:lineRule="exact"/>
        <w:ind w:firstLine="602" w:firstLineChars="200"/>
        <w:outlineLvl w:val="1"/>
        <w:rPr>
          <w:rFonts w:ascii="黑体" w:hAnsi="黑体" w:eastAsia="黑体" w:cs="Times New Roman"/>
          <w:b/>
          <w:szCs w:val="30"/>
        </w:rPr>
      </w:pPr>
      <w:bookmarkStart w:id="251" w:name="_Toc187328690"/>
      <w:bookmarkStart w:id="252" w:name="_Toc13574"/>
      <w:bookmarkStart w:id="253" w:name="_Toc10068"/>
      <w:bookmarkStart w:id="254" w:name="_Toc15887"/>
      <w:bookmarkStart w:id="255" w:name="_Toc181613114"/>
      <w:r>
        <w:rPr>
          <w:rFonts w:hint="eastAsia" w:ascii="黑体" w:hAnsi="黑体" w:eastAsia="黑体" w:cs="Times New Roman"/>
          <w:b/>
          <w:szCs w:val="30"/>
        </w:rPr>
        <w:t>二、气候相关战略</w:t>
      </w:r>
      <w:bookmarkEnd w:id="251"/>
      <w:bookmarkEnd w:id="252"/>
      <w:bookmarkEnd w:id="253"/>
      <w:bookmarkEnd w:id="254"/>
      <w:bookmarkEnd w:id="255"/>
    </w:p>
    <w:p w14:paraId="456FFEBD">
      <w:pPr>
        <w:widowControl/>
        <w:adjustRightInd w:val="0"/>
        <w:snapToGrid w:val="0"/>
        <w:spacing w:line="560" w:lineRule="exact"/>
        <w:ind w:firstLine="600" w:firstLineChars="200"/>
        <w:outlineLvl w:val="2"/>
        <w:rPr>
          <w:rFonts w:ascii="黑体" w:hAnsi="黑体" w:eastAsia="黑体" w:cs="黑体"/>
          <w:szCs w:val="30"/>
        </w:rPr>
      </w:pPr>
      <w:bookmarkStart w:id="256" w:name="_Toc181613115"/>
      <w:bookmarkStart w:id="257" w:name="_Toc187328691"/>
      <w:bookmarkStart w:id="258" w:name="_Toc14679"/>
      <w:bookmarkStart w:id="259" w:name="_Toc28995"/>
      <w:bookmarkStart w:id="260" w:name="_Toc2229"/>
      <w:r>
        <w:rPr>
          <w:rFonts w:hint="eastAsia" w:ascii="黑体" w:hAnsi="黑体" w:eastAsia="黑体" w:cs="黑体"/>
          <w:szCs w:val="30"/>
        </w:rPr>
        <w:t>披露要点6 气候相关重大影响</w:t>
      </w:r>
      <w:bookmarkEnd w:id="256"/>
      <w:bookmarkEnd w:id="257"/>
      <w:bookmarkEnd w:id="258"/>
      <w:bookmarkEnd w:id="259"/>
      <w:bookmarkEnd w:id="260"/>
    </w:p>
    <w:p w14:paraId="16D2765E">
      <w:pPr>
        <w:widowControl/>
        <w:adjustRightInd w:val="0"/>
        <w:snapToGrid w:val="0"/>
        <w:spacing w:line="560" w:lineRule="exact"/>
        <w:ind w:firstLine="600" w:firstLineChars="200"/>
        <w:jc w:val="left"/>
        <w:rPr>
          <w:rFonts w:ascii="仿宋_GB2312" w:hAnsi="Times New Roman" w:cs="Times New Roman"/>
          <w:szCs w:val="30"/>
        </w:rPr>
      </w:pPr>
      <w:r>
        <w:rPr>
          <w:rFonts w:hint="eastAsia" w:ascii="仿宋_GB2312" w:hAnsi="Times New Roman" w:cs="Times New Roman"/>
          <w:szCs w:val="30"/>
        </w:rPr>
        <w:t>1．定性或定量描述披露主体在气候方面对经济、环境和社会产生的重大影响。</w:t>
      </w:r>
    </w:p>
    <w:p w14:paraId="11B6A008">
      <w:pPr>
        <w:widowControl/>
        <w:adjustRightInd w:val="0"/>
        <w:snapToGrid w:val="0"/>
        <w:spacing w:line="560" w:lineRule="exact"/>
        <w:ind w:firstLine="600" w:firstLineChars="200"/>
        <w:jc w:val="left"/>
        <w:rPr>
          <w:rFonts w:ascii="仿宋_GB2312" w:hAnsi="Times New Roman" w:cs="Times New Roman"/>
          <w:szCs w:val="30"/>
        </w:rPr>
      </w:pPr>
      <w:r>
        <w:rPr>
          <w:rFonts w:hint="eastAsia" w:ascii="仿宋_GB2312" w:hAnsi="Times New Roman" w:cs="Times New Roman"/>
          <w:szCs w:val="30"/>
        </w:rPr>
        <w:t>2．描述为监测、预防、管理、控制、减缓气候相关重大影响所采取的措施和行动。</w:t>
      </w:r>
    </w:p>
    <w:p w14:paraId="0F99CB5E">
      <w:pPr>
        <w:widowControl/>
        <w:adjustRightInd w:val="0"/>
        <w:snapToGrid w:val="0"/>
        <w:spacing w:line="560" w:lineRule="exact"/>
        <w:ind w:firstLine="600" w:firstLineChars="200"/>
        <w:outlineLvl w:val="2"/>
        <w:rPr>
          <w:rFonts w:ascii="黑体" w:hAnsi="黑体" w:eastAsia="黑体" w:cs="黑体"/>
          <w:szCs w:val="30"/>
        </w:rPr>
      </w:pPr>
      <w:bookmarkStart w:id="261" w:name="_Toc181613116"/>
      <w:bookmarkStart w:id="262" w:name="_Toc15880"/>
      <w:bookmarkStart w:id="263" w:name="_Toc23104"/>
      <w:bookmarkStart w:id="264" w:name="_Toc187328692"/>
      <w:bookmarkStart w:id="265" w:name="_Toc29668"/>
      <w:r>
        <w:rPr>
          <w:rFonts w:hint="eastAsia" w:ascii="黑体" w:hAnsi="黑体" w:eastAsia="黑体" w:cs="黑体"/>
          <w:szCs w:val="30"/>
        </w:rPr>
        <w:t>披露要点7 气候相关风险和机遇</w:t>
      </w:r>
      <w:bookmarkEnd w:id="261"/>
      <w:bookmarkEnd w:id="262"/>
      <w:bookmarkEnd w:id="263"/>
      <w:bookmarkEnd w:id="264"/>
      <w:bookmarkEnd w:id="265"/>
    </w:p>
    <w:p w14:paraId="1D19F467">
      <w:pPr>
        <w:widowControl/>
        <w:adjustRightInd w:val="0"/>
        <w:snapToGrid w:val="0"/>
        <w:spacing w:line="560" w:lineRule="exact"/>
        <w:ind w:firstLine="600" w:firstLineChars="200"/>
        <w:rPr>
          <w:rFonts w:ascii="仿宋_GB2312" w:hAnsi="Times New Roman" w:cs="Times New Roman"/>
          <w:szCs w:val="30"/>
        </w:rPr>
      </w:pPr>
      <w:r>
        <w:rPr>
          <w:rFonts w:hint="eastAsia" w:ascii="仿宋_GB2312" w:hAnsi="Times New Roman" w:cs="Times New Roman"/>
          <w:szCs w:val="30"/>
        </w:rPr>
        <w:t>1．描述识别出的气候相关风险和机遇。针对识别的每项气候相关风险，可说明其属于气候相关物理风险还是转型风险。</w:t>
      </w:r>
    </w:p>
    <w:p w14:paraId="6525461C">
      <w:pPr>
        <w:widowControl/>
        <w:adjustRightInd w:val="0"/>
        <w:snapToGrid w:val="0"/>
        <w:spacing w:line="560" w:lineRule="exact"/>
        <w:ind w:firstLine="600" w:firstLineChars="200"/>
        <w:rPr>
          <w:rFonts w:ascii="仿宋_GB2312" w:hAnsi="Times New Roman" w:cs="Times New Roman"/>
          <w:szCs w:val="30"/>
        </w:rPr>
      </w:pPr>
      <w:r>
        <w:rPr>
          <w:rFonts w:hint="eastAsia" w:ascii="仿宋_GB2312" w:hAnsi="Times New Roman" w:cs="Times New Roman"/>
          <w:szCs w:val="30"/>
        </w:rPr>
        <w:t>2．针对识别的每项气候相关风险和机遇，明确其可合理预期产生重大影响的时间范围，即短期、中期还是长期。</w:t>
      </w:r>
    </w:p>
    <w:p w14:paraId="501B072C">
      <w:pPr>
        <w:widowControl/>
        <w:adjustRightInd w:val="0"/>
        <w:snapToGrid w:val="0"/>
        <w:spacing w:line="560" w:lineRule="exact"/>
        <w:ind w:firstLine="600" w:firstLineChars="200"/>
        <w:rPr>
          <w:rFonts w:ascii="仿宋_GB2312" w:hAnsi="Times New Roman" w:cs="Times New Roman"/>
          <w:szCs w:val="30"/>
        </w:rPr>
      </w:pPr>
      <w:r>
        <w:rPr>
          <w:rFonts w:hint="eastAsia" w:ascii="仿宋_GB2312" w:hAnsi="Times New Roman" w:cs="Times New Roman"/>
          <w:szCs w:val="30"/>
        </w:rPr>
        <w:t>3．解释披露主体如何定义短期、中期和长期，以及相关定义与公司的发展战略规划和资源分配计划的匹配情况（定义时间范围的具体考量详见《第一号</w:t>
      </w:r>
      <w:r>
        <w:rPr>
          <w:rFonts w:ascii="仿宋_GB2312" w:hAnsi="Times New Roman" w:cs="Times New Roman"/>
          <w:szCs w:val="30"/>
        </w:rPr>
        <w:t xml:space="preserve"> </w:t>
      </w:r>
      <w:r>
        <w:rPr>
          <w:rFonts w:hint="eastAsia" w:ascii="仿宋_GB2312" w:hAnsi="Times New Roman" w:cs="Times New Roman"/>
          <w:szCs w:val="30"/>
        </w:rPr>
        <w:t>总体要求与披露框架》指南）。</w:t>
      </w:r>
    </w:p>
    <w:p w14:paraId="429CA294">
      <w:pPr>
        <w:widowControl/>
        <w:adjustRightInd w:val="0"/>
        <w:snapToGrid w:val="0"/>
        <w:spacing w:line="560" w:lineRule="exact"/>
        <w:ind w:firstLine="600" w:firstLineChars="200"/>
        <w:outlineLvl w:val="2"/>
        <w:rPr>
          <w:rFonts w:ascii="黑体" w:hAnsi="黑体" w:eastAsia="黑体" w:cs="黑体"/>
          <w:szCs w:val="30"/>
        </w:rPr>
      </w:pPr>
      <w:bookmarkStart w:id="266" w:name="_Toc181613117"/>
      <w:bookmarkStart w:id="267" w:name="_Toc26396"/>
      <w:bookmarkStart w:id="268" w:name="_Toc31615"/>
      <w:bookmarkStart w:id="269" w:name="_Toc187328693"/>
      <w:bookmarkStart w:id="270" w:name="_Toc12380"/>
      <w:r>
        <w:rPr>
          <w:rFonts w:hint="eastAsia" w:ascii="黑体" w:hAnsi="黑体" w:eastAsia="黑体" w:cs="黑体"/>
          <w:szCs w:val="30"/>
        </w:rPr>
        <w:t>披露要点8 气候相关风险和机遇对商业模式和价值链的影响（鼓励）</w:t>
      </w:r>
      <w:bookmarkEnd w:id="266"/>
      <w:bookmarkEnd w:id="267"/>
      <w:bookmarkEnd w:id="268"/>
      <w:bookmarkEnd w:id="269"/>
      <w:bookmarkEnd w:id="270"/>
    </w:p>
    <w:p w14:paraId="35AA841C">
      <w:pPr>
        <w:widowControl/>
        <w:adjustRightInd w:val="0"/>
        <w:snapToGrid w:val="0"/>
        <w:spacing w:line="560" w:lineRule="exact"/>
        <w:ind w:firstLine="600" w:firstLineChars="200"/>
        <w:jc w:val="left"/>
        <w:rPr>
          <w:rFonts w:ascii="仿宋_GB2312" w:hAnsi="Times New Roman" w:cs="Times New Roman"/>
          <w:szCs w:val="30"/>
        </w:rPr>
      </w:pPr>
      <w:r>
        <w:rPr>
          <w:rFonts w:hint="eastAsia" w:ascii="仿宋_GB2312" w:hAnsi="Times New Roman" w:cs="Times New Roman"/>
          <w:szCs w:val="30"/>
        </w:rPr>
        <w:t>1．描述气候相关风险和机遇对商业模式、主要供应商和其他利益相关方的当期影响，并预测未来影响。</w:t>
      </w:r>
    </w:p>
    <w:p w14:paraId="31DB3A28">
      <w:pPr>
        <w:widowControl/>
        <w:adjustRightInd w:val="0"/>
        <w:snapToGrid w:val="0"/>
        <w:spacing w:line="560" w:lineRule="exact"/>
        <w:ind w:firstLine="600" w:firstLineChars="200"/>
        <w:jc w:val="left"/>
        <w:rPr>
          <w:rFonts w:ascii="仿宋_GB2312" w:hAnsi="Times New Roman" w:cs="Times New Roman"/>
          <w:szCs w:val="30"/>
        </w:rPr>
      </w:pPr>
      <w:r>
        <w:rPr>
          <w:rFonts w:hint="eastAsia" w:ascii="仿宋_GB2312" w:hAnsi="Times New Roman" w:cs="Times New Roman"/>
          <w:szCs w:val="30"/>
        </w:rPr>
        <w:t>2．描述商业模式和价值链中，气候相关风险和机遇集中的领域，如地理区域、设施、资产类型等。</w:t>
      </w:r>
    </w:p>
    <w:p w14:paraId="025E2934">
      <w:pPr>
        <w:widowControl/>
        <w:adjustRightInd w:val="0"/>
        <w:snapToGrid w:val="0"/>
        <w:spacing w:line="560" w:lineRule="exact"/>
        <w:ind w:firstLine="600" w:firstLineChars="200"/>
        <w:outlineLvl w:val="2"/>
        <w:rPr>
          <w:rFonts w:ascii="黑体" w:hAnsi="黑体" w:eastAsia="黑体" w:cs="黑体"/>
          <w:szCs w:val="30"/>
        </w:rPr>
      </w:pPr>
      <w:bookmarkStart w:id="271" w:name="_Toc20586"/>
      <w:bookmarkStart w:id="272" w:name="_Toc187328694"/>
      <w:bookmarkStart w:id="273" w:name="_Toc181613118"/>
      <w:bookmarkStart w:id="274" w:name="_Toc31811"/>
      <w:bookmarkStart w:id="275" w:name="_Toc18837"/>
      <w:r>
        <w:rPr>
          <w:rFonts w:hint="eastAsia" w:ascii="黑体" w:hAnsi="黑体" w:eastAsia="黑体" w:cs="黑体"/>
          <w:szCs w:val="30"/>
        </w:rPr>
        <w:t>披露要点9 气候相关影响、风险和机遇对公司战略和决策的影响</w:t>
      </w:r>
      <w:bookmarkEnd w:id="271"/>
      <w:bookmarkEnd w:id="272"/>
      <w:bookmarkEnd w:id="273"/>
      <w:bookmarkEnd w:id="274"/>
      <w:bookmarkEnd w:id="275"/>
    </w:p>
    <w:p w14:paraId="0C4254E8">
      <w:pPr>
        <w:widowControl/>
        <w:adjustRightInd w:val="0"/>
        <w:snapToGrid w:val="0"/>
        <w:spacing w:line="560" w:lineRule="exact"/>
        <w:ind w:firstLine="600" w:firstLineChars="200"/>
        <w:rPr>
          <w:rFonts w:ascii="仿宋_GB2312" w:hAnsi="Times New Roman" w:cs="Times New Roman"/>
          <w:szCs w:val="30"/>
        </w:rPr>
      </w:pPr>
      <w:r>
        <w:rPr>
          <w:rFonts w:hint="eastAsia" w:ascii="仿宋_GB2312" w:hAnsi="Times New Roman" w:cs="Times New Roman"/>
          <w:szCs w:val="30"/>
        </w:rPr>
        <w:t>1．描述为应对气候相关影响、风险和机遇，在战略制定和重大决策过程中所采用的方法，如战略决策机制、管理办法等。</w:t>
      </w:r>
    </w:p>
    <w:p w14:paraId="35F219BB">
      <w:pPr>
        <w:widowControl/>
        <w:adjustRightInd w:val="0"/>
        <w:snapToGrid w:val="0"/>
        <w:spacing w:line="560" w:lineRule="exact"/>
        <w:ind w:firstLine="600" w:firstLineChars="200"/>
        <w:rPr>
          <w:rFonts w:ascii="仿宋_GB2312" w:hAnsi="Times New Roman" w:cs="Times New Roman"/>
          <w:szCs w:val="30"/>
        </w:rPr>
      </w:pPr>
      <w:r>
        <w:rPr>
          <w:rFonts w:hint="eastAsia" w:ascii="仿宋_GB2312" w:hAnsi="Times New Roman" w:cs="Times New Roman"/>
          <w:szCs w:val="30"/>
        </w:rPr>
        <w:t>2．描述为实现相关战略目标而制定的计划以及衡量计划进展的定性、定量信息（详细可参考《第一号</w:t>
      </w:r>
      <w:r>
        <w:rPr>
          <w:rFonts w:ascii="仿宋_GB2312" w:hAnsi="Times New Roman" w:cs="Times New Roman"/>
          <w:szCs w:val="30"/>
        </w:rPr>
        <w:t xml:space="preserve"> </w:t>
      </w:r>
      <w:r>
        <w:rPr>
          <w:rFonts w:hint="eastAsia" w:ascii="仿宋_GB2312" w:hAnsi="Times New Roman" w:cs="Times New Roman"/>
          <w:szCs w:val="30"/>
        </w:rPr>
        <w:t>总体要求与披露框架》指南中“设定和管理目标”相关内容，可与“气候相关转型计划”合并披露）。</w:t>
      </w:r>
    </w:p>
    <w:p w14:paraId="0DCDCB30">
      <w:pPr>
        <w:widowControl/>
        <w:adjustRightInd w:val="0"/>
        <w:snapToGrid w:val="0"/>
        <w:spacing w:line="560" w:lineRule="exact"/>
        <w:ind w:firstLine="600" w:firstLineChars="200"/>
        <w:outlineLvl w:val="2"/>
        <w:rPr>
          <w:rFonts w:ascii="黑体" w:hAnsi="黑体" w:eastAsia="黑体" w:cs="黑体"/>
          <w:szCs w:val="30"/>
        </w:rPr>
      </w:pPr>
      <w:bookmarkStart w:id="276" w:name="_Toc20623"/>
      <w:bookmarkStart w:id="277" w:name="_Toc27021"/>
      <w:bookmarkStart w:id="278" w:name="_Toc26573"/>
      <w:bookmarkStart w:id="279" w:name="_Toc181613119"/>
      <w:bookmarkStart w:id="280" w:name="_Toc187328695"/>
      <w:r>
        <w:rPr>
          <w:rFonts w:hint="eastAsia" w:ascii="黑体" w:hAnsi="黑体" w:eastAsia="黑体" w:cs="黑体"/>
          <w:szCs w:val="30"/>
        </w:rPr>
        <w:t>披露要点10 气候相关转型计划</w:t>
      </w:r>
      <w:bookmarkEnd w:id="276"/>
      <w:bookmarkEnd w:id="277"/>
      <w:bookmarkEnd w:id="278"/>
      <w:bookmarkEnd w:id="279"/>
      <w:bookmarkEnd w:id="280"/>
    </w:p>
    <w:p w14:paraId="66404AA3">
      <w:pPr>
        <w:widowControl/>
        <w:adjustRightInd w:val="0"/>
        <w:snapToGrid w:val="0"/>
        <w:spacing w:line="560" w:lineRule="exact"/>
        <w:ind w:firstLine="600" w:firstLineChars="200"/>
        <w:rPr>
          <w:rFonts w:ascii="仿宋_GB2312" w:hAnsi="Times New Roman" w:cs="Times New Roman"/>
          <w:szCs w:val="30"/>
        </w:rPr>
      </w:pPr>
      <w:r>
        <w:rPr>
          <w:rFonts w:hint="eastAsia" w:ascii="仿宋_GB2312" w:hAnsi="Times New Roman" w:cs="Times New Roman"/>
          <w:szCs w:val="30"/>
        </w:rPr>
        <w:t>1．描述为应对气候相关风险和机遇所制定的转型计划，及制定该计划所依赖的基本假设。</w:t>
      </w:r>
    </w:p>
    <w:p w14:paraId="2B33EAEE">
      <w:pPr>
        <w:widowControl/>
        <w:adjustRightInd w:val="0"/>
        <w:snapToGrid w:val="0"/>
        <w:spacing w:line="560" w:lineRule="exact"/>
        <w:ind w:firstLine="600" w:firstLineChars="200"/>
        <w:rPr>
          <w:rFonts w:ascii="仿宋_GB2312" w:hAnsi="Times New Roman" w:cs="Times New Roman"/>
          <w:szCs w:val="30"/>
        </w:rPr>
      </w:pPr>
      <w:r>
        <w:rPr>
          <w:rFonts w:hint="eastAsia" w:ascii="仿宋_GB2312" w:hAnsi="Times New Roman" w:cs="Times New Roman"/>
          <w:szCs w:val="30"/>
        </w:rPr>
        <w:t>2. 描述为应对气候相关风险和机遇而对当前和未来战略、商业模式和资源分配进行调整的情况。例如，管理或者停止碳、能源或水密集型业务的计划；因需求或者供应链变化导致的资源配置；通过资本支出或者额外研发支出进行业务发展产生的资源配置；以及收购或者剥离等。</w:t>
      </w:r>
    </w:p>
    <w:p w14:paraId="688BBD62">
      <w:pPr>
        <w:widowControl/>
        <w:adjustRightInd w:val="0"/>
        <w:snapToGrid w:val="0"/>
        <w:spacing w:line="560" w:lineRule="exact"/>
        <w:ind w:firstLine="600" w:firstLineChars="200"/>
        <w:rPr>
          <w:rFonts w:ascii="仿宋_GB2312" w:hAnsi="Times New Roman" w:cs="Times New Roman"/>
          <w:szCs w:val="30"/>
        </w:rPr>
      </w:pPr>
      <w:r>
        <w:rPr>
          <w:rFonts w:hint="eastAsia" w:ascii="仿宋_GB2312" w:hAnsi="Times New Roman" w:cs="Times New Roman"/>
          <w:szCs w:val="30"/>
        </w:rPr>
        <w:t>3. 描述公司已经或者计划为直接或间接应对气候相关风险和机遇所采取的措施。例如，直接措施包括改进生产工艺或设备、更新设备、搬迁设施、改变产品规格等；间接措施包括通过与客户和供应链合作等。</w:t>
      </w:r>
    </w:p>
    <w:p w14:paraId="709E5503">
      <w:pPr>
        <w:widowControl/>
        <w:adjustRightInd w:val="0"/>
        <w:snapToGrid w:val="0"/>
        <w:spacing w:line="560" w:lineRule="exact"/>
        <w:ind w:firstLine="600" w:firstLineChars="200"/>
        <w:rPr>
          <w:rFonts w:ascii="仿宋_GB2312" w:hAnsi="Times New Roman" w:cs="Times New Roman"/>
          <w:szCs w:val="30"/>
        </w:rPr>
      </w:pPr>
      <w:r>
        <w:rPr>
          <w:rFonts w:hint="eastAsia" w:ascii="仿宋_GB2312" w:hAnsi="Times New Roman" w:cs="Times New Roman"/>
          <w:szCs w:val="30"/>
        </w:rPr>
        <w:t>4. 公司实施转型计划的进展情况。</w:t>
      </w:r>
    </w:p>
    <w:p w14:paraId="65604837">
      <w:pPr>
        <w:widowControl/>
        <w:adjustRightInd w:val="0"/>
        <w:snapToGrid w:val="0"/>
        <w:spacing w:line="560" w:lineRule="exact"/>
        <w:ind w:firstLine="600" w:firstLineChars="200"/>
        <w:outlineLvl w:val="2"/>
        <w:rPr>
          <w:rFonts w:ascii="黑体" w:hAnsi="黑体" w:eastAsia="黑体" w:cs="黑体"/>
          <w:szCs w:val="30"/>
        </w:rPr>
      </w:pPr>
      <w:bookmarkStart w:id="281" w:name="_Toc181613120"/>
      <w:bookmarkStart w:id="282" w:name="_Toc15267"/>
      <w:bookmarkStart w:id="283" w:name="_Toc18467"/>
      <w:bookmarkStart w:id="284" w:name="_Toc25838"/>
      <w:bookmarkStart w:id="285" w:name="_Toc187328696"/>
      <w:r>
        <w:rPr>
          <w:rFonts w:hint="eastAsia" w:ascii="黑体" w:hAnsi="黑体" w:eastAsia="黑体" w:cs="黑体"/>
          <w:szCs w:val="30"/>
        </w:rPr>
        <w:t>披露要点11 当期气候相关财务影响</w:t>
      </w:r>
      <w:bookmarkEnd w:id="281"/>
      <w:bookmarkEnd w:id="282"/>
      <w:bookmarkEnd w:id="283"/>
      <w:bookmarkEnd w:id="284"/>
      <w:bookmarkEnd w:id="285"/>
    </w:p>
    <w:p w14:paraId="3517386E">
      <w:pPr>
        <w:widowControl/>
        <w:adjustRightInd w:val="0"/>
        <w:snapToGrid w:val="0"/>
        <w:spacing w:line="560" w:lineRule="exact"/>
        <w:ind w:firstLine="600" w:firstLineChars="200"/>
        <w:rPr>
          <w:rFonts w:ascii="仿宋_GB2312" w:hAnsi="Times New Roman" w:cs="Times New Roman"/>
          <w:szCs w:val="30"/>
        </w:rPr>
      </w:pPr>
      <w:r>
        <w:rPr>
          <w:rFonts w:hint="eastAsia" w:ascii="仿宋_GB2312" w:hAnsi="Times New Roman" w:cs="Times New Roman"/>
          <w:szCs w:val="30"/>
        </w:rPr>
        <w:t>1．定性或定量分析气候相关风险和机遇对披露主体报告期间的财务状况、经营成果和现金流的影响（详细可参考《第一号</w:t>
      </w:r>
      <w:r>
        <w:rPr>
          <w:rFonts w:ascii="仿宋_GB2312" w:hAnsi="Times New Roman" w:cs="Times New Roman"/>
          <w:szCs w:val="30"/>
        </w:rPr>
        <w:t xml:space="preserve"> </w:t>
      </w:r>
      <w:r>
        <w:rPr>
          <w:rFonts w:hint="eastAsia" w:ascii="仿宋_GB2312" w:hAnsi="Times New Roman" w:cs="Times New Roman"/>
          <w:szCs w:val="30"/>
        </w:rPr>
        <w:t>总体要求与披露框架》指南中相关内容）。定量描述应当结合实际情况披露具体数值或者合理的区间范围。</w:t>
      </w:r>
    </w:p>
    <w:p w14:paraId="444BC29B">
      <w:pPr>
        <w:widowControl/>
        <w:adjustRightInd w:val="0"/>
        <w:snapToGrid w:val="0"/>
        <w:spacing w:line="560" w:lineRule="exact"/>
        <w:ind w:firstLine="600" w:firstLineChars="200"/>
        <w:rPr>
          <w:rFonts w:ascii="仿宋_GB2312" w:hAnsi="Times New Roman" w:cs="Times New Roman"/>
          <w:szCs w:val="30"/>
        </w:rPr>
      </w:pPr>
      <w:r>
        <w:rPr>
          <w:rFonts w:hint="eastAsia" w:ascii="仿宋_GB2312" w:hAnsi="Times New Roman" w:cs="Times New Roman"/>
          <w:szCs w:val="30"/>
        </w:rPr>
        <w:t>2. 相关风险和机遇是否会对公司下一年度财务状况、经营成果、现金流产生重大影响。</w:t>
      </w:r>
    </w:p>
    <w:p w14:paraId="7437B352">
      <w:pPr>
        <w:widowControl/>
        <w:adjustRightInd w:val="0"/>
        <w:snapToGrid w:val="0"/>
        <w:spacing w:line="560" w:lineRule="exact"/>
        <w:ind w:firstLine="600" w:firstLineChars="200"/>
        <w:rPr>
          <w:rFonts w:ascii="仿宋_GB2312" w:hAnsi="Times New Roman" w:cs="Times New Roman"/>
          <w:szCs w:val="30"/>
        </w:rPr>
      </w:pPr>
      <w:r>
        <w:rPr>
          <w:rFonts w:hint="eastAsia" w:ascii="仿宋_GB2312" w:hAnsi="Times New Roman" w:cs="Times New Roman"/>
          <w:szCs w:val="30"/>
        </w:rPr>
        <w:t>3．若披露主体确不具备披露财务影响定量信息的能力、相关财务影响无法单独识别，或者因计量的不确定性过大导致该定量信息不具备使用价值的，披露主体应当披露相关财务影响的定性信息，解释未采用定量披露信息的原因，并在合理范围内提供有助于投资者了解相关影响的信息和说明，以及实现定量披露的工作计划、进度和时间表。</w:t>
      </w:r>
    </w:p>
    <w:p w14:paraId="6397EE16">
      <w:pPr>
        <w:widowControl/>
        <w:adjustRightInd w:val="0"/>
        <w:snapToGrid w:val="0"/>
        <w:spacing w:line="560" w:lineRule="exact"/>
        <w:ind w:firstLine="600" w:firstLineChars="200"/>
        <w:outlineLvl w:val="2"/>
        <w:rPr>
          <w:rFonts w:ascii="黑体" w:hAnsi="黑体" w:eastAsia="黑体" w:cs="黑体"/>
          <w:szCs w:val="30"/>
        </w:rPr>
      </w:pPr>
      <w:bookmarkStart w:id="286" w:name="_Toc11300"/>
      <w:bookmarkStart w:id="287" w:name="_Toc23379"/>
      <w:bookmarkStart w:id="288" w:name="_Toc181613121"/>
      <w:bookmarkStart w:id="289" w:name="_Toc4274"/>
      <w:bookmarkStart w:id="290" w:name="_Toc187328697"/>
      <w:r>
        <w:rPr>
          <w:rFonts w:hint="eastAsia" w:ascii="黑体" w:hAnsi="黑体" w:eastAsia="黑体" w:cs="黑体"/>
          <w:szCs w:val="30"/>
        </w:rPr>
        <w:t>披露要点12 预期气候相关财务影响（鼓励）</w:t>
      </w:r>
      <w:bookmarkEnd w:id="286"/>
      <w:bookmarkEnd w:id="287"/>
      <w:bookmarkEnd w:id="288"/>
      <w:bookmarkEnd w:id="289"/>
      <w:bookmarkEnd w:id="290"/>
    </w:p>
    <w:p w14:paraId="7558B71C">
      <w:pPr>
        <w:widowControl/>
        <w:adjustRightInd w:val="0"/>
        <w:snapToGrid w:val="0"/>
        <w:spacing w:line="560" w:lineRule="exact"/>
        <w:ind w:firstLine="600" w:firstLineChars="200"/>
        <w:rPr>
          <w:rFonts w:ascii="仿宋_GB2312" w:hAnsi="Times New Roman" w:cs="Times New Roman"/>
          <w:szCs w:val="30"/>
        </w:rPr>
      </w:pPr>
      <w:r>
        <w:rPr>
          <w:rFonts w:hint="eastAsia" w:ascii="仿宋_GB2312" w:hAnsi="Times New Roman" w:cs="Times New Roman"/>
          <w:szCs w:val="30"/>
        </w:rPr>
        <w:t>1．气候相关风险和机遇对公司财务状况、经营成果、现金流在短期、中期和长期内的影响（详细可参考《第一号</w:t>
      </w:r>
      <w:r>
        <w:rPr>
          <w:rFonts w:ascii="仿宋_GB2312" w:hAnsi="Times New Roman" w:cs="Times New Roman"/>
          <w:szCs w:val="30"/>
        </w:rPr>
        <w:t xml:space="preserve"> </w:t>
      </w:r>
      <w:r>
        <w:rPr>
          <w:rFonts w:hint="eastAsia" w:ascii="仿宋_GB2312" w:hAnsi="Times New Roman" w:cs="Times New Roman"/>
          <w:szCs w:val="30"/>
        </w:rPr>
        <w:t>总体要求与披露框架》指南中相关内容）。</w:t>
      </w:r>
    </w:p>
    <w:p w14:paraId="2261E8A4">
      <w:pPr>
        <w:widowControl/>
        <w:adjustRightInd w:val="0"/>
        <w:snapToGrid w:val="0"/>
        <w:spacing w:line="560" w:lineRule="exact"/>
        <w:ind w:firstLine="600" w:firstLineChars="200"/>
        <w:rPr>
          <w:rFonts w:ascii="仿宋_GB2312" w:hAnsi="Times New Roman" w:cs="Times New Roman"/>
          <w:szCs w:val="30"/>
        </w:rPr>
      </w:pPr>
      <w:r>
        <w:rPr>
          <w:rFonts w:hint="eastAsia" w:ascii="仿宋_GB2312" w:hAnsi="Times New Roman" w:cs="Times New Roman"/>
          <w:szCs w:val="30"/>
        </w:rPr>
        <w:t>2. 结合披露主体开展与气候相关的投资、资产处置、融资计划等规划，描述财务状况在短期、中期和长期内的变化趋势。</w:t>
      </w:r>
    </w:p>
    <w:p w14:paraId="6FC8143A">
      <w:pPr>
        <w:widowControl/>
        <w:adjustRightInd w:val="0"/>
        <w:snapToGrid w:val="0"/>
        <w:spacing w:line="560" w:lineRule="exact"/>
        <w:ind w:firstLine="600" w:firstLineChars="200"/>
        <w:rPr>
          <w:rFonts w:ascii="仿宋_GB2312" w:hAnsi="Times New Roman" w:cs="Times New Roman"/>
          <w:szCs w:val="30"/>
        </w:rPr>
      </w:pPr>
      <w:r>
        <w:rPr>
          <w:rFonts w:hint="eastAsia" w:ascii="仿宋_GB2312" w:hAnsi="Times New Roman" w:cs="Times New Roman"/>
          <w:szCs w:val="30"/>
        </w:rPr>
        <w:t>3．结合披露主体管理气候相关风险和机遇的战略，描述经营成果和现金流在短期、中期和长期内的变化趋势。</w:t>
      </w:r>
    </w:p>
    <w:p w14:paraId="0B7C7601">
      <w:pPr>
        <w:widowControl/>
        <w:adjustRightInd w:val="0"/>
        <w:snapToGrid w:val="0"/>
        <w:spacing w:line="560" w:lineRule="exact"/>
        <w:ind w:firstLine="600" w:firstLineChars="200"/>
        <w:rPr>
          <w:rFonts w:ascii="仿宋_GB2312" w:hAnsi="Times New Roman" w:cs="Times New Roman"/>
          <w:szCs w:val="30"/>
        </w:rPr>
      </w:pPr>
      <w:r>
        <w:rPr>
          <w:rFonts w:hint="eastAsia" w:ascii="仿宋_GB2312" w:hAnsi="Times New Roman" w:cs="Times New Roman"/>
          <w:szCs w:val="30"/>
        </w:rPr>
        <w:t>4．若披露主体确不具备披露财务影响定量信息的能力、相关财务影响无法单独识别，或者因计量的不确定性过大导致该定量信息不具备使用价值的，披露主体应当披露相关财务影响的定性信息，解释未采用定量披露信息的原因，并在合理范围内提供有助于投资者了解相关影响的信息和说明，以及实现定量披露的工作计划、进度和时间表。</w:t>
      </w:r>
    </w:p>
    <w:p w14:paraId="75503971">
      <w:pPr>
        <w:widowControl/>
        <w:adjustRightInd w:val="0"/>
        <w:snapToGrid w:val="0"/>
        <w:spacing w:line="560" w:lineRule="exact"/>
        <w:ind w:firstLine="600" w:firstLineChars="200"/>
        <w:outlineLvl w:val="2"/>
        <w:rPr>
          <w:rFonts w:ascii="黑体" w:hAnsi="黑体" w:eastAsia="黑体" w:cs="黑体"/>
          <w:szCs w:val="30"/>
        </w:rPr>
      </w:pPr>
      <w:bookmarkStart w:id="291" w:name="_Toc16739"/>
      <w:bookmarkStart w:id="292" w:name="_Toc181613122"/>
      <w:bookmarkStart w:id="293" w:name="_Toc5550"/>
      <w:bookmarkStart w:id="294" w:name="_Toc9215"/>
      <w:bookmarkStart w:id="295" w:name="_Toc187328698"/>
      <w:r>
        <w:rPr>
          <w:rFonts w:hint="eastAsia" w:ascii="黑体" w:hAnsi="黑体" w:eastAsia="黑体" w:cs="黑体"/>
          <w:szCs w:val="30"/>
        </w:rPr>
        <w:t>披露要点13 气候适应性</w:t>
      </w:r>
      <w:bookmarkEnd w:id="291"/>
      <w:bookmarkEnd w:id="292"/>
      <w:bookmarkEnd w:id="293"/>
      <w:bookmarkEnd w:id="294"/>
      <w:r>
        <w:rPr>
          <w:rFonts w:hint="eastAsia" w:ascii="黑体" w:hAnsi="黑体" w:eastAsia="黑体" w:cs="黑体"/>
          <w:szCs w:val="30"/>
        </w:rPr>
        <w:t>评估</w:t>
      </w:r>
      <w:bookmarkEnd w:id="295"/>
    </w:p>
    <w:p w14:paraId="39CD9612">
      <w:pPr>
        <w:widowControl/>
        <w:adjustRightInd w:val="0"/>
        <w:snapToGrid w:val="0"/>
        <w:spacing w:line="560" w:lineRule="exact"/>
        <w:ind w:firstLine="600" w:firstLineChars="200"/>
        <w:rPr>
          <w:rFonts w:ascii="仿宋_GB2312" w:hAnsi="Times New Roman" w:cs="Times New Roman"/>
          <w:szCs w:val="30"/>
        </w:rPr>
      </w:pPr>
      <w:r>
        <w:rPr>
          <w:rFonts w:hint="eastAsia" w:ascii="仿宋_GB2312" w:hAnsi="Times New Roman" w:cs="Times New Roman"/>
          <w:szCs w:val="30"/>
        </w:rPr>
        <w:t>1．描述披露主体评估的气候变化对其战略和业务模式的影响，以及应对相关影响的方法。</w:t>
      </w:r>
    </w:p>
    <w:p w14:paraId="3F3409DA">
      <w:pPr>
        <w:widowControl/>
        <w:adjustRightInd w:val="0"/>
        <w:snapToGrid w:val="0"/>
        <w:spacing w:line="560" w:lineRule="exact"/>
        <w:ind w:firstLine="600" w:firstLineChars="200"/>
        <w:rPr>
          <w:rFonts w:ascii="仿宋_GB2312" w:hAnsi="Times New Roman" w:cs="Times New Roman"/>
          <w:szCs w:val="30"/>
        </w:rPr>
      </w:pPr>
      <w:r>
        <w:rPr>
          <w:rFonts w:hint="eastAsia" w:ascii="仿宋_GB2312" w:hAnsi="Times New Roman" w:cs="Times New Roman"/>
          <w:szCs w:val="30"/>
        </w:rPr>
        <w:t>2．描述在评估气候适应性时考虑的重大不确定性因素，如极端天气事件发生概率、强度、政策趋势等。</w:t>
      </w:r>
    </w:p>
    <w:p w14:paraId="5B211777">
      <w:pPr>
        <w:widowControl/>
        <w:adjustRightInd w:val="0"/>
        <w:snapToGrid w:val="0"/>
        <w:spacing w:line="560" w:lineRule="exact"/>
        <w:ind w:firstLine="600" w:firstLineChars="200"/>
        <w:rPr>
          <w:rFonts w:ascii="仿宋_GB2312" w:hAnsi="Times New Roman" w:cs="Times New Roman"/>
          <w:szCs w:val="30"/>
        </w:rPr>
      </w:pPr>
      <w:r>
        <w:rPr>
          <w:rFonts w:hint="eastAsia" w:ascii="仿宋_GB2312" w:hAnsi="Times New Roman" w:cs="Times New Roman"/>
          <w:szCs w:val="30"/>
        </w:rPr>
        <w:t>3．描述在短期、中期和长期内为适应气候变化调整其战略和商业模式的能力。例如，披露主体现有财务资源在应对气候相关风险和把握气候相关机遇时的可获得性、灵活性；披露主体重新配置、重新利用、升级或停用现有资产的能力；披露主体当前和计划在气候相关缓解、适应措施和气候适应性机遇方面投资的影响。</w:t>
      </w:r>
    </w:p>
    <w:p w14:paraId="2DCCE4F5">
      <w:pPr>
        <w:widowControl/>
        <w:adjustRightInd w:val="0"/>
        <w:snapToGrid w:val="0"/>
        <w:spacing w:line="560" w:lineRule="exact"/>
        <w:ind w:firstLine="600" w:firstLineChars="200"/>
        <w:rPr>
          <w:rFonts w:ascii="仿宋_GB2312" w:hAnsi="Times New Roman" w:cs="Times New Roman"/>
          <w:szCs w:val="30"/>
        </w:rPr>
      </w:pPr>
      <w:r>
        <w:rPr>
          <w:rFonts w:hint="eastAsia" w:ascii="仿宋_GB2312" w:hAnsi="Times New Roman" w:cs="Times New Roman"/>
          <w:szCs w:val="30"/>
        </w:rPr>
        <w:t>4．鼓励采用情景分析进行气候适应性评估，并披露情景分析使用的输入值信息与关键假设、分析过程等。例如，输入值信息可包括用于分析的气候相关情景及其来源、情景是否与气候相关转型风险或物理风险相关、分析中使用的时间范围以及业务范围等；关键假设可包括披露主体所在国家或地区的气候相关政策、宏观经济形势、国家或者区域层面的因素（例如，当地天气模式、人口统计数据、土地使用及基础设施情况和自然资源等）、能源使用和组合以及技术发展等。</w:t>
      </w:r>
    </w:p>
    <w:p w14:paraId="11A7A269">
      <w:pPr>
        <w:widowControl/>
        <w:adjustRightInd w:val="0"/>
        <w:snapToGrid w:val="0"/>
        <w:spacing w:line="560" w:lineRule="exact"/>
        <w:ind w:firstLine="602" w:firstLineChars="200"/>
        <w:outlineLvl w:val="1"/>
        <w:rPr>
          <w:rFonts w:ascii="Times New Roman" w:hAnsi="Times New Roman" w:eastAsia="黑体" w:cs="Times New Roman"/>
          <w:b/>
          <w:szCs w:val="30"/>
        </w:rPr>
      </w:pPr>
      <w:bookmarkStart w:id="296" w:name="_Toc181613123"/>
      <w:bookmarkStart w:id="297" w:name="_Toc5469"/>
      <w:bookmarkStart w:id="298" w:name="_Toc187328699"/>
      <w:bookmarkStart w:id="299" w:name="_Toc9678"/>
      <w:bookmarkStart w:id="300" w:name="_Toc3312"/>
      <w:r>
        <w:rPr>
          <w:rFonts w:hint="eastAsia" w:ascii="Times New Roman" w:hAnsi="Times New Roman" w:eastAsia="黑体" w:cs="Times New Roman"/>
          <w:b/>
          <w:szCs w:val="30"/>
        </w:rPr>
        <w:t>三、气候相关影响、风险及机遇管理</w:t>
      </w:r>
      <w:bookmarkEnd w:id="296"/>
      <w:bookmarkEnd w:id="297"/>
      <w:bookmarkEnd w:id="298"/>
      <w:bookmarkEnd w:id="299"/>
      <w:bookmarkEnd w:id="300"/>
    </w:p>
    <w:p w14:paraId="772C73A1">
      <w:pPr>
        <w:widowControl/>
        <w:adjustRightInd w:val="0"/>
        <w:snapToGrid w:val="0"/>
        <w:spacing w:line="560" w:lineRule="exact"/>
        <w:ind w:firstLine="600" w:firstLineChars="200"/>
        <w:outlineLvl w:val="2"/>
        <w:rPr>
          <w:rFonts w:ascii="黑体" w:hAnsi="黑体" w:eastAsia="黑体" w:cs="黑体"/>
          <w:szCs w:val="30"/>
        </w:rPr>
      </w:pPr>
      <w:bookmarkStart w:id="301" w:name="_Toc25757"/>
      <w:bookmarkStart w:id="302" w:name="_Toc181613124"/>
      <w:bookmarkStart w:id="303" w:name="_Toc187328700"/>
      <w:bookmarkStart w:id="304" w:name="_Toc22372"/>
      <w:bookmarkStart w:id="305" w:name="_Toc9991"/>
      <w:r>
        <w:rPr>
          <w:rFonts w:hint="eastAsia" w:ascii="黑体" w:hAnsi="黑体" w:eastAsia="黑体" w:cs="黑体"/>
          <w:szCs w:val="30"/>
        </w:rPr>
        <w:t>披露要点14 气候相关影响、风险及机遇管理的流程</w:t>
      </w:r>
      <w:bookmarkEnd w:id="301"/>
      <w:bookmarkEnd w:id="302"/>
      <w:bookmarkEnd w:id="303"/>
      <w:bookmarkEnd w:id="304"/>
      <w:bookmarkEnd w:id="305"/>
    </w:p>
    <w:p w14:paraId="51AC1494">
      <w:pPr>
        <w:widowControl/>
        <w:adjustRightInd w:val="0"/>
        <w:snapToGrid w:val="0"/>
        <w:spacing w:line="560" w:lineRule="exact"/>
        <w:ind w:firstLine="600" w:firstLineChars="200"/>
        <w:rPr>
          <w:rFonts w:ascii="仿宋_GB2312" w:hAnsi="Times New Roman" w:cs="Times New Roman"/>
          <w:szCs w:val="30"/>
        </w:rPr>
      </w:pPr>
      <w:r>
        <w:rPr>
          <w:rFonts w:hint="eastAsia" w:ascii="仿宋_GB2312" w:hAnsi="Times New Roman" w:cs="Times New Roman"/>
          <w:szCs w:val="30"/>
        </w:rPr>
        <w:t>1．描述评估气候相关影响、风险和机遇的方法。</w:t>
      </w:r>
    </w:p>
    <w:p w14:paraId="3A5AEBAE">
      <w:pPr>
        <w:widowControl/>
        <w:adjustRightInd w:val="0"/>
        <w:snapToGrid w:val="0"/>
        <w:spacing w:line="560" w:lineRule="exact"/>
        <w:ind w:firstLine="600" w:firstLineChars="200"/>
        <w:rPr>
          <w:rFonts w:ascii="仿宋_GB2312" w:hAnsi="Times New Roman" w:cs="Times New Roman"/>
          <w:szCs w:val="30"/>
        </w:rPr>
      </w:pPr>
      <w:r>
        <w:rPr>
          <w:rFonts w:hint="eastAsia" w:ascii="仿宋_GB2312" w:hAnsi="Times New Roman" w:cs="Times New Roman"/>
          <w:szCs w:val="30"/>
        </w:rPr>
        <w:t>2． 描述如何评估气候相关影响、风险和机遇发生的可能性、大小和影响的途径。例如，披露主体是否考虑定性因素、定量阈值或者其他标准。</w:t>
      </w:r>
    </w:p>
    <w:p w14:paraId="7896E050">
      <w:pPr>
        <w:widowControl/>
        <w:adjustRightInd w:val="0"/>
        <w:snapToGrid w:val="0"/>
        <w:spacing w:line="560" w:lineRule="exact"/>
        <w:ind w:firstLine="600" w:firstLineChars="200"/>
        <w:rPr>
          <w:rFonts w:ascii="仿宋_GB2312" w:hAnsi="Times New Roman" w:cs="Times New Roman"/>
          <w:szCs w:val="30"/>
        </w:rPr>
      </w:pPr>
      <w:r>
        <w:rPr>
          <w:rFonts w:hint="eastAsia" w:ascii="仿宋_GB2312" w:hAnsi="Times New Roman" w:cs="Times New Roman"/>
          <w:szCs w:val="30"/>
        </w:rPr>
        <w:t>3．描述是否以及如何考虑气候相关风险相较于其他类型风险的优先级。</w:t>
      </w:r>
    </w:p>
    <w:p w14:paraId="08CCDEA4">
      <w:pPr>
        <w:widowControl/>
        <w:adjustRightInd w:val="0"/>
        <w:snapToGrid w:val="0"/>
        <w:spacing w:line="560" w:lineRule="exact"/>
        <w:ind w:firstLine="600" w:firstLineChars="200"/>
        <w:rPr>
          <w:rFonts w:ascii="仿宋_GB2312" w:hAnsi="Times New Roman" w:cs="Times New Roman"/>
          <w:szCs w:val="30"/>
        </w:rPr>
      </w:pPr>
      <w:r>
        <w:rPr>
          <w:rFonts w:hint="eastAsia" w:ascii="仿宋_GB2312" w:hAnsi="Times New Roman" w:cs="Times New Roman"/>
          <w:szCs w:val="30"/>
        </w:rPr>
        <w:t>4．描述如何监测气候相关影响、风险和机遇的情况，如管理机制、具体流程等。</w:t>
      </w:r>
    </w:p>
    <w:p w14:paraId="77AE1E46">
      <w:pPr>
        <w:widowControl/>
        <w:adjustRightInd w:val="0"/>
        <w:snapToGrid w:val="0"/>
        <w:spacing w:line="560" w:lineRule="exact"/>
        <w:ind w:firstLine="600" w:firstLineChars="200"/>
        <w:rPr>
          <w:rFonts w:ascii="仿宋_GB2312" w:hAnsi="Times New Roman" w:cs="Times New Roman"/>
          <w:szCs w:val="30"/>
        </w:rPr>
      </w:pPr>
      <w:r>
        <w:rPr>
          <w:rFonts w:hint="eastAsia" w:ascii="仿宋_GB2312" w:hAnsi="Times New Roman" w:cs="Times New Roman"/>
          <w:szCs w:val="30"/>
        </w:rPr>
        <w:t>5．描述气候相关影响、风险和机遇管理流程融入公司内部管理流程（如整体风险管理流程）的情况，若发生调整，则披露管理流程调整的情况。</w:t>
      </w:r>
    </w:p>
    <w:p w14:paraId="2DBEA669">
      <w:pPr>
        <w:widowControl/>
        <w:adjustRightInd w:val="0"/>
        <w:snapToGrid w:val="0"/>
        <w:spacing w:line="560" w:lineRule="exact"/>
        <w:ind w:firstLine="602" w:firstLineChars="200"/>
        <w:outlineLvl w:val="1"/>
        <w:rPr>
          <w:rFonts w:ascii="Times New Roman" w:hAnsi="Times New Roman" w:eastAsia="黑体" w:cs="Times New Roman"/>
          <w:b/>
          <w:szCs w:val="30"/>
        </w:rPr>
      </w:pPr>
      <w:bookmarkStart w:id="306" w:name="_Toc181613125"/>
      <w:bookmarkStart w:id="307" w:name="_Toc256"/>
      <w:bookmarkStart w:id="308" w:name="_Toc23049"/>
      <w:bookmarkStart w:id="309" w:name="_Toc187328701"/>
      <w:bookmarkStart w:id="310" w:name="_Toc18205"/>
      <w:r>
        <w:rPr>
          <w:rFonts w:hint="eastAsia" w:ascii="Times New Roman" w:hAnsi="Times New Roman" w:eastAsia="黑体" w:cs="Times New Roman"/>
          <w:b/>
          <w:szCs w:val="30"/>
        </w:rPr>
        <w:t>四、气候相关指标与目标</w:t>
      </w:r>
      <w:bookmarkEnd w:id="306"/>
      <w:bookmarkEnd w:id="307"/>
      <w:bookmarkEnd w:id="308"/>
      <w:bookmarkEnd w:id="309"/>
      <w:bookmarkEnd w:id="310"/>
    </w:p>
    <w:p w14:paraId="60A7D343">
      <w:pPr>
        <w:widowControl/>
        <w:adjustRightInd w:val="0"/>
        <w:snapToGrid w:val="0"/>
        <w:spacing w:line="560" w:lineRule="exact"/>
        <w:ind w:firstLine="600" w:firstLineChars="200"/>
        <w:outlineLvl w:val="2"/>
        <w:rPr>
          <w:rFonts w:ascii="黑体" w:hAnsi="黑体" w:eastAsia="黑体" w:cs="黑体"/>
          <w:szCs w:val="30"/>
        </w:rPr>
      </w:pPr>
      <w:bookmarkStart w:id="311" w:name="_Toc187328702"/>
      <w:bookmarkStart w:id="312" w:name="_Toc181613126"/>
      <w:bookmarkStart w:id="313" w:name="_Toc16923"/>
      <w:bookmarkStart w:id="314" w:name="_Toc11766"/>
      <w:bookmarkStart w:id="315" w:name="_Toc17116"/>
      <w:r>
        <w:rPr>
          <w:rFonts w:hint="eastAsia" w:ascii="黑体" w:hAnsi="黑体" w:eastAsia="黑体" w:cs="黑体"/>
          <w:szCs w:val="30"/>
        </w:rPr>
        <w:t>披露要点15 气候相关目标</w:t>
      </w:r>
      <w:bookmarkEnd w:id="311"/>
      <w:bookmarkEnd w:id="312"/>
      <w:bookmarkEnd w:id="313"/>
      <w:bookmarkEnd w:id="314"/>
      <w:bookmarkEnd w:id="315"/>
    </w:p>
    <w:p w14:paraId="2F220BB4">
      <w:pPr>
        <w:spacing w:line="560" w:lineRule="exact"/>
        <w:ind w:firstLine="600" w:firstLineChars="200"/>
        <w:textAlignment w:val="baseline"/>
        <w:rPr>
          <w:rFonts w:ascii="仿宋_GB2312" w:hAnsi="Times New Roman" w:cs="Times New Roman"/>
          <w:szCs w:val="30"/>
        </w:rPr>
      </w:pPr>
      <w:r>
        <w:rPr>
          <w:rFonts w:hint="eastAsia" w:ascii="仿宋_GB2312" w:hAnsi="Times New Roman" w:cs="Times New Roman"/>
          <w:szCs w:val="30"/>
        </w:rPr>
        <w:t>1．披露主体应当描述根据相关法律法规、《指引》要求以及自身需要设定的气候相关目标。</w:t>
      </w:r>
    </w:p>
    <w:p w14:paraId="610397A2">
      <w:pPr>
        <w:spacing w:line="560" w:lineRule="exact"/>
        <w:ind w:firstLine="600" w:firstLineChars="200"/>
        <w:textAlignment w:val="baseline"/>
        <w:rPr>
          <w:rFonts w:ascii="仿宋_GB2312" w:hAnsi="Times New Roman" w:cs="Times New Roman"/>
          <w:szCs w:val="30"/>
        </w:rPr>
      </w:pPr>
      <w:r>
        <w:rPr>
          <w:rFonts w:hint="eastAsia" w:ascii="仿宋_GB2312" w:hAnsi="Times New Roman" w:cs="Times New Roman"/>
          <w:szCs w:val="30"/>
        </w:rPr>
        <w:t>2. 对于气候相关目标的描述，可包括：具体的目标内容（定性或定量），定量目标包括绝对目标（如温室气体排放总量/净排放量）以及强度目标等；目标所适用的主体范围，如适用于整个报告主体还是仅适用于特定业务单元或区域；目标的适用期间等（详细可参考《第一号</w:t>
      </w:r>
      <w:r>
        <w:rPr>
          <w:rFonts w:ascii="仿宋_GB2312" w:hAnsi="Times New Roman" w:cs="Times New Roman"/>
          <w:szCs w:val="30"/>
        </w:rPr>
        <w:t xml:space="preserve"> </w:t>
      </w:r>
      <w:r>
        <w:rPr>
          <w:rFonts w:hint="eastAsia" w:ascii="仿宋_GB2312" w:hAnsi="Times New Roman" w:cs="Times New Roman"/>
          <w:szCs w:val="30"/>
        </w:rPr>
        <w:t>总体要求与披露框架》指南相关内容）。若气候相关目标为温室气体减排目标，可与披露要点18中的“减排目标”合并披露。</w:t>
      </w:r>
    </w:p>
    <w:p w14:paraId="22865D7B">
      <w:pPr>
        <w:widowControl/>
        <w:adjustRightInd w:val="0"/>
        <w:snapToGrid w:val="0"/>
        <w:spacing w:line="560" w:lineRule="exact"/>
        <w:ind w:firstLine="600" w:firstLineChars="200"/>
        <w:outlineLvl w:val="2"/>
        <w:rPr>
          <w:rFonts w:ascii="黑体" w:hAnsi="黑体" w:eastAsia="黑体" w:cs="黑体"/>
          <w:szCs w:val="30"/>
        </w:rPr>
      </w:pPr>
      <w:bookmarkStart w:id="316" w:name="_Toc14294"/>
      <w:bookmarkStart w:id="317" w:name="_Toc4370"/>
      <w:bookmarkStart w:id="318" w:name="_Toc5085"/>
      <w:bookmarkStart w:id="319" w:name="_Toc181613127"/>
      <w:bookmarkStart w:id="320" w:name="_Toc187328703"/>
      <w:r>
        <w:rPr>
          <w:rFonts w:hint="eastAsia" w:ascii="黑体" w:hAnsi="黑体" w:eastAsia="黑体" w:cs="黑体"/>
          <w:szCs w:val="30"/>
        </w:rPr>
        <w:t>披露要点16 气候相关目标实现进展</w:t>
      </w:r>
      <w:bookmarkEnd w:id="316"/>
      <w:bookmarkEnd w:id="317"/>
      <w:bookmarkEnd w:id="318"/>
      <w:bookmarkEnd w:id="319"/>
      <w:bookmarkEnd w:id="320"/>
    </w:p>
    <w:p w14:paraId="00820EF8">
      <w:pPr>
        <w:spacing w:line="560" w:lineRule="exact"/>
        <w:ind w:firstLine="600" w:firstLineChars="200"/>
        <w:textAlignment w:val="baseline"/>
        <w:rPr>
          <w:rFonts w:ascii="仿宋_GB2312" w:hAnsi="Times New Roman" w:cs="Times New Roman"/>
          <w:szCs w:val="30"/>
        </w:rPr>
      </w:pPr>
      <w:r>
        <w:rPr>
          <w:rFonts w:hint="eastAsia" w:ascii="仿宋_GB2312" w:hAnsi="Times New Roman" w:cs="Times New Roman"/>
          <w:szCs w:val="30"/>
        </w:rPr>
        <w:t>1．披露主体应当描述报告期末相关目标实现情况以及报告期内的进展情况。</w:t>
      </w:r>
    </w:p>
    <w:p w14:paraId="05F1AF9F">
      <w:pPr>
        <w:spacing w:line="560" w:lineRule="exact"/>
        <w:ind w:firstLine="600" w:firstLineChars="200"/>
        <w:textAlignment w:val="baseline"/>
        <w:rPr>
          <w:rFonts w:ascii="仿宋_GB2312" w:hAnsi="Times New Roman" w:cs="Times New Roman"/>
          <w:szCs w:val="30"/>
        </w:rPr>
      </w:pPr>
      <w:r>
        <w:rPr>
          <w:rFonts w:hint="eastAsia" w:ascii="仿宋_GB2312" w:hAnsi="Times New Roman" w:cs="Times New Roman"/>
          <w:szCs w:val="30"/>
        </w:rPr>
        <w:t>2．对于气候相关目标实现进展情况的描述，可包括：衡量气候相关目标进展的基准期；阶段性气候相关目标和中期气候相关目标（如有）；目标实现进展（如已完成、进程中、未完成等，或定量描述报告期内目标完成度）（详细可参考《第一号</w:t>
      </w:r>
      <w:r>
        <w:rPr>
          <w:rFonts w:ascii="仿宋_GB2312" w:hAnsi="Times New Roman" w:cs="Times New Roman"/>
          <w:szCs w:val="30"/>
        </w:rPr>
        <w:t xml:space="preserve"> </w:t>
      </w:r>
      <w:r>
        <w:rPr>
          <w:rFonts w:hint="eastAsia" w:ascii="仿宋_GB2312" w:hAnsi="Times New Roman" w:cs="Times New Roman"/>
          <w:szCs w:val="30"/>
        </w:rPr>
        <w:t>总体要求与披露框架》指南相关内容）。</w:t>
      </w:r>
    </w:p>
    <w:p w14:paraId="469D79D3">
      <w:pPr>
        <w:widowControl/>
        <w:adjustRightInd w:val="0"/>
        <w:snapToGrid w:val="0"/>
        <w:spacing w:line="560" w:lineRule="exact"/>
        <w:ind w:firstLine="600" w:firstLineChars="200"/>
        <w:outlineLvl w:val="2"/>
        <w:rPr>
          <w:rFonts w:ascii="黑体" w:hAnsi="黑体" w:eastAsia="黑体" w:cs="黑体"/>
          <w:szCs w:val="30"/>
        </w:rPr>
      </w:pPr>
      <w:bookmarkStart w:id="321" w:name="_Toc6956"/>
      <w:bookmarkStart w:id="322" w:name="_Toc187328704"/>
      <w:bookmarkStart w:id="323" w:name="_Toc181613128"/>
      <w:bookmarkStart w:id="324" w:name="_Toc13239"/>
      <w:bookmarkStart w:id="325" w:name="_Toc30720"/>
      <w:r>
        <w:rPr>
          <w:rFonts w:hint="eastAsia" w:ascii="黑体" w:hAnsi="黑体" w:eastAsia="黑体" w:cs="黑体"/>
          <w:szCs w:val="30"/>
        </w:rPr>
        <w:t>披露要点17 温室气体排放量</w:t>
      </w:r>
      <w:bookmarkEnd w:id="321"/>
      <w:bookmarkEnd w:id="322"/>
      <w:bookmarkEnd w:id="323"/>
      <w:bookmarkEnd w:id="324"/>
      <w:bookmarkEnd w:id="325"/>
    </w:p>
    <w:p w14:paraId="3DC653DA">
      <w:pPr>
        <w:widowControl/>
        <w:adjustRightInd w:val="0"/>
        <w:snapToGrid w:val="0"/>
        <w:spacing w:line="560" w:lineRule="exact"/>
        <w:ind w:firstLine="600" w:firstLineChars="200"/>
        <w:rPr>
          <w:rFonts w:ascii="仿宋_GB2312" w:hAnsi="Times New Roman" w:cs="Times New Roman"/>
          <w:szCs w:val="30"/>
        </w:rPr>
      </w:pPr>
      <w:r>
        <w:rPr>
          <w:rFonts w:hint="eastAsia" w:ascii="仿宋_GB2312" w:hAnsi="Times New Roman" w:cs="Times New Roman"/>
          <w:szCs w:val="30"/>
        </w:rPr>
        <w:t>1．以二氧化碳当量公吨为单位，披露范围一、范围二及范围三（鼓励）温室气体排放量（核算温室气体排放量的方法详见本指南第四章）。</w:t>
      </w:r>
    </w:p>
    <w:p w14:paraId="77BC0A21">
      <w:pPr>
        <w:widowControl/>
        <w:adjustRightInd w:val="0"/>
        <w:snapToGrid w:val="0"/>
        <w:spacing w:line="560" w:lineRule="exact"/>
        <w:ind w:firstLine="600" w:firstLineChars="200"/>
        <w:rPr>
          <w:rFonts w:ascii="仿宋_GB2312" w:hAnsi="Times New Roman" w:cs="Times New Roman"/>
          <w:szCs w:val="30"/>
        </w:rPr>
      </w:pPr>
      <w:r>
        <w:rPr>
          <w:rFonts w:hint="eastAsia" w:ascii="仿宋_GB2312" w:hAnsi="Times New Roman" w:cs="Times New Roman"/>
          <w:szCs w:val="30"/>
        </w:rPr>
        <w:t>2．按照业务单位或设施、国家或地区、来源类型（燃烧、加工、电力、供暖、制冷和蒸汽等）分类披露温室气体排放量（鼓励）。</w:t>
      </w:r>
    </w:p>
    <w:p w14:paraId="0D45B770">
      <w:pPr>
        <w:spacing w:line="560" w:lineRule="exact"/>
        <w:ind w:firstLine="600" w:firstLineChars="200"/>
        <w:textAlignment w:val="baseline"/>
        <w:rPr>
          <w:rFonts w:ascii="仿宋_GB2312" w:hAnsi="Times New Roman" w:cs="Times New Roman"/>
          <w:szCs w:val="30"/>
        </w:rPr>
      </w:pPr>
      <w:r>
        <w:rPr>
          <w:rFonts w:hint="eastAsia" w:ascii="仿宋_GB2312" w:hAnsi="Times New Roman" w:cs="Times New Roman"/>
          <w:szCs w:val="30"/>
        </w:rPr>
        <w:t>3．描述核算温室气体排放量所依据的标准、方法、假设或计算工具。若报告期内核算标准、方法、假设等发生变化的，应当说明原因并披露具体影响。</w:t>
      </w:r>
    </w:p>
    <w:p w14:paraId="5D389F2B">
      <w:pPr>
        <w:spacing w:line="560" w:lineRule="exact"/>
        <w:ind w:firstLine="600" w:firstLineChars="200"/>
        <w:textAlignment w:val="baseline"/>
        <w:rPr>
          <w:rFonts w:ascii="仿宋_GB2312" w:hAnsi="Times New Roman" w:cs="Times New Roman"/>
          <w:szCs w:val="30"/>
        </w:rPr>
      </w:pPr>
      <w:r>
        <w:rPr>
          <w:rFonts w:hint="eastAsia" w:ascii="仿宋_GB2312" w:hAnsi="Times New Roman" w:cs="Times New Roman"/>
          <w:szCs w:val="30"/>
        </w:rPr>
        <w:t>4．说明核算温室气体排放量的合并方法，如股权比例法、财务控制法、运营控制法等。</w:t>
      </w:r>
    </w:p>
    <w:p w14:paraId="4D804A42">
      <w:pPr>
        <w:spacing w:line="560" w:lineRule="exact"/>
        <w:ind w:firstLine="600" w:firstLineChars="200"/>
        <w:textAlignment w:val="baseline"/>
        <w:rPr>
          <w:rFonts w:ascii="仿宋_GB2312" w:hAnsi="Times New Roman" w:cs="Times New Roman"/>
          <w:szCs w:val="30"/>
        </w:rPr>
      </w:pPr>
      <w:r>
        <w:rPr>
          <w:rFonts w:hint="eastAsia" w:ascii="仿宋_GB2312" w:hAnsi="Times New Roman" w:cs="Times New Roman"/>
          <w:szCs w:val="30"/>
        </w:rPr>
        <w:t>5. 说明第三方机构对公司温室气体排放等数据进行核查或鉴证情况（如涉及）。</w:t>
      </w:r>
    </w:p>
    <w:p w14:paraId="607CF7C6">
      <w:pPr>
        <w:widowControl/>
        <w:adjustRightInd w:val="0"/>
        <w:snapToGrid w:val="0"/>
        <w:spacing w:line="560" w:lineRule="exact"/>
        <w:ind w:firstLine="600" w:firstLineChars="200"/>
        <w:outlineLvl w:val="2"/>
        <w:rPr>
          <w:rFonts w:ascii="黑体" w:hAnsi="黑体" w:eastAsia="黑体" w:cs="黑体"/>
          <w:szCs w:val="30"/>
        </w:rPr>
      </w:pPr>
      <w:bookmarkStart w:id="326" w:name="_Toc28431"/>
      <w:bookmarkStart w:id="327" w:name="_Toc181613129"/>
      <w:bookmarkStart w:id="328" w:name="_Toc10438"/>
      <w:bookmarkStart w:id="329" w:name="_Toc4572"/>
      <w:bookmarkStart w:id="330" w:name="_Toc187328705"/>
      <w:r>
        <w:rPr>
          <w:rFonts w:hint="eastAsia" w:ascii="黑体" w:hAnsi="黑体" w:eastAsia="黑体" w:cs="黑体"/>
          <w:szCs w:val="30"/>
        </w:rPr>
        <w:t>披露要点18 温室气体减排实践</w:t>
      </w:r>
      <w:bookmarkEnd w:id="326"/>
      <w:bookmarkEnd w:id="327"/>
      <w:bookmarkEnd w:id="328"/>
      <w:bookmarkEnd w:id="329"/>
      <w:bookmarkEnd w:id="330"/>
    </w:p>
    <w:p w14:paraId="22324B06">
      <w:pPr>
        <w:spacing w:line="560" w:lineRule="exact"/>
        <w:ind w:firstLine="600" w:firstLineChars="200"/>
        <w:textAlignment w:val="baseline"/>
        <w:rPr>
          <w:rFonts w:ascii="仿宋_GB2312" w:hAnsi="Times New Roman" w:cs="Times New Roman"/>
          <w:szCs w:val="30"/>
        </w:rPr>
      </w:pPr>
      <w:r>
        <w:rPr>
          <w:rFonts w:hint="eastAsia" w:ascii="仿宋_GB2312" w:hAnsi="Times New Roman" w:cs="Times New Roman"/>
          <w:szCs w:val="30"/>
        </w:rPr>
        <w:t>1．描述披露主体的减排目标（详细可参考《第一号</w:t>
      </w:r>
      <w:r>
        <w:rPr>
          <w:rFonts w:ascii="仿宋_GB2312" w:hAnsi="Times New Roman" w:cs="Times New Roman"/>
          <w:szCs w:val="30"/>
        </w:rPr>
        <w:t xml:space="preserve"> </w:t>
      </w:r>
      <w:r>
        <w:rPr>
          <w:rFonts w:hint="eastAsia" w:ascii="仿宋_GB2312" w:hAnsi="Times New Roman" w:cs="Times New Roman"/>
          <w:szCs w:val="30"/>
        </w:rPr>
        <w:t>总体要求与披露框架》指南中“设定和管理目标”相关内容）。</w:t>
      </w:r>
    </w:p>
    <w:p w14:paraId="7C966161">
      <w:pPr>
        <w:spacing w:line="560" w:lineRule="exact"/>
        <w:ind w:firstLine="600" w:firstLineChars="200"/>
        <w:textAlignment w:val="baseline"/>
        <w:rPr>
          <w:rFonts w:ascii="仿宋_GB2312" w:hAnsi="Times New Roman" w:cs="Times New Roman"/>
          <w:szCs w:val="30"/>
        </w:rPr>
      </w:pPr>
      <w:r>
        <w:rPr>
          <w:rFonts w:hint="eastAsia" w:ascii="仿宋_GB2312" w:hAnsi="Times New Roman" w:cs="Times New Roman"/>
          <w:szCs w:val="30"/>
        </w:rPr>
        <w:t>2．描述具体减排措施或项目，如管理措施、资金投入、技术开发等。</w:t>
      </w:r>
    </w:p>
    <w:p w14:paraId="3772A101">
      <w:pPr>
        <w:spacing w:line="560" w:lineRule="exact"/>
        <w:ind w:firstLine="600" w:firstLineChars="200"/>
        <w:textAlignment w:val="baseline"/>
        <w:rPr>
          <w:rFonts w:ascii="仿宋_GB2312" w:hAnsi="Times New Roman" w:cs="Times New Roman"/>
          <w:szCs w:val="30"/>
        </w:rPr>
      </w:pPr>
      <w:r>
        <w:rPr>
          <w:rFonts w:ascii="仿宋_GB2312" w:hAnsi="Times New Roman" w:cs="Times New Roman"/>
          <w:szCs w:val="30"/>
        </w:rPr>
        <w:t>3</w:t>
      </w:r>
      <w:r>
        <w:rPr>
          <w:rFonts w:hint="eastAsia" w:ascii="仿宋_GB2312" w:hAnsi="Times New Roman" w:cs="Times New Roman"/>
          <w:szCs w:val="30"/>
        </w:rPr>
        <w:t>．描述减排实际成效，包括按照不同温室气体排放范围分类披露减少的温室气体排放量（换算成二氧化碳当量公吨数），以及温室气体排放强度变化（如涉及）。</w:t>
      </w:r>
    </w:p>
    <w:p w14:paraId="1B7A05D7">
      <w:pPr>
        <w:spacing w:line="560" w:lineRule="exact"/>
        <w:ind w:firstLine="600" w:firstLineChars="200"/>
        <w:textAlignment w:val="baseline"/>
        <w:rPr>
          <w:rFonts w:ascii="仿宋_GB2312" w:hAnsi="Times New Roman" w:cs="Times New Roman"/>
          <w:szCs w:val="30"/>
        </w:rPr>
      </w:pPr>
      <w:r>
        <w:rPr>
          <w:rFonts w:hint="eastAsia" w:ascii="仿宋_GB2312" w:hAnsi="Times New Roman" w:cs="Times New Roman"/>
          <w:szCs w:val="30"/>
        </w:rPr>
        <w:t>4．披露主体可以按照不同减排措施分别披露温室气体减排量。</w:t>
      </w:r>
    </w:p>
    <w:p w14:paraId="007ECDD9">
      <w:pPr>
        <w:widowControl/>
        <w:adjustRightInd w:val="0"/>
        <w:snapToGrid w:val="0"/>
        <w:spacing w:line="560" w:lineRule="exact"/>
        <w:ind w:firstLine="600" w:firstLineChars="200"/>
        <w:outlineLvl w:val="2"/>
        <w:rPr>
          <w:rFonts w:ascii="黑体" w:hAnsi="黑体" w:eastAsia="黑体" w:cs="黑体"/>
          <w:szCs w:val="30"/>
        </w:rPr>
      </w:pPr>
      <w:bookmarkStart w:id="331" w:name="_Toc10525"/>
      <w:bookmarkStart w:id="332" w:name="_Toc14830"/>
      <w:bookmarkStart w:id="333" w:name="_Toc187328706"/>
      <w:bookmarkStart w:id="334" w:name="_Toc181613130"/>
      <w:bookmarkStart w:id="335" w:name="_Toc32158"/>
      <w:r>
        <w:rPr>
          <w:rFonts w:hint="eastAsia" w:ascii="黑体" w:hAnsi="黑体" w:eastAsia="黑体" w:cs="黑体"/>
          <w:szCs w:val="30"/>
        </w:rPr>
        <w:t>披露要点19 碳信用额度来源和数量（如涉及）</w:t>
      </w:r>
      <w:bookmarkEnd w:id="331"/>
      <w:bookmarkEnd w:id="332"/>
      <w:bookmarkEnd w:id="333"/>
      <w:bookmarkEnd w:id="334"/>
      <w:bookmarkEnd w:id="335"/>
    </w:p>
    <w:p w14:paraId="19CDCB59">
      <w:pPr>
        <w:spacing w:line="560" w:lineRule="exact"/>
        <w:ind w:firstLine="600" w:firstLineChars="200"/>
        <w:textAlignment w:val="baseline"/>
        <w:rPr>
          <w:rFonts w:ascii="仿宋_GB2312" w:hAnsi="Times New Roman" w:cs="Times New Roman"/>
          <w:szCs w:val="30"/>
        </w:rPr>
      </w:pPr>
      <w:r>
        <w:rPr>
          <w:rFonts w:hint="eastAsia" w:ascii="仿宋_GB2312" w:hAnsi="Times New Roman" w:cs="Times New Roman"/>
          <w:szCs w:val="30"/>
        </w:rPr>
        <w:t>1．描述所使用的碳信用额度的来源，如国家核证自愿减排量（CCER）和各试点碳市场的碳普惠项目等。</w:t>
      </w:r>
    </w:p>
    <w:p w14:paraId="5AF54070">
      <w:pPr>
        <w:spacing w:line="560" w:lineRule="exact"/>
        <w:ind w:firstLine="600" w:firstLineChars="200"/>
        <w:textAlignment w:val="baseline"/>
        <w:rPr>
          <w:rFonts w:ascii="仿宋_GB2312" w:hAnsi="Times New Roman" w:cs="Times New Roman"/>
          <w:szCs w:val="30"/>
        </w:rPr>
      </w:pPr>
      <w:r>
        <w:rPr>
          <w:rFonts w:hint="eastAsia" w:ascii="仿宋_GB2312" w:hAnsi="Times New Roman" w:cs="Times New Roman"/>
          <w:szCs w:val="30"/>
        </w:rPr>
        <w:t>2．以二氧化碳当量公吨为单位，披露公司所使用的碳信用数量。</w:t>
      </w:r>
    </w:p>
    <w:p w14:paraId="456D38AD">
      <w:pPr>
        <w:widowControl/>
        <w:adjustRightInd w:val="0"/>
        <w:snapToGrid w:val="0"/>
        <w:spacing w:line="560" w:lineRule="exact"/>
        <w:ind w:firstLine="600" w:firstLineChars="200"/>
        <w:outlineLvl w:val="2"/>
        <w:rPr>
          <w:rFonts w:ascii="黑体" w:hAnsi="黑体" w:eastAsia="黑体" w:cs="黑体"/>
          <w:szCs w:val="30"/>
        </w:rPr>
      </w:pPr>
      <w:bookmarkStart w:id="336" w:name="_Toc181613131"/>
      <w:bookmarkStart w:id="337" w:name="_Toc4796"/>
      <w:bookmarkStart w:id="338" w:name="_Toc187328707"/>
      <w:bookmarkStart w:id="339" w:name="_Toc18902"/>
      <w:bookmarkStart w:id="340" w:name="_Toc20697"/>
      <w:r>
        <w:rPr>
          <w:rFonts w:hint="eastAsia" w:ascii="黑体" w:hAnsi="黑体" w:eastAsia="黑体" w:cs="黑体"/>
          <w:szCs w:val="30"/>
        </w:rPr>
        <w:t>披露要点20 碳排放配额清缴情况（如涉及）</w:t>
      </w:r>
      <w:bookmarkEnd w:id="336"/>
      <w:bookmarkEnd w:id="337"/>
      <w:bookmarkEnd w:id="338"/>
      <w:bookmarkEnd w:id="339"/>
      <w:bookmarkEnd w:id="340"/>
    </w:p>
    <w:p w14:paraId="4899C84A">
      <w:pPr>
        <w:spacing w:line="560" w:lineRule="exact"/>
        <w:ind w:firstLine="600" w:firstLineChars="200"/>
        <w:textAlignment w:val="baseline"/>
        <w:rPr>
          <w:rFonts w:ascii="仿宋_GB2312" w:hAnsi="Times New Roman" w:cs="Times New Roman"/>
          <w:szCs w:val="30"/>
        </w:rPr>
      </w:pPr>
      <w:r>
        <w:rPr>
          <w:rFonts w:hint="eastAsia" w:ascii="仿宋_GB2312" w:hAnsi="Times New Roman" w:cs="Times New Roman"/>
          <w:szCs w:val="30"/>
        </w:rPr>
        <w:t>1．描述报告期内是否在碳排放权交易市场完成清缴履约。</w:t>
      </w:r>
    </w:p>
    <w:p w14:paraId="01A1C36E">
      <w:pPr>
        <w:spacing w:line="560" w:lineRule="exact"/>
        <w:ind w:firstLine="600" w:firstLineChars="200"/>
        <w:textAlignment w:val="baseline"/>
        <w:rPr>
          <w:rFonts w:ascii="仿宋_GB2312" w:hAnsi="Times New Roman" w:cs="Times New Roman"/>
          <w:szCs w:val="30"/>
        </w:rPr>
      </w:pPr>
      <w:r>
        <w:rPr>
          <w:rFonts w:hint="eastAsia" w:ascii="仿宋_GB2312" w:hAnsi="Times New Roman" w:cs="Times New Roman"/>
          <w:szCs w:val="30"/>
        </w:rPr>
        <w:t>2．描述是否因碳排放权清缴问题，被有关部门要求整改、立案调查或处罚。</w:t>
      </w:r>
    </w:p>
    <w:p w14:paraId="2FA85737">
      <w:pPr>
        <w:widowControl/>
        <w:adjustRightInd w:val="0"/>
        <w:snapToGrid w:val="0"/>
        <w:spacing w:line="560" w:lineRule="exact"/>
        <w:ind w:firstLine="600" w:firstLineChars="200"/>
        <w:outlineLvl w:val="2"/>
        <w:rPr>
          <w:rFonts w:ascii="黑体" w:hAnsi="黑体" w:eastAsia="黑体" w:cs="黑体"/>
          <w:szCs w:val="30"/>
        </w:rPr>
      </w:pPr>
      <w:bookmarkStart w:id="341" w:name="_Toc22629"/>
      <w:bookmarkStart w:id="342" w:name="_Toc16242"/>
      <w:bookmarkStart w:id="343" w:name="_Toc181613132"/>
      <w:bookmarkStart w:id="344" w:name="_Toc27356"/>
      <w:bookmarkStart w:id="345" w:name="_Toc187328708"/>
      <w:r>
        <w:rPr>
          <w:rFonts w:hint="eastAsia" w:ascii="黑体" w:hAnsi="黑体" w:eastAsia="黑体" w:cs="黑体"/>
          <w:szCs w:val="30"/>
        </w:rPr>
        <w:t>披露要点21 全国温室气体自愿减排项目和核证自愿减排量（CCER）的登记与交易情况（如涉及）</w:t>
      </w:r>
      <w:bookmarkEnd w:id="341"/>
      <w:bookmarkEnd w:id="342"/>
      <w:bookmarkEnd w:id="343"/>
      <w:bookmarkEnd w:id="344"/>
      <w:bookmarkEnd w:id="345"/>
    </w:p>
    <w:p w14:paraId="1828F2F5">
      <w:pPr>
        <w:spacing w:line="560" w:lineRule="exact"/>
        <w:ind w:firstLine="600" w:firstLineChars="200"/>
        <w:textAlignment w:val="baseline"/>
        <w:rPr>
          <w:rFonts w:ascii="仿宋_GB2312" w:hAnsi="Times New Roman" w:cs="Times New Roman"/>
          <w:szCs w:val="30"/>
        </w:rPr>
      </w:pPr>
      <w:r>
        <w:rPr>
          <w:rFonts w:hint="eastAsia" w:ascii="仿宋_GB2312" w:hAnsi="Times New Roman" w:cs="Times New Roman"/>
          <w:szCs w:val="30"/>
        </w:rPr>
        <w:t>1．在全国温室气体自愿减排项目和核证自愿减排量（</w:t>
      </w:r>
      <w:r>
        <w:rPr>
          <w:rFonts w:ascii="仿宋_GB2312" w:hAnsi="Times New Roman" w:cs="Times New Roman"/>
          <w:szCs w:val="30"/>
        </w:rPr>
        <w:t>CCER</w:t>
      </w:r>
      <w:r>
        <w:rPr>
          <w:rFonts w:hint="eastAsia" w:ascii="仿宋_GB2312" w:hAnsi="Times New Roman" w:cs="Times New Roman"/>
          <w:szCs w:val="30"/>
        </w:rPr>
        <w:t>）登记的项目情况，如项目数量、状态、类型、预计减排量等。</w:t>
      </w:r>
    </w:p>
    <w:p w14:paraId="4F08B8A1">
      <w:pPr>
        <w:spacing w:line="560" w:lineRule="exact"/>
        <w:ind w:firstLine="600" w:firstLineChars="200"/>
        <w:textAlignment w:val="baseline"/>
        <w:rPr>
          <w:rFonts w:ascii="仿宋_GB2312" w:hAnsi="Times New Roman" w:cs="Times New Roman"/>
          <w:szCs w:val="30"/>
        </w:rPr>
      </w:pPr>
      <w:r>
        <w:rPr>
          <w:rFonts w:hint="eastAsia" w:ascii="仿宋_GB2312" w:hAnsi="Times New Roman" w:cs="Times New Roman"/>
          <w:szCs w:val="30"/>
        </w:rPr>
        <w:t>2．披露交易的CCER项目减排量。</w:t>
      </w:r>
    </w:p>
    <w:p w14:paraId="6644D08B">
      <w:pPr>
        <w:widowControl/>
        <w:adjustRightInd w:val="0"/>
        <w:snapToGrid w:val="0"/>
        <w:spacing w:line="560" w:lineRule="exact"/>
        <w:ind w:firstLine="600" w:firstLineChars="200"/>
        <w:outlineLvl w:val="2"/>
        <w:rPr>
          <w:rFonts w:ascii="黑体" w:hAnsi="黑体" w:eastAsia="黑体" w:cs="黑体"/>
          <w:szCs w:val="30"/>
        </w:rPr>
      </w:pPr>
      <w:bookmarkStart w:id="346" w:name="_Toc1253"/>
      <w:bookmarkStart w:id="347" w:name="_Toc21853"/>
      <w:bookmarkStart w:id="348" w:name="_Toc1086"/>
      <w:bookmarkStart w:id="349" w:name="_Toc187328709"/>
      <w:bookmarkStart w:id="350" w:name="_Toc181613133"/>
      <w:r>
        <w:rPr>
          <w:rFonts w:hint="eastAsia" w:ascii="黑体" w:hAnsi="黑体" w:eastAsia="黑体" w:cs="黑体"/>
          <w:szCs w:val="30"/>
        </w:rPr>
        <w:t>披露要点22 参与其他减排机制的项目和减排量登记与交易情况（如涉及）</w:t>
      </w:r>
      <w:bookmarkEnd w:id="346"/>
      <w:bookmarkEnd w:id="347"/>
      <w:bookmarkEnd w:id="348"/>
      <w:bookmarkEnd w:id="349"/>
      <w:bookmarkEnd w:id="350"/>
    </w:p>
    <w:p w14:paraId="0824EAEB">
      <w:pPr>
        <w:spacing w:line="560" w:lineRule="exact"/>
        <w:ind w:firstLine="600" w:firstLineChars="200"/>
        <w:textAlignment w:val="baseline"/>
        <w:rPr>
          <w:rFonts w:ascii="仿宋_GB2312" w:hAnsi="Times New Roman" w:cs="Times New Roman"/>
          <w:szCs w:val="30"/>
        </w:rPr>
      </w:pPr>
      <w:r>
        <w:rPr>
          <w:rFonts w:hint="eastAsia" w:ascii="仿宋_GB2312" w:hAnsi="Times New Roman" w:cs="Times New Roman"/>
          <w:szCs w:val="30"/>
        </w:rPr>
        <w:t>1．描述参与的其他减排机制项目名称、减排机制类型，以及其他减排机制下登记的项目情况、交易的减排量数量等。</w:t>
      </w:r>
    </w:p>
    <w:p w14:paraId="22DFC5F1">
      <w:pPr>
        <w:spacing w:line="560" w:lineRule="exact"/>
        <w:ind w:firstLine="600" w:firstLineChars="200"/>
        <w:jc w:val="left"/>
        <w:textAlignment w:val="baseline"/>
        <w:rPr>
          <w:rFonts w:ascii="仿宋_GB2312" w:hAnsi="Times New Roman" w:cs="Times New Roman"/>
          <w:szCs w:val="30"/>
        </w:rPr>
      </w:pPr>
      <w:bookmarkStart w:id="351" w:name="_Toc15146"/>
      <w:bookmarkStart w:id="352" w:name="_Toc9901"/>
      <w:bookmarkStart w:id="353" w:name="_Toc27499"/>
      <w:r>
        <w:rPr>
          <w:rFonts w:hint="eastAsia" w:ascii="仿宋_GB2312" w:hAnsi="Times New Roman" w:cs="Times New Roman"/>
          <w:szCs w:val="30"/>
        </w:rPr>
        <w:t>2．描述其他减排机制项目情况，如项目数量、状态、类型、预计减排量等。</w:t>
      </w:r>
      <w:bookmarkEnd w:id="351"/>
      <w:bookmarkEnd w:id="352"/>
      <w:bookmarkEnd w:id="353"/>
      <w:bookmarkStart w:id="354" w:name="_Toc10373"/>
      <w:bookmarkStart w:id="355" w:name="_Toc14695"/>
      <w:bookmarkStart w:id="356" w:name="_Toc177241806"/>
    </w:p>
    <w:p w14:paraId="4901073F">
      <w:pPr>
        <w:rPr>
          <w:rFonts w:ascii="Times New Roman" w:hAnsi="Times New Roman" w:eastAsia="黑体" w:cs="Times New Roman"/>
          <w:sz w:val="32"/>
          <w:szCs w:val="32"/>
        </w:rPr>
      </w:pPr>
      <w:r>
        <w:rPr>
          <w:rFonts w:ascii="Times New Roman" w:hAnsi="Times New Roman" w:eastAsia="黑体" w:cs="Times New Roman"/>
          <w:sz w:val="32"/>
          <w:szCs w:val="32"/>
        </w:rPr>
        <w:br w:type="page"/>
      </w:r>
    </w:p>
    <w:p w14:paraId="2FC2D1F3">
      <w:pPr>
        <w:spacing w:line="560" w:lineRule="exact"/>
        <w:jc w:val="left"/>
        <w:outlineLvl w:val="0"/>
        <w:rPr>
          <w:rFonts w:ascii="Times New Roman" w:hAnsi="Times New Roman" w:eastAsia="黑体" w:cs="Times New Roman"/>
          <w:sz w:val="28"/>
          <w:szCs w:val="28"/>
        </w:rPr>
      </w:pPr>
      <w:bookmarkStart w:id="357" w:name="_Toc24584"/>
      <w:bookmarkStart w:id="358" w:name="_Toc17697"/>
      <w:bookmarkStart w:id="359" w:name="_Toc22054"/>
      <w:bookmarkStart w:id="360" w:name="_Toc181613134"/>
      <w:bookmarkStart w:id="361" w:name="_Toc187328710"/>
      <w:r>
        <w:rPr>
          <w:rFonts w:hint="eastAsia" w:ascii="Times New Roman" w:hAnsi="Times New Roman" w:eastAsia="黑体" w:cs="Times New Roman"/>
          <w:sz w:val="28"/>
          <w:szCs w:val="28"/>
        </w:rPr>
        <w:t>附录</w:t>
      </w:r>
      <w:bookmarkEnd w:id="357"/>
      <w:bookmarkEnd w:id="358"/>
      <w:bookmarkEnd w:id="359"/>
      <w:bookmarkEnd w:id="360"/>
      <w:bookmarkEnd w:id="361"/>
    </w:p>
    <w:p w14:paraId="69B7261A">
      <w:pPr>
        <w:spacing w:line="560" w:lineRule="exact"/>
        <w:jc w:val="center"/>
        <w:outlineLvl w:val="0"/>
        <w:rPr>
          <w:rFonts w:ascii="Times New Roman" w:hAnsi="Times New Roman" w:eastAsia="黑体" w:cs="Times New Roman"/>
          <w:sz w:val="32"/>
          <w:szCs w:val="32"/>
        </w:rPr>
      </w:pPr>
      <w:bookmarkStart w:id="362" w:name="_Toc181613135"/>
      <w:bookmarkStart w:id="363" w:name="_Toc18048"/>
      <w:bookmarkStart w:id="364" w:name="_Toc12656"/>
      <w:bookmarkStart w:id="365" w:name="_Toc187328711"/>
      <w:bookmarkStart w:id="366" w:name="_Toc18384"/>
      <w:r>
        <w:rPr>
          <w:rFonts w:hint="eastAsia" w:ascii="Times New Roman" w:hAnsi="Times New Roman" w:eastAsia="黑体" w:cs="Times New Roman"/>
          <w:sz w:val="32"/>
          <w:szCs w:val="32"/>
        </w:rPr>
        <w:t>温室气体排放量披露模板示例</w:t>
      </w:r>
      <w:bookmarkEnd w:id="354"/>
      <w:bookmarkEnd w:id="355"/>
      <w:bookmarkEnd w:id="356"/>
      <w:bookmarkEnd w:id="362"/>
      <w:bookmarkEnd w:id="363"/>
      <w:bookmarkEnd w:id="364"/>
      <w:bookmarkEnd w:id="365"/>
      <w:bookmarkEnd w:id="366"/>
    </w:p>
    <w:tbl>
      <w:tblPr>
        <w:tblStyle w:val="82"/>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694"/>
        <w:gridCol w:w="1525"/>
        <w:gridCol w:w="1843"/>
        <w:gridCol w:w="2244"/>
      </w:tblGrid>
      <w:tr w14:paraId="66D46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blHeader/>
        </w:trPr>
        <w:tc>
          <w:tcPr>
            <w:tcW w:w="2694" w:type="dxa"/>
            <w:tcBorders>
              <w:top w:val="single" w:color="auto" w:sz="8" w:space="0"/>
              <w:bottom w:val="single" w:color="auto" w:sz="8" w:space="0"/>
              <w:right w:val="single" w:color="auto" w:sz="8" w:space="0"/>
            </w:tcBorders>
          </w:tcPr>
          <w:p w14:paraId="46FDA3B8">
            <w:pPr>
              <w:jc w:val="center"/>
              <w:rPr>
                <w:rFonts w:ascii="仿宋_GB2312" w:hAnsi="Times New Roman" w:cs="Times New Roman"/>
                <w:b/>
                <w:kern w:val="0"/>
                <w:sz w:val="24"/>
                <w:szCs w:val="24"/>
              </w:rPr>
            </w:pPr>
            <w:r>
              <w:rPr>
                <w:rFonts w:hint="eastAsia" w:ascii="仿宋_GB2312" w:hAnsi="Times New Roman" w:cs="Times New Roman"/>
                <w:b/>
                <w:kern w:val="0"/>
                <w:sz w:val="24"/>
                <w:szCs w:val="24"/>
              </w:rPr>
              <w:t>温室气体范围</w:t>
            </w:r>
            <w:r>
              <w:rPr>
                <w:rFonts w:ascii="仿宋_GB2312" w:hAnsi="Times New Roman" w:cs="Times New Roman"/>
                <w:b/>
                <w:kern w:val="0"/>
                <w:sz w:val="24"/>
                <w:szCs w:val="24"/>
              </w:rPr>
              <w:br w:type="textWrapping"/>
            </w:r>
            <w:r>
              <w:rPr>
                <w:rFonts w:hint="eastAsia" w:ascii="仿宋_GB2312" w:hAnsi="Times New Roman" w:cs="Times New Roman"/>
                <w:b/>
                <w:kern w:val="0"/>
                <w:sz w:val="24"/>
                <w:szCs w:val="24"/>
              </w:rPr>
              <w:t>（单位：</w:t>
            </w:r>
            <w:r>
              <w:rPr>
                <w:rFonts w:ascii="仿宋_GB2312" w:hAnsi="Times New Roman" w:cs="Times New Roman"/>
                <w:b/>
                <w:iCs/>
                <w:kern w:val="0"/>
                <w:sz w:val="24"/>
                <w:szCs w:val="24"/>
              </w:rPr>
              <w:t>MT CO</w:t>
            </w:r>
            <w:r>
              <w:rPr>
                <w:rFonts w:ascii="仿宋_GB2312" w:hAnsi="Times New Roman" w:cs="Times New Roman"/>
                <w:b/>
                <w:iCs/>
                <w:kern w:val="0"/>
                <w:sz w:val="24"/>
                <w:szCs w:val="24"/>
                <w:vertAlign w:val="subscript"/>
              </w:rPr>
              <w:t>2</w:t>
            </w:r>
            <w:r>
              <w:rPr>
                <w:rFonts w:ascii="仿宋_GB2312" w:hAnsi="Times New Roman" w:cs="Times New Roman"/>
                <w:b/>
                <w:iCs/>
                <w:kern w:val="0"/>
                <w:sz w:val="24"/>
                <w:szCs w:val="24"/>
              </w:rPr>
              <w:t>e</w:t>
            </w:r>
            <w:r>
              <w:rPr>
                <w:rFonts w:hint="eastAsia" w:ascii="仿宋_GB2312" w:hAnsi="Times New Roman" w:cs="Times New Roman"/>
                <w:b/>
                <w:kern w:val="0"/>
                <w:sz w:val="24"/>
                <w:szCs w:val="24"/>
              </w:rPr>
              <w:t>）</w:t>
            </w:r>
          </w:p>
        </w:tc>
        <w:tc>
          <w:tcPr>
            <w:tcW w:w="1525" w:type="dxa"/>
            <w:tcBorders>
              <w:top w:val="single" w:color="auto" w:sz="8" w:space="0"/>
              <w:left w:val="single" w:color="auto" w:sz="8" w:space="0"/>
              <w:bottom w:val="single" w:color="auto" w:sz="8" w:space="0"/>
              <w:right w:val="single" w:color="auto" w:sz="2" w:space="0"/>
            </w:tcBorders>
          </w:tcPr>
          <w:p w14:paraId="229A74A9">
            <w:pPr>
              <w:jc w:val="center"/>
              <w:rPr>
                <w:rFonts w:ascii="仿宋_GB2312" w:hAnsi="Times New Roman" w:cs="Times New Roman"/>
                <w:b/>
                <w:kern w:val="0"/>
                <w:sz w:val="24"/>
                <w:szCs w:val="24"/>
              </w:rPr>
            </w:pPr>
            <w:r>
              <w:rPr>
                <w:rFonts w:hint="eastAsia" w:ascii="仿宋_GB2312" w:hAnsi="Times New Roman" w:cs="Times New Roman"/>
                <w:b/>
                <w:kern w:val="0"/>
                <w:sz w:val="24"/>
                <w:szCs w:val="24"/>
              </w:rPr>
              <w:t>报告期间1：20X</w:t>
            </w:r>
            <w:r>
              <w:rPr>
                <w:rFonts w:ascii="仿宋_GB2312" w:hAnsi="Times New Roman" w:cs="Times New Roman"/>
                <w:b/>
                <w:kern w:val="0"/>
                <w:sz w:val="24"/>
                <w:szCs w:val="24"/>
              </w:rPr>
              <w:t>2</w:t>
            </w:r>
            <w:r>
              <w:rPr>
                <w:rFonts w:hint="eastAsia" w:ascii="仿宋_GB2312" w:hAnsi="Times New Roman" w:cs="Times New Roman"/>
                <w:b/>
                <w:kern w:val="0"/>
                <w:sz w:val="24"/>
                <w:szCs w:val="24"/>
              </w:rPr>
              <w:t>年</w:t>
            </w:r>
          </w:p>
        </w:tc>
        <w:tc>
          <w:tcPr>
            <w:tcW w:w="1843" w:type="dxa"/>
            <w:tcBorders>
              <w:top w:val="single" w:color="auto" w:sz="8" w:space="0"/>
              <w:left w:val="single" w:color="auto" w:sz="2" w:space="0"/>
              <w:bottom w:val="single" w:color="auto" w:sz="8" w:space="0"/>
              <w:right w:val="single" w:color="auto" w:sz="2" w:space="0"/>
            </w:tcBorders>
          </w:tcPr>
          <w:p w14:paraId="5752059F">
            <w:pPr>
              <w:jc w:val="center"/>
              <w:rPr>
                <w:rFonts w:ascii="仿宋_GB2312" w:hAnsi="Times New Roman" w:cs="Times New Roman"/>
                <w:b/>
                <w:kern w:val="0"/>
                <w:sz w:val="24"/>
                <w:szCs w:val="24"/>
              </w:rPr>
            </w:pPr>
            <w:r>
              <w:rPr>
                <w:rFonts w:hint="eastAsia" w:ascii="仿宋_GB2312" w:hAnsi="Times New Roman" w:cs="Times New Roman"/>
                <w:b/>
                <w:kern w:val="0"/>
                <w:sz w:val="24"/>
                <w:szCs w:val="24"/>
              </w:rPr>
              <w:t>报告期间2： 20X</w:t>
            </w:r>
            <w:r>
              <w:rPr>
                <w:rFonts w:ascii="仿宋_GB2312" w:hAnsi="Times New Roman" w:cs="Times New Roman"/>
                <w:b/>
                <w:kern w:val="0"/>
                <w:sz w:val="24"/>
                <w:szCs w:val="24"/>
              </w:rPr>
              <w:t>1</w:t>
            </w:r>
            <w:r>
              <w:rPr>
                <w:rFonts w:hint="eastAsia" w:ascii="仿宋_GB2312" w:hAnsi="Times New Roman" w:cs="Times New Roman"/>
                <w:b/>
                <w:kern w:val="0"/>
                <w:sz w:val="24"/>
                <w:szCs w:val="24"/>
              </w:rPr>
              <w:t>年</w:t>
            </w:r>
          </w:p>
        </w:tc>
        <w:tc>
          <w:tcPr>
            <w:tcW w:w="2244" w:type="dxa"/>
            <w:tcBorders>
              <w:top w:val="single" w:color="auto" w:sz="8" w:space="0"/>
              <w:left w:val="single" w:color="auto" w:sz="2" w:space="0"/>
              <w:bottom w:val="single" w:color="auto" w:sz="8" w:space="0"/>
            </w:tcBorders>
          </w:tcPr>
          <w:p w14:paraId="668F26BD">
            <w:pPr>
              <w:jc w:val="center"/>
              <w:rPr>
                <w:rFonts w:ascii="仿宋_GB2312" w:hAnsi="Times New Roman" w:cs="Times New Roman"/>
                <w:b/>
                <w:kern w:val="0"/>
                <w:sz w:val="24"/>
                <w:szCs w:val="24"/>
              </w:rPr>
            </w:pPr>
            <w:r>
              <w:rPr>
                <w:rFonts w:hint="eastAsia" w:ascii="仿宋_GB2312" w:hAnsi="Times New Roman" w:cs="Times New Roman"/>
                <w:b/>
                <w:kern w:val="0"/>
                <w:sz w:val="24"/>
                <w:szCs w:val="24"/>
              </w:rPr>
              <w:t>核算标准、方法等</w:t>
            </w:r>
          </w:p>
        </w:tc>
      </w:tr>
      <w:tr w14:paraId="19748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694" w:type="dxa"/>
            <w:tcBorders>
              <w:top w:val="single" w:color="auto" w:sz="8" w:space="0"/>
              <w:right w:val="single" w:color="auto" w:sz="8" w:space="0"/>
            </w:tcBorders>
            <w:shd w:val="clear" w:color="auto" w:fill="D9D9D9"/>
          </w:tcPr>
          <w:p w14:paraId="17850F5D">
            <w:pPr>
              <w:rPr>
                <w:rFonts w:ascii="仿宋_GB2312" w:hAnsi="Times New Roman" w:cs="Times New Roman"/>
                <w:bCs/>
                <w:kern w:val="0"/>
                <w:sz w:val="24"/>
                <w:szCs w:val="24"/>
              </w:rPr>
            </w:pPr>
            <w:r>
              <w:rPr>
                <w:rFonts w:hint="eastAsia" w:ascii="仿宋_GB2312" w:hAnsi="Times New Roman" w:cs="Times New Roman"/>
                <w:bCs/>
                <w:kern w:val="0"/>
                <w:sz w:val="24"/>
                <w:szCs w:val="24"/>
              </w:rPr>
              <w:t>范围一温室气体排放量</w:t>
            </w:r>
          </w:p>
        </w:tc>
        <w:tc>
          <w:tcPr>
            <w:tcW w:w="1525" w:type="dxa"/>
            <w:tcBorders>
              <w:top w:val="single" w:color="auto" w:sz="8" w:space="0"/>
              <w:left w:val="single" w:color="auto" w:sz="8" w:space="0"/>
              <w:right w:val="single" w:color="auto" w:sz="2" w:space="0"/>
            </w:tcBorders>
            <w:shd w:val="clear" w:color="auto" w:fill="D9D9D9"/>
          </w:tcPr>
          <w:p w14:paraId="070758E4">
            <w:pPr>
              <w:jc w:val="center"/>
              <w:rPr>
                <w:rFonts w:ascii="仿宋_GB2312" w:hAnsi="Times New Roman" w:cs="Times New Roman"/>
                <w:bCs/>
                <w:kern w:val="0"/>
                <w:sz w:val="24"/>
                <w:szCs w:val="24"/>
              </w:rPr>
            </w:pPr>
          </w:p>
        </w:tc>
        <w:tc>
          <w:tcPr>
            <w:tcW w:w="1843" w:type="dxa"/>
            <w:tcBorders>
              <w:top w:val="single" w:color="auto" w:sz="8" w:space="0"/>
              <w:left w:val="single" w:color="auto" w:sz="2" w:space="0"/>
              <w:right w:val="single" w:color="auto" w:sz="2" w:space="0"/>
            </w:tcBorders>
            <w:shd w:val="clear" w:color="auto" w:fill="D9D9D9"/>
          </w:tcPr>
          <w:p w14:paraId="16F95766">
            <w:pPr>
              <w:jc w:val="center"/>
              <w:rPr>
                <w:rFonts w:ascii="仿宋_GB2312" w:hAnsi="Times New Roman" w:cs="Times New Roman"/>
                <w:bCs/>
                <w:kern w:val="0"/>
                <w:sz w:val="24"/>
                <w:szCs w:val="24"/>
              </w:rPr>
            </w:pPr>
          </w:p>
        </w:tc>
        <w:tc>
          <w:tcPr>
            <w:tcW w:w="2244" w:type="dxa"/>
            <w:tcBorders>
              <w:top w:val="single" w:color="auto" w:sz="8" w:space="0"/>
              <w:left w:val="single" w:color="auto" w:sz="2" w:space="0"/>
            </w:tcBorders>
            <w:shd w:val="clear" w:color="auto" w:fill="D9D9D9"/>
          </w:tcPr>
          <w:p w14:paraId="37C34629">
            <w:pPr>
              <w:jc w:val="center"/>
              <w:rPr>
                <w:rFonts w:ascii="仿宋_GB2312" w:hAnsi="Times New Roman" w:cs="Times New Roman"/>
                <w:bCs/>
                <w:kern w:val="0"/>
                <w:sz w:val="24"/>
                <w:szCs w:val="24"/>
              </w:rPr>
            </w:pPr>
            <w:r>
              <w:rPr>
                <w:rFonts w:hint="eastAsia" w:ascii="仿宋_GB2312" w:hAnsi="Times New Roman" w:cs="Times New Roman"/>
                <w:bCs/>
                <w:kern w:val="0"/>
                <w:sz w:val="24"/>
                <w:szCs w:val="24"/>
              </w:rPr>
              <w:t>如排放因子法等,依据和文件名称</w:t>
            </w:r>
          </w:p>
        </w:tc>
      </w:tr>
      <w:tr w14:paraId="2AEF78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694" w:type="dxa"/>
            <w:tcBorders>
              <w:right w:val="single" w:color="auto" w:sz="8" w:space="0"/>
            </w:tcBorders>
          </w:tcPr>
          <w:p w14:paraId="171254BC">
            <w:pPr>
              <w:ind w:left="600" w:leftChars="200"/>
              <w:rPr>
                <w:rFonts w:ascii="仿宋_GB2312" w:hAnsi="Times New Roman" w:cs="Times New Roman"/>
                <w:bCs/>
                <w:iCs/>
                <w:kern w:val="0"/>
                <w:sz w:val="24"/>
                <w:szCs w:val="24"/>
              </w:rPr>
            </w:pPr>
            <w:r>
              <w:rPr>
                <w:rFonts w:hint="eastAsia" w:ascii="仿宋_GB2312" w:hAnsi="Times New Roman" w:cs="Times New Roman"/>
                <w:bCs/>
                <w:iCs/>
                <w:kern w:val="0"/>
                <w:sz w:val="24"/>
                <w:szCs w:val="24"/>
              </w:rPr>
              <w:t>固定源排放</w:t>
            </w:r>
          </w:p>
        </w:tc>
        <w:tc>
          <w:tcPr>
            <w:tcW w:w="1525" w:type="dxa"/>
            <w:tcBorders>
              <w:left w:val="single" w:color="auto" w:sz="8" w:space="0"/>
              <w:right w:val="single" w:color="auto" w:sz="2" w:space="0"/>
            </w:tcBorders>
          </w:tcPr>
          <w:p w14:paraId="31CF2631">
            <w:pPr>
              <w:jc w:val="center"/>
              <w:rPr>
                <w:rFonts w:ascii="仿宋_GB2312" w:hAnsi="Times New Roman" w:cs="Times New Roman"/>
                <w:bCs/>
                <w:kern w:val="0"/>
                <w:sz w:val="24"/>
                <w:szCs w:val="24"/>
              </w:rPr>
            </w:pPr>
          </w:p>
        </w:tc>
        <w:tc>
          <w:tcPr>
            <w:tcW w:w="1843" w:type="dxa"/>
            <w:tcBorders>
              <w:left w:val="single" w:color="auto" w:sz="2" w:space="0"/>
              <w:right w:val="single" w:color="auto" w:sz="2" w:space="0"/>
            </w:tcBorders>
          </w:tcPr>
          <w:p w14:paraId="1EC64781">
            <w:pPr>
              <w:jc w:val="center"/>
              <w:rPr>
                <w:rFonts w:ascii="仿宋_GB2312" w:hAnsi="Times New Roman" w:cs="Times New Roman"/>
                <w:bCs/>
                <w:kern w:val="0"/>
                <w:sz w:val="24"/>
                <w:szCs w:val="24"/>
              </w:rPr>
            </w:pPr>
          </w:p>
        </w:tc>
        <w:tc>
          <w:tcPr>
            <w:tcW w:w="2244" w:type="dxa"/>
            <w:tcBorders>
              <w:left w:val="single" w:color="auto" w:sz="2" w:space="0"/>
            </w:tcBorders>
          </w:tcPr>
          <w:p w14:paraId="56857C47">
            <w:pPr>
              <w:jc w:val="center"/>
              <w:rPr>
                <w:rFonts w:ascii="仿宋_GB2312" w:hAnsi="Times New Roman" w:cs="Times New Roman"/>
                <w:bCs/>
                <w:kern w:val="0"/>
                <w:sz w:val="24"/>
                <w:szCs w:val="24"/>
              </w:rPr>
            </w:pPr>
          </w:p>
        </w:tc>
      </w:tr>
      <w:tr w14:paraId="12FC67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Borders>
              <w:right w:val="single" w:color="auto" w:sz="8" w:space="0"/>
            </w:tcBorders>
          </w:tcPr>
          <w:p w14:paraId="7D8FF864">
            <w:pPr>
              <w:ind w:left="600" w:leftChars="200"/>
              <w:rPr>
                <w:rFonts w:ascii="仿宋_GB2312" w:hAnsi="Times New Roman" w:cs="Times New Roman"/>
                <w:bCs/>
                <w:iCs/>
                <w:kern w:val="0"/>
                <w:sz w:val="24"/>
                <w:szCs w:val="24"/>
              </w:rPr>
            </w:pPr>
            <w:r>
              <w:rPr>
                <w:rFonts w:hint="eastAsia" w:ascii="仿宋_GB2312" w:hAnsi="Times New Roman" w:cs="Times New Roman"/>
                <w:bCs/>
                <w:iCs/>
                <w:kern w:val="0"/>
                <w:sz w:val="24"/>
                <w:szCs w:val="24"/>
              </w:rPr>
              <w:t>移动源排放</w:t>
            </w:r>
          </w:p>
        </w:tc>
        <w:tc>
          <w:tcPr>
            <w:tcW w:w="1525" w:type="dxa"/>
            <w:tcBorders>
              <w:left w:val="single" w:color="auto" w:sz="8" w:space="0"/>
              <w:right w:val="single" w:color="auto" w:sz="2" w:space="0"/>
            </w:tcBorders>
          </w:tcPr>
          <w:p w14:paraId="196D12CC">
            <w:pPr>
              <w:jc w:val="center"/>
              <w:rPr>
                <w:rFonts w:ascii="仿宋_GB2312" w:hAnsi="Times New Roman" w:cs="Times New Roman"/>
                <w:bCs/>
                <w:kern w:val="0"/>
                <w:sz w:val="24"/>
                <w:szCs w:val="24"/>
              </w:rPr>
            </w:pPr>
          </w:p>
        </w:tc>
        <w:tc>
          <w:tcPr>
            <w:tcW w:w="1843" w:type="dxa"/>
            <w:tcBorders>
              <w:left w:val="single" w:color="auto" w:sz="2" w:space="0"/>
              <w:right w:val="single" w:color="auto" w:sz="2" w:space="0"/>
            </w:tcBorders>
          </w:tcPr>
          <w:p w14:paraId="107C1248">
            <w:pPr>
              <w:jc w:val="center"/>
              <w:rPr>
                <w:rFonts w:ascii="仿宋_GB2312" w:hAnsi="Times New Roman" w:cs="Times New Roman"/>
                <w:bCs/>
                <w:kern w:val="0"/>
                <w:sz w:val="24"/>
                <w:szCs w:val="24"/>
              </w:rPr>
            </w:pPr>
          </w:p>
        </w:tc>
        <w:tc>
          <w:tcPr>
            <w:tcW w:w="2244" w:type="dxa"/>
            <w:tcBorders>
              <w:left w:val="single" w:color="auto" w:sz="2" w:space="0"/>
            </w:tcBorders>
          </w:tcPr>
          <w:p w14:paraId="1FD748F7">
            <w:pPr>
              <w:jc w:val="center"/>
              <w:rPr>
                <w:rFonts w:ascii="仿宋_GB2312" w:hAnsi="Times New Roman" w:cs="Times New Roman"/>
                <w:bCs/>
                <w:kern w:val="0"/>
                <w:sz w:val="24"/>
                <w:szCs w:val="24"/>
              </w:rPr>
            </w:pPr>
          </w:p>
        </w:tc>
      </w:tr>
      <w:tr w14:paraId="6E138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694" w:type="dxa"/>
            <w:tcBorders>
              <w:right w:val="single" w:color="auto" w:sz="8" w:space="0"/>
            </w:tcBorders>
          </w:tcPr>
          <w:p w14:paraId="17120B7A">
            <w:pPr>
              <w:ind w:left="600" w:leftChars="200"/>
              <w:rPr>
                <w:rFonts w:ascii="仿宋_GB2312" w:hAnsi="Times New Roman" w:cs="Times New Roman"/>
                <w:bCs/>
                <w:iCs/>
                <w:kern w:val="0"/>
                <w:sz w:val="24"/>
                <w:szCs w:val="24"/>
              </w:rPr>
            </w:pPr>
            <w:r>
              <w:rPr>
                <w:rFonts w:hint="eastAsia" w:ascii="仿宋_GB2312" w:hAnsi="Times New Roman" w:cs="Times New Roman"/>
                <w:bCs/>
                <w:iCs/>
                <w:kern w:val="0"/>
                <w:sz w:val="24"/>
                <w:szCs w:val="24"/>
              </w:rPr>
              <w:t>工业制程排放</w:t>
            </w:r>
          </w:p>
        </w:tc>
        <w:tc>
          <w:tcPr>
            <w:tcW w:w="1525" w:type="dxa"/>
            <w:tcBorders>
              <w:left w:val="single" w:color="auto" w:sz="8" w:space="0"/>
              <w:right w:val="single" w:color="auto" w:sz="2" w:space="0"/>
            </w:tcBorders>
          </w:tcPr>
          <w:p w14:paraId="6554DCA6">
            <w:pPr>
              <w:jc w:val="center"/>
              <w:rPr>
                <w:rFonts w:ascii="仿宋_GB2312" w:hAnsi="Times New Roman" w:cs="Times New Roman"/>
                <w:bCs/>
                <w:kern w:val="0"/>
                <w:sz w:val="24"/>
                <w:szCs w:val="24"/>
              </w:rPr>
            </w:pPr>
          </w:p>
        </w:tc>
        <w:tc>
          <w:tcPr>
            <w:tcW w:w="1843" w:type="dxa"/>
            <w:tcBorders>
              <w:left w:val="single" w:color="auto" w:sz="2" w:space="0"/>
              <w:right w:val="single" w:color="auto" w:sz="2" w:space="0"/>
            </w:tcBorders>
          </w:tcPr>
          <w:p w14:paraId="2A360809">
            <w:pPr>
              <w:jc w:val="center"/>
              <w:rPr>
                <w:rFonts w:ascii="仿宋_GB2312" w:hAnsi="Times New Roman" w:cs="Times New Roman"/>
                <w:bCs/>
                <w:kern w:val="0"/>
                <w:sz w:val="24"/>
                <w:szCs w:val="24"/>
              </w:rPr>
            </w:pPr>
          </w:p>
        </w:tc>
        <w:tc>
          <w:tcPr>
            <w:tcW w:w="2244" w:type="dxa"/>
            <w:tcBorders>
              <w:left w:val="single" w:color="auto" w:sz="2" w:space="0"/>
            </w:tcBorders>
          </w:tcPr>
          <w:p w14:paraId="200721B3">
            <w:pPr>
              <w:jc w:val="center"/>
              <w:rPr>
                <w:rFonts w:ascii="仿宋_GB2312" w:hAnsi="Times New Roman" w:cs="Times New Roman"/>
                <w:bCs/>
                <w:kern w:val="0"/>
                <w:sz w:val="24"/>
                <w:szCs w:val="24"/>
              </w:rPr>
            </w:pPr>
          </w:p>
        </w:tc>
      </w:tr>
      <w:tr w14:paraId="6727D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694" w:type="dxa"/>
            <w:tcBorders>
              <w:bottom w:val="single" w:color="auto" w:sz="8" w:space="0"/>
              <w:right w:val="single" w:color="auto" w:sz="8" w:space="0"/>
            </w:tcBorders>
          </w:tcPr>
          <w:p w14:paraId="6C03F06E">
            <w:pPr>
              <w:ind w:left="600" w:leftChars="200"/>
              <w:rPr>
                <w:rFonts w:ascii="仿宋_GB2312" w:hAnsi="Times New Roman" w:cs="Times New Roman"/>
                <w:bCs/>
                <w:iCs/>
                <w:kern w:val="0"/>
                <w:sz w:val="24"/>
                <w:szCs w:val="24"/>
              </w:rPr>
            </w:pPr>
            <w:r>
              <w:rPr>
                <w:rFonts w:hint="eastAsia" w:ascii="仿宋_GB2312" w:hAnsi="Times New Roman" w:cs="Times New Roman"/>
                <w:bCs/>
                <w:iCs/>
                <w:kern w:val="0"/>
                <w:sz w:val="24"/>
                <w:szCs w:val="24"/>
              </w:rPr>
              <w:t>无组织逸散排放</w:t>
            </w:r>
          </w:p>
        </w:tc>
        <w:tc>
          <w:tcPr>
            <w:tcW w:w="1525" w:type="dxa"/>
            <w:tcBorders>
              <w:left w:val="single" w:color="auto" w:sz="8" w:space="0"/>
              <w:bottom w:val="single" w:color="auto" w:sz="8" w:space="0"/>
              <w:right w:val="single" w:color="auto" w:sz="2" w:space="0"/>
            </w:tcBorders>
          </w:tcPr>
          <w:p w14:paraId="3C4B6235">
            <w:pPr>
              <w:jc w:val="center"/>
              <w:rPr>
                <w:rFonts w:ascii="仿宋_GB2312" w:hAnsi="Times New Roman" w:cs="Times New Roman"/>
                <w:bCs/>
                <w:kern w:val="0"/>
                <w:sz w:val="24"/>
                <w:szCs w:val="24"/>
              </w:rPr>
            </w:pPr>
          </w:p>
        </w:tc>
        <w:tc>
          <w:tcPr>
            <w:tcW w:w="1843" w:type="dxa"/>
            <w:tcBorders>
              <w:left w:val="single" w:color="auto" w:sz="2" w:space="0"/>
              <w:bottom w:val="single" w:color="auto" w:sz="8" w:space="0"/>
              <w:right w:val="single" w:color="auto" w:sz="2" w:space="0"/>
            </w:tcBorders>
          </w:tcPr>
          <w:p w14:paraId="61441593">
            <w:pPr>
              <w:jc w:val="center"/>
              <w:rPr>
                <w:rFonts w:ascii="仿宋_GB2312" w:hAnsi="Times New Roman" w:cs="Times New Roman"/>
                <w:bCs/>
                <w:kern w:val="0"/>
                <w:sz w:val="24"/>
                <w:szCs w:val="24"/>
              </w:rPr>
            </w:pPr>
          </w:p>
        </w:tc>
        <w:tc>
          <w:tcPr>
            <w:tcW w:w="2244" w:type="dxa"/>
            <w:tcBorders>
              <w:left w:val="single" w:color="auto" w:sz="2" w:space="0"/>
              <w:bottom w:val="single" w:color="auto" w:sz="8" w:space="0"/>
            </w:tcBorders>
          </w:tcPr>
          <w:p w14:paraId="1349DD63">
            <w:pPr>
              <w:jc w:val="center"/>
              <w:rPr>
                <w:rFonts w:ascii="仿宋_GB2312" w:hAnsi="Times New Roman" w:cs="Times New Roman"/>
                <w:bCs/>
                <w:kern w:val="0"/>
                <w:sz w:val="24"/>
                <w:szCs w:val="24"/>
              </w:rPr>
            </w:pPr>
          </w:p>
        </w:tc>
      </w:tr>
      <w:tr w14:paraId="5149E9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694" w:type="dxa"/>
            <w:tcBorders>
              <w:top w:val="single" w:color="auto" w:sz="8" w:space="0"/>
              <w:right w:val="single" w:color="auto" w:sz="8" w:space="0"/>
            </w:tcBorders>
            <w:shd w:val="clear" w:color="auto" w:fill="D9D9D9"/>
          </w:tcPr>
          <w:p w14:paraId="6ACADF21">
            <w:pPr>
              <w:rPr>
                <w:rFonts w:ascii="仿宋_GB2312" w:hAnsi="Times New Roman" w:cs="Times New Roman"/>
                <w:bCs/>
                <w:kern w:val="0"/>
                <w:sz w:val="24"/>
                <w:szCs w:val="24"/>
              </w:rPr>
            </w:pPr>
            <w:r>
              <w:rPr>
                <w:rFonts w:hint="eastAsia" w:ascii="仿宋_GB2312" w:hAnsi="Times New Roman" w:cs="Times New Roman"/>
                <w:bCs/>
                <w:kern w:val="0"/>
                <w:sz w:val="24"/>
                <w:szCs w:val="24"/>
              </w:rPr>
              <w:t>范围二温室气体排放量</w:t>
            </w:r>
          </w:p>
        </w:tc>
        <w:tc>
          <w:tcPr>
            <w:tcW w:w="1525" w:type="dxa"/>
            <w:tcBorders>
              <w:top w:val="single" w:color="auto" w:sz="8" w:space="0"/>
              <w:left w:val="single" w:color="auto" w:sz="8" w:space="0"/>
              <w:right w:val="single" w:color="auto" w:sz="2" w:space="0"/>
            </w:tcBorders>
            <w:shd w:val="clear" w:color="auto" w:fill="D9D9D9"/>
          </w:tcPr>
          <w:p w14:paraId="7C489C20">
            <w:pPr>
              <w:jc w:val="center"/>
              <w:rPr>
                <w:rFonts w:ascii="仿宋_GB2312" w:hAnsi="Times New Roman" w:cs="Times New Roman"/>
                <w:bCs/>
                <w:kern w:val="0"/>
                <w:sz w:val="24"/>
                <w:szCs w:val="24"/>
              </w:rPr>
            </w:pPr>
          </w:p>
        </w:tc>
        <w:tc>
          <w:tcPr>
            <w:tcW w:w="1843" w:type="dxa"/>
            <w:tcBorders>
              <w:top w:val="single" w:color="auto" w:sz="8" w:space="0"/>
              <w:left w:val="single" w:color="auto" w:sz="2" w:space="0"/>
              <w:right w:val="single" w:color="auto" w:sz="2" w:space="0"/>
            </w:tcBorders>
            <w:shd w:val="clear" w:color="auto" w:fill="D9D9D9"/>
          </w:tcPr>
          <w:p w14:paraId="33338E31">
            <w:pPr>
              <w:jc w:val="center"/>
              <w:rPr>
                <w:rFonts w:ascii="仿宋_GB2312" w:hAnsi="Times New Roman" w:cs="Times New Roman"/>
                <w:bCs/>
                <w:kern w:val="0"/>
                <w:sz w:val="24"/>
                <w:szCs w:val="24"/>
              </w:rPr>
            </w:pPr>
          </w:p>
        </w:tc>
        <w:tc>
          <w:tcPr>
            <w:tcW w:w="2244" w:type="dxa"/>
            <w:tcBorders>
              <w:top w:val="single" w:color="auto" w:sz="8" w:space="0"/>
              <w:left w:val="single" w:color="auto" w:sz="2" w:space="0"/>
            </w:tcBorders>
            <w:shd w:val="clear" w:color="auto" w:fill="D9D9D9"/>
          </w:tcPr>
          <w:p w14:paraId="6F8CC036">
            <w:pPr>
              <w:jc w:val="center"/>
              <w:rPr>
                <w:rFonts w:ascii="仿宋_GB2312" w:hAnsi="Times New Roman" w:cs="Times New Roman"/>
                <w:bCs/>
                <w:kern w:val="0"/>
                <w:sz w:val="24"/>
                <w:szCs w:val="24"/>
              </w:rPr>
            </w:pPr>
            <w:r>
              <w:rPr>
                <w:rFonts w:hint="eastAsia" w:ascii="仿宋_GB2312" w:hAnsi="Times New Roman" w:cs="Times New Roman"/>
                <w:bCs/>
                <w:iCs/>
                <w:kern w:val="0"/>
                <w:sz w:val="24"/>
                <w:szCs w:val="24"/>
              </w:rPr>
              <w:t>如基于地理位置或基于市场</w:t>
            </w:r>
          </w:p>
        </w:tc>
      </w:tr>
      <w:tr w14:paraId="0456B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Borders>
              <w:top w:val="single" w:color="auto" w:sz="8" w:space="0"/>
              <w:right w:val="single" w:color="auto" w:sz="8" w:space="0"/>
            </w:tcBorders>
            <w:shd w:val="clear" w:color="auto" w:fill="D9D9D9"/>
          </w:tcPr>
          <w:p w14:paraId="446C038A">
            <w:pPr>
              <w:rPr>
                <w:rFonts w:ascii="仿宋_GB2312" w:hAnsi="Times New Roman" w:cs="Times New Roman"/>
                <w:bCs/>
                <w:kern w:val="0"/>
                <w:sz w:val="24"/>
                <w:szCs w:val="24"/>
              </w:rPr>
            </w:pPr>
            <w:r>
              <w:rPr>
                <w:rFonts w:hint="eastAsia" w:ascii="仿宋_GB2312" w:hAnsi="Times New Roman" w:cs="Times New Roman"/>
                <w:bCs/>
                <w:kern w:val="0"/>
                <w:sz w:val="24"/>
                <w:szCs w:val="24"/>
              </w:rPr>
              <w:t>范围三温室气体排放量</w:t>
            </w:r>
          </w:p>
        </w:tc>
        <w:tc>
          <w:tcPr>
            <w:tcW w:w="1525" w:type="dxa"/>
            <w:tcBorders>
              <w:top w:val="single" w:color="auto" w:sz="8" w:space="0"/>
              <w:left w:val="single" w:color="auto" w:sz="8" w:space="0"/>
              <w:right w:val="single" w:color="auto" w:sz="2" w:space="0"/>
            </w:tcBorders>
            <w:shd w:val="clear" w:color="auto" w:fill="D9D9D9"/>
          </w:tcPr>
          <w:p w14:paraId="71042034">
            <w:pPr>
              <w:jc w:val="center"/>
              <w:rPr>
                <w:rFonts w:ascii="仿宋_GB2312" w:hAnsi="Times New Roman" w:cs="Times New Roman"/>
                <w:bCs/>
                <w:kern w:val="0"/>
                <w:sz w:val="24"/>
                <w:szCs w:val="24"/>
              </w:rPr>
            </w:pPr>
          </w:p>
        </w:tc>
        <w:tc>
          <w:tcPr>
            <w:tcW w:w="1843" w:type="dxa"/>
            <w:tcBorders>
              <w:top w:val="single" w:color="auto" w:sz="8" w:space="0"/>
              <w:left w:val="single" w:color="auto" w:sz="2" w:space="0"/>
              <w:right w:val="single" w:color="auto" w:sz="2" w:space="0"/>
            </w:tcBorders>
            <w:shd w:val="clear" w:color="auto" w:fill="D9D9D9"/>
          </w:tcPr>
          <w:p w14:paraId="73B3BBF6">
            <w:pPr>
              <w:jc w:val="center"/>
              <w:rPr>
                <w:rFonts w:ascii="仿宋_GB2312" w:hAnsi="Times New Roman" w:cs="Times New Roman"/>
                <w:bCs/>
                <w:kern w:val="0"/>
                <w:sz w:val="24"/>
                <w:szCs w:val="24"/>
              </w:rPr>
            </w:pPr>
          </w:p>
        </w:tc>
        <w:tc>
          <w:tcPr>
            <w:tcW w:w="2244" w:type="dxa"/>
            <w:tcBorders>
              <w:top w:val="single" w:color="auto" w:sz="8" w:space="0"/>
              <w:left w:val="single" w:color="auto" w:sz="2" w:space="0"/>
            </w:tcBorders>
            <w:shd w:val="clear" w:color="auto" w:fill="D9D9D9"/>
          </w:tcPr>
          <w:p w14:paraId="4F24E71D">
            <w:pPr>
              <w:jc w:val="center"/>
              <w:rPr>
                <w:rFonts w:ascii="仿宋_GB2312" w:hAnsi="Times New Roman" w:cs="Times New Roman"/>
                <w:bCs/>
                <w:kern w:val="0"/>
                <w:sz w:val="24"/>
                <w:szCs w:val="24"/>
              </w:rPr>
            </w:pPr>
          </w:p>
        </w:tc>
      </w:tr>
      <w:tr w14:paraId="22C5E0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694" w:type="dxa"/>
            <w:tcBorders>
              <w:right w:val="single" w:color="auto" w:sz="8" w:space="0"/>
            </w:tcBorders>
          </w:tcPr>
          <w:p w14:paraId="05220613">
            <w:pPr>
              <w:ind w:left="600" w:leftChars="200"/>
              <w:rPr>
                <w:rFonts w:ascii="仿宋_GB2312" w:hAnsi="Times New Roman" w:cs="Times New Roman"/>
                <w:bCs/>
                <w:iCs/>
                <w:kern w:val="0"/>
                <w:sz w:val="24"/>
                <w:szCs w:val="24"/>
              </w:rPr>
            </w:pPr>
            <w:r>
              <w:rPr>
                <w:rFonts w:hint="eastAsia" w:ascii="仿宋_GB2312" w:hAnsi="Times New Roman" w:cs="Times New Roman"/>
                <w:bCs/>
                <w:iCs/>
                <w:kern w:val="0"/>
                <w:sz w:val="24"/>
                <w:szCs w:val="24"/>
              </w:rPr>
              <w:t>类别1：购买的</w:t>
            </w:r>
            <w:r>
              <w:rPr>
                <w:rFonts w:hint="eastAsia" w:ascii="仿宋_GB2312" w:hAnsi="Times New Roman" w:cs="Times New Roman"/>
                <w:bCs/>
                <w:iCs/>
                <w:kern w:val="0"/>
                <w:sz w:val="24"/>
                <w:szCs w:val="24"/>
                <w:lang w:eastAsia="zh-CN"/>
              </w:rPr>
              <w:t>货物</w:t>
            </w:r>
            <w:r>
              <w:rPr>
                <w:rFonts w:hint="eastAsia" w:ascii="仿宋_GB2312" w:hAnsi="Times New Roman" w:cs="Times New Roman"/>
                <w:bCs/>
                <w:iCs/>
                <w:kern w:val="0"/>
                <w:sz w:val="24"/>
                <w:szCs w:val="24"/>
              </w:rPr>
              <w:t>和服务</w:t>
            </w:r>
          </w:p>
        </w:tc>
        <w:tc>
          <w:tcPr>
            <w:tcW w:w="1525" w:type="dxa"/>
            <w:tcBorders>
              <w:left w:val="single" w:color="auto" w:sz="8" w:space="0"/>
              <w:right w:val="single" w:color="auto" w:sz="2" w:space="0"/>
            </w:tcBorders>
          </w:tcPr>
          <w:p w14:paraId="1E73EAAD">
            <w:pPr>
              <w:jc w:val="center"/>
              <w:rPr>
                <w:rFonts w:ascii="仿宋_GB2312" w:hAnsi="Times New Roman" w:cs="Times New Roman"/>
                <w:bCs/>
                <w:kern w:val="0"/>
                <w:sz w:val="24"/>
                <w:szCs w:val="24"/>
              </w:rPr>
            </w:pPr>
          </w:p>
        </w:tc>
        <w:tc>
          <w:tcPr>
            <w:tcW w:w="1843" w:type="dxa"/>
            <w:tcBorders>
              <w:left w:val="single" w:color="auto" w:sz="2" w:space="0"/>
              <w:right w:val="single" w:color="auto" w:sz="2" w:space="0"/>
            </w:tcBorders>
          </w:tcPr>
          <w:p w14:paraId="06A140D9">
            <w:pPr>
              <w:jc w:val="center"/>
              <w:rPr>
                <w:rFonts w:ascii="仿宋_GB2312" w:hAnsi="Times New Roman" w:cs="Times New Roman"/>
                <w:bCs/>
                <w:kern w:val="0"/>
                <w:sz w:val="24"/>
                <w:szCs w:val="24"/>
              </w:rPr>
            </w:pPr>
          </w:p>
        </w:tc>
        <w:tc>
          <w:tcPr>
            <w:tcW w:w="2244" w:type="dxa"/>
            <w:tcBorders>
              <w:left w:val="single" w:color="auto" w:sz="2" w:space="0"/>
            </w:tcBorders>
          </w:tcPr>
          <w:p w14:paraId="6BC780D4">
            <w:pPr>
              <w:jc w:val="center"/>
              <w:rPr>
                <w:rFonts w:ascii="仿宋_GB2312" w:hAnsi="Times New Roman" w:cs="Times New Roman"/>
                <w:bCs/>
                <w:kern w:val="0"/>
                <w:sz w:val="24"/>
                <w:szCs w:val="24"/>
              </w:rPr>
            </w:pPr>
          </w:p>
        </w:tc>
      </w:tr>
      <w:tr w14:paraId="189DCF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694" w:type="dxa"/>
            <w:tcBorders>
              <w:right w:val="single" w:color="auto" w:sz="8" w:space="0"/>
            </w:tcBorders>
          </w:tcPr>
          <w:p w14:paraId="6A293CF6">
            <w:pPr>
              <w:ind w:left="600" w:leftChars="200"/>
              <w:rPr>
                <w:rFonts w:ascii="仿宋_GB2312" w:hAnsi="Times New Roman" w:cs="Times New Roman"/>
                <w:bCs/>
                <w:iCs/>
                <w:kern w:val="0"/>
                <w:sz w:val="24"/>
                <w:szCs w:val="24"/>
              </w:rPr>
            </w:pPr>
            <w:r>
              <w:rPr>
                <w:rFonts w:hint="eastAsia" w:ascii="仿宋_GB2312" w:hAnsi="Times New Roman" w:cs="Times New Roman"/>
                <w:bCs/>
                <w:iCs/>
                <w:kern w:val="0"/>
                <w:sz w:val="24"/>
                <w:szCs w:val="24"/>
              </w:rPr>
              <w:t>类别2：资本货物</w:t>
            </w:r>
          </w:p>
        </w:tc>
        <w:tc>
          <w:tcPr>
            <w:tcW w:w="1525" w:type="dxa"/>
            <w:tcBorders>
              <w:left w:val="single" w:color="auto" w:sz="8" w:space="0"/>
              <w:right w:val="single" w:color="auto" w:sz="2" w:space="0"/>
            </w:tcBorders>
          </w:tcPr>
          <w:p w14:paraId="6BD4224E">
            <w:pPr>
              <w:jc w:val="center"/>
              <w:rPr>
                <w:rFonts w:ascii="仿宋_GB2312" w:hAnsi="Times New Roman" w:cs="Times New Roman"/>
                <w:bCs/>
                <w:kern w:val="0"/>
                <w:sz w:val="24"/>
                <w:szCs w:val="24"/>
              </w:rPr>
            </w:pPr>
          </w:p>
        </w:tc>
        <w:tc>
          <w:tcPr>
            <w:tcW w:w="1843" w:type="dxa"/>
            <w:tcBorders>
              <w:left w:val="single" w:color="auto" w:sz="2" w:space="0"/>
              <w:right w:val="single" w:color="auto" w:sz="2" w:space="0"/>
            </w:tcBorders>
          </w:tcPr>
          <w:p w14:paraId="13F3B777">
            <w:pPr>
              <w:jc w:val="center"/>
              <w:rPr>
                <w:rFonts w:ascii="仿宋_GB2312" w:hAnsi="Times New Roman" w:cs="Times New Roman"/>
                <w:bCs/>
                <w:kern w:val="0"/>
                <w:sz w:val="24"/>
                <w:szCs w:val="24"/>
              </w:rPr>
            </w:pPr>
          </w:p>
        </w:tc>
        <w:tc>
          <w:tcPr>
            <w:tcW w:w="2244" w:type="dxa"/>
            <w:tcBorders>
              <w:left w:val="single" w:color="auto" w:sz="2" w:space="0"/>
            </w:tcBorders>
          </w:tcPr>
          <w:p w14:paraId="056CADF6">
            <w:pPr>
              <w:jc w:val="center"/>
              <w:rPr>
                <w:rFonts w:ascii="仿宋_GB2312" w:hAnsi="Times New Roman" w:cs="Times New Roman"/>
                <w:bCs/>
                <w:kern w:val="0"/>
                <w:sz w:val="24"/>
                <w:szCs w:val="24"/>
              </w:rPr>
            </w:pPr>
          </w:p>
        </w:tc>
      </w:tr>
      <w:tr w14:paraId="30882B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694" w:type="dxa"/>
            <w:tcBorders>
              <w:right w:val="single" w:color="auto" w:sz="8" w:space="0"/>
            </w:tcBorders>
          </w:tcPr>
          <w:p w14:paraId="74B71361">
            <w:pPr>
              <w:ind w:left="600" w:leftChars="200"/>
              <w:rPr>
                <w:rFonts w:ascii="仿宋_GB2312" w:hAnsi="Times New Roman" w:cs="Times New Roman"/>
                <w:bCs/>
                <w:iCs/>
                <w:kern w:val="0"/>
                <w:sz w:val="24"/>
                <w:szCs w:val="24"/>
              </w:rPr>
            </w:pPr>
            <w:r>
              <w:rPr>
                <w:rFonts w:hint="eastAsia" w:ascii="仿宋_GB2312" w:hAnsi="Times New Roman" w:cs="Times New Roman"/>
                <w:bCs/>
                <w:iCs/>
                <w:kern w:val="0"/>
                <w:sz w:val="24"/>
                <w:szCs w:val="24"/>
              </w:rPr>
              <w:t>类别3：燃料和能源相关活动（未包括在范围一和范围二中的部分）</w:t>
            </w:r>
          </w:p>
        </w:tc>
        <w:tc>
          <w:tcPr>
            <w:tcW w:w="1525" w:type="dxa"/>
            <w:tcBorders>
              <w:left w:val="single" w:color="auto" w:sz="8" w:space="0"/>
              <w:right w:val="single" w:color="auto" w:sz="2" w:space="0"/>
            </w:tcBorders>
          </w:tcPr>
          <w:p w14:paraId="70B6ACB2">
            <w:pPr>
              <w:jc w:val="center"/>
              <w:rPr>
                <w:rFonts w:ascii="仿宋_GB2312" w:hAnsi="Times New Roman" w:cs="Times New Roman"/>
                <w:bCs/>
                <w:kern w:val="0"/>
                <w:sz w:val="24"/>
                <w:szCs w:val="24"/>
              </w:rPr>
            </w:pPr>
          </w:p>
        </w:tc>
        <w:tc>
          <w:tcPr>
            <w:tcW w:w="1843" w:type="dxa"/>
            <w:tcBorders>
              <w:left w:val="single" w:color="auto" w:sz="2" w:space="0"/>
              <w:right w:val="single" w:color="auto" w:sz="2" w:space="0"/>
            </w:tcBorders>
          </w:tcPr>
          <w:p w14:paraId="1495CC26">
            <w:pPr>
              <w:jc w:val="center"/>
              <w:rPr>
                <w:rFonts w:ascii="仿宋_GB2312" w:hAnsi="Times New Roman" w:cs="Times New Roman"/>
                <w:bCs/>
                <w:kern w:val="0"/>
                <w:sz w:val="24"/>
                <w:szCs w:val="24"/>
              </w:rPr>
            </w:pPr>
          </w:p>
        </w:tc>
        <w:tc>
          <w:tcPr>
            <w:tcW w:w="2244" w:type="dxa"/>
            <w:tcBorders>
              <w:left w:val="single" w:color="auto" w:sz="2" w:space="0"/>
            </w:tcBorders>
          </w:tcPr>
          <w:p w14:paraId="75D750ED">
            <w:pPr>
              <w:jc w:val="center"/>
              <w:rPr>
                <w:rFonts w:ascii="仿宋_GB2312" w:hAnsi="Times New Roman" w:cs="Times New Roman"/>
                <w:bCs/>
                <w:kern w:val="0"/>
                <w:sz w:val="24"/>
                <w:szCs w:val="24"/>
              </w:rPr>
            </w:pPr>
          </w:p>
        </w:tc>
      </w:tr>
      <w:tr w14:paraId="0BA16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Borders>
              <w:right w:val="single" w:color="auto" w:sz="8" w:space="0"/>
            </w:tcBorders>
          </w:tcPr>
          <w:p w14:paraId="7FC00E03">
            <w:pPr>
              <w:ind w:left="600" w:leftChars="200"/>
              <w:rPr>
                <w:rFonts w:ascii="仿宋_GB2312" w:hAnsi="Times New Roman" w:cs="Times New Roman"/>
                <w:bCs/>
                <w:iCs/>
                <w:kern w:val="0"/>
                <w:sz w:val="24"/>
                <w:szCs w:val="24"/>
              </w:rPr>
            </w:pPr>
            <w:r>
              <w:rPr>
                <w:rFonts w:hint="eastAsia" w:ascii="仿宋_GB2312" w:hAnsi="Times New Roman" w:cs="Times New Roman"/>
                <w:bCs/>
                <w:iCs/>
                <w:kern w:val="0"/>
                <w:sz w:val="24"/>
                <w:szCs w:val="24"/>
              </w:rPr>
              <w:t>类别4：上游运输和分配</w:t>
            </w:r>
          </w:p>
        </w:tc>
        <w:tc>
          <w:tcPr>
            <w:tcW w:w="1525" w:type="dxa"/>
            <w:tcBorders>
              <w:left w:val="single" w:color="auto" w:sz="8" w:space="0"/>
              <w:right w:val="single" w:color="auto" w:sz="2" w:space="0"/>
            </w:tcBorders>
          </w:tcPr>
          <w:p w14:paraId="0246A152">
            <w:pPr>
              <w:jc w:val="center"/>
              <w:rPr>
                <w:rFonts w:ascii="仿宋_GB2312" w:hAnsi="Times New Roman" w:cs="Times New Roman"/>
                <w:bCs/>
                <w:kern w:val="0"/>
                <w:sz w:val="24"/>
                <w:szCs w:val="24"/>
              </w:rPr>
            </w:pPr>
          </w:p>
        </w:tc>
        <w:tc>
          <w:tcPr>
            <w:tcW w:w="1843" w:type="dxa"/>
            <w:tcBorders>
              <w:left w:val="single" w:color="auto" w:sz="2" w:space="0"/>
              <w:right w:val="single" w:color="auto" w:sz="2" w:space="0"/>
            </w:tcBorders>
          </w:tcPr>
          <w:p w14:paraId="0825822E">
            <w:pPr>
              <w:jc w:val="center"/>
              <w:rPr>
                <w:rFonts w:ascii="仿宋_GB2312" w:hAnsi="Times New Roman" w:cs="Times New Roman"/>
                <w:bCs/>
                <w:kern w:val="0"/>
                <w:sz w:val="24"/>
                <w:szCs w:val="24"/>
              </w:rPr>
            </w:pPr>
          </w:p>
        </w:tc>
        <w:tc>
          <w:tcPr>
            <w:tcW w:w="2244" w:type="dxa"/>
            <w:tcBorders>
              <w:left w:val="single" w:color="auto" w:sz="2" w:space="0"/>
            </w:tcBorders>
          </w:tcPr>
          <w:p w14:paraId="218494F7">
            <w:pPr>
              <w:jc w:val="center"/>
              <w:rPr>
                <w:rFonts w:ascii="仿宋_GB2312" w:hAnsi="Times New Roman" w:cs="Times New Roman"/>
                <w:bCs/>
                <w:kern w:val="0"/>
                <w:sz w:val="24"/>
                <w:szCs w:val="24"/>
              </w:rPr>
            </w:pPr>
          </w:p>
        </w:tc>
      </w:tr>
      <w:tr w14:paraId="02BCCA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694" w:type="dxa"/>
            <w:tcBorders>
              <w:right w:val="single" w:color="auto" w:sz="8" w:space="0"/>
            </w:tcBorders>
          </w:tcPr>
          <w:p w14:paraId="4DDCF185">
            <w:pPr>
              <w:ind w:left="600" w:leftChars="200"/>
              <w:rPr>
                <w:rFonts w:ascii="仿宋_GB2312" w:hAnsi="Times New Roman" w:cs="Times New Roman"/>
                <w:bCs/>
                <w:iCs/>
                <w:kern w:val="0"/>
                <w:sz w:val="24"/>
                <w:szCs w:val="24"/>
              </w:rPr>
            </w:pPr>
            <w:r>
              <w:rPr>
                <w:rFonts w:hint="eastAsia" w:ascii="仿宋_GB2312" w:hAnsi="Times New Roman" w:cs="Times New Roman"/>
                <w:bCs/>
                <w:iCs/>
                <w:kern w:val="0"/>
                <w:sz w:val="24"/>
                <w:szCs w:val="24"/>
              </w:rPr>
              <w:t>类别5：操作中产生的废物</w:t>
            </w:r>
          </w:p>
        </w:tc>
        <w:tc>
          <w:tcPr>
            <w:tcW w:w="1525" w:type="dxa"/>
            <w:tcBorders>
              <w:left w:val="single" w:color="auto" w:sz="8" w:space="0"/>
              <w:right w:val="single" w:color="auto" w:sz="2" w:space="0"/>
            </w:tcBorders>
          </w:tcPr>
          <w:p w14:paraId="1D5972DA">
            <w:pPr>
              <w:jc w:val="center"/>
              <w:rPr>
                <w:rFonts w:ascii="仿宋_GB2312" w:hAnsi="Times New Roman" w:cs="Times New Roman"/>
                <w:bCs/>
                <w:kern w:val="0"/>
                <w:sz w:val="24"/>
                <w:szCs w:val="24"/>
              </w:rPr>
            </w:pPr>
          </w:p>
        </w:tc>
        <w:tc>
          <w:tcPr>
            <w:tcW w:w="1843" w:type="dxa"/>
            <w:tcBorders>
              <w:left w:val="single" w:color="auto" w:sz="2" w:space="0"/>
              <w:right w:val="single" w:color="auto" w:sz="2" w:space="0"/>
            </w:tcBorders>
          </w:tcPr>
          <w:p w14:paraId="4EADB82D">
            <w:pPr>
              <w:jc w:val="center"/>
              <w:rPr>
                <w:rFonts w:ascii="仿宋_GB2312" w:hAnsi="Times New Roman" w:cs="Times New Roman"/>
                <w:bCs/>
                <w:kern w:val="0"/>
                <w:sz w:val="24"/>
                <w:szCs w:val="24"/>
              </w:rPr>
            </w:pPr>
          </w:p>
        </w:tc>
        <w:tc>
          <w:tcPr>
            <w:tcW w:w="2244" w:type="dxa"/>
            <w:tcBorders>
              <w:left w:val="single" w:color="auto" w:sz="2" w:space="0"/>
            </w:tcBorders>
          </w:tcPr>
          <w:p w14:paraId="37DFC086">
            <w:pPr>
              <w:jc w:val="center"/>
              <w:rPr>
                <w:rFonts w:ascii="仿宋_GB2312" w:hAnsi="Times New Roman" w:cs="Times New Roman"/>
                <w:bCs/>
                <w:kern w:val="0"/>
                <w:sz w:val="24"/>
                <w:szCs w:val="24"/>
              </w:rPr>
            </w:pPr>
          </w:p>
        </w:tc>
      </w:tr>
      <w:tr w14:paraId="73AA52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694" w:type="dxa"/>
            <w:tcBorders>
              <w:right w:val="single" w:color="auto" w:sz="8" w:space="0"/>
            </w:tcBorders>
          </w:tcPr>
          <w:p w14:paraId="17C50305">
            <w:pPr>
              <w:ind w:left="600" w:leftChars="200"/>
              <w:rPr>
                <w:rFonts w:ascii="仿宋_GB2312" w:hAnsi="Times New Roman" w:cs="Times New Roman"/>
                <w:bCs/>
                <w:iCs/>
                <w:kern w:val="0"/>
                <w:sz w:val="24"/>
                <w:szCs w:val="24"/>
              </w:rPr>
            </w:pPr>
            <w:r>
              <w:rPr>
                <w:rFonts w:hint="eastAsia" w:ascii="仿宋_GB2312" w:hAnsi="Times New Roman" w:cs="Times New Roman"/>
                <w:bCs/>
                <w:iCs/>
                <w:kern w:val="0"/>
                <w:sz w:val="24"/>
                <w:szCs w:val="24"/>
              </w:rPr>
              <w:t>类别6：商务旅行</w:t>
            </w:r>
          </w:p>
        </w:tc>
        <w:tc>
          <w:tcPr>
            <w:tcW w:w="1525" w:type="dxa"/>
            <w:tcBorders>
              <w:left w:val="single" w:color="auto" w:sz="8" w:space="0"/>
              <w:right w:val="single" w:color="auto" w:sz="2" w:space="0"/>
            </w:tcBorders>
          </w:tcPr>
          <w:p w14:paraId="79F590DF">
            <w:pPr>
              <w:jc w:val="center"/>
              <w:rPr>
                <w:rFonts w:ascii="仿宋_GB2312" w:hAnsi="Times New Roman" w:cs="Times New Roman"/>
                <w:bCs/>
                <w:kern w:val="0"/>
                <w:sz w:val="24"/>
                <w:szCs w:val="24"/>
              </w:rPr>
            </w:pPr>
          </w:p>
        </w:tc>
        <w:tc>
          <w:tcPr>
            <w:tcW w:w="1843" w:type="dxa"/>
            <w:tcBorders>
              <w:left w:val="single" w:color="auto" w:sz="2" w:space="0"/>
              <w:right w:val="single" w:color="auto" w:sz="2" w:space="0"/>
            </w:tcBorders>
          </w:tcPr>
          <w:p w14:paraId="3C0368D6">
            <w:pPr>
              <w:jc w:val="center"/>
              <w:rPr>
                <w:rFonts w:ascii="仿宋_GB2312" w:hAnsi="Times New Roman" w:cs="Times New Roman"/>
                <w:bCs/>
                <w:kern w:val="0"/>
                <w:sz w:val="24"/>
                <w:szCs w:val="24"/>
              </w:rPr>
            </w:pPr>
          </w:p>
        </w:tc>
        <w:tc>
          <w:tcPr>
            <w:tcW w:w="2244" w:type="dxa"/>
            <w:tcBorders>
              <w:left w:val="single" w:color="auto" w:sz="2" w:space="0"/>
            </w:tcBorders>
          </w:tcPr>
          <w:p w14:paraId="753CF35B">
            <w:pPr>
              <w:jc w:val="center"/>
              <w:rPr>
                <w:rFonts w:ascii="仿宋_GB2312" w:hAnsi="Times New Roman" w:cs="Times New Roman"/>
                <w:bCs/>
                <w:kern w:val="0"/>
                <w:sz w:val="24"/>
                <w:szCs w:val="24"/>
              </w:rPr>
            </w:pPr>
          </w:p>
        </w:tc>
      </w:tr>
      <w:tr w14:paraId="02B77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694" w:type="dxa"/>
            <w:tcBorders>
              <w:right w:val="single" w:color="auto" w:sz="8" w:space="0"/>
            </w:tcBorders>
          </w:tcPr>
          <w:p w14:paraId="76A6A944">
            <w:pPr>
              <w:ind w:left="600" w:leftChars="200"/>
              <w:rPr>
                <w:rFonts w:ascii="仿宋_GB2312" w:hAnsi="Times New Roman" w:cs="Times New Roman"/>
                <w:bCs/>
                <w:iCs/>
                <w:kern w:val="0"/>
                <w:sz w:val="24"/>
                <w:szCs w:val="24"/>
              </w:rPr>
            </w:pPr>
            <w:r>
              <w:rPr>
                <w:rFonts w:hint="eastAsia" w:ascii="仿宋_GB2312" w:hAnsi="Times New Roman" w:cs="Times New Roman"/>
                <w:bCs/>
                <w:iCs/>
                <w:kern w:val="0"/>
                <w:sz w:val="24"/>
                <w:szCs w:val="24"/>
              </w:rPr>
              <w:t>类别7：雇员通勤</w:t>
            </w:r>
          </w:p>
        </w:tc>
        <w:tc>
          <w:tcPr>
            <w:tcW w:w="1525" w:type="dxa"/>
            <w:tcBorders>
              <w:left w:val="single" w:color="auto" w:sz="8" w:space="0"/>
              <w:right w:val="single" w:color="auto" w:sz="2" w:space="0"/>
            </w:tcBorders>
          </w:tcPr>
          <w:p w14:paraId="05398E29">
            <w:pPr>
              <w:jc w:val="center"/>
              <w:rPr>
                <w:rFonts w:ascii="仿宋_GB2312" w:hAnsi="Times New Roman" w:cs="Times New Roman"/>
                <w:bCs/>
                <w:kern w:val="0"/>
                <w:sz w:val="24"/>
                <w:szCs w:val="24"/>
              </w:rPr>
            </w:pPr>
          </w:p>
        </w:tc>
        <w:tc>
          <w:tcPr>
            <w:tcW w:w="1843" w:type="dxa"/>
            <w:tcBorders>
              <w:left w:val="single" w:color="auto" w:sz="2" w:space="0"/>
              <w:right w:val="single" w:color="auto" w:sz="2" w:space="0"/>
            </w:tcBorders>
          </w:tcPr>
          <w:p w14:paraId="61681111">
            <w:pPr>
              <w:jc w:val="center"/>
              <w:rPr>
                <w:rFonts w:ascii="仿宋_GB2312" w:hAnsi="Times New Roman" w:cs="Times New Roman"/>
                <w:bCs/>
                <w:kern w:val="0"/>
                <w:sz w:val="24"/>
                <w:szCs w:val="24"/>
              </w:rPr>
            </w:pPr>
          </w:p>
        </w:tc>
        <w:tc>
          <w:tcPr>
            <w:tcW w:w="2244" w:type="dxa"/>
            <w:tcBorders>
              <w:left w:val="single" w:color="auto" w:sz="2" w:space="0"/>
            </w:tcBorders>
          </w:tcPr>
          <w:p w14:paraId="76F3A26A">
            <w:pPr>
              <w:jc w:val="center"/>
              <w:rPr>
                <w:rFonts w:ascii="仿宋_GB2312" w:hAnsi="Times New Roman" w:cs="Times New Roman"/>
                <w:bCs/>
                <w:kern w:val="0"/>
                <w:sz w:val="24"/>
                <w:szCs w:val="24"/>
              </w:rPr>
            </w:pPr>
          </w:p>
        </w:tc>
      </w:tr>
      <w:tr w14:paraId="0D98F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Borders>
              <w:right w:val="single" w:color="auto" w:sz="8" w:space="0"/>
            </w:tcBorders>
          </w:tcPr>
          <w:p w14:paraId="2940E401">
            <w:pPr>
              <w:ind w:left="600" w:leftChars="200"/>
              <w:rPr>
                <w:rFonts w:ascii="仿宋_GB2312" w:hAnsi="Times New Roman" w:cs="Times New Roman"/>
                <w:bCs/>
                <w:iCs/>
                <w:kern w:val="0"/>
                <w:sz w:val="24"/>
                <w:szCs w:val="24"/>
              </w:rPr>
            </w:pPr>
            <w:r>
              <w:rPr>
                <w:rFonts w:hint="eastAsia" w:ascii="仿宋_GB2312" w:hAnsi="Times New Roman" w:cs="Times New Roman"/>
                <w:bCs/>
                <w:iCs/>
                <w:kern w:val="0"/>
                <w:sz w:val="24"/>
                <w:szCs w:val="24"/>
              </w:rPr>
              <w:t>类别8：上游租赁的资产</w:t>
            </w:r>
          </w:p>
        </w:tc>
        <w:tc>
          <w:tcPr>
            <w:tcW w:w="1525" w:type="dxa"/>
            <w:tcBorders>
              <w:left w:val="single" w:color="auto" w:sz="8" w:space="0"/>
              <w:right w:val="single" w:color="auto" w:sz="2" w:space="0"/>
            </w:tcBorders>
          </w:tcPr>
          <w:p w14:paraId="1F70ADD7">
            <w:pPr>
              <w:jc w:val="center"/>
              <w:rPr>
                <w:rFonts w:ascii="仿宋_GB2312" w:hAnsi="Times New Roman" w:cs="Times New Roman"/>
                <w:bCs/>
                <w:kern w:val="0"/>
                <w:sz w:val="24"/>
                <w:szCs w:val="24"/>
              </w:rPr>
            </w:pPr>
          </w:p>
        </w:tc>
        <w:tc>
          <w:tcPr>
            <w:tcW w:w="1843" w:type="dxa"/>
            <w:tcBorders>
              <w:left w:val="single" w:color="auto" w:sz="2" w:space="0"/>
              <w:right w:val="single" w:color="auto" w:sz="2" w:space="0"/>
            </w:tcBorders>
          </w:tcPr>
          <w:p w14:paraId="240E9BEE">
            <w:pPr>
              <w:jc w:val="center"/>
              <w:rPr>
                <w:rFonts w:ascii="仿宋_GB2312" w:hAnsi="Times New Roman" w:cs="Times New Roman"/>
                <w:bCs/>
                <w:kern w:val="0"/>
                <w:sz w:val="24"/>
                <w:szCs w:val="24"/>
              </w:rPr>
            </w:pPr>
          </w:p>
        </w:tc>
        <w:tc>
          <w:tcPr>
            <w:tcW w:w="2244" w:type="dxa"/>
            <w:tcBorders>
              <w:left w:val="single" w:color="auto" w:sz="2" w:space="0"/>
            </w:tcBorders>
          </w:tcPr>
          <w:p w14:paraId="0766B349">
            <w:pPr>
              <w:jc w:val="center"/>
              <w:rPr>
                <w:rFonts w:ascii="仿宋_GB2312" w:hAnsi="Times New Roman" w:cs="Times New Roman"/>
                <w:bCs/>
                <w:kern w:val="0"/>
                <w:sz w:val="24"/>
                <w:szCs w:val="24"/>
              </w:rPr>
            </w:pPr>
          </w:p>
        </w:tc>
      </w:tr>
      <w:tr w14:paraId="68DA1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694" w:type="dxa"/>
            <w:tcBorders>
              <w:right w:val="single" w:color="auto" w:sz="8" w:space="0"/>
            </w:tcBorders>
          </w:tcPr>
          <w:p w14:paraId="7FE84555">
            <w:pPr>
              <w:ind w:left="600" w:leftChars="200"/>
              <w:rPr>
                <w:rFonts w:ascii="仿宋_GB2312" w:hAnsi="Times New Roman" w:cs="Times New Roman"/>
                <w:bCs/>
                <w:iCs/>
                <w:kern w:val="0"/>
                <w:sz w:val="24"/>
                <w:szCs w:val="24"/>
              </w:rPr>
            </w:pPr>
            <w:r>
              <w:rPr>
                <w:rFonts w:hint="eastAsia" w:ascii="仿宋_GB2312" w:hAnsi="Times New Roman" w:cs="Times New Roman"/>
                <w:bCs/>
                <w:iCs/>
                <w:kern w:val="0"/>
                <w:sz w:val="24"/>
                <w:szCs w:val="24"/>
              </w:rPr>
              <w:t>类别9：下游运输和分配</w:t>
            </w:r>
          </w:p>
        </w:tc>
        <w:tc>
          <w:tcPr>
            <w:tcW w:w="1525" w:type="dxa"/>
            <w:tcBorders>
              <w:left w:val="single" w:color="auto" w:sz="8" w:space="0"/>
              <w:right w:val="single" w:color="auto" w:sz="2" w:space="0"/>
            </w:tcBorders>
          </w:tcPr>
          <w:p w14:paraId="6904E8C0">
            <w:pPr>
              <w:jc w:val="center"/>
              <w:rPr>
                <w:rFonts w:ascii="仿宋_GB2312" w:hAnsi="Times New Roman" w:cs="Times New Roman"/>
                <w:bCs/>
                <w:kern w:val="0"/>
                <w:sz w:val="24"/>
                <w:szCs w:val="24"/>
              </w:rPr>
            </w:pPr>
          </w:p>
        </w:tc>
        <w:tc>
          <w:tcPr>
            <w:tcW w:w="1843" w:type="dxa"/>
            <w:tcBorders>
              <w:left w:val="single" w:color="auto" w:sz="2" w:space="0"/>
              <w:right w:val="single" w:color="auto" w:sz="2" w:space="0"/>
            </w:tcBorders>
          </w:tcPr>
          <w:p w14:paraId="48243B05">
            <w:pPr>
              <w:jc w:val="center"/>
              <w:rPr>
                <w:rFonts w:ascii="仿宋_GB2312" w:hAnsi="Times New Roman" w:cs="Times New Roman"/>
                <w:bCs/>
                <w:kern w:val="0"/>
                <w:sz w:val="24"/>
                <w:szCs w:val="24"/>
              </w:rPr>
            </w:pPr>
          </w:p>
        </w:tc>
        <w:tc>
          <w:tcPr>
            <w:tcW w:w="2244" w:type="dxa"/>
            <w:tcBorders>
              <w:left w:val="single" w:color="auto" w:sz="2" w:space="0"/>
            </w:tcBorders>
          </w:tcPr>
          <w:p w14:paraId="3258B778">
            <w:pPr>
              <w:jc w:val="center"/>
              <w:rPr>
                <w:rFonts w:ascii="仿宋_GB2312" w:hAnsi="Times New Roman" w:cs="Times New Roman"/>
                <w:bCs/>
                <w:kern w:val="0"/>
                <w:sz w:val="24"/>
                <w:szCs w:val="24"/>
              </w:rPr>
            </w:pPr>
          </w:p>
        </w:tc>
      </w:tr>
      <w:tr w14:paraId="01070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694" w:type="dxa"/>
            <w:tcBorders>
              <w:right w:val="single" w:color="auto" w:sz="8" w:space="0"/>
            </w:tcBorders>
          </w:tcPr>
          <w:p w14:paraId="680EC250">
            <w:pPr>
              <w:ind w:left="600" w:leftChars="200"/>
              <w:rPr>
                <w:rFonts w:ascii="仿宋_GB2312" w:hAnsi="Times New Roman" w:cs="Times New Roman"/>
                <w:bCs/>
                <w:iCs/>
                <w:kern w:val="0"/>
                <w:sz w:val="24"/>
                <w:szCs w:val="24"/>
              </w:rPr>
            </w:pPr>
            <w:r>
              <w:rPr>
                <w:rFonts w:hint="eastAsia" w:ascii="仿宋_GB2312" w:hAnsi="Times New Roman" w:cs="Times New Roman"/>
                <w:bCs/>
                <w:iCs/>
                <w:kern w:val="0"/>
                <w:sz w:val="24"/>
                <w:szCs w:val="24"/>
              </w:rPr>
              <w:t>类别10：销售产品的加工</w:t>
            </w:r>
          </w:p>
        </w:tc>
        <w:tc>
          <w:tcPr>
            <w:tcW w:w="1525" w:type="dxa"/>
            <w:tcBorders>
              <w:left w:val="single" w:color="auto" w:sz="8" w:space="0"/>
              <w:right w:val="single" w:color="auto" w:sz="2" w:space="0"/>
            </w:tcBorders>
          </w:tcPr>
          <w:p w14:paraId="5C95C570">
            <w:pPr>
              <w:jc w:val="center"/>
              <w:rPr>
                <w:rFonts w:ascii="仿宋_GB2312" w:hAnsi="Times New Roman" w:cs="Times New Roman"/>
                <w:bCs/>
                <w:kern w:val="0"/>
                <w:sz w:val="24"/>
                <w:szCs w:val="24"/>
              </w:rPr>
            </w:pPr>
          </w:p>
        </w:tc>
        <w:tc>
          <w:tcPr>
            <w:tcW w:w="1843" w:type="dxa"/>
            <w:tcBorders>
              <w:left w:val="single" w:color="auto" w:sz="2" w:space="0"/>
              <w:right w:val="single" w:color="auto" w:sz="2" w:space="0"/>
            </w:tcBorders>
          </w:tcPr>
          <w:p w14:paraId="65F36A1B">
            <w:pPr>
              <w:jc w:val="center"/>
              <w:rPr>
                <w:rFonts w:ascii="仿宋_GB2312" w:hAnsi="Times New Roman" w:cs="Times New Roman"/>
                <w:bCs/>
                <w:kern w:val="0"/>
                <w:sz w:val="24"/>
                <w:szCs w:val="24"/>
              </w:rPr>
            </w:pPr>
          </w:p>
        </w:tc>
        <w:tc>
          <w:tcPr>
            <w:tcW w:w="2244" w:type="dxa"/>
            <w:tcBorders>
              <w:left w:val="single" w:color="auto" w:sz="2" w:space="0"/>
            </w:tcBorders>
          </w:tcPr>
          <w:p w14:paraId="7C19A76F">
            <w:pPr>
              <w:jc w:val="center"/>
              <w:rPr>
                <w:rFonts w:ascii="仿宋_GB2312" w:hAnsi="Times New Roman" w:cs="Times New Roman"/>
                <w:bCs/>
                <w:kern w:val="0"/>
                <w:sz w:val="24"/>
                <w:szCs w:val="24"/>
              </w:rPr>
            </w:pPr>
          </w:p>
        </w:tc>
      </w:tr>
      <w:tr w14:paraId="79D71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694" w:type="dxa"/>
            <w:tcBorders>
              <w:right w:val="single" w:color="auto" w:sz="8" w:space="0"/>
            </w:tcBorders>
          </w:tcPr>
          <w:p w14:paraId="6B48926C">
            <w:pPr>
              <w:ind w:left="600" w:leftChars="200"/>
              <w:rPr>
                <w:rFonts w:ascii="仿宋_GB2312" w:hAnsi="Times New Roman" w:cs="Times New Roman"/>
                <w:bCs/>
                <w:iCs/>
                <w:kern w:val="0"/>
                <w:sz w:val="24"/>
                <w:szCs w:val="24"/>
              </w:rPr>
            </w:pPr>
            <w:r>
              <w:rPr>
                <w:rFonts w:hint="eastAsia" w:ascii="仿宋_GB2312" w:hAnsi="Times New Roman" w:cs="Times New Roman"/>
                <w:bCs/>
                <w:iCs/>
                <w:kern w:val="0"/>
                <w:sz w:val="24"/>
                <w:szCs w:val="24"/>
              </w:rPr>
              <w:t>类别11：销售产品的使用</w:t>
            </w:r>
          </w:p>
        </w:tc>
        <w:tc>
          <w:tcPr>
            <w:tcW w:w="1525" w:type="dxa"/>
            <w:tcBorders>
              <w:left w:val="single" w:color="auto" w:sz="8" w:space="0"/>
              <w:right w:val="single" w:color="auto" w:sz="2" w:space="0"/>
            </w:tcBorders>
          </w:tcPr>
          <w:p w14:paraId="319D305A">
            <w:pPr>
              <w:jc w:val="center"/>
              <w:rPr>
                <w:rFonts w:ascii="仿宋_GB2312" w:hAnsi="Times New Roman" w:cs="Times New Roman"/>
                <w:bCs/>
                <w:kern w:val="0"/>
                <w:sz w:val="24"/>
                <w:szCs w:val="24"/>
              </w:rPr>
            </w:pPr>
          </w:p>
        </w:tc>
        <w:tc>
          <w:tcPr>
            <w:tcW w:w="1843" w:type="dxa"/>
            <w:tcBorders>
              <w:left w:val="single" w:color="auto" w:sz="2" w:space="0"/>
              <w:right w:val="single" w:color="auto" w:sz="2" w:space="0"/>
            </w:tcBorders>
          </w:tcPr>
          <w:p w14:paraId="2C50BF6C">
            <w:pPr>
              <w:jc w:val="center"/>
              <w:rPr>
                <w:rFonts w:ascii="仿宋_GB2312" w:hAnsi="Times New Roman" w:cs="Times New Roman"/>
                <w:bCs/>
                <w:kern w:val="0"/>
                <w:sz w:val="24"/>
                <w:szCs w:val="24"/>
              </w:rPr>
            </w:pPr>
          </w:p>
        </w:tc>
        <w:tc>
          <w:tcPr>
            <w:tcW w:w="2244" w:type="dxa"/>
            <w:tcBorders>
              <w:left w:val="single" w:color="auto" w:sz="2" w:space="0"/>
            </w:tcBorders>
          </w:tcPr>
          <w:p w14:paraId="5D01BE9E">
            <w:pPr>
              <w:jc w:val="center"/>
              <w:rPr>
                <w:rFonts w:ascii="仿宋_GB2312" w:hAnsi="Times New Roman" w:cs="Times New Roman"/>
                <w:bCs/>
                <w:kern w:val="0"/>
                <w:sz w:val="24"/>
                <w:szCs w:val="24"/>
              </w:rPr>
            </w:pPr>
          </w:p>
        </w:tc>
      </w:tr>
      <w:tr w14:paraId="23357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Borders>
              <w:right w:val="single" w:color="auto" w:sz="8" w:space="0"/>
            </w:tcBorders>
          </w:tcPr>
          <w:p w14:paraId="6C11DF50">
            <w:pPr>
              <w:ind w:left="600" w:leftChars="200"/>
              <w:rPr>
                <w:rFonts w:ascii="仿宋_GB2312" w:hAnsi="Times New Roman" w:cs="Times New Roman"/>
                <w:bCs/>
                <w:iCs/>
                <w:kern w:val="0"/>
                <w:sz w:val="24"/>
                <w:szCs w:val="24"/>
              </w:rPr>
            </w:pPr>
            <w:r>
              <w:rPr>
                <w:rFonts w:hint="eastAsia" w:ascii="仿宋_GB2312" w:hAnsi="Times New Roman" w:cs="Times New Roman"/>
                <w:bCs/>
                <w:iCs/>
                <w:kern w:val="0"/>
                <w:sz w:val="24"/>
                <w:szCs w:val="24"/>
              </w:rPr>
              <w:t>类别12：售出产品的报废处理</w:t>
            </w:r>
          </w:p>
        </w:tc>
        <w:tc>
          <w:tcPr>
            <w:tcW w:w="1525" w:type="dxa"/>
            <w:tcBorders>
              <w:left w:val="single" w:color="auto" w:sz="8" w:space="0"/>
              <w:right w:val="single" w:color="auto" w:sz="2" w:space="0"/>
            </w:tcBorders>
          </w:tcPr>
          <w:p w14:paraId="061ED459">
            <w:pPr>
              <w:jc w:val="center"/>
              <w:rPr>
                <w:rFonts w:ascii="仿宋_GB2312" w:hAnsi="Times New Roman" w:cs="Times New Roman"/>
                <w:bCs/>
                <w:kern w:val="0"/>
                <w:sz w:val="24"/>
                <w:szCs w:val="24"/>
              </w:rPr>
            </w:pPr>
          </w:p>
        </w:tc>
        <w:tc>
          <w:tcPr>
            <w:tcW w:w="1843" w:type="dxa"/>
            <w:tcBorders>
              <w:left w:val="single" w:color="auto" w:sz="2" w:space="0"/>
              <w:right w:val="single" w:color="auto" w:sz="2" w:space="0"/>
            </w:tcBorders>
          </w:tcPr>
          <w:p w14:paraId="5403DF6D">
            <w:pPr>
              <w:jc w:val="center"/>
              <w:rPr>
                <w:rFonts w:ascii="仿宋_GB2312" w:hAnsi="Times New Roman" w:cs="Times New Roman"/>
                <w:bCs/>
                <w:kern w:val="0"/>
                <w:sz w:val="24"/>
                <w:szCs w:val="24"/>
              </w:rPr>
            </w:pPr>
          </w:p>
        </w:tc>
        <w:tc>
          <w:tcPr>
            <w:tcW w:w="2244" w:type="dxa"/>
            <w:tcBorders>
              <w:left w:val="single" w:color="auto" w:sz="2" w:space="0"/>
            </w:tcBorders>
          </w:tcPr>
          <w:p w14:paraId="10400F44">
            <w:pPr>
              <w:jc w:val="center"/>
              <w:rPr>
                <w:rFonts w:ascii="仿宋_GB2312" w:hAnsi="Times New Roman" w:cs="Times New Roman"/>
                <w:bCs/>
                <w:kern w:val="0"/>
                <w:sz w:val="24"/>
                <w:szCs w:val="24"/>
              </w:rPr>
            </w:pPr>
          </w:p>
        </w:tc>
      </w:tr>
      <w:tr w14:paraId="771CF0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694" w:type="dxa"/>
            <w:tcBorders>
              <w:right w:val="single" w:color="auto" w:sz="8" w:space="0"/>
            </w:tcBorders>
          </w:tcPr>
          <w:p w14:paraId="151333EA">
            <w:pPr>
              <w:ind w:left="600" w:leftChars="200"/>
              <w:rPr>
                <w:rFonts w:ascii="仿宋_GB2312" w:hAnsi="Times New Roman" w:cs="Times New Roman"/>
                <w:bCs/>
                <w:iCs/>
                <w:kern w:val="0"/>
                <w:sz w:val="24"/>
                <w:szCs w:val="24"/>
              </w:rPr>
            </w:pPr>
            <w:r>
              <w:rPr>
                <w:rFonts w:hint="eastAsia" w:ascii="仿宋_GB2312" w:hAnsi="Times New Roman" w:cs="Times New Roman"/>
                <w:bCs/>
                <w:iCs/>
                <w:kern w:val="0"/>
                <w:sz w:val="24"/>
                <w:szCs w:val="24"/>
              </w:rPr>
              <w:t>类别13：下游租赁的资产</w:t>
            </w:r>
          </w:p>
        </w:tc>
        <w:tc>
          <w:tcPr>
            <w:tcW w:w="1525" w:type="dxa"/>
            <w:tcBorders>
              <w:left w:val="single" w:color="auto" w:sz="8" w:space="0"/>
              <w:right w:val="single" w:color="auto" w:sz="2" w:space="0"/>
            </w:tcBorders>
          </w:tcPr>
          <w:p w14:paraId="7005C25B">
            <w:pPr>
              <w:jc w:val="center"/>
              <w:rPr>
                <w:rFonts w:ascii="仿宋_GB2312" w:hAnsi="Times New Roman" w:cs="Times New Roman"/>
                <w:bCs/>
                <w:kern w:val="0"/>
                <w:sz w:val="24"/>
                <w:szCs w:val="24"/>
              </w:rPr>
            </w:pPr>
          </w:p>
        </w:tc>
        <w:tc>
          <w:tcPr>
            <w:tcW w:w="1843" w:type="dxa"/>
            <w:tcBorders>
              <w:left w:val="single" w:color="auto" w:sz="2" w:space="0"/>
              <w:right w:val="single" w:color="auto" w:sz="2" w:space="0"/>
            </w:tcBorders>
          </w:tcPr>
          <w:p w14:paraId="2CCD0E1B">
            <w:pPr>
              <w:jc w:val="center"/>
              <w:rPr>
                <w:rFonts w:ascii="仿宋_GB2312" w:hAnsi="Times New Roman" w:cs="Times New Roman"/>
                <w:bCs/>
                <w:kern w:val="0"/>
                <w:sz w:val="24"/>
                <w:szCs w:val="24"/>
              </w:rPr>
            </w:pPr>
          </w:p>
        </w:tc>
        <w:tc>
          <w:tcPr>
            <w:tcW w:w="2244" w:type="dxa"/>
            <w:tcBorders>
              <w:left w:val="single" w:color="auto" w:sz="2" w:space="0"/>
            </w:tcBorders>
          </w:tcPr>
          <w:p w14:paraId="31A7D8AD">
            <w:pPr>
              <w:jc w:val="center"/>
              <w:rPr>
                <w:rFonts w:ascii="仿宋_GB2312" w:hAnsi="Times New Roman" w:cs="Times New Roman"/>
                <w:bCs/>
                <w:kern w:val="0"/>
                <w:sz w:val="24"/>
                <w:szCs w:val="24"/>
              </w:rPr>
            </w:pPr>
          </w:p>
        </w:tc>
      </w:tr>
      <w:tr w14:paraId="66A97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694" w:type="dxa"/>
            <w:tcBorders>
              <w:right w:val="single" w:color="auto" w:sz="8" w:space="0"/>
            </w:tcBorders>
          </w:tcPr>
          <w:p w14:paraId="4B924F4A">
            <w:pPr>
              <w:ind w:left="600" w:leftChars="200"/>
              <w:rPr>
                <w:rFonts w:ascii="仿宋_GB2312" w:hAnsi="Times New Roman" w:cs="Times New Roman"/>
                <w:bCs/>
                <w:iCs/>
                <w:kern w:val="0"/>
                <w:sz w:val="24"/>
                <w:szCs w:val="24"/>
              </w:rPr>
            </w:pPr>
            <w:r>
              <w:rPr>
                <w:rFonts w:hint="eastAsia" w:ascii="仿宋_GB2312" w:hAnsi="Times New Roman" w:cs="Times New Roman"/>
                <w:bCs/>
                <w:iCs/>
                <w:kern w:val="0"/>
                <w:sz w:val="24"/>
                <w:szCs w:val="24"/>
              </w:rPr>
              <w:t>类别14：特许权</w:t>
            </w:r>
          </w:p>
        </w:tc>
        <w:tc>
          <w:tcPr>
            <w:tcW w:w="1525" w:type="dxa"/>
            <w:tcBorders>
              <w:left w:val="single" w:color="auto" w:sz="8" w:space="0"/>
              <w:right w:val="single" w:color="auto" w:sz="2" w:space="0"/>
            </w:tcBorders>
          </w:tcPr>
          <w:p w14:paraId="52288470">
            <w:pPr>
              <w:jc w:val="center"/>
              <w:rPr>
                <w:rFonts w:ascii="仿宋_GB2312" w:hAnsi="Times New Roman" w:cs="Times New Roman"/>
                <w:bCs/>
                <w:kern w:val="0"/>
                <w:sz w:val="24"/>
                <w:szCs w:val="24"/>
              </w:rPr>
            </w:pPr>
          </w:p>
        </w:tc>
        <w:tc>
          <w:tcPr>
            <w:tcW w:w="1843" w:type="dxa"/>
            <w:tcBorders>
              <w:left w:val="single" w:color="auto" w:sz="2" w:space="0"/>
              <w:right w:val="single" w:color="auto" w:sz="2" w:space="0"/>
            </w:tcBorders>
          </w:tcPr>
          <w:p w14:paraId="26F0EF13">
            <w:pPr>
              <w:jc w:val="center"/>
              <w:rPr>
                <w:rFonts w:ascii="仿宋_GB2312" w:hAnsi="Times New Roman" w:cs="Times New Roman"/>
                <w:bCs/>
                <w:kern w:val="0"/>
                <w:sz w:val="24"/>
                <w:szCs w:val="24"/>
              </w:rPr>
            </w:pPr>
          </w:p>
        </w:tc>
        <w:tc>
          <w:tcPr>
            <w:tcW w:w="2244" w:type="dxa"/>
            <w:tcBorders>
              <w:left w:val="single" w:color="auto" w:sz="2" w:space="0"/>
            </w:tcBorders>
          </w:tcPr>
          <w:p w14:paraId="3A62293A">
            <w:pPr>
              <w:jc w:val="center"/>
              <w:rPr>
                <w:rFonts w:ascii="仿宋_GB2312" w:hAnsi="Times New Roman" w:cs="Times New Roman"/>
                <w:bCs/>
                <w:kern w:val="0"/>
                <w:sz w:val="24"/>
                <w:szCs w:val="24"/>
              </w:rPr>
            </w:pPr>
          </w:p>
        </w:tc>
      </w:tr>
      <w:tr w14:paraId="195CE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694" w:type="dxa"/>
            <w:tcBorders>
              <w:bottom w:val="single" w:color="auto" w:sz="8" w:space="0"/>
              <w:right w:val="single" w:color="auto" w:sz="8" w:space="0"/>
            </w:tcBorders>
          </w:tcPr>
          <w:p w14:paraId="74B02BBE">
            <w:pPr>
              <w:ind w:left="600" w:leftChars="200"/>
              <w:rPr>
                <w:rFonts w:ascii="仿宋_GB2312" w:hAnsi="Times New Roman" w:cs="Times New Roman"/>
                <w:bCs/>
                <w:iCs/>
                <w:kern w:val="0"/>
                <w:sz w:val="24"/>
                <w:szCs w:val="24"/>
              </w:rPr>
            </w:pPr>
            <w:r>
              <w:rPr>
                <w:rFonts w:hint="eastAsia" w:ascii="仿宋_GB2312" w:hAnsi="Times New Roman" w:cs="Times New Roman"/>
                <w:bCs/>
                <w:iCs/>
                <w:kern w:val="0"/>
                <w:sz w:val="24"/>
                <w:szCs w:val="24"/>
              </w:rPr>
              <w:t>类别15：投资</w:t>
            </w:r>
          </w:p>
        </w:tc>
        <w:tc>
          <w:tcPr>
            <w:tcW w:w="1525" w:type="dxa"/>
            <w:tcBorders>
              <w:left w:val="single" w:color="auto" w:sz="8" w:space="0"/>
              <w:bottom w:val="single" w:color="auto" w:sz="8" w:space="0"/>
              <w:right w:val="single" w:color="auto" w:sz="2" w:space="0"/>
            </w:tcBorders>
          </w:tcPr>
          <w:p w14:paraId="072EB3FE">
            <w:pPr>
              <w:jc w:val="center"/>
              <w:rPr>
                <w:rFonts w:ascii="仿宋_GB2312" w:hAnsi="Times New Roman" w:cs="Times New Roman"/>
                <w:bCs/>
                <w:kern w:val="0"/>
                <w:sz w:val="24"/>
                <w:szCs w:val="24"/>
              </w:rPr>
            </w:pPr>
          </w:p>
        </w:tc>
        <w:tc>
          <w:tcPr>
            <w:tcW w:w="1843" w:type="dxa"/>
            <w:tcBorders>
              <w:left w:val="single" w:color="auto" w:sz="2" w:space="0"/>
              <w:bottom w:val="single" w:color="auto" w:sz="8" w:space="0"/>
              <w:right w:val="single" w:color="auto" w:sz="2" w:space="0"/>
            </w:tcBorders>
          </w:tcPr>
          <w:p w14:paraId="6DE3E237">
            <w:pPr>
              <w:jc w:val="center"/>
              <w:rPr>
                <w:rFonts w:ascii="仿宋_GB2312" w:hAnsi="Times New Roman" w:cs="Times New Roman"/>
                <w:bCs/>
                <w:kern w:val="0"/>
                <w:sz w:val="24"/>
                <w:szCs w:val="24"/>
              </w:rPr>
            </w:pPr>
          </w:p>
        </w:tc>
        <w:tc>
          <w:tcPr>
            <w:tcW w:w="2244" w:type="dxa"/>
            <w:tcBorders>
              <w:left w:val="single" w:color="auto" w:sz="2" w:space="0"/>
              <w:bottom w:val="single" w:color="auto" w:sz="8" w:space="0"/>
            </w:tcBorders>
          </w:tcPr>
          <w:p w14:paraId="19A9672A">
            <w:pPr>
              <w:jc w:val="center"/>
              <w:rPr>
                <w:rFonts w:ascii="仿宋_GB2312" w:hAnsi="Times New Roman" w:cs="Times New Roman"/>
                <w:bCs/>
                <w:kern w:val="0"/>
                <w:sz w:val="24"/>
                <w:szCs w:val="24"/>
              </w:rPr>
            </w:pPr>
          </w:p>
        </w:tc>
      </w:tr>
      <w:tr w14:paraId="74E279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Borders>
              <w:top w:val="single" w:color="auto" w:sz="8" w:space="0"/>
              <w:bottom w:val="single" w:color="auto" w:sz="8" w:space="0"/>
              <w:right w:val="single" w:color="auto" w:sz="8" w:space="0"/>
            </w:tcBorders>
            <w:shd w:val="clear" w:color="auto" w:fill="BFBFBF"/>
          </w:tcPr>
          <w:p w14:paraId="51F44EB8">
            <w:pPr>
              <w:jc w:val="center"/>
              <w:rPr>
                <w:rFonts w:ascii="仿宋_GB2312" w:hAnsi="Times New Roman" w:cs="Times New Roman"/>
                <w:bCs/>
                <w:kern w:val="0"/>
                <w:sz w:val="24"/>
                <w:szCs w:val="24"/>
              </w:rPr>
            </w:pPr>
            <w:r>
              <w:rPr>
                <w:rFonts w:hint="eastAsia" w:ascii="仿宋_GB2312" w:hAnsi="Times New Roman" w:cs="Times New Roman"/>
                <w:bCs/>
                <w:kern w:val="0"/>
                <w:sz w:val="24"/>
                <w:szCs w:val="24"/>
              </w:rPr>
              <w:t>温室气体排放总量</w:t>
            </w:r>
          </w:p>
        </w:tc>
        <w:tc>
          <w:tcPr>
            <w:tcW w:w="1525" w:type="dxa"/>
            <w:tcBorders>
              <w:top w:val="single" w:color="auto" w:sz="8" w:space="0"/>
              <w:left w:val="single" w:color="auto" w:sz="8" w:space="0"/>
              <w:bottom w:val="single" w:color="auto" w:sz="8" w:space="0"/>
              <w:right w:val="single" w:color="auto" w:sz="2" w:space="0"/>
            </w:tcBorders>
            <w:shd w:val="clear" w:color="auto" w:fill="BFBFBF"/>
          </w:tcPr>
          <w:p w14:paraId="0EA25BF7">
            <w:pPr>
              <w:jc w:val="center"/>
              <w:rPr>
                <w:rFonts w:ascii="仿宋_GB2312" w:hAnsi="Times New Roman" w:cs="Times New Roman"/>
                <w:bCs/>
                <w:kern w:val="0"/>
                <w:sz w:val="24"/>
                <w:szCs w:val="24"/>
              </w:rPr>
            </w:pPr>
          </w:p>
        </w:tc>
        <w:tc>
          <w:tcPr>
            <w:tcW w:w="1843" w:type="dxa"/>
            <w:tcBorders>
              <w:top w:val="single" w:color="auto" w:sz="8" w:space="0"/>
              <w:left w:val="single" w:color="auto" w:sz="2" w:space="0"/>
              <w:bottom w:val="single" w:color="auto" w:sz="8" w:space="0"/>
              <w:right w:val="single" w:color="auto" w:sz="2" w:space="0"/>
            </w:tcBorders>
            <w:shd w:val="clear" w:color="auto" w:fill="BFBFBF"/>
          </w:tcPr>
          <w:p w14:paraId="24EBADBC">
            <w:pPr>
              <w:jc w:val="center"/>
              <w:rPr>
                <w:rFonts w:ascii="仿宋_GB2312" w:hAnsi="Times New Roman" w:cs="Times New Roman"/>
                <w:bCs/>
                <w:kern w:val="0"/>
                <w:sz w:val="24"/>
                <w:szCs w:val="24"/>
              </w:rPr>
            </w:pPr>
          </w:p>
        </w:tc>
        <w:tc>
          <w:tcPr>
            <w:tcW w:w="2244" w:type="dxa"/>
            <w:tcBorders>
              <w:top w:val="single" w:color="auto" w:sz="8" w:space="0"/>
              <w:left w:val="single" w:color="auto" w:sz="2" w:space="0"/>
              <w:bottom w:val="single" w:color="auto" w:sz="8" w:space="0"/>
            </w:tcBorders>
            <w:shd w:val="clear" w:color="auto" w:fill="BFBFBF"/>
          </w:tcPr>
          <w:p w14:paraId="297789F4">
            <w:pPr>
              <w:rPr>
                <w:rFonts w:ascii="仿宋_GB2312" w:hAnsi="Times New Roman" w:cs="Times New Roman"/>
                <w:bCs/>
                <w:kern w:val="0"/>
                <w:sz w:val="24"/>
                <w:szCs w:val="24"/>
              </w:rPr>
            </w:pPr>
            <w:r>
              <w:rPr>
                <w:rFonts w:hint="eastAsia" w:ascii="仿宋_GB2312" w:hAnsi="Times New Roman" w:cs="Times New Roman"/>
                <w:bCs/>
                <w:kern w:val="0"/>
                <w:sz w:val="24"/>
                <w:szCs w:val="24"/>
              </w:rPr>
              <w:t>明确组织边界的定义方法，如股权比例法/财务控制法/运营控制法等</w:t>
            </w:r>
          </w:p>
        </w:tc>
      </w:tr>
    </w:tbl>
    <w:p w14:paraId="3C5D641C">
      <w:pPr>
        <w:spacing w:line="560" w:lineRule="exact"/>
        <w:outlineLvl w:val="0"/>
        <w:rPr>
          <w:rFonts w:ascii="Times New Roman" w:hAnsi="Times New Roman" w:eastAsia="黑体" w:cs="Times New Roman"/>
          <w:sz w:val="32"/>
          <w:szCs w:val="32"/>
        </w:rPr>
      </w:pPr>
    </w:p>
    <w:p w14:paraId="1875257C">
      <w:pPr>
        <w:pStyle w:val="50"/>
        <w:spacing w:line="560" w:lineRule="exact"/>
        <w:ind w:firstLine="0" w:firstLineChars="0"/>
      </w:pPr>
    </w:p>
    <w:p w14:paraId="7F5E0BC9"/>
    <w:sectPr>
      <w:footerReference r:id="rId7"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仿宋_GB2312">
    <w:panose1 w:val="02010609030101010101"/>
    <w:charset w:val="86"/>
    <w:family w:val="modern"/>
    <w:pitch w:val="default"/>
    <w:sig w:usb0="00000001" w:usb1="080E0000" w:usb2="00000000" w:usb3="00000000" w:csb0="00040000" w:csb1="00000000"/>
  </w:font>
  <w:font w:name="方正大标宋简体">
    <w:panose1 w:val="02000000000000000000"/>
    <w:charset w:val="86"/>
    <w:family w:val="script"/>
    <w:pitch w:val="default"/>
    <w:sig w:usb0="A00002BF" w:usb1="184F6CFA" w:usb2="00000012" w:usb3="00000000" w:csb0="00040001" w:csb1="00000000"/>
  </w:font>
  <w:font w:name="等线">
    <w:altName w:val="宋体"/>
    <w:panose1 w:val="02010600030101010101"/>
    <w:charset w:val="86"/>
    <w:family w:val="auto"/>
    <w:pitch w:val="default"/>
    <w:sig w:usb0="00000000" w:usb1="00000000" w:usb2="00000016" w:usb3="00000000" w:csb0="0004000F" w:csb1="00000000"/>
  </w:font>
  <w:font w:name="等线">
    <w:altName w:val="仿宋_GB2312"/>
    <w:panose1 w:val="00000000000000000000"/>
    <w:charset w:val="86"/>
    <w:family w:val="auto"/>
    <w:pitch w:val="default"/>
    <w:sig w:usb0="00000000" w:usb1="00000000" w:usb2="00000000" w:usb3="00000000" w:csb0="00000000" w:csb1="00000000"/>
  </w:font>
  <w:font w:name="等线">
    <w:altName w:val="阿里巴巴普惠体 R"/>
    <w:panose1 w:val="00000000000000000000"/>
    <w:charset w:val="00"/>
    <w:family w:val="auto"/>
    <w:pitch w:val="default"/>
    <w:sig w:usb0="00000000" w:usb1="00000000" w:usb2="00000000" w:usb3="00000000" w:csb0="00000000" w:csb1="00000000"/>
  </w:font>
  <w:font w:name="微软雅黑">
    <w:altName w:val="黑体"/>
    <w:panose1 w:val="020B0503020204020204"/>
    <w:charset w:val="86"/>
    <w:family w:val="swiss"/>
    <w:pitch w:val="default"/>
    <w:sig w:usb0="00000000" w:usb1="00000000" w:usb2="00000016" w:usb3="00000000" w:csb0="0004001F" w:csb1="00000000"/>
  </w:font>
  <w:font w:name="Cambria">
    <w:altName w:val="Noto Sans Syriac Eastern"/>
    <w:panose1 w:val="02040503050406030204"/>
    <w:charset w:val="00"/>
    <w:family w:val="roman"/>
    <w:pitch w:val="default"/>
    <w:sig w:usb0="00000000" w:usb1="00000000" w:usb2="00000000" w:usb3="00000000" w:csb0="0000019F" w:csb1="00000000"/>
  </w:font>
  <w:font w:name="Noto Sans Syriac Eastern">
    <w:panose1 w:val="02040503050306020203"/>
    <w:charset w:val="86"/>
    <w:family w:val="auto"/>
    <w:pitch w:val="default"/>
    <w:sig w:usb0="00000000" w:usb1="00000000" w:usb2="00000080" w:usb3="00000000" w:csb0="203E0161" w:csb1="D7FF0000"/>
  </w:font>
  <w:font w:name="Source Han Serif CN">
    <w:altName w:val="宋体"/>
    <w:panose1 w:val="00000000000000000000"/>
    <w:charset w:val="86"/>
    <w:family w:val="roman"/>
    <w:pitch w:val="default"/>
    <w:sig w:usb0="00000000" w:usb1="00000000" w:usb2="00000010" w:usb3="00000000" w:csb0="00040000" w:csb1="00000000"/>
  </w:font>
  <w:font w:name="等线 Light">
    <w:altName w:val="宋体"/>
    <w:panose1 w:val="02010600030101010101"/>
    <w:charset w:val="86"/>
    <w:family w:val="auto"/>
    <w:pitch w:val="default"/>
    <w:sig w:usb0="00000000" w:usb1="00000000" w:usb2="00000016" w:usb3="00000000" w:csb0="0004000F" w:csb1="00000000"/>
  </w:font>
  <w:font w:name="Arial Unicode MS">
    <w:altName w:val="Times New Roman"/>
    <w:panose1 w:val="020B0604020202020204"/>
    <w:charset w:val="86"/>
    <w:family w:val="swiss"/>
    <w:pitch w:val="default"/>
    <w:sig w:usb0="00000000" w:usb1="00000000" w:usb2="0000003F" w:usb3="00000000" w:csb0="003F01FF" w:csb1="00000000"/>
  </w:font>
  <w:font w:name="Cambria Math">
    <w:altName w:val="DejaVu Math TeX Gyre"/>
    <w:panose1 w:val="02040503050406030204"/>
    <w:charset w:val="00"/>
    <w:family w:val="roman"/>
    <w:pitch w:val="default"/>
    <w:sig w:usb0="00000000" w:usb1="00000000" w:usb2="00000000" w:usb3="00000000" w:csb0="0000019F" w:csb1="00000000"/>
  </w:font>
  <w:font w:name="DejaVu Math TeX Gyre">
    <w:panose1 w:val="02000503000000000000"/>
    <w:charset w:val="00"/>
    <w:family w:val="auto"/>
    <w:pitch w:val="default"/>
    <w:sig w:usb0="A10000EF" w:usb1="4201F9EE" w:usb2="02000000" w:usb3="00000000" w:csb0="60000193" w:csb1="0DD40000"/>
  </w:font>
  <w:font w:name="阿里巴巴普惠体 R">
    <w:panose1 w:val="00020600040101010101"/>
    <w:charset w:val="86"/>
    <w:family w:val="auto"/>
    <w:pitch w:val="default"/>
    <w:sig w:usb0="A00002FF" w:usb1="7ACF7CFB" w:usb2="0000001E" w:usb3="00000000" w:csb0="0004009F" w:csb1="00000000"/>
  </w:font>
  <w:font w:name="Noto Sans CJK JP Bold">
    <w:panose1 w:val="020B0800000000000000"/>
    <w:charset w:val="86"/>
    <w:family w:val="auto"/>
    <w:pitch w:val="default"/>
    <w:sig w:usb0="30000003" w:usb1="2BDF3C10" w:usb2="00000016" w:usb3="00000000" w:csb0="602E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87D1E9">
    <w:pPr>
      <w:pStyle w:val="15"/>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2FCF26">
    <w:pPr>
      <w:pStyle w:val="15"/>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3B0DF7">
                          <w:pPr>
                            <w:pStyle w:val="15"/>
                          </w:pPr>
                          <w:r>
                            <w:fldChar w:fldCharType="begin"/>
                          </w:r>
                          <w:r>
                            <w:instrText xml:space="preserve"> PAGE  \* MERGEFORMAT </w:instrText>
                          </w:r>
                          <w:r>
                            <w:fldChar w:fldCharType="separate"/>
                          </w:r>
                          <w:r>
                            <w:t>23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LJ1z8s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snXPywCAABXBAAADgAAAAAAAAABACAAAAAfAQAAZHJzL2Uyb0RvYy54bWxQSwUGAAAAAAYA&#10;BgBZAQAAvQUAAAAA&#10;">
              <v:fill on="f" focussize="0,0"/>
              <v:stroke on="f" weight="0.5pt"/>
              <v:imagedata o:title=""/>
              <o:lock v:ext="edit" aspectratio="f"/>
              <v:textbox inset="0mm,0mm,0mm,0mm" style="mso-fit-shape-to-text:t;">
                <w:txbxContent>
                  <w:p w14:paraId="4A3B0DF7">
                    <w:pPr>
                      <w:pStyle w:val="15"/>
                    </w:pPr>
                    <w:r>
                      <w:fldChar w:fldCharType="begin"/>
                    </w:r>
                    <w:r>
                      <w:instrText xml:space="preserve"> PAGE  \* MERGEFORMAT </w:instrText>
                    </w:r>
                    <w:r>
                      <w:fldChar w:fldCharType="separate"/>
                    </w:r>
                    <w:r>
                      <w:t>23</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F7F53F">
    <w:pPr>
      <w:pStyle w:val="15"/>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rPr>
                              <w:rStyle w:val="31"/>
                            </w:rPr>
                            <w:id w:val="-1"/>
                          </w:sdtPr>
                          <w:sdtEndPr>
                            <w:rPr>
                              <w:rStyle w:val="31"/>
                            </w:rPr>
                          </w:sdtEndPr>
                          <w:sdtContent>
                            <w:p w14:paraId="33AA70EB">
                              <w:pPr>
                                <w:pStyle w:val="15"/>
                                <w:rPr>
                                  <w:rStyle w:val="31"/>
                                </w:rPr>
                              </w:pPr>
                              <w:r>
                                <w:rPr>
                                  <w:rStyle w:val="31"/>
                                </w:rPr>
                                <w:fldChar w:fldCharType="begin"/>
                              </w:r>
                              <w:r>
                                <w:rPr>
                                  <w:rStyle w:val="31"/>
                                </w:rPr>
                                <w:instrText xml:space="preserve"> PAGE </w:instrText>
                              </w:r>
                              <w:r>
                                <w:rPr>
                                  <w:rStyle w:val="31"/>
                                </w:rPr>
                                <w:fldChar w:fldCharType="separate"/>
                              </w:r>
                              <w:r>
                                <w:rPr>
                                  <w:rStyle w:val="31"/>
                                </w:rPr>
                                <w:t>11</w:t>
                              </w:r>
                              <w:r>
                                <w:rPr>
                                  <w:rStyle w:val="31"/>
                                </w:rPr>
                                <w:fldChar w:fldCharType="end"/>
                              </w:r>
                            </w:p>
                          </w:sdtContent>
                        </w:sdt>
                        <w:p w14:paraId="07E8CDBB"/>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H3jSMsAgAAVw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JbSjRTqPjpx/fT&#10;z4fTr28EZxCotX6GuHuLyNC9Mx2Ch3OPw8i7q5yKXzAi8EPe40Ve0QXC46XpZDrN4eLwDRvgZ4/X&#10;rfPhvTCKRKOgDvVLsrLDxoc+dAiJ2bRZN1KmGkpN2oJevX6T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4feNIywCAABXBAAADgAAAAAAAAABACAAAAAfAQAAZHJzL2Uyb0RvYy54bWxQSwUGAAAAAAYA&#10;BgBZAQAAvQUAAAAA&#10;">
              <v:fill on="f" focussize="0,0"/>
              <v:stroke on="f" weight="0.5pt"/>
              <v:imagedata o:title=""/>
              <o:lock v:ext="edit" aspectratio="f"/>
              <v:textbox inset="0mm,0mm,0mm,0mm" style="mso-fit-shape-to-text:t;">
                <w:txbxContent>
                  <w:sdt>
                    <w:sdtPr>
                      <w:rPr>
                        <w:rStyle w:val="31"/>
                      </w:rPr>
                      <w:id w:val="-1"/>
                    </w:sdtPr>
                    <w:sdtEndPr>
                      <w:rPr>
                        <w:rStyle w:val="31"/>
                      </w:rPr>
                    </w:sdtEndPr>
                    <w:sdtContent>
                      <w:p w14:paraId="33AA70EB">
                        <w:pPr>
                          <w:pStyle w:val="15"/>
                          <w:rPr>
                            <w:rStyle w:val="31"/>
                          </w:rPr>
                        </w:pPr>
                        <w:r>
                          <w:rPr>
                            <w:rStyle w:val="31"/>
                          </w:rPr>
                          <w:fldChar w:fldCharType="begin"/>
                        </w:r>
                        <w:r>
                          <w:rPr>
                            <w:rStyle w:val="31"/>
                          </w:rPr>
                          <w:instrText xml:space="preserve"> PAGE </w:instrText>
                        </w:r>
                        <w:r>
                          <w:rPr>
                            <w:rStyle w:val="31"/>
                          </w:rPr>
                          <w:fldChar w:fldCharType="separate"/>
                        </w:r>
                        <w:r>
                          <w:rPr>
                            <w:rStyle w:val="31"/>
                          </w:rPr>
                          <w:t>11</w:t>
                        </w:r>
                        <w:r>
                          <w:rPr>
                            <w:rStyle w:val="31"/>
                          </w:rPr>
                          <w:fldChar w:fldCharType="end"/>
                        </w:r>
                      </w:p>
                    </w:sdtContent>
                  </w:sdt>
                  <w:p w14:paraId="07E8CDBB"/>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84596F">
    <w:pPr>
      <w:pStyle w:val="15"/>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rPr>
                              <w:rStyle w:val="31"/>
                            </w:rPr>
                            <w:id w:val="923149291"/>
                          </w:sdtPr>
                          <w:sdtEndPr>
                            <w:rPr>
                              <w:rStyle w:val="31"/>
                            </w:rPr>
                          </w:sdtEndPr>
                          <w:sdtContent>
                            <w:p w14:paraId="6E27E256">
                              <w:pPr>
                                <w:pStyle w:val="15"/>
                                <w:rPr>
                                  <w:rStyle w:val="31"/>
                                </w:rPr>
                              </w:pPr>
                              <w:r>
                                <w:rPr>
                                  <w:rStyle w:val="31"/>
                                </w:rPr>
                                <w:fldChar w:fldCharType="begin"/>
                              </w:r>
                              <w:r>
                                <w:rPr>
                                  <w:rStyle w:val="31"/>
                                </w:rPr>
                                <w:instrText xml:space="preserve"> PAGE </w:instrText>
                              </w:r>
                              <w:r>
                                <w:rPr>
                                  <w:rStyle w:val="31"/>
                                </w:rPr>
                                <w:fldChar w:fldCharType="separate"/>
                              </w:r>
                              <w:r>
                                <w:rPr>
                                  <w:rStyle w:val="31"/>
                                </w:rPr>
                                <w:t>18</w:t>
                              </w:r>
                              <w:r>
                                <w:rPr>
                                  <w:rStyle w:val="31"/>
                                </w:rPr>
                                <w:fldChar w:fldCharType="end"/>
                              </w:r>
                            </w:p>
                          </w:sdtContent>
                        </w:sdt>
                        <w:p w14:paraId="69D9DBB2"/>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JScb8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yUnG/KwIAAFcEAAAOAAAAAAAAAAEAIAAAAB8BAABkcnMvZTJvRG9jLnhtbFBLBQYAAAAABgAG&#10;AFkBAAC8BQAAAAA=&#10;">
              <v:fill on="f" focussize="0,0"/>
              <v:stroke on="f" weight="0.5pt"/>
              <v:imagedata o:title=""/>
              <o:lock v:ext="edit" aspectratio="f"/>
              <v:textbox inset="0mm,0mm,0mm,0mm" style="mso-fit-shape-to-text:t;">
                <w:txbxContent>
                  <w:sdt>
                    <w:sdtPr>
                      <w:rPr>
                        <w:rStyle w:val="31"/>
                      </w:rPr>
                      <w:id w:val="923149291"/>
                    </w:sdtPr>
                    <w:sdtEndPr>
                      <w:rPr>
                        <w:rStyle w:val="31"/>
                      </w:rPr>
                    </w:sdtEndPr>
                    <w:sdtContent>
                      <w:p w14:paraId="6E27E256">
                        <w:pPr>
                          <w:pStyle w:val="15"/>
                          <w:rPr>
                            <w:rStyle w:val="31"/>
                          </w:rPr>
                        </w:pPr>
                        <w:r>
                          <w:rPr>
                            <w:rStyle w:val="31"/>
                          </w:rPr>
                          <w:fldChar w:fldCharType="begin"/>
                        </w:r>
                        <w:r>
                          <w:rPr>
                            <w:rStyle w:val="31"/>
                          </w:rPr>
                          <w:instrText xml:space="preserve"> PAGE </w:instrText>
                        </w:r>
                        <w:r>
                          <w:rPr>
                            <w:rStyle w:val="31"/>
                          </w:rPr>
                          <w:fldChar w:fldCharType="separate"/>
                        </w:r>
                        <w:r>
                          <w:rPr>
                            <w:rStyle w:val="31"/>
                          </w:rPr>
                          <w:t>18</w:t>
                        </w:r>
                        <w:r>
                          <w:rPr>
                            <w:rStyle w:val="31"/>
                          </w:rPr>
                          <w:fldChar w:fldCharType="end"/>
                        </w:r>
                      </w:p>
                    </w:sdtContent>
                  </w:sdt>
                  <w:p w14:paraId="69D9DBB2"/>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623BA8">
    <w:pPr>
      <w:pStyle w:val="15"/>
      <w:ind w:left="1200"/>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rPr>
                              <w:rStyle w:val="31"/>
                            </w:rPr>
                            <w:id w:val="628420729"/>
                          </w:sdtPr>
                          <w:sdtEndPr>
                            <w:rPr>
                              <w:rStyle w:val="31"/>
                            </w:rPr>
                          </w:sdtEndPr>
                          <w:sdtContent>
                            <w:p w14:paraId="5F56453D">
                              <w:pPr>
                                <w:pStyle w:val="15"/>
                                <w:ind w:left="1200"/>
                                <w:rPr>
                                  <w:rStyle w:val="31"/>
                                </w:rPr>
                              </w:pPr>
                              <w:r>
                                <w:rPr>
                                  <w:rStyle w:val="31"/>
                                </w:rPr>
                                <w:fldChar w:fldCharType="begin"/>
                              </w:r>
                              <w:r>
                                <w:rPr>
                                  <w:rStyle w:val="31"/>
                                </w:rPr>
                                <w:instrText xml:space="preserve"> PAGE </w:instrText>
                              </w:r>
                              <w:r>
                                <w:rPr>
                                  <w:rStyle w:val="31"/>
                                </w:rPr>
                                <w:fldChar w:fldCharType="separate"/>
                              </w:r>
                              <w:r>
                                <w:rPr>
                                  <w:rStyle w:val="31"/>
                                </w:rPr>
                                <w:t>29</w:t>
                              </w:r>
                              <w:r>
                                <w:rPr>
                                  <w:rStyle w:val="31"/>
                                </w:rPr>
                                <w:fldChar w:fldCharType="end"/>
                              </w:r>
                            </w:p>
                          </w:sdtContent>
                        </w:sdt>
                        <w:p w14:paraId="7FA903B6"/>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ofIv8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HyL/KwIAAFcEAAAOAAAAAAAAAAEAIAAAAB8BAABkcnMvZTJvRG9jLnhtbFBLBQYAAAAABgAG&#10;AFkBAAC8BQAAAAA=&#10;">
              <v:fill on="f" focussize="0,0"/>
              <v:stroke on="f" weight="0.5pt"/>
              <v:imagedata o:title=""/>
              <o:lock v:ext="edit" aspectratio="f"/>
              <v:textbox inset="0mm,0mm,0mm,0mm" style="mso-fit-shape-to-text:t;">
                <w:txbxContent>
                  <w:sdt>
                    <w:sdtPr>
                      <w:rPr>
                        <w:rStyle w:val="31"/>
                      </w:rPr>
                      <w:id w:val="628420729"/>
                    </w:sdtPr>
                    <w:sdtEndPr>
                      <w:rPr>
                        <w:rStyle w:val="31"/>
                      </w:rPr>
                    </w:sdtEndPr>
                    <w:sdtContent>
                      <w:p w14:paraId="5F56453D">
                        <w:pPr>
                          <w:pStyle w:val="15"/>
                          <w:ind w:left="1200"/>
                          <w:rPr>
                            <w:rStyle w:val="31"/>
                          </w:rPr>
                        </w:pPr>
                        <w:r>
                          <w:rPr>
                            <w:rStyle w:val="31"/>
                          </w:rPr>
                          <w:fldChar w:fldCharType="begin"/>
                        </w:r>
                        <w:r>
                          <w:rPr>
                            <w:rStyle w:val="31"/>
                          </w:rPr>
                          <w:instrText xml:space="preserve"> PAGE </w:instrText>
                        </w:r>
                        <w:r>
                          <w:rPr>
                            <w:rStyle w:val="31"/>
                          </w:rPr>
                          <w:fldChar w:fldCharType="separate"/>
                        </w:r>
                        <w:r>
                          <w:rPr>
                            <w:rStyle w:val="31"/>
                          </w:rPr>
                          <w:t>29</w:t>
                        </w:r>
                        <w:r>
                          <w:rPr>
                            <w:rStyle w:val="31"/>
                          </w:rPr>
                          <w:fldChar w:fldCharType="end"/>
                        </w:r>
                      </w:p>
                    </w:sdtContent>
                  </w:sdt>
                  <w:p w14:paraId="7FA903B6"/>
                </w:txbxContent>
              </v:textbox>
            </v:shape>
          </w:pict>
        </mc:Fallback>
      </mc:AlternateContent>
    </w:r>
  </w:p>
  <w:p w14:paraId="12349BEB"/>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60C1DFA"/>
    <w:multiLevelType w:val="multilevel"/>
    <w:tmpl w:val="360C1DFA"/>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
    <w:nsid w:val="59BA6BA9"/>
    <w:multiLevelType w:val="multilevel"/>
    <w:tmpl w:val="59BA6BA9"/>
    <w:lvl w:ilvl="0" w:tentative="0">
      <w:start w:val="1"/>
      <w:numFmt w:val="bullet"/>
      <w:pStyle w:val="51"/>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6676"/>
    <w:rsid w:val="00006676"/>
    <w:rsid w:val="001167DD"/>
    <w:rsid w:val="0038759A"/>
    <w:rsid w:val="00402B1C"/>
    <w:rsid w:val="00642027"/>
    <w:rsid w:val="009E0EA6"/>
    <w:rsid w:val="00FF61FB"/>
    <w:rsid w:val="295FD188"/>
    <w:rsid w:val="7CB05D81"/>
    <w:rsid w:val="BFEB7D5C"/>
    <w:rsid w:val="F7FDABEC"/>
    <w:rsid w:val="FFFE63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iPriority="0" w:semiHidden="0"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仿宋_GB2312" w:asciiTheme="minorHAnsi" w:hAnsiTheme="minorHAnsi" w:cstheme="minorBidi"/>
      <w:kern w:val="2"/>
      <w:sz w:val="30"/>
      <w:szCs w:val="22"/>
      <w:lang w:val="en-US" w:eastAsia="zh-CN" w:bidi="ar-SA"/>
    </w:rPr>
  </w:style>
  <w:style w:type="paragraph" w:styleId="2">
    <w:name w:val="heading 1"/>
    <w:basedOn w:val="1"/>
    <w:next w:val="1"/>
    <w:link w:val="35"/>
    <w:autoRedefine/>
    <w:qFormat/>
    <w:uiPriority w:val="0"/>
    <w:pPr>
      <w:keepNext/>
      <w:keepLines/>
      <w:spacing w:before="340" w:after="330" w:line="578" w:lineRule="auto"/>
      <w:outlineLvl w:val="0"/>
    </w:pPr>
    <w:rPr>
      <w:rFonts w:ascii="Times New Roman" w:hAnsi="Times New Roman" w:eastAsia="宋体" w:cs="Times New Roman"/>
      <w:b/>
      <w:bCs/>
      <w:kern w:val="44"/>
      <w:sz w:val="44"/>
      <w:szCs w:val="44"/>
      <w:lang w:val="zh-CN"/>
    </w:rPr>
  </w:style>
  <w:style w:type="paragraph" w:styleId="3">
    <w:name w:val="heading 2"/>
    <w:basedOn w:val="1"/>
    <w:next w:val="1"/>
    <w:link w:val="36"/>
    <w:unhideWhenUsed/>
    <w:qFormat/>
    <w:uiPriority w:val="9"/>
    <w:pPr>
      <w:spacing w:beforeAutospacing="1" w:afterAutospacing="1"/>
      <w:jc w:val="left"/>
      <w:outlineLvl w:val="1"/>
    </w:pPr>
    <w:rPr>
      <w:rFonts w:hint="eastAsia" w:ascii="宋体" w:hAnsi="宋体" w:eastAsia="宋体" w:cs="Times New Roman"/>
      <w:b/>
      <w:bCs/>
      <w:kern w:val="0"/>
      <w:sz w:val="36"/>
      <w:szCs w:val="36"/>
    </w:rPr>
  </w:style>
  <w:style w:type="paragraph" w:styleId="4">
    <w:name w:val="heading 3"/>
    <w:basedOn w:val="1"/>
    <w:next w:val="1"/>
    <w:link w:val="37"/>
    <w:autoRedefine/>
    <w:unhideWhenUsed/>
    <w:qFormat/>
    <w:uiPriority w:val="0"/>
    <w:pPr>
      <w:keepNext/>
      <w:keepLines/>
      <w:spacing w:before="260" w:after="260" w:line="416" w:lineRule="auto"/>
      <w:outlineLvl w:val="2"/>
    </w:pPr>
    <w:rPr>
      <w:rFonts w:ascii="Times New Roman" w:hAnsi="Times New Roman" w:eastAsia="宋体" w:cs="Times New Roman"/>
      <w:b/>
      <w:bCs/>
      <w:sz w:val="32"/>
      <w:szCs w:val="32"/>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5">
    <w:name w:val="toc 7"/>
    <w:basedOn w:val="1"/>
    <w:next w:val="1"/>
    <w:autoRedefine/>
    <w:unhideWhenUsed/>
    <w:qFormat/>
    <w:uiPriority w:val="39"/>
    <w:pPr>
      <w:spacing w:after="160" w:line="278" w:lineRule="auto"/>
      <w:ind w:left="2520" w:leftChars="1200"/>
      <w:jc w:val="left"/>
    </w:pPr>
    <w:rPr>
      <w:rFonts w:eastAsiaTheme="minorEastAsia"/>
      <w:sz w:val="22"/>
      <w:szCs w:val="24"/>
      <w14:ligatures w14:val="standardContextual"/>
    </w:rPr>
  </w:style>
  <w:style w:type="paragraph" w:styleId="6">
    <w:name w:val="annotation text"/>
    <w:basedOn w:val="1"/>
    <w:link w:val="38"/>
    <w:autoRedefine/>
    <w:qFormat/>
    <w:uiPriority w:val="0"/>
    <w:pPr>
      <w:jc w:val="left"/>
    </w:pPr>
    <w:rPr>
      <w:rFonts w:ascii="Times New Roman" w:hAnsi="Times New Roman" w:eastAsia="宋体" w:cs="Times New Roman"/>
      <w:sz w:val="21"/>
      <w:szCs w:val="24"/>
    </w:rPr>
  </w:style>
  <w:style w:type="paragraph" w:styleId="7">
    <w:name w:val="Body Text"/>
    <w:basedOn w:val="1"/>
    <w:link w:val="39"/>
    <w:qFormat/>
    <w:uiPriority w:val="0"/>
    <w:pPr>
      <w:spacing w:after="120"/>
    </w:pPr>
    <w:rPr>
      <w:rFonts w:ascii="Times New Roman" w:hAnsi="Times New Roman" w:eastAsia="宋体" w:cs="Times New Roman"/>
      <w:sz w:val="21"/>
      <w:szCs w:val="24"/>
    </w:rPr>
  </w:style>
  <w:style w:type="paragraph" w:styleId="8">
    <w:name w:val="Body Text Indent"/>
    <w:basedOn w:val="1"/>
    <w:link w:val="40"/>
    <w:unhideWhenUsed/>
    <w:qFormat/>
    <w:uiPriority w:val="0"/>
    <w:pPr>
      <w:spacing w:after="120"/>
      <w:ind w:left="420" w:leftChars="200"/>
    </w:pPr>
    <w:rPr>
      <w:rFonts w:ascii="Times New Roman" w:hAnsi="Times New Roman" w:eastAsia="宋体" w:cs="Times New Roman"/>
      <w:kern w:val="0"/>
      <w:sz w:val="20"/>
      <w:szCs w:val="24"/>
      <w:lang w:val="zh-CN"/>
    </w:rPr>
  </w:style>
  <w:style w:type="paragraph" w:styleId="9">
    <w:name w:val="toc 5"/>
    <w:basedOn w:val="1"/>
    <w:next w:val="1"/>
    <w:autoRedefine/>
    <w:unhideWhenUsed/>
    <w:qFormat/>
    <w:uiPriority w:val="39"/>
    <w:pPr>
      <w:spacing w:after="160" w:line="278" w:lineRule="auto"/>
      <w:ind w:left="1680" w:leftChars="800"/>
      <w:jc w:val="left"/>
    </w:pPr>
    <w:rPr>
      <w:rFonts w:eastAsiaTheme="minorEastAsia"/>
      <w:sz w:val="22"/>
      <w:szCs w:val="24"/>
      <w14:ligatures w14:val="standardContextual"/>
    </w:rPr>
  </w:style>
  <w:style w:type="paragraph" w:styleId="10">
    <w:name w:val="toc 3"/>
    <w:basedOn w:val="1"/>
    <w:next w:val="1"/>
    <w:autoRedefine/>
    <w:qFormat/>
    <w:uiPriority w:val="39"/>
    <w:pPr>
      <w:ind w:left="840" w:leftChars="400"/>
    </w:pPr>
    <w:rPr>
      <w:rFonts w:ascii="Times New Roman" w:hAnsi="Times New Roman" w:eastAsia="宋体" w:cs="Times New Roman"/>
      <w:sz w:val="21"/>
      <w:szCs w:val="24"/>
    </w:rPr>
  </w:style>
  <w:style w:type="paragraph" w:styleId="11">
    <w:name w:val="toc 8"/>
    <w:basedOn w:val="1"/>
    <w:next w:val="1"/>
    <w:autoRedefine/>
    <w:unhideWhenUsed/>
    <w:qFormat/>
    <w:uiPriority w:val="39"/>
    <w:pPr>
      <w:spacing w:after="160" w:line="278" w:lineRule="auto"/>
      <w:ind w:left="2940" w:leftChars="1400"/>
      <w:jc w:val="left"/>
    </w:pPr>
    <w:rPr>
      <w:rFonts w:eastAsiaTheme="minorEastAsia"/>
      <w:sz w:val="22"/>
      <w:szCs w:val="24"/>
      <w14:ligatures w14:val="standardContextual"/>
    </w:rPr>
  </w:style>
  <w:style w:type="paragraph" w:styleId="12">
    <w:name w:val="Date"/>
    <w:basedOn w:val="1"/>
    <w:next w:val="1"/>
    <w:link w:val="41"/>
    <w:unhideWhenUsed/>
    <w:qFormat/>
    <w:uiPriority w:val="0"/>
    <w:pPr>
      <w:ind w:left="100" w:leftChars="2500"/>
    </w:pPr>
    <w:rPr>
      <w:rFonts w:ascii="Times New Roman" w:hAnsi="Times New Roman" w:eastAsia="宋体" w:cs="Times New Roman"/>
      <w:kern w:val="0"/>
      <w:sz w:val="20"/>
      <w:szCs w:val="24"/>
      <w:lang w:val="zh-CN"/>
    </w:rPr>
  </w:style>
  <w:style w:type="paragraph" w:styleId="13">
    <w:name w:val="Body Text Indent 2"/>
    <w:basedOn w:val="1"/>
    <w:link w:val="42"/>
    <w:qFormat/>
    <w:uiPriority w:val="0"/>
    <w:pPr>
      <w:spacing w:line="600" w:lineRule="exact"/>
      <w:ind w:firstLine="600" w:firstLineChars="200"/>
    </w:pPr>
    <w:rPr>
      <w:rFonts w:ascii="仿宋_GB2312" w:hAnsi="宋体" w:cs="Times New Roman"/>
      <w:kern w:val="0"/>
      <w:szCs w:val="30"/>
      <w:lang w:val="zh-CN"/>
    </w:rPr>
  </w:style>
  <w:style w:type="paragraph" w:styleId="14">
    <w:name w:val="Balloon Text"/>
    <w:basedOn w:val="1"/>
    <w:link w:val="43"/>
    <w:autoRedefine/>
    <w:qFormat/>
    <w:uiPriority w:val="0"/>
    <w:rPr>
      <w:rFonts w:ascii="Times New Roman" w:hAnsi="Times New Roman" w:eastAsia="宋体" w:cs="Times New Roman"/>
      <w:sz w:val="18"/>
      <w:szCs w:val="18"/>
    </w:rPr>
  </w:style>
  <w:style w:type="paragraph" w:styleId="15">
    <w:name w:val="footer"/>
    <w:basedOn w:val="1"/>
    <w:link w:val="44"/>
    <w:qFormat/>
    <w:uiPriority w:val="99"/>
    <w:pPr>
      <w:tabs>
        <w:tab w:val="center" w:pos="4153"/>
        <w:tab w:val="right" w:pos="8306"/>
      </w:tabs>
      <w:snapToGrid w:val="0"/>
      <w:jc w:val="left"/>
    </w:pPr>
    <w:rPr>
      <w:sz w:val="18"/>
      <w:szCs w:val="18"/>
    </w:rPr>
  </w:style>
  <w:style w:type="paragraph" w:styleId="16">
    <w:name w:val="header"/>
    <w:basedOn w:val="1"/>
    <w:link w:val="45"/>
    <w:qFormat/>
    <w:uiPriority w:val="0"/>
    <w:pPr>
      <w:pBdr>
        <w:bottom w:val="single" w:color="auto" w:sz="6" w:space="1"/>
      </w:pBdr>
      <w:tabs>
        <w:tab w:val="center" w:pos="4153"/>
        <w:tab w:val="right" w:pos="8306"/>
      </w:tabs>
      <w:snapToGrid w:val="0"/>
      <w:jc w:val="center"/>
    </w:pPr>
    <w:rPr>
      <w:sz w:val="18"/>
      <w:szCs w:val="18"/>
    </w:rPr>
  </w:style>
  <w:style w:type="paragraph" w:styleId="17">
    <w:name w:val="toc 1"/>
    <w:basedOn w:val="1"/>
    <w:next w:val="1"/>
    <w:autoRedefine/>
    <w:unhideWhenUsed/>
    <w:qFormat/>
    <w:uiPriority w:val="39"/>
    <w:pPr>
      <w:widowControl/>
      <w:tabs>
        <w:tab w:val="left" w:pos="420"/>
        <w:tab w:val="right" w:leader="dot" w:pos="8296"/>
      </w:tabs>
      <w:adjustRightInd w:val="0"/>
      <w:snapToGrid w:val="0"/>
      <w:spacing w:before="156" w:beforeLines="50" w:after="156" w:afterLines="50"/>
      <w:jc w:val="left"/>
    </w:pPr>
    <w:rPr>
      <w:rFonts w:ascii="Times New Roman" w:hAnsi="Times New Roman" w:eastAsia="微软雅黑"/>
      <w:b/>
      <w:bCs/>
      <w:kern w:val="0"/>
      <w:sz w:val="22"/>
      <w:szCs w:val="21"/>
    </w:rPr>
  </w:style>
  <w:style w:type="paragraph" w:styleId="18">
    <w:name w:val="toc 4"/>
    <w:basedOn w:val="1"/>
    <w:next w:val="1"/>
    <w:autoRedefine/>
    <w:unhideWhenUsed/>
    <w:qFormat/>
    <w:uiPriority w:val="39"/>
    <w:pPr>
      <w:spacing w:after="160" w:line="278" w:lineRule="auto"/>
      <w:ind w:left="1260" w:leftChars="600"/>
      <w:jc w:val="left"/>
    </w:pPr>
    <w:rPr>
      <w:rFonts w:eastAsiaTheme="minorEastAsia"/>
      <w:sz w:val="22"/>
      <w:szCs w:val="24"/>
      <w14:ligatures w14:val="standardContextual"/>
    </w:rPr>
  </w:style>
  <w:style w:type="paragraph" w:styleId="19">
    <w:name w:val="footnote text"/>
    <w:basedOn w:val="1"/>
    <w:link w:val="46"/>
    <w:autoRedefine/>
    <w:qFormat/>
    <w:uiPriority w:val="0"/>
    <w:pPr>
      <w:snapToGrid w:val="0"/>
      <w:jc w:val="left"/>
    </w:pPr>
    <w:rPr>
      <w:rFonts w:ascii="Times New Roman" w:hAnsi="Times New Roman" w:eastAsia="宋体" w:cs="Times New Roman"/>
      <w:sz w:val="18"/>
      <w:szCs w:val="18"/>
    </w:rPr>
  </w:style>
  <w:style w:type="paragraph" w:styleId="20">
    <w:name w:val="toc 6"/>
    <w:basedOn w:val="1"/>
    <w:next w:val="1"/>
    <w:autoRedefine/>
    <w:unhideWhenUsed/>
    <w:qFormat/>
    <w:uiPriority w:val="39"/>
    <w:pPr>
      <w:spacing w:after="160" w:line="278" w:lineRule="auto"/>
      <w:ind w:left="2100" w:leftChars="1000"/>
      <w:jc w:val="left"/>
    </w:pPr>
    <w:rPr>
      <w:rFonts w:eastAsiaTheme="minorEastAsia"/>
      <w:sz w:val="22"/>
      <w:szCs w:val="24"/>
      <w14:ligatures w14:val="standardContextual"/>
    </w:rPr>
  </w:style>
  <w:style w:type="paragraph" w:styleId="21">
    <w:name w:val="Body Text Indent 3"/>
    <w:basedOn w:val="1"/>
    <w:link w:val="47"/>
    <w:unhideWhenUsed/>
    <w:qFormat/>
    <w:uiPriority w:val="0"/>
    <w:pPr>
      <w:spacing w:after="120"/>
      <w:ind w:left="420" w:leftChars="200"/>
    </w:pPr>
    <w:rPr>
      <w:rFonts w:ascii="Times New Roman" w:hAnsi="Times New Roman" w:eastAsia="宋体" w:cs="Times New Roman"/>
      <w:kern w:val="0"/>
      <w:sz w:val="16"/>
      <w:szCs w:val="16"/>
      <w:lang w:val="zh-CN"/>
    </w:rPr>
  </w:style>
  <w:style w:type="paragraph" w:styleId="22">
    <w:name w:val="toc 2"/>
    <w:basedOn w:val="1"/>
    <w:next w:val="1"/>
    <w:autoRedefine/>
    <w:unhideWhenUsed/>
    <w:qFormat/>
    <w:uiPriority w:val="39"/>
    <w:pPr>
      <w:widowControl/>
      <w:tabs>
        <w:tab w:val="right" w:leader="dot" w:pos="8296"/>
      </w:tabs>
      <w:adjustRightInd w:val="0"/>
      <w:snapToGrid w:val="0"/>
      <w:spacing w:before="156" w:beforeLines="50" w:after="156" w:afterLines="50"/>
      <w:ind w:left="600" w:leftChars="200"/>
    </w:pPr>
    <w:rPr>
      <w:rFonts w:ascii="黑体" w:hAnsi="黑体" w:eastAsia="黑体" w:cs="Times New Roman"/>
      <w:b/>
      <w:kern w:val="0"/>
      <w:sz w:val="20"/>
      <w:szCs w:val="20"/>
    </w:rPr>
  </w:style>
  <w:style w:type="paragraph" w:styleId="23">
    <w:name w:val="toc 9"/>
    <w:basedOn w:val="1"/>
    <w:next w:val="1"/>
    <w:autoRedefine/>
    <w:unhideWhenUsed/>
    <w:qFormat/>
    <w:uiPriority w:val="39"/>
    <w:pPr>
      <w:spacing w:after="160" w:line="278" w:lineRule="auto"/>
      <w:ind w:left="3360" w:leftChars="1600"/>
      <w:jc w:val="left"/>
    </w:pPr>
    <w:rPr>
      <w:rFonts w:eastAsiaTheme="minorEastAsia"/>
      <w:sz w:val="22"/>
      <w:szCs w:val="24"/>
      <w14:ligatures w14:val="standardContextual"/>
    </w:rPr>
  </w:style>
  <w:style w:type="paragraph" w:styleId="24">
    <w:name w:val="HTML Preformatted"/>
    <w:basedOn w:val="1"/>
    <w:link w:val="48"/>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Times New Roman"/>
      <w:kern w:val="0"/>
      <w:sz w:val="24"/>
      <w:szCs w:val="24"/>
      <w:lang w:val="zh-CN"/>
    </w:rPr>
  </w:style>
  <w:style w:type="paragraph" w:styleId="25">
    <w:name w:val="Normal (Web)"/>
    <w:basedOn w:val="1"/>
    <w:autoRedefine/>
    <w:qFormat/>
    <w:uiPriority w:val="99"/>
    <w:pPr>
      <w:widowControl/>
      <w:spacing w:before="100" w:beforeAutospacing="1" w:after="100" w:afterAutospacing="1"/>
      <w:jc w:val="left"/>
    </w:pPr>
    <w:rPr>
      <w:rFonts w:ascii="宋体" w:hAnsi="宋体" w:eastAsia="宋体" w:cs="宋体"/>
      <w:kern w:val="0"/>
      <w:sz w:val="24"/>
      <w:szCs w:val="24"/>
    </w:rPr>
  </w:style>
  <w:style w:type="paragraph" w:styleId="26">
    <w:name w:val="annotation subject"/>
    <w:basedOn w:val="6"/>
    <w:next w:val="6"/>
    <w:link w:val="49"/>
    <w:autoRedefine/>
    <w:qFormat/>
    <w:uiPriority w:val="0"/>
    <w:rPr>
      <w:b/>
      <w:bCs/>
    </w:rPr>
  </w:style>
  <w:style w:type="table" w:styleId="28">
    <w:name w:val="Table Grid"/>
    <w:basedOn w:val="27"/>
    <w:autoRedefine/>
    <w:qFormat/>
    <w:uiPriority w:val="0"/>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Strong"/>
    <w:autoRedefine/>
    <w:qFormat/>
    <w:uiPriority w:val="0"/>
    <w:rPr>
      <w:b/>
      <w:bCs/>
    </w:rPr>
  </w:style>
  <w:style w:type="character" w:styleId="31">
    <w:name w:val="page number"/>
    <w:basedOn w:val="29"/>
    <w:autoRedefine/>
    <w:qFormat/>
    <w:uiPriority w:val="0"/>
  </w:style>
  <w:style w:type="character" w:styleId="32">
    <w:name w:val="Hyperlink"/>
    <w:basedOn w:val="29"/>
    <w:autoRedefine/>
    <w:qFormat/>
    <w:uiPriority w:val="99"/>
    <w:rPr>
      <w:color w:val="0563C1" w:themeColor="hyperlink"/>
      <w:u w:val="single"/>
      <w14:textFill>
        <w14:solidFill>
          <w14:schemeClr w14:val="hlink"/>
        </w14:solidFill>
      </w14:textFill>
    </w:rPr>
  </w:style>
  <w:style w:type="character" w:styleId="33">
    <w:name w:val="annotation reference"/>
    <w:basedOn w:val="29"/>
    <w:autoRedefine/>
    <w:qFormat/>
    <w:uiPriority w:val="0"/>
    <w:rPr>
      <w:sz w:val="21"/>
      <w:szCs w:val="21"/>
    </w:rPr>
  </w:style>
  <w:style w:type="character" w:styleId="34">
    <w:name w:val="footnote reference"/>
    <w:basedOn w:val="29"/>
    <w:autoRedefine/>
    <w:qFormat/>
    <w:uiPriority w:val="0"/>
    <w:rPr>
      <w:vertAlign w:val="superscript"/>
    </w:rPr>
  </w:style>
  <w:style w:type="character" w:customStyle="1" w:styleId="35">
    <w:name w:val="标题 1 字符"/>
    <w:basedOn w:val="29"/>
    <w:link w:val="2"/>
    <w:qFormat/>
    <w:uiPriority w:val="0"/>
    <w:rPr>
      <w:rFonts w:ascii="Times New Roman" w:hAnsi="Times New Roman" w:eastAsia="宋体" w:cs="Times New Roman"/>
      <w:b/>
      <w:bCs/>
      <w:kern w:val="44"/>
      <w:sz w:val="44"/>
      <w:szCs w:val="44"/>
      <w:lang w:val="zh-CN"/>
    </w:rPr>
  </w:style>
  <w:style w:type="character" w:customStyle="1" w:styleId="36">
    <w:name w:val="标题 2 字符"/>
    <w:basedOn w:val="29"/>
    <w:link w:val="3"/>
    <w:qFormat/>
    <w:uiPriority w:val="9"/>
    <w:rPr>
      <w:rFonts w:ascii="宋体" w:hAnsi="宋体" w:eastAsia="宋体" w:cs="Times New Roman"/>
      <w:b/>
      <w:bCs/>
      <w:kern w:val="0"/>
      <w:sz w:val="36"/>
      <w:szCs w:val="36"/>
    </w:rPr>
  </w:style>
  <w:style w:type="character" w:customStyle="1" w:styleId="37">
    <w:name w:val="标题 3 字符"/>
    <w:basedOn w:val="29"/>
    <w:link w:val="4"/>
    <w:qFormat/>
    <w:uiPriority w:val="0"/>
    <w:rPr>
      <w:rFonts w:ascii="Times New Roman" w:hAnsi="Times New Roman" w:eastAsia="宋体" w:cs="Times New Roman"/>
      <w:b/>
      <w:bCs/>
      <w:sz w:val="32"/>
      <w:szCs w:val="32"/>
    </w:rPr>
  </w:style>
  <w:style w:type="character" w:customStyle="1" w:styleId="38">
    <w:name w:val="批注文字 字符"/>
    <w:basedOn w:val="29"/>
    <w:link w:val="6"/>
    <w:qFormat/>
    <w:uiPriority w:val="0"/>
    <w:rPr>
      <w:rFonts w:ascii="Times New Roman" w:hAnsi="Times New Roman" w:eastAsia="宋体" w:cs="Times New Roman"/>
      <w:szCs w:val="24"/>
    </w:rPr>
  </w:style>
  <w:style w:type="character" w:customStyle="1" w:styleId="39">
    <w:name w:val="正文文本 字符"/>
    <w:basedOn w:val="29"/>
    <w:link w:val="7"/>
    <w:qFormat/>
    <w:uiPriority w:val="0"/>
    <w:rPr>
      <w:rFonts w:ascii="Times New Roman" w:hAnsi="Times New Roman" w:eastAsia="宋体" w:cs="Times New Roman"/>
      <w:szCs w:val="24"/>
    </w:rPr>
  </w:style>
  <w:style w:type="character" w:customStyle="1" w:styleId="40">
    <w:name w:val="正文文本缩进 字符"/>
    <w:basedOn w:val="29"/>
    <w:link w:val="8"/>
    <w:qFormat/>
    <w:uiPriority w:val="0"/>
    <w:rPr>
      <w:rFonts w:ascii="Times New Roman" w:hAnsi="Times New Roman" w:eastAsia="宋体" w:cs="Times New Roman"/>
      <w:kern w:val="0"/>
      <w:sz w:val="20"/>
      <w:szCs w:val="24"/>
      <w:lang w:val="zh-CN"/>
    </w:rPr>
  </w:style>
  <w:style w:type="character" w:customStyle="1" w:styleId="41">
    <w:name w:val="日期 字符"/>
    <w:basedOn w:val="29"/>
    <w:link w:val="12"/>
    <w:qFormat/>
    <w:uiPriority w:val="0"/>
    <w:rPr>
      <w:rFonts w:ascii="Times New Roman" w:hAnsi="Times New Roman" w:eastAsia="宋体" w:cs="Times New Roman"/>
      <w:kern w:val="0"/>
      <w:sz w:val="20"/>
      <w:szCs w:val="24"/>
      <w:lang w:val="zh-CN"/>
    </w:rPr>
  </w:style>
  <w:style w:type="character" w:customStyle="1" w:styleId="42">
    <w:name w:val="正文文本缩进 2 字符"/>
    <w:basedOn w:val="29"/>
    <w:link w:val="13"/>
    <w:qFormat/>
    <w:uiPriority w:val="0"/>
    <w:rPr>
      <w:rFonts w:ascii="仿宋_GB2312" w:hAnsi="宋体" w:eastAsia="仿宋_GB2312" w:cs="Times New Roman"/>
      <w:kern w:val="0"/>
      <w:sz w:val="30"/>
      <w:szCs w:val="30"/>
      <w:lang w:val="zh-CN"/>
    </w:rPr>
  </w:style>
  <w:style w:type="character" w:customStyle="1" w:styleId="43">
    <w:name w:val="批注框文本 字符"/>
    <w:basedOn w:val="29"/>
    <w:link w:val="14"/>
    <w:qFormat/>
    <w:uiPriority w:val="0"/>
    <w:rPr>
      <w:rFonts w:ascii="Times New Roman" w:hAnsi="Times New Roman" w:eastAsia="宋体" w:cs="Times New Roman"/>
      <w:sz w:val="18"/>
      <w:szCs w:val="18"/>
    </w:rPr>
  </w:style>
  <w:style w:type="character" w:customStyle="1" w:styleId="44">
    <w:name w:val="页脚 字符"/>
    <w:basedOn w:val="29"/>
    <w:link w:val="15"/>
    <w:qFormat/>
    <w:uiPriority w:val="99"/>
    <w:rPr>
      <w:rFonts w:eastAsia="仿宋_GB2312"/>
      <w:sz w:val="18"/>
      <w:szCs w:val="18"/>
    </w:rPr>
  </w:style>
  <w:style w:type="character" w:customStyle="1" w:styleId="45">
    <w:name w:val="页眉 字符"/>
    <w:basedOn w:val="29"/>
    <w:link w:val="16"/>
    <w:qFormat/>
    <w:uiPriority w:val="0"/>
    <w:rPr>
      <w:rFonts w:eastAsia="仿宋_GB2312"/>
      <w:sz w:val="18"/>
      <w:szCs w:val="18"/>
    </w:rPr>
  </w:style>
  <w:style w:type="character" w:customStyle="1" w:styleId="46">
    <w:name w:val="脚注文本 字符"/>
    <w:basedOn w:val="29"/>
    <w:link w:val="19"/>
    <w:qFormat/>
    <w:uiPriority w:val="0"/>
    <w:rPr>
      <w:rFonts w:ascii="Times New Roman" w:hAnsi="Times New Roman" w:eastAsia="宋体" w:cs="Times New Roman"/>
      <w:sz w:val="18"/>
      <w:szCs w:val="18"/>
    </w:rPr>
  </w:style>
  <w:style w:type="character" w:customStyle="1" w:styleId="47">
    <w:name w:val="正文文本缩进 3 字符"/>
    <w:basedOn w:val="29"/>
    <w:link w:val="21"/>
    <w:qFormat/>
    <w:uiPriority w:val="0"/>
    <w:rPr>
      <w:rFonts w:ascii="Times New Roman" w:hAnsi="Times New Roman" w:eastAsia="宋体" w:cs="Times New Roman"/>
      <w:kern w:val="0"/>
      <w:sz w:val="16"/>
      <w:szCs w:val="16"/>
      <w:lang w:val="zh-CN"/>
    </w:rPr>
  </w:style>
  <w:style w:type="character" w:customStyle="1" w:styleId="48">
    <w:name w:val="HTML 预设格式 字符"/>
    <w:basedOn w:val="29"/>
    <w:link w:val="24"/>
    <w:qFormat/>
    <w:uiPriority w:val="0"/>
    <w:rPr>
      <w:rFonts w:ascii="宋体" w:hAnsi="宋体" w:eastAsia="宋体" w:cs="Times New Roman"/>
      <w:kern w:val="0"/>
      <w:sz w:val="24"/>
      <w:szCs w:val="24"/>
      <w:lang w:val="zh-CN"/>
    </w:rPr>
  </w:style>
  <w:style w:type="character" w:customStyle="1" w:styleId="49">
    <w:name w:val="批注主题 字符"/>
    <w:basedOn w:val="38"/>
    <w:link w:val="26"/>
    <w:qFormat/>
    <w:uiPriority w:val="0"/>
    <w:rPr>
      <w:rFonts w:ascii="Times New Roman" w:hAnsi="Times New Roman" w:eastAsia="宋体" w:cs="Times New Roman"/>
      <w:b/>
      <w:bCs/>
      <w:szCs w:val="24"/>
    </w:rPr>
  </w:style>
  <w:style w:type="paragraph" w:customStyle="1" w:styleId="50">
    <w:name w:val="_Style 17"/>
    <w:basedOn w:val="1"/>
    <w:next w:val="51"/>
    <w:autoRedefine/>
    <w:qFormat/>
    <w:uiPriority w:val="34"/>
    <w:pPr>
      <w:ind w:firstLine="420" w:firstLineChars="200"/>
    </w:pPr>
    <w:rPr>
      <w:rFonts w:ascii="Times New Roman" w:hAnsi="Times New Roman" w:eastAsia="宋体" w:cs="Times New Roman"/>
      <w:sz w:val="21"/>
    </w:rPr>
  </w:style>
  <w:style w:type="paragraph" w:styleId="51">
    <w:name w:val="List Paragraph"/>
    <w:basedOn w:val="1"/>
    <w:autoRedefine/>
    <w:qFormat/>
    <w:uiPriority w:val="1"/>
    <w:pPr>
      <w:numPr>
        <w:ilvl w:val="0"/>
        <w:numId w:val="1"/>
      </w:numPr>
      <w:adjustRightInd w:val="0"/>
      <w:snapToGrid w:val="0"/>
    </w:pPr>
    <w:rPr>
      <w:rFonts w:ascii="仿宋_GB2312" w:hAnsi="Times New Roman" w:cs="Times New Roman"/>
      <w:sz w:val="24"/>
      <w:szCs w:val="24"/>
    </w:rPr>
  </w:style>
  <w:style w:type="paragraph" w:customStyle="1" w:styleId="52">
    <w:name w:val="WPSOffice手动目录 1"/>
    <w:autoRedefine/>
    <w:qFormat/>
    <w:uiPriority w:val="0"/>
    <w:rPr>
      <w:rFonts w:asciiTheme="minorHAnsi" w:hAnsiTheme="minorHAnsi" w:eastAsiaTheme="minorEastAsia" w:cstheme="minorBidi"/>
      <w:kern w:val="0"/>
      <w:sz w:val="20"/>
      <w:szCs w:val="20"/>
      <w:lang w:val="en-US" w:eastAsia="zh-CN" w:bidi="ar-SA"/>
    </w:rPr>
  </w:style>
  <w:style w:type="paragraph" w:customStyle="1" w:styleId="53">
    <w:name w:val="WPSOffice手动目录 2"/>
    <w:autoRedefine/>
    <w:qFormat/>
    <w:uiPriority w:val="0"/>
    <w:pPr>
      <w:ind w:left="200" w:leftChars="200"/>
    </w:pPr>
    <w:rPr>
      <w:rFonts w:asciiTheme="minorHAnsi" w:hAnsiTheme="minorHAnsi" w:eastAsiaTheme="minorEastAsia" w:cstheme="minorBidi"/>
      <w:kern w:val="0"/>
      <w:sz w:val="20"/>
      <w:szCs w:val="20"/>
      <w:lang w:val="en-US" w:eastAsia="zh-CN" w:bidi="ar-SA"/>
    </w:rPr>
  </w:style>
  <w:style w:type="paragraph" w:customStyle="1" w:styleId="54">
    <w:name w:val="修订1"/>
    <w:autoRedefine/>
    <w:hidden/>
    <w:unhideWhenUsed/>
    <w:qFormat/>
    <w:uiPriority w:val="99"/>
    <w:rPr>
      <w:rFonts w:ascii="Times New Roman" w:hAnsi="Times New Roman" w:eastAsia="宋体" w:cs="Times New Roman"/>
      <w:kern w:val="2"/>
      <w:sz w:val="21"/>
      <w:szCs w:val="24"/>
      <w:lang w:val="en-US" w:eastAsia="zh-CN" w:bidi="ar-SA"/>
    </w:rPr>
  </w:style>
  <w:style w:type="table" w:customStyle="1" w:styleId="55">
    <w:name w:val="网格型1"/>
    <w:basedOn w:val="27"/>
    <w:autoRedefine/>
    <w:qFormat/>
    <w:uiPriority w:val="3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6">
    <w:name w:val="TOC 标题1"/>
    <w:basedOn w:val="2"/>
    <w:next w:val="1"/>
    <w:autoRedefine/>
    <w:qFormat/>
    <w:uiPriority w:val="39"/>
    <w:pPr>
      <w:widowControl/>
      <w:spacing w:before="480" w:after="0" w:line="276" w:lineRule="auto"/>
      <w:jc w:val="left"/>
      <w:outlineLvl w:val="9"/>
    </w:pPr>
    <w:rPr>
      <w:rFonts w:ascii="Cambria" w:hAnsi="Cambria"/>
      <w:color w:val="365F91"/>
      <w:kern w:val="0"/>
      <w:sz w:val="28"/>
      <w:szCs w:val="28"/>
      <w:lang w:eastAsia="en-US"/>
    </w:rPr>
  </w:style>
  <w:style w:type="paragraph" w:customStyle="1" w:styleId="57">
    <w:name w:val="修订2"/>
    <w:autoRedefine/>
    <w:hidden/>
    <w:unhideWhenUsed/>
    <w:qFormat/>
    <w:uiPriority w:val="99"/>
    <w:rPr>
      <w:rFonts w:ascii="Times New Roman" w:hAnsi="Times New Roman" w:eastAsia="宋体" w:cs="Times New Roman"/>
      <w:kern w:val="2"/>
      <w:sz w:val="21"/>
      <w:szCs w:val="24"/>
      <w:lang w:val="en-US" w:eastAsia="zh-CN" w:bidi="ar-SA"/>
    </w:rPr>
  </w:style>
  <w:style w:type="paragraph" w:customStyle="1" w:styleId="58">
    <w:name w:val="Pa4"/>
    <w:basedOn w:val="1"/>
    <w:next w:val="1"/>
    <w:autoRedefine/>
    <w:qFormat/>
    <w:uiPriority w:val="99"/>
    <w:pPr>
      <w:autoSpaceDE w:val="0"/>
      <w:autoSpaceDN w:val="0"/>
      <w:adjustRightInd w:val="0"/>
      <w:spacing w:line="241" w:lineRule="atLeast"/>
      <w:jc w:val="left"/>
    </w:pPr>
    <w:rPr>
      <w:rFonts w:ascii="Source Han Serif CN" w:hAnsi="Times New Roman" w:eastAsia="Source Han Serif CN" w:cs="Times New Roman"/>
      <w:kern w:val="0"/>
      <w:sz w:val="24"/>
      <w:szCs w:val="24"/>
    </w:rPr>
  </w:style>
  <w:style w:type="character" w:customStyle="1" w:styleId="59">
    <w:name w:val="A8"/>
    <w:autoRedefine/>
    <w:qFormat/>
    <w:uiPriority w:val="99"/>
    <w:rPr>
      <w:rFonts w:cs="Source Han Serif CN"/>
      <w:color w:val="211D1E"/>
      <w:sz w:val="18"/>
      <w:szCs w:val="18"/>
    </w:rPr>
  </w:style>
  <w:style w:type="character" w:customStyle="1" w:styleId="60">
    <w:name w:val="未处理的提及1"/>
    <w:basedOn w:val="29"/>
    <w:autoRedefine/>
    <w:semiHidden/>
    <w:unhideWhenUsed/>
    <w:qFormat/>
    <w:uiPriority w:val="99"/>
    <w:rPr>
      <w:color w:val="605E5C"/>
      <w:shd w:val="clear" w:color="auto" w:fill="E1DFDD"/>
    </w:rPr>
  </w:style>
  <w:style w:type="paragraph" w:customStyle="1" w:styleId="61">
    <w:name w:val="Pa21"/>
    <w:basedOn w:val="1"/>
    <w:next w:val="1"/>
    <w:autoRedefine/>
    <w:qFormat/>
    <w:uiPriority w:val="99"/>
    <w:pPr>
      <w:autoSpaceDE w:val="0"/>
      <w:autoSpaceDN w:val="0"/>
      <w:adjustRightInd w:val="0"/>
      <w:spacing w:line="241" w:lineRule="atLeast"/>
      <w:jc w:val="left"/>
    </w:pPr>
    <w:rPr>
      <w:rFonts w:ascii="Source Han Serif CN" w:hAnsi="Times New Roman" w:eastAsia="Source Han Serif CN" w:cs="Times New Roman"/>
      <w:kern w:val="0"/>
      <w:sz w:val="24"/>
      <w:szCs w:val="24"/>
    </w:rPr>
  </w:style>
  <w:style w:type="character" w:customStyle="1" w:styleId="62">
    <w:name w:val="A11"/>
    <w:autoRedefine/>
    <w:qFormat/>
    <w:uiPriority w:val="99"/>
    <w:rPr>
      <w:rFonts w:cs="Source Han Serif CN"/>
      <w:color w:val="211D1E"/>
      <w:sz w:val="10"/>
      <w:szCs w:val="10"/>
    </w:rPr>
  </w:style>
  <w:style w:type="paragraph" w:customStyle="1" w:styleId="63">
    <w:name w:val="Pa0"/>
    <w:basedOn w:val="1"/>
    <w:next w:val="1"/>
    <w:autoRedefine/>
    <w:qFormat/>
    <w:uiPriority w:val="99"/>
    <w:pPr>
      <w:autoSpaceDE w:val="0"/>
      <w:autoSpaceDN w:val="0"/>
      <w:adjustRightInd w:val="0"/>
      <w:spacing w:line="241" w:lineRule="atLeast"/>
      <w:jc w:val="left"/>
    </w:pPr>
    <w:rPr>
      <w:rFonts w:ascii="Source Han Serif CN" w:hAnsi="Times New Roman" w:eastAsia="Source Han Serif CN" w:cs="Times New Roman"/>
      <w:kern w:val="0"/>
      <w:sz w:val="24"/>
      <w:szCs w:val="24"/>
    </w:rPr>
  </w:style>
  <w:style w:type="paragraph" w:customStyle="1" w:styleId="64">
    <w:name w:val="TOC 标题2"/>
    <w:basedOn w:val="2"/>
    <w:next w:val="1"/>
    <w:autoRedefine/>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lang w:val="en-US"/>
    </w:rPr>
  </w:style>
  <w:style w:type="paragraph" w:customStyle="1" w:styleId="65">
    <w:name w:val="修订3"/>
    <w:autoRedefine/>
    <w:hidden/>
    <w:unhideWhenUsed/>
    <w:qFormat/>
    <w:uiPriority w:val="99"/>
    <w:rPr>
      <w:rFonts w:ascii="Times New Roman" w:hAnsi="Times New Roman" w:eastAsia="宋体" w:cs="Times New Roman"/>
      <w:kern w:val="2"/>
      <w:sz w:val="21"/>
      <w:szCs w:val="24"/>
      <w:lang w:val="en-US" w:eastAsia="zh-CN" w:bidi="ar-SA"/>
    </w:rPr>
  </w:style>
  <w:style w:type="character" w:customStyle="1" w:styleId="66">
    <w:name w:val="15"/>
    <w:basedOn w:val="29"/>
    <w:autoRedefine/>
    <w:qFormat/>
    <w:uiPriority w:val="0"/>
    <w:rPr>
      <w:rFonts w:hint="default" w:ascii="Times New Roman" w:hAnsi="Times New Roman" w:cs="Source Han Serif CN"/>
      <w:color w:val="211D1E"/>
      <w:sz w:val="18"/>
      <w:szCs w:val="18"/>
    </w:rPr>
  </w:style>
  <w:style w:type="paragraph" w:customStyle="1" w:styleId="67">
    <w:name w:val="修订4"/>
    <w:hidden/>
    <w:unhideWhenUsed/>
    <w:qFormat/>
    <w:uiPriority w:val="99"/>
    <w:rPr>
      <w:rFonts w:ascii="Times New Roman" w:hAnsi="Times New Roman" w:eastAsia="宋体" w:cs="Times New Roman"/>
      <w:kern w:val="2"/>
      <w:sz w:val="21"/>
      <w:szCs w:val="24"/>
      <w:lang w:val="en-US" w:eastAsia="zh-CN" w:bidi="ar-SA"/>
    </w:rPr>
  </w:style>
  <w:style w:type="paragraph" w:customStyle="1" w:styleId="68">
    <w:name w:val="修订5"/>
    <w:hidden/>
    <w:unhideWhenUsed/>
    <w:qFormat/>
    <w:uiPriority w:val="99"/>
    <w:rPr>
      <w:rFonts w:ascii="Times New Roman" w:hAnsi="Times New Roman" w:eastAsia="宋体" w:cs="Times New Roman"/>
      <w:kern w:val="2"/>
      <w:sz w:val="21"/>
      <w:szCs w:val="24"/>
      <w:lang w:val="en-US" w:eastAsia="zh-CN" w:bidi="ar-SA"/>
    </w:rPr>
  </w:style>
  <w:style w:type="paragraph" w:customStyle="1" w:styleId="69">
    <w:name w:val="修订6"/>
    <w:hidden/>
    <w:unhideWhenUsed/>
    <w:qFormat/>
    <w:uiPriority w:val="99"/>
    <w:rPr>
      <w:rFonts w:ascii="Times New Roman" w:hAnsi="Times New Roman" w:eastAsia="宋体" w:cs="Times New Roman"/>
      <w:kern w:val="2"/>
      <w:sz w:val="21"/>
      <w:szCs w:val="24"/>
      <w:lang w:val="en-US" w:eastAsia="zh-CN" w:bidi="ar-SA"/>
    </w:rPr>
  </w:style>
  <w:style w:type="character" w:customStyle="1" w:styleId="70">
    <w:name w:val="已访问的超链接1"/>
    <w:autoRedefine/>
    <w:qFormat/>
    <w:uiPriority w:val="0"/>
    <w:rPr>
      <w:color w:val="800080"/>
      <w:u w:val="single"/>
    </w:rPr>
  </w:style>
  <w:style w:type="character" w:customStyle="1" w:styleId="71">
    <w:name w:val="apple-style-span"/>
    <w:basedOn w:val="29"/>
    <w:autoRedefine/>
    <w:qFormat/>
    <w:uiPriority w:val="0"/>
  </w:style>
  <w:style w:type="paragraph" w:customStyle="1" w:styleId="72">
    <w:name w:val="列出段落1"/>
    <w:basedOn w:val="1"/>
    <w:autoRedefine/>
    <w:qFormat/>
    <w:uiPriority w:val="34"/>
    <w:pPr>
      <w:ind w:firstLine="420" w:firstLineChars="200"/>
    </w:pPr>
    <w:rPr>
      <w:rFonts w:ascii="Times New Roman" w:hAnsi="Times New Roman" w:eastAsia="宋体" w:cs="Times New Roman"/>
      <w:sz w:val="21"/>
      <w:szCs w:val="24"/>
    </w:rPr>
  </w:style>
  <w:style w:type="paragraph" w:customStyle="1" w:styleId="73">
    <w:name w:val="目录 31"/>
    <w:basedOn w:val="1"/>
    <w:next w:val="1"/>
    <w:unhideWhenUsed/>
    <w:qFormat/>
    <w:uiPriority w:val="39"/>
    <w:pPr>
      <w:ind w:left="840" w:leftChars="400"/>
    </w:pPr>
    <w:rPr>
      <w:rFonts w:ascii="Times New Roman" w:hAnsi="Times New Roman" w:eastAsia="宋体" w:cs="Times New Roman"/>
      <w:sz w:val="21"/>
      <w:szCs w:val="24"/>
    </w:rPr>
  </w:style>
  <w:style w:type="paragraph" w:customStyle="1" w:styleId="74">
    <w:name w:val="目录 11"/>
    <w:basedOn w:val="1"/>
    <w:next w:val="1"/>
    <w:unhideWhenUsed/>
    <w:qFormat/>
    <w:uiPriority w:val="39"/>
    <w:pPr>
      <w:tabs>
        <w:tab w:val="right" w:leader="dot" w:pos="8302"/>
      </w:tabs>
      <w:spacing w:line="360" w:lineRule="auto"/>
    </w:pPr>
    <w:rPr>
      <w:rFonts w:ascii="Times New Roman" w:hAnsi="Times New Roman" w:eastAsia="宋体" w:cs="Times New Roman"/>
      <w:sz w:val="21"/>
      <w:szCs w:val="24"/>
    </w:rPr>
  </w:style>
  <w:style w:type="paragraph" w:customStyle="1" w:styleId="75">
    <w:name w:val="正文 A"/>
    <w:autoRedefine/>
    <w:qFormat/>
    <w:uiPriority w:val="0"/>
    <w:pPr>
      <w:widowControl w:val="0"/>
      <w:jc w:val="both"/>
    </w:pPr>
    <w:rPr>
      <w:rFonts w:hint="eastAsia" w:ascii="Arial Unicode MS" w:hAnsi="Arial Unicode MS" w:eastAsia="Arial Unicode MS" w:cs="Arial Unicode MS"/>
      <w:color w:val="000000"/>
      <w:kern w:val="2"/>
      <w:sz w:val="21"/>
      <w:szCs w:val="21"/>
      <w:u w:color="000000"/>
      <w:lang w:val="en-US" w:eastAsia="zh-CN" w:bidi="ar-SA"/>
    </w:rPr>
  </w:style>
  <w:style w:type="character" w:styleId="76">
    <w:name w:val="Placeholder Text"/>
    <w:basedOn w:val="29"/>
    <w:autoRedefine/>
    <w:unhideWhenUsed/>
    <w:qFormat/>
    <w:uiPriority w:val="99"/>
    <w:rPr>
      <w:color w:val="666666"/>
    </w:rPr>
  </w:style>
  <w:style w:type="table" w:customStyle="1" w:styleId="77">
    <w:name w:val="网格型浅色1"/>
    <w:basedOn w:val="27"/>
    <w:qFormat/>
    <w:uiPriority w:val="40"/>
    <w:rPr>
      <w:rFonts w:ascii="Times New Roman" w:hAnsi="Times New Roman" w:eastAsia="宋体" w:cs="Times New Roman"/>
      <w:kern w:val="0"/>
      <w:sz w:val="20"/>
      <w:szCs w:val="20"/>
    </w:r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paragraph" w:customStyle="1" w:styleId="78">
    <w:name w:val="修订7"/>
    <w:autoRedefine/>
    <w:hidden/>
    <w:unhideWhenUsed/>
    <w:qFormat/>
    <w:uiPriority w:val="99"/>
    <w:rPr>
      <w:rFonts w:ascii="Times New Roman" w:hAnsi="Times New Roman" w:eastAsia="宋体" w:cs="Times New Roman"/>
      <w:kern w:val="2"/>
      <w:sz w:val="21"/>
      <w:szCs w:val="24"/>
      <w:lang w:val="en-US" w:eastAsia="zh-CN" w:bidi="ar-SA"/>
    </w:rPr>
  </w:style>
  <w:style w:type="table" w:customStyle="1" w:styleId="79">
    <w:name w:val="网格型2"/>
    <w:basedOn w:val="27"/>
    <w:qFormat/>
    <w:uiPriority w:val="99"/>
    <w:pPr>
      <w:widowControl w:val="0"/>
      <w:jc w:val="both"/>
    </w:pPr>
    <w:rPr>
      <w:rFonts w:ascii="Times New Roman" w:hAnsi="Times New Roman" w:eastAsia="Times New Roman"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0">
    <w:name w:val="网格型3"/>
    <w:basedOn w:val="27"/>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1">
    <w:name w:val="修订8"/>
    <w:hidden/>
    <w:unhideWhenUsed/>
    <w:qFormat/>
    <w:uiPriority w:val="99"/>
    <w:rPr>
      <w:rFonts w:ascii="Times New Roman" w:hAnsi="Times New Roman" w:eastAsia="宋体" w:cs="Times New Roman"/>
      <w:kern w:val="2"/>
      <w:sz w:val="21"/>
      <w:szCs w:val="24"/>
      <w:lang w:val="en-US" w:eastAsia="zh-CN" w:bidi="ar-SA"/>
    </w:rPr>
  </w:style>
  <w:style w:type="table" w:customStyle="1" w:styleId="82">
    <w:name w:val="网格型4"/>
    <w:basedOn w:val="27"/>
    <w:autoRedefine/>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3">
    <w:name w:val="修订9"/>
    <w:hidden/>
    <w:semiHidden/>
    <w:qFormat/>
    <w:uiPriority w:val="99"/>
    <w:rPr>
      <w:rFonts w:eastAsia="仿宋_GB2312" w:asciiTheme="minorHAnsi" w:hAnsiTheme="minorHAnsi" w:cstheme="minorBidi"/>
      <w:kern w:val="2"/>
      <w:sz w:val="30"/>
      <w:szCs w:val="22"/>
      <w:lang w:val="en-US" w:eastAsia="zh-CN" w:bidi="ar-SA"/>
    </w:rPr>
  </w:style>
  <w:style w:type="table" w:customStyle="1" w:styleId="84">
    <w:name w:val="三线表1"/>
    <w:basedOn w:val="27"/>
    <w:qFormat/>
    <w:uiPriority w:val="0"/>
    <w:rPr>
      <w:rFonts w:ascii="等线" w:hAnsi="等线" w:eastAsia="等线" w:cs="Times New Roman"/>
      <w:szCs w:val="24"/>
    </w:rPr>
    <w:tblPr>
      <w:tblBorders>
        <w:top w:val="single" w:color="auto" w:sz="12" w:space="0"/>
        <w:bottom w:val="single" w:color="auto" w:sz="12" w:space="0"/>
      </w:tblBorders>
    </w:tblPr>
    <w:tblStylePr w:type="firstRow">
      <w:tcPr>
        <w:tcBorders>
          <w:bottom w:val="nil"/>
        </w:tcBorders>
      </w:tcPr>
    </w:tblStylePr>
  </w:style>
  <w:style w:type="paragraph" w:customStyle="1" w:styleId="85">
    <w:name w:val="修订10"/>
    <w:hidden/>
    <w:unhideWhenUsed/>
    <w:qFormat/>
    <w:uiPriority w:val="99"/>
    <w:rPr>
      <w:rFonts w:eastAsia="仿宋_GB2312" w:asciiTheme="minorHAnsi" w:hAnsiTheme="minorHAnsi" w:cstheme="minorBidi"/>
      <w:kern w:val="2"/>
      <w:sz w:val="30"/>
      <w:szCs w:val="22"/>
      <w:lang w:val="en-US" w:eastAsia="zh-CN" w:bidi="ar-SA"/>
    </w:rPr>
  </w:style>
  <w:style w:type="paragraph" w:customStyle="1" w:styleId="86">
    <w:name w:val="修订11"/>
    <w:hidden/>
    <w:unhideWhenUsed/>
    <w:qFormat/>
    <w:uiPriority w:val="99"/>
    <w:rPr>
      <w:rFonts w:eastAsia="仿宋_GB2312" w:asciiTheme="minorHAnsi" w:hAnsiTheme="minorHAnsi" w:cstheme="minorBidi"/>
      <w:kern w:val="2"/>
      <w:sz w:val="30"/>
      <w:szCs w:val="22"/>
      <w:lang w:val="en-US" w:eastAsia="zh-CN" w:bidi="ar-SA"/>
    </w:rPr>
  </w:style>
  <w:style w:type="paragraph" w:customStyle="1" w:styleId="87">
    <w:name w:val="修订12"/>
    <w:hidden/>
    <w:unhideWhenUsed/>
    <w:qFormat/>
    <w:uiPriority w:val="99"/>
    <w:rPr>
      <w:rFonts w:eastAsia="仿宋_GB2312" w:asciiTheme="minorHAnsi" w:hAnsiTheme="minorHAnsi" w:cstheme="minorBidi"/>
      <w:kern w:val="2"/>
      <w:sz w:val="30"/>
      <w:szCs w:val="22"/>
      <w:lang w:val="en-US" w:eastAsia="zh-CN" w:bidi="ar-SA"/>
    </w:rPr>
  </w:style>
  <w:style w:type="paragraph" w:customStyle="1" w:styleId="88">
    <w:name w:val="Revision"/>
    <w:hidden/>
    <w:semiHidden/>
    <w:qFormat/>
    <w:uiPriority w:val="99"/>
    <w:rPr>
      <w:rFonts w:eastAsia="仿宋_GB2312" w:asciiTheme="minorHAnsi" w:hAnsiTheme="minorHAnsi" w:cstheme="minorBidi"/>
      <w:kern w:val="2"/>
      <w:sz w:val="30"/>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40</Pages>
  <Words>19211</Words>
  <Characters>19488</Characters>
  <Lines>170</Lines>
  <Paragraphs>47</Paragraphs>
  <TotalTime>63</TotalTime>
  <ScaleCrop>false</ScaleCrop>
  <LinksUpToDate>false</LinksUpToDate>
  <CharactersWithSpaces>19743</CharactersWithSpaces>
  <Application>WPS Office_12.8.2.19313_F1E327BC-269C-435d-A152-05C5408002CA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2025-01-18T16:07:00Z</dcterms:created>
  <dc:creator>sse</dc:creator>
  <cp:lastModifiedBy>whxu</cp:lastModifiedBy>
  <dcterms:modified xsi:type="dcterms:W3CDTF">2025-01-17T18:39:08Z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2052-12.8.2.19313</vt:lpwstr>
  </property>
  <property fmtid="{D5CDD505-2E9C-101B-9397-08002B2CF9AE}" pid="3" name="ICV">
    <vt:lpwstr>B5ADE81C14C4C5F4602D8A672A30307D_42</vt:lpwstr>
  </property>
</Properties>
</file>