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00194B">
      <w:pPr>
        <w:spacing w:line="560" w:lineRule="exact"/>
        <w:jc w:val="center"/>
        <w:rPr>
          <w:rFonts w:ascii="黑体" w:eastAsia="黑体" w:hAnsi="黑体"/>
          <w:b/>
          <w:bCs/>
          <w:sz w:val="36"/>
          <w:szCs w:val="36"/>
        </w:rPr>
      </w:pPr>
      <w:bookmarkStart w:id="0" w:name="_Toc330904158"/>
      <w:bookmarkStart w:id="1" w:name="_Toc340839642"/>
      <w:r>
        <w:rPr>
          <w:rFonts w:ascii="黑体" w:eastAsia="黑体" w:hAnsi="黑体" w:hint="eastAsia"/>
          <w:b/>
          <w:bCs/>
          <w:sz w:val="36"/>
          <w:szCs w:val="36"/>
        </w:rPr>
        <w:t>第十号</w:t>
      </w:r>
      <w:r>
        <w:rPr>
          <w:rFonts w:ascii="黑体" w:eastAsia="黑体" w:hAnsi="黑体" w:hint="eastAsia"/>
          <w:b/>
          <w:bCs/>
          <w:sz w:val="36"/>
          <w:szCs w:val="36"/>
        </w:rPr>
        <w:t xml:space="preserve"> </w:t>
      </w:r>
      <w:r>
        <w:rPr>
          <w:rFonts w:ascii="黑体" w:eastAsia="黑体" w:hAnsi="黑体" w:hint="eastAsia"/>
          <w:b/>
          <w:bCs/>
          <w:sz w:val="36"/>
          <w:szCs w:val="36"/>
        </w:rPr>
        <w:t>上市公司股改限售股上市流通公告</w:t>
      </w:r>
      <w:bookmarkEnd w:id="0"/>
      <w:bookmarkEnd w:id="1"/>
    </w:p>
    <w:p w:rsidR="00000000" w:rsidRDefault="0000194B">
      <w:pPr>
        <w:adjustRightInd w:val="0"/>
        <w:snapToGrid w:val="0"/>
        <w:spacing w:line="560" w:lineRule="exact"/>
        <w:rPr>
          <w:rFonts w:ascii="宋体" w:hAnsi="宋体"/>
          <w:sz w:val="24"/>
        </w:rPr>
      </w:pPr>
    </w:p>
    <w:p w:rsidR="00000000" w:rsidRDefault="0000194B">
      <w:pPr>
        <w:adjustRightInd w:val="0"/>
        <w:snapToGrid w:val="0"/>
        <w:spacing w:line="560" w:lineRule="exact"/>
        <w:jc w:val="left"/>
        <w:rPr>
          <w:rFonts w:ascii="仿宋" w:eastAsia="仿宋_GB2312" w:hAnsi="仿宋"/>
          <w:sz w:val="30"/>
          <w:szCs w:val="30"/>
        </w:rPr>
      </w:pPr>
      <w:r>
        <w:rPr>
          <w:rFonts w:ascii="仿宋" w:eastAsia="仿宋_GB2312" w:hAnsi="仿宋" w:hint="eastAsia"/>
          <w:sz w:val="30"/>
          <w:szCs w:val="30"/>
        </w:rPr>
        <w:t>证券代码：</w:t>
      </w:r>
      <w:r>
        <w:rPr>
          <w:rFonts w:ascii="仿宋" w:eastAsia="仿宋_GB2312" w:hAnsi="仿宋"/>
          <w:sz w:val="30"/>
          <w:szCs w:val="30"/>
        </w:rPr>
        <w:t xml:space="preserve">             </w:t>
      </w:r>
      <w:r>
        <w:rPr>
          <w:rFonts w:ascii="仿宋" w:eastAsia="仿宋_GB2312" w:hAnsi="仿宋" w:hint="eastAsia"/>
          <w:sz w:val="30"/>
          <w:szCs w:val="30"/>
        </w:rPr>
        <w:t>证券简称：</w:t>
      </w:r>
      <w:r>
        <w:rPr>
          <w:rFonts w:ascii="仿宋" w:eastAsia="仿宋_GB2312" w:hAnsi="仿宋"/>
          <w:sz w:val="30"/>
          <w:szCs w:val="30"/>
        </w:rPr>
        <w:t xml:space="preserve">            </w:t>
      </w:r>
      <w:r>
        <w:rPr>
          <w:rFonts w:ascii="仿宋" w:eastAsia="仿宋_GB2312" w:hAnsi="仿宋" w:hint="eastAsia"/>
          <w:sz w:val="30"/>
          <w:szCs w:val="30"/>
        </w:rPr>
        <w:t>公告编号：</w:t>
      </w:r>
    </w:p>
    <w:p w:rsidR="00000000" w:rsidRDefault="0000194B">
      <w:pPr>
        <w:adjustRightInd w:val="0"/>
        <w:snapToGrid w:val="0"/>
        <w:spacing w:line="560" w:lineRule="exact"/>
        <w:rPr>
          <w:rFonts w:ascii="宋体" w:hAnsi="宋体"/>
          <w:sz w:val="24"/>
        </w:rPr>
      </w:pPr>
      <w:r>
        <w:rPr>
          <w:rFonts w:ascii="宋体" w:hAnsi="宋体" w:hint="eastAsia"/>
          <w:sz w:val="24"/>
        </w:rPr>
        <w:t xml:space="preserve"> </w:t>
      </w:r>
    </w:p>
    <w:p w:rsidR="00000000" w:rsidRDefault="0000194B">
      <w:pPr>
        <w:adjustRightInd w:val="0"/>
        <w:snapToGrid w:val="0"/>
        <w:spacing w:line="560" w:lineRule="exact"/>
        <w:jc w:val="center"/>
        <w:rPr>
          <w:rFonts w:ascii="仿宋" w:eastAsia="仿宋_GB2312" w:hAnsi="仿宋"/>
          <w:sz w:val="30"/>
          <w:szCs w:val="30"/>
        </w:rPr>
      </w:pPr>
      <w:r>
        <w:rPr>
          <w:rFonts w:ascii="仿宋" w:eastAsia="仿宋_GB2312" w:hAnsi="仿宋" w:hint="eastAsia"/>
          <w:sz w:val="30"/>
          <w:szCs w:val="30"/>
        </w:rPr>
        <w:t>XXXX</w:t>
      </w:r>
      <w:r>
        <w:rPr>
          <w:rFonts w:ascii="仿宋" w:eastAsia="仿宋_GB2312" w:hAnsi="仿宋" w:hint="eastAsia"/>
          <w:sz w:val="30"/>
          <w:szCs w:val="30"/>
        </w:rPr>
        <w:t>股份有限公司股改限售股上市流通公告</w:t>
      </w:r>
    </w:p>
    <w:p w:rsidR="00000000" w:rsidRDefault="0000194B">
      <w:pPr>
        <w:adjustRightInd w:val="0"/>
        <w:snapToGrid w:val="0"/>
        <w:spacing w:line="560" w:lineRule="exact"/>
        <w:jc w:val="center"/>
        <w:rPr>
          <w:rFonts w:ascii="宋体" w:hAnsi="宋体"/>
          <w:sz w:val="24"/>
        </w:rPr>
      </w:pPr>
    </w:p>
    <w:p w:rsidR="00000000" w:rsidRDefault="0000194B">
      <w:pPr>
        <w:pBdr>
          <w:top w:val="single" w:sz="4" w:space="1" w:color="auto"/>
          <w:left w:val="single" w:sz="4" w:space="4" w:color="auto"/>
          <w:bottom w:val="single" w:sz="4" w:space="1" w:color="auto"/>
          <w:right w:val="single" w:sz="4" w:space="4" w:color="auto"/>
        </w:pBdr>
        <w:adjustRightInd w:val="0"/>
        <w:snapToGrid w:val="0"/>
        <w:spacing w:line="560" w:lineRule="exact"/>
        <w:rPr>
          <w:rFonts w:ascii="仿宋" w:eastAsia="仿宋_GB2312" w:hAnsi="仿宋"/>
          <w:sz w:val="30"/>
          <w:szCs w:val="30"/>
        </w:rPr>
      </w:pPr>
      <w:r>
        <w:rPr>
          <w:rFonts w:ascii="宋体" w:hAnsi="宋体" w:hint="eastAsia"/>
          <w:color w:val="000000"/>
          <w:sz w:val="24"/>
        </w:rPr>
        <w:t xml:space="preserve">    </w:t>
      </w:r>
      <w:r>
        <w:rPr>
          <w:rFonts w:ascii="仿宋" w:eastAsia="仿宋_GB2312" w:hAnsi="仿宋" w:hint="eastAsia"/>
          <w:sz w:val="30"/>
          <w:szCs w:val="30"/>
        </w:rPr>
        <w:t>本公司董事会及全体董事保证本公告内容不存在任何虚假记载、误导性陈述或者重大遗漏，并对其内容的真实性、准确性和完整性承担法律责任。</w:t>
      </w:r>
    </w:p>
    <w:p w:rsidR="00000000" w:rsidRDefault="0000194B">
      <w:pPr>
        <w:pBdr>
          <w:top w:val="single" w:sz="4" w:space="1" w:color="auto"/>
          <w:left w:val="single" w:sz="4" w:space="4" w:color="auto"/>
          <w:bottom w:val="single" w:sz="4" w:space="1" w:color="auto"/>
          <w:right w:val="single" w:sz="4" w:space="4" w:color="auto"/>
        </w:pBdr>
        <w:adjustRightInd w:val="0"/>
        <w:snapToGrid w:val="0"/>
        <w:spacing w:line="560" w:lineRule="exact"/>
        <w:rPr>
          <w:rFonts w:ascii="宋体" w:hAnsi="宋体"/>
          <w:color w:val="000000"/>
          <w:sz w:val="24"/>
        </w:rPr>
      </w:pPr>
      <w:r>
        <w:rPr>
          <w:rFonts w:ascii="仿宋" w:eastAsia="仿宋_GB2312" w:hAnsi="仿宋" w:hint="eastAsia"/>
          <w:sz w:val="30"/>
          <w:szCs w:val="30"/>
        </w:rPr>
        <w:t xml:space="preserve">    </w:t>
      </w:r>
      <w:r>
        <w:rPr>
          <w:rFonts w:ascii="仿宋" w:eastAsia="仿宋_GB2312" w:hAnsi="仿宋" w:hint="eastAsia"/>
          <w:sz w:val="30"/>
          <w:szCs w:val="30"/>
        </w:rPr>
        <w:t>如有董事对临时公告内容的真实性、准确性和完整性无法保证或存在异议的，公司应当在公告中作特别提示。</w:t>
      </w:r>
    </w:p>
    <w:p w:rsidR="00000000" w:rsidRDefault="0000194B">
      <w:pPr>
        <w:adjustRightInd w:val="0"/>
        <w:snapToGrid w:val="0"/>
        <w:spacing w:line="560" w:lineRule="exact"/>
        <w:rPr>
          <w:rFonts w:ascii="宋体" w:hAnsi="宋体"/>
          <w:sz w:val="24"/>
        </w:rPr>
      </w:pPr>
    </w:p>
    <w:p w:rsidR="00000000" w:rsidRDefault="0000194B" w:rsidP="0000194B">
      <w:pPr>
        <w:adjustRightInd w:val="0"/>
        <w:snapToGrid w:val="0"/>
        <w:spacing w:line="560" w:lineRule="exact"/>
        <w:ind w:firstLineChars="200" w:firstLine="600"/>
        <w:rPr>
          <w:rFonts w:ascii="仿宋" w:eastAsia="仿宋_GB2312" w:hAnsi="仿宋"/>
          <w:b/>
          <w:bCs/>
          <w:sz w:val="30"/>
          <w:szCs w:val="30"/>
        </w:rPr>
      </w:pPr>
      <w:r>
        <w:rPr>
          <w:rFonts w:ascii="仿宋" w:eastAsia="仿宋_GB2312" w:hAnsi="仿宋" w:hint="eastAsia"/>
          <w:b/>
          <w:bCs/>
          <w:sz w:val="30"/>
          <w:szCs w:val="30"/>
        </w:rPr>
        <w:t>重要内容提示：</w:t>
      </w:r>
    </w:p>
    <w:p w:rsidR="00000000" w:rsidRDefault="0000194B">
      <w:pPr>
        <w:numPr>
          <w:ilvl w:val="0"/>
          <w:numId w:val="1"/>
        </w:numPr>
        <w:tabs>
          <w:tab w:val="left" w:pos="420"/>
        </w:tabs>
        <w:adjustRightInd w:val="0"/>
        <w:snapToGrid w:val="0"/>
        <w:spacing w:line="560" w:lineRule="exact"/>
        <w:ind w:left="0" w:firstLineChars="200" w:firstLine="600"/>
        <w:rPr>
          <w:rFonts w:ascii="仿宋" w:eastAsia="仿宋_GB2312" w:hAnsi="仿宋"/>
          <w:sz w:val="30"/>
          <w:szCs w:val="30"/>
        </w:rPr>
      </w:pPr>
      <w:r>
        <w:rPr>
          <w:rFonts w:ascii="仿宋" w:eastAsia="仿宋_GB2312" w:hAnsi="仿宋" w:hint="eastAsia"/>
          <w:sz w:val="30"/>
          <w:szCs w:val="30"/>
        </w:rPr>
        <w:t>本次股改限售股上市流通数量为</w:t>
      </w:r>
      <w:r>
        <w:rPr>
          <w:rFonts w:ascii="仿宋" w:eastAsia="仿宋_GB2312" w:hAnsi="仿宋" w:hint="eastAsia"/>
          <w:sz w:val="30"/>
          <w:szCs w:val="30"/>
        </w:rPr>
        <w:t>XX,XXX,XXX</w:t>
      </w:r>
      <w:r>
        <w:rPr>
          <w:rFonts w:ascii="仿宋" w:eastAsia="仿宋_GB2312" w:hAnsi="仿宋" w:hint="eastAsia"/>
          <w:sz w:val="30"/>
          <w:szCs w:val="30"/>
        </w:rPr>
        <w:t>股</w:t>
      </w:r>
    </w:p>
    <w:p w:rsidR="00000000" w:rsidRDefault="0000194B">
      <w:pPr>
        <w:numPr>
          <w:ilvl w:val="0"/>
          <w:numId w:val="1"/>
        </w:numPr>
        <w:tabs>
          <w:tab w:val="left" w:pos="420"/>
        </w:tabs>
        <w:adjustRightInd w:val="0"/>
        <w:snapToGrid w:val="0"/>
        <w:spacing w:line="560" w:lineRule="exact"/>
        <w:ind w:left="0" w:firstLineChars="200" w:firstLine="600"/>
        <w:rPr>
          <w:rFonts w:ascii="仿宋" w:eastAsia="仿宋_GB2312" w:hAnsi="仿宋"/>
          <w:sz w:val="30"/>
          <w:szCs w:val="30"/>
        </w:rPr>
      </w:pPr>
      <w:r>
        <w:rPr>
          <w:rFonts w:ascii="仿宋" w:eastAsia="仿宋_GB2312" w:hAnsi="仿宋" w:hint="eastAsia"/>
          <w:sz w:val="30"/>
          <w:szCs w:val="30"/>
        </w:rPr>
        <w:t>本次股改限售股上市流通日</w:t>
      </w:r>
      <w:r>
        <w:rPr>
          <w:rFonts w:ascii="仿宋" w:eastAsia="仿宋_GB2312" w:hAnsi="仿宋" w:hint="eastAsia"/>
          <w:sz w:val="30"/>
          <w:szCs w:val="30"/>
        </w:rPr>
        <w:t>为</w:t>
      </w:r>
      <w:r>
        <w:rPr>
          <w:rFonts w:ascii="仿宋" w:eastAsia="仿宋_GB2312" w:hAnsi="仿宋" w:hint="eastAsia"/>
          <w:sz w:val="30"/>
          <w:szCs w:val="30"/>
        </w:rPr>
        <w:t>XXXX</w:t>
      </w:r>
      <w:r>
        <w:rPr>
          <w:rFonts w:ascii="仿宋" w:eastAsia="仿宋_GB2312" w:hAnsi="仿宋" w:hint="eastAsia"/>
          <w:sz w:val="30"/>
          <w:szCs w:val="30"/>
        </w:rPr>
        <w:t>年</w:t>
      </w:r>
      <w:r>
        <w:rPr>
          <w:rFonts w:ascii="仿宋" w:eastAsia="仿宋_GB2312" w:hAnsi="仿宋" w:hint="eastAsia"/>
          <w:sz w:val="30"/>
          <w:szCs w:val="30"/>
        </w:rPr>
        <w:t>XX</w:t>
      </w:r>
      <w:r>
        <w:rPr>
          <w:rFonts w:ascii="仿宋" w:eastAsia="仿宋_GB2312" w:hAnsi="仿宋" w:hint="eastAsia"/>
          <w:sz w:val="30"/>
          <w:szCs w:val="30"/>
        </w:rPr>
        <w:t>月</w:t>
      </w:r>
      <w:r>
        <w:rPr>
          <w:rFonts w:ascii="仿宋" w:eastAsia="仿宋_GB2312" w:hAnsi="仿宋" w:hint="eastAsia"/>
          <w:sz w:val="30"/>
          <w:szCs w:val="30"/>
        </w:rPr>
        <w:t>XX</w:t>
      </w:r>
      <w:r>
        <w:rPr>
          <w:rFonts w:ascii="仿宋" w:eastAsia="仿宋_GB2312" w:hAnsi="仿宋" w:hint="eastAsia"/>
          <w:sz w:val="30"/>
          <w:szCs w:val="30"/>
        </w:rPr>
        <w:t>日</w:t>
      </w:r>
    </w:p>
    <w:p w:rsidR="00000000" w:rsidRDefault="0000194B">
      <w:pPr>
        <w:numPr>
          <w:ilvl w:val="0"/>
          <w:numId w:val="1"/>
        </w:numPr>
        <w:tabs>
          <w:tab w:val="left" w:pos="420"/>
        </w:tabs>
        <w:adjustRightInd w:val="0"/>
        <w:snapToGrid w:val="0"/>
        <w:spacing w:line="560" w:lineRule="exact"/>
        <w:ind w:left="0" w:firstLineChars="200" w:firstLine="600"/>
        <w:rPr>
          <w:rFonts w:ascii="仿宋" w:eastAsia="仿宋_GB2312" w:hAnsi="仿宋"/>
          <w:sz w:val="30"/>
          <w:szCs w:val="30"/>
        </w:rPr>
      </w:pPr>
      <w:r>
        <w:rPr>
          <w:rFonts w:ascii="仿宋" w:eastAsia="仿宋_GB2312" w:hAnsi="仿宋" w:hint="eastAsia"/>
          <w:sz w:val="30"/>
          <w:szCs w:val="30"/>
        </w:rPr>
        <w:t>本次上市后股改限售流通股剩余数量为</w:t>
      </w:r>
      <w:r>
        <w:rPr>
          <w:rFonts w:ascii="仿宋" w:eastAsia="仿宋_GB2312" w:hAnsi="仿宋" w:hint="eastAsia"/>
          <w:sz w:val="30"/>
          <w:szCs w:val="30"/>
        </w:rPr>
        <w:t>XX,XXX,XXX</w:t>
      </w:r>
      <w:r>
        <w:rPr>
          <w:rFonts w:ascii="仿宋" w:eastAsia="仿宋_GB2312" w:hAnsi="仿宋" w:hint="eastAsia"/>
          <w:sz w:val="30"/>
          <w:szCs w:val="30"/>
        </w:rPr>
        <w:t>股</w:t>
      </w:r>
    </w:p>
    <w:p w:rsidR="00000000" w:rsidRDefault="0000194B">
      <w:pPr>
        <w:adjustRightInd w:val="0"/>
        <w:snapToGrid w:val="0"/>
        <w:spacing w:line="560" w:lineRule="exact"/>
        <w:rPr>
          <w:rFonts w:ascii="仿宋" w:eastAsia="仿宋_GB2312" w:hAnsi="仿宋"/>
          <w:sz w:val="30"/>
          <w:szCs w:val="30"/>
        </w:rPr>
      </w:pPr>
    </w:p>
    <w:p w:rsidR="00000000" w:rsidRDefault="0000194B">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一、股权分置改革方案的相关情况</w:t>
      </w: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（一）“公司股权分置改革于</w:t>
      </w:r>
      <w:r>
        <w:rPr>
          <w:rFonts w:ascii="仿宋" w:eastAsia="仿宋_GB2312" w:hAnsi="仿宋" w:hint="eastAsia"/>
          <w:sz w:val="30"/>
          <w:szCs w:val="30"/>
        </w:rPr>
        <w:t>XXXX</w:t>
      </w:r>
      <w:r>
        <w:rPr>
          <w:rFonts w:ascii="仿宋" w:eastAsia="仿宋_GB2312" w:hAnsi="仿宋" w:hint="eastAsia"/>
          <w:sz w:val="30"/>
          <w:szCs w:val="30"/>
        </w:rPr>
        <w:t>年</w:t>
      </w:r>
      <w:r>
        <w:rPr>
          <w:rFonts w:ascii="仿宋" w:eastAsia="仿宋_GB2312" w:hAnsi="仿宋" w:hint="eastAsia"/>
          <w:sz w:val="30"/>
          <w:szCs w:val="30"/>
        </w:rPr>
        <w:t>XX</w:t>
      </w:r>
      <w:r>
        <w:rPr>
          <w:rFonts w:ascii="仿宋" w:eastAsia="仿宋_GB2312" w:hAnsi="仿宋" w:hint="eastAsia"/>
          <w:sz w:val="30"/>
          <w:szCs w:val="30"/>
        </w:rPr>
        <w:t>月</w:t>
      </w:r>
      <w:r>
        <w:rPr>
          <w:rFonts w:ascii="仿宋" w:eastAsia="仿宋_GB2312" w:hAnsi="仿宋" w:hint="eastAsia"/>
          <w:sz w:val="30"/>
          <w:szCs w:val="30"/>
        </w:rPr>
        <w:t>XX</w:t>
      </w:r>
      <w:r>
        <w:rPr>
          <w:rFonts w:ascii="仿宋" w:eastAsia="仿宋_GB2312" w:hAnsi="仿宋" w:hint="eastAsia"/>
          <w:sz w:val="30"/>
          <w:szCs w:val="30"/>
        </w:rPr>
        <w:t>日经相关股东会议通过，以</w:t>
      </w:r>
      <w:r>
        <w:rPr>
          <w:rFonts w:ascii="仿宋" w:eastAsia="仿宋_GB2312" w:hAnsi="仿宋" w:hint="eastAsia"/>
          <w:sz w:val="30"/>
          <w:szCs w:val="30"/>
        </w:rPr>
        <w:t>XXXX</w:t>
      </w:r>
      <w:r>
        <w:rPr>
          <w:rFonts w:ascii="仿宋" w:eastAsia="仿宋_GB2312" w:hAnsi="仿宋" w:hint="eastAsia"/>
          <w:sz w:val="30"/>
          <w:szCs w:val="30"/>
        </w:rPr>
        <w:t>年</w:t>
      </w:r>
      <w:r>
        <w:rPr>
          <w:rFonts w:ascii="仿宋" w:eastAsia="仿宋_GB2312" w:hAnsi="仿宋" w:hint="eastAsia"/>
          <w:sz w:val="30"/>
          <w:szCs w:val="30"/>
        </w:rPr>
        <w:t>XX</w:t>
      </w:r>
      <w:r>
        <w:rPr>
          <w:rFonts w:ascii="仿宋" w:eastAsia="仿宋_GB2312" w:hAnsi="仿宋" w:hint="eastAsia"/>
          <w:sz w:val="30"/>
          <w:szCs w:val="30"/>
        </w:rPr>
        <w:t>月</w:t>
      </w:r>
      <w:r>
        <w:rPr>
          <w:rFonts w:ascii="仿宋" w:eastAsia="仿宋_GB2312" w:hAnsi="仿宋" w:hint="eastAsia"/>
          <w:sz w:val="30"/>
          <w:szCs w:val="30"/>
        </w:rPr>
        <w:t>XX</w:t>
      </w:r>
      <w:r>
        <w:rPr>
          <w:rFonts w:ascii="仿宋" w:eastAsia="仿宋_GB2312" w:hAnsi="仿宋" w:hint="eastAsia"/>
          <w:sz w:val="30"/>
          <w:szCs w:val="30"/>
        </w:rPr>
        <w:t>日作为股权登记日实施，于</w:t>
      </w:r>
      <w:r>
        <w:rPr>
          <w:rFonts w:ascii="仿宋" w:eastAsia="仿宋_GB2312" w:hAnsi="仿宋" w:hint="eastAsia"/>
          <w:sz w:val="30"/>
          <w:szCs w:val="30"/>
        </w:rPr>
        <w:t>XXXX</w:t>
      </w:r>
      <w:r>
        <w:rPr>
          <w:rFonts w:ascii="仿宋" w:eastAsia="仿宋_GB2312" w:hAnsi="仿宋" w:hint="eastAsia"/>
          <w:sz w:val="30"/>
          <w:szCs w:val="30"/>
        </w:rPr>
        <w:t>年</w:t>
      </w:r>
      <w:r>
        <w:rPr>
          <w:rFonts w:ascii="仿宋" w:eastAsia="仿宋_GB2312" w:hAnsi="仿宋" w:hint="eastAsia"/>
          <w:sz w:val="30"/>
          <w:szCs w:val="30"/>
        </w:rPr>
        <w:t>XX</w:t>
      </w:r>
      <w:r>
        <w:rPr>
          <w:rFonts w:ascii="仿宋" w:eastAsia="仿宋_GB2312" w:hAnsi="仿宋" w:hint="eastAsia"/>
          <w:sz w:val="30"/>
          <w:szCs w:val="30"/>
        </w:rPr>
        <w:t>月</w:t>
      </w:r>
      <w:r>
        <w:rPr>
          <w:rFonts w:ascii="仿宋" w:eastAsia="仿宋_GB2312" w:hAnsi="仿宋" w:hint="eastAsia"/>
          <w:sz w:val="30"/>
          <w:szCs w:val="30"/>
        </w:rPr>
        <w:t>XX</w:t>
      </w:r>
      <w:r>
        <w:rPr>
          <w:rFonts w:ascii="仿宋" w:eastAsia="仿宋_GB2312" w:hAnsi="仿宋" w:hint="eastAsia"/>
          <w:sz w:val="30"/>
          <w:szCs w:val="30"/>
        </w:rPr>
        <w:t>日实施后首次复牌。”</w:t>
      </w: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（二）公司股权分置改革方案是否安排追加对价：是或否</w:t>
      </w: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公司股权分置改革方案安排有追加对价的，应披露追加对价的履行情况；公司股权分置改革方案没安排追加对价的，应披露：</w:t>
      </w:r>
      <w:r>
        <w:rPr>
          <w:rFonts w:ascii="仿宋" w:eastAsia="仿宋_GB2312" w:hAnsi="仿宋" w:hint="eastAsia"/>
          <w:sz w:val="30"/>
          <w:szCs w:val="30"/>
        </w:rPr>
        <w:lastRenderedPageBreak/>
        <w:t>“公司股权分置改革方案无追加对价安排”。</w:t>
      </w:r>
    </w:p>
    <w:p w:rsidR="00000000" w:rsidRDefault="0000194B">
      <w:pPr>
        <w:adjustRightInd w:val="0"/>
        <w:snapToGrid w:val="0"/>
        <w:spacing w:line="560" w:lineRule="exact"/>
        <w:ind w:firstLineChars="200" w:firstLine="480"/>
        <w:rPr>
          <w:rFonts w:ascii="楷体" w:eastAsia="楷体" w:hAnsi="楷体"/>
          <w:sz w:val="24"/>
        </w:rPr>
      </w:pPr>
      <w:r>
        <w:rPr>
          <w:rFonts w:ascii="楷体" w:eastAsia="楷体" w:hAnsi="楷体" w:hint="eastAsia"/>
          <w:sz w:val="24"/>
        </w:rPr>
        <w:t>（编制提醒：追加对价是指股改说明书</w:t>
      </w:r>
      <w:r>
        <w:rPr>
          <w:rFonts w:ascii="楷体" w:eastAsia="楷体" w:hAnsi="楷体" w:hint="eastAsia"/>
          <w:sz w:val="24"/>
        </w:rPr>
        <w:t>中披露的部分或者全部非流通股股东以股改实施后公司的业绩、股价等作为标准，在满足一定条件的情况下，向流通股股东追加支付股份对价，或者向公司以现金方式补足利润等的安排。公司在股改沟通期间修改方案、提高对价的，不属于追加对价。）</w:t>
      </w:r>
    </w:p>
    <w:p w:rsidR="00000000" w:rsidRDefault="0000194B">
      <w:pPr>
        <w:adjustRightInd w:val="0"/>
        <w:snapToGrid w:val="0"/>
        <w:spacing w:line="560" w:lineRule="exact"/>
        <w:ind w:firstLineChars="200" w:firstLine="600"/>
        <w:rPr>
          <w:rFonts w:ascii="仿宋" w:eastAsia="仿宋_GB2312" w:hAnsi="仿宋" w:hint="eastAsia"/>
          <w:sz w:val="30"/>
          <w:szCs w:val="30"/>
        </w:rPr>
      </w:pPr>
    </w:p>
    <w:p w:rsidR="00000000" w:rsidRDefault="0000194B">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二、股改限售股持有人关于本次上市流通的有关承诺及履行情况</w:t>
      </w:r>
    </w:p>
    <w:p w:rsidR="00000000" w:rsidRDefault="0000194B">
      <w:pPr>
        <w:tabs>
          <w:tab w:val="left" w:pos="0"/>
        </w:tabs>
        <w:adjustRightInd w:val="0"/>
        <w:snapToGrid w:val="0"/>
        <w:spacing w:line="560" w:lineRule="exact"/>
        <w:ind w:firstLineChars="200" w:firstLine="600"/>
        <w:rPr>
          <w:rFonts w:ascii="仿宋" w:eastAsia="仿宋_GB2312" w:hAnsi="仿宋" w:hint="eastAsia"/>
          <w:sz w:val="30"/>
          <w:szCs w:val="30"/>
        </w:rPr>
      </w:pPr>
      <w:r>
        <w:rPr>
          <w:rFonts w:ascii="仿宋" w:eastAsia="仿宋_GB2312" w:hAnsi="仿宋" w:hint="eastAsia"/>
          <w:sz w:val="30"/>
          <w:szCs w:val="30"/>
        </w:rPr>
        <w:t>简要说明股权分置改革方案中有关股东对其持有的有限售条件的流通股本次上市流通做出的特别承诺，以及股东的履行情况。</w:t>
      </w:r>
    </w:p>
    <w:p w:rsidR="00000000" w:rsidRDefault="0000194B">
      <w:pPr>
        <w:tabs>
          <w:tab w:val="left" w:pos="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如本次申请上市的股改限售股持有人无上市特别承诺，应予以明示。</w:t>
      </w:r>
    </w:p>
    <w:p w:rsidR="00000000" w:rsidRDefault="0000194B">
      <w:pPr>
        <w:tabs>
          <w:tab w:val="left" w:pos="0"/>
        </w:tabs>
        <w:adjustRightInd w:val="0"/>
        <w:snapToGrid w:val="0"/>
        <w:spacing w:line="560" w:lineRule="exact"/>
        <w:ind w:firstLineChars="200" w:firstLine="600"/>
        <w:rPr>
          <w:rFonts w:ascii="仿宋" w:eastAsia="仿宋_GB2312" w:hAnsi="仿宋" w:hint="eastAsia"/>
          <w:sz w:val="30"/>
          <w:szCs w:val="30"/>
        </w:rPr>
      </w:pPr>
    </w:p>
    <w:p w:rsidR="00000000" w:rsidRDefault="0000194B">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三、股改实施后至今公司股本数量和股东持股变化情况</w:t>
      </w:r>
    </w:p>
    <w:p w:rsidR="00000000" w:rsidRDefault="0000194B">
      <w:pPr>
        <w:tabs>
          <w:tab w:val="left" w:pos="567"/>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w:t>
      </w:r>
      <w:r>
        <w:rPr>
          <w:rFonts w:ascii="仿宋" w:eastAsia="仿宋_GB2312" w:hAnsi="仿宋" w:hint="eastAsia"/>
          <w:sz w:val="30"/>
          <w:szCs w:val="30"/>
        </w:rPr>
        <w:t>一）股改实施后至今公司股本数量是否发生变化：是或否</w:t>
      </w:r>
    </w:p>
    <w:p w:rsidR="00000000" w:rsidRDefault="0000194B">
      <w:pPr>
        <w:tabs>
          <w:tab w:val="left" w:pos="284"/>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上市公司如仅有分配、公积金转增导致的股本数量变化，应披露：“本次限售流通股上市数量以分配、公积金转增后的股本总额为基数计算”。</w:t>
      </w:r>
    </w:p>
    <w:p w:rsidR="00000000" w:rsidRDefault="0000194B">
      <w:pPr>
        <w:tabs>
          <w:tab w:val="left" w:pos="284"/>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（二）股改实施后至今，各股东持有限售条件流通股的比例是否发生变化：是或否</w:t>
      </w:r>
    </w:p>
    <w:p w:rsidR="00000000" w:rsidRDefault="0000194B">
      <w:pPr>
        <w:tabs>
          <w:tab w:val="left" w:pos="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简要说明股改实施后至今，股东持有限售流通股的变化情况，包括：</w:t>
      </w:r>
    </w:p>
    <w:p w:rsidR="00000000" w:rsidRDefault="0000194B">
      <w:pPr>
        <w:tabs>
          <w:tab w:val="left" w:pos="284"/>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1</w:t>
      </w:r>
      <w:r>
        <w:rPr>
          <w:rFonts w:ascii="仿宋" w:eastAsia="仿宋_GB2312" w:hAnsi="仿宋" w:hint="eastAsia"/>
          <w:sz w:val="30"/>
          <w:szCs w:val="30"/>
        </w:rPr>
        <w:t>、上市公司发行新股（增发、配股、非公开发行）、可转债</w:t>
      </w:r>
      <w:r>
        <w:rPr>
          <w:rFonts w:ascii="仿宋" w:eastAsia="仿宋_GB2312" w:hAnsi="仿宋" w:hint="eastAsia"/>
          <w:sz w:val="30"/>
          <w:szCs w:val="30"/>
        </w:rPr>
        <w:lastRenderedPageBreak/>
        <w:t>转股、回购股份导致的股东持股比例变化情况，应披露：“本次限售流通股上市数量以股改实施时的股本扣除发行新股、回购股份前的股本总额为基数计算”。</w:t>
      </w:r>
    </w:p>
    <w:p w:rsidR="00000000" w:rsidRDefault="0000194B">
      <w:pPr>
        <w:tabs>
          <w:tab w:val="left" w:pos="284"/>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2</w:t>
      </w:r>
      <w:r>
        <w:rPr>
          <w:rFonts w:ascii="仿宋" w:eastAsia="仿宋_GB2312" w:hAnsi="仿宋" w:hint="eastAsia"/>
          <w:sz w:val="30"/>
          <w:szCs w:val="30"/>
        </w:rPr>
        <w:t>、股权拍卖、转让、偿还代付对价、其他非交易过户等导致的股东持股比例变化情况，股东持股比例发生变化的，应披露：“原股东所持有限售流通股份对应的上市流通总量不因原股东将股份转让（或拍卖等）而发生变化”，并披露股份受让方名称、持股及股份上市流通数量情况。</w:t>
      </w:r>
    </w:p>
    <w:p w:rsidR="00000000" w:rsidRDefault="0000194B">
      <w:pPr>
        <w:tabs>
          <w:tab w:val="left" w:pos="284"/>
        </w:tabs>
        <w:adjustRightInd w:val="0"/>
        <w:snapToGrid w:val="0"/>
        <w:spacing w:line="560" w:lineRule="exact"/>
        <w:ind w:firstLineChars="200" w:firstLine="600"/>
        <w:rPr>
          <w:rFonts w:ascii="仿宋" w:eastAsia="仿宋_GB2312" w:hAnsi="仿宋" w:hint="eastAsia"/>
          <w:sz w:val="30"/>
          <w:szCs w:val="30"/>
        </w:rPr>
      </w:pPr>
    </w:p>
    <w:p w:rsidR="00000000" w:rsidRDefault="0000194B">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四、大股东占用资金的解决安排情况</w:t>
      </w:r>
      <w:r>
        <w:rPr>
          <w:rFonts w:ascii="黑体" w:eastAsia="黑体" w:hAnsi="黑体" w:hint="eastAsia"/>
          <w:sz w:val="30"/>
          <w:szCs w:val="30"/>
        </w:rPr>
        <w:t>(</w:t>
      </w:r>
      <w:r>
        <w:rPr>
          <w:rFonts w:ascii="黑体" w:eastAsia="黑体" w:hAnsi="黑体" w:hint="eastAsia"/>
          <w:sz w:val="30"/>
          <w:szCs w:val="30"/>
        </w:rPr>
        <w:t>此条仅限于大股东及其关联方限售股上市的情形</w:t>
      </w:r>
      <w:r>
        <w:rPr>
          <w:rFonts w:ascii="黑体" w:eastAsia="黑体" w:hAnsi="黑体" w:hint="eastAsia"/>
          <w:sz w:val="30"/>
          <w:szCs w:val="30"/>
        </w:rPr>
        <w:t>)</w:t>
      </w: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是否存在大股东占用资金：是或否</w:t>
      </w:r>
    </w:p>
    <w:p w:rsidR="00000000" w:rsidRDefault="0000194B">
      <w:pPr>
        <w:tabs>
          <w:tab w:val="left" w:pos="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存在大股东占用资金的，说明解决安排情况，包括公司与相关股东签订的协议的有关条款，包括相关股东出售股票所得现金优先用于偿还占用资金等条款信息。</w:t>
      </w:r>
    </w:p>
    <w:p w:rsidR="00000000" w:rsidRDefault="0000194B">
      <w:pPr>
        <w:tabs>
          <w:tab w:val="left" w:pos="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不存</w:t>
      </w:r>
      <w:r>
        <w:rPr>
          <w:rFonts w:ascii="仿宋" w:eastAsia="仿宋_GB2312" w:hAnsi="仿宋" w:hint="eastAsia"/>
          <w:sz w:val="30"/>
          <w:szCs w:val="30"/>
        </w:rPr>
        <w:t>在大股东占用资金的，本项披露为：“公司不存在大股东占用资金”。</w:t>
      </w:r>
    </w:p>
    <w:p w:rsidR="00000000" w:rsidRDefault="0000194B">
      <w:pPr>
        <w:tabs>
          <w:tab w:val="left" w:pos="0"/>
        </w:tabs>
        <w:adjustRightInd w:val="0"/>
        <w:snapToGrid w:val="0"/>
        <w:spacing w:line="560" w:lineRule="exact"/>
        <w:ind w:firstLineChars="200" w:firstLine="600"/>
        <w:rPr>
          <w:rFonts w:ascii="仿宋" w:eastAsia="仿宋_GB2312" w:hAnsi="仿宋" w:hint="eastAsia"/>
          <w:sz w:val="30"/>
          <w:szCs w:val="30"/>
        </w:rPr>
      </w:pPr>
    </w:p>
    <w:p w:rsidR="00000000" w:rsidRDefault="0000194B">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五、保荐机构核查意见</w:t>
      </w:r>
    </w:p>
    <w:p w:rsidR="00000000" w:rsidRDefault="0000194B">
      <w:pPr>
        <w:tabs>
          <w:tab w:val="left" w:pos="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简要披露股改保荐机构名称、核查意见的主要内容。如发生过保荐机构或保荐代表人变更的，须简要说明相关情况。</w:t>
      </w:r>
    </w:p>
    <w:p w:rsidR="00000000" w:rsidRDefault="0000194B">
      <w:pPr>
        <w:tabs>
          <w:tab w:val="left" w:pos="0"/>
        </w:tabs>
        <w:adjustRightInd w:val="0"/>
        <w:snapToGrid w:val="0"/>
        <w:spacing w:line="560" w:lineRule="exact"/>
        <w:ind w:firstLineChars="200" w:firstLine="600"/>
        <w:rPr>
          <w:rFonts w:ascii="仿宋" w:eastAsia="仿宋_GB2312" w:hAnsi="仿宋" w:hint="eastAsia"/>
          <w:sz w:val="30"/>
          <w:szCs w:val="30"/>
        </w:rPr>
      </w:pPr>
    </w:p>
    <w:p w:rsidR="00000000" w:rsidRDefault="0000194B">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六、本次限售流通股上市情况</w:t>
      </w:r>
    </w:p>
    <w:p w:rsidR="00000000" w:rsidRDefault="0000194B">
      <w:pPr>
        <w:tabs>
          <w:tab w:val="left" w:pos="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（一）本次限售流通股上市数量为</w:t>
      </w:r>
      <w:r>
        <w:rPr>
          <w:rFonts w:ascii="仿宋" w:eastAsia="仿宋_GB2312" w:hAnsi="仿宋" w:hint="eastAsia"/>
          <w:sz w:val="30"/>
          <w:szCs w:val="30"/>
        </w:rPr>
        <w:t>XX,XXX,XXX</w:t>
      </w:r>
      <w:r>
        <w:rPr>
          <w:rFonts w:ascii="仿宋" w:eastAsia="仿宋_GB2312" w:hAnsi="仿宋" w:hint="eastAsia"/>
          <w:sz w:val="30"/>
          <w:szCs w:val="30"/>
        </w:rPr>
        <w:t>股；</w:t>
      </w:r>
    </w:p>
    <w:p w:rsidR="00000000" w:rsidRDefault="0000194B">
      <w:pPr>
        <w:tabs>
          <w:tab w:val="left" w:pos="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lastRenderedPageBreak/>
        <w:t>（二）本次限售流通股上市流通日为</w:t>
      </w:r>
      <w:r>
        <w:rPr>
          <w:rFonts w:ascii="仿宋" w:eastAsia="仿宋_GB2312" w:hAnsi="仿宋" w:hint="eastAsia"/>
          <w:sz w:val="30"/>
          <w:szCs w:val="30"/>
        </w:rPr>
        <w:t>XXXX</w:t>
      </w:r>
      <w:r>
        <w:rPr>
          <w:rFonts w:ascii="仿宋" w:eastAsia="仿宋_GB2312" w:hAnsi="仿宋" w:hint="eastAsia"/>
          <w:sz w:val="30"/>
          <w:szCs w:val="30"/>
        </w:rPr>
        <w:t>年</w:t>
      </w:r>
      <w:r>
        <w:rPr>
          <w:rFonts w:ascii="仿宋" w:eastAsia="仿宋_GB2312" w:hAnsi="仿宋" w:hint="eastAsia"/>
          <w:sz w:val="30"/>
          <w:szCs w:val="30"/>
        </w:rPr>
        <w:t>XX</w:t>
      </w:r>
      <w:r>
        <w:rPr>
          <w:rFonts w:ascii="仿宋" w:eastAsia="仿宋_GB2312" w:hAnsi="仿宋" w:hint="eastAsia"/>
          <w:sz w:val="30"/>
          <w:szCs w:val="30"/>
        </w:rPr>
        <w:t>月</w:t>
      </w:r>
      <w:r>
        <w:rPr>
          <w:rFonts w:ascii="仿宋" w:eastAsia="仿宋_GB2312" w:hAnsi="仿宋" w:hint="eastAsia"/>
          <w:sz w:val="30"/>
          <w:szCs w:val="30"/>
        </w:rPr>
        <w:t>XX</w:t>
      </w:r>
      <w:r>
        <w:rPr>
          <w:rFonts w:ascii="仿宋" w:eastAsia="仿宋_GB2312" w:hAnsi="仿宋" w:hint="eastAsia"/>
          <w:sz w:val="30"/>
          <w:szCs w:val="30"/>
        </w:rPr>
        <w:t>日；</w:t>
      </w: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（三）本次限售流通股上市明细清单</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1"/>
        <w:gridCol w:w="1114"/>
        <w:gridCol w:w="1260"/>
        <w:gridCol w:w="1980"/>
        <w:gridCol w:w="1620"/>
        <w:gridCol w:w="1657"/>
      </w:tblGrid>
      <w:tr w:rsidR="00000000">
        <w:tc>
          <w:tcPr>
            <w:tcW w:w="691" w:type="dxa"/>
            <w:tcMar>
              <w:left w:w="0" w:type="dxa"/>
              <w:right w:w="0" w:type="dxa"/>
            </w:tcMar>
            <w:vAlign w:val="center"/>
          </w:tcPr>
          <w:p w:rsidR="00000000" w:rsidRDefault="0000194B">
            <w:pPr>
              <w:adjustRightInd w:val="0"/>
              <w:snapToGrid w:val="0"/>
              <w:spacing w:line="560" w:lineRule="exact"/>
              <w:jc w:val="center"/>
              <w:rPr>
                <w:rFonts w:ascii="宋体" w:hAnsi="宋体"/>
              </w:rPr>
            </w:pPr>
            <w:r>
              <w:rPr>
                <w:rFonts w:ascii="宋体" w:hAnsi="宋体" w:hint="eastAsia"/>
              </w:rPr>
              <w:t>序号</w:t>
            </w:r>
          </w:p>
        </w:tc>
        <w:tc>
          <w:tcPr>
            <w:tcW w:w="1114" w:type="dxa"/>
            <w:vAlign w:val="center"/>
          </w:tcPr>
          <w:p w:rsidR="00000000" w:rsidRDefault="0000194B">
            <w:pPr>
              <w:adjustRightInd w:val="0"/>
              <w:snapToGrid w:val="0"/>
              <w:spacing w:line="560" w:lineRule="exact"/>
              <w:jc w:val="center"/>
              <w:rPr>
                <w:rFonts w:ascii="宋体" w:hAnsi="宋体"/>
              </w:rPr>
            </w:pPr>
            <w:r>
              <w:rPr>
                <w:rFonts w:ascii="宋体" w:hAnsi="宋体" w:hint="eastAsia"/>
              </w:rPr>
              <w:t>股东名称</w:t>
            </w:r>
          </w:p>
        </w:tc>
        <w:tc>
          <w:tcPr>
            <w:tcW w:w="1260" w:type="dxa"/>
            <w:vAlign w:val="center"/>
          </w:tcPr>
          <w:p w:rsidR="00000000" w:rsidRDefault="0000194B">
            <w:pPr>
              <w:adjustRightInd w:val="0"/>
              <w:snapToGrid w:val="0"/>
              <w:spacing w:line="560" w:lineRule="exact"/>
              <w:jc w:val="center"/>
              <w:rPr>
                <w:rFonts w:ascii="宋体" w:hAnsi="宋体"/>
              </w:rPr>
            </w:pPr>
            <w:r>
              <w:rPr>
                <w:rFonts w:ascii="宋体" w:hAnsi="宋体" w:hint="eastAsia"/>
              </w:rPr>
              <w:t>持有有限售条件的流通股股份数量</w:t>
            </w:r>
          </w:p>
        </w:tc>
        <w:tc>
          <w:tcPr>
            <w:tcW w:w="1980" w:type="dxa"/>
            <w:vAlign w:val="center"/>
          </w:tcPr>
          <w:p w:rsidR="00000000" w:rsidRDefault="0000194B">
            <w:pPr>
              <w:adjustRightInd w:val="0"/>
              <w:snapToGrid w:val="0"/>
              <w:spacing w:line="560" w:lineRule="exact"/>
              <w:jc w:val="center"/>
              <w:rPr>
                <w:rFonts w:ascii="宋体" w:hAnsi="宋体"/>
              </w:rPr>
            </w:pPr>
            <w:r>
              <w:rPr>
                <w:rFonts w:ascii="宋体" w:hAnsi="宋体" w:hint="eastAsia"/>
              </w:rPr>
              <w:t>持有有限售条件的流通股股份占公司总股本比例</w:t>
            </w:r>
          </w:p>
        </w:tc>
        <w:tc>
          <w:tcPr>
            <w:tcW w:w="1620" w:type="dxa"/>
            <w:tcMar>
              <w:left w:w="0" w:type="dxa"/>
              <w:right w:w="0" w:type="dxa"/>
            </w:tcMar>
            <w:vAlign w:val="center"/>
          </w:tcPr>
          <w:p w:rsidR="00000000" w:rsidRDefault="0000194B">
            <w:pPr>
              <w:adjustRightInd w:val="0"/>
              <w:snapToGrid w:val="0"/>
              <w:spacing w:line="560" w:lineRule="exact"/>
              <w:jc w:val="center"/>
              <w:rPr>
                <w:rFonts w:ascii="宋体" w:hAnsi="宋体"/>
              </w:rPr>
            </w:pPr>
            <w:r>
              <w:rPr>
                <w:rFonts w:ascii="宋体" w:hAnsi="宋体" w:hint="eastAsia"/>
              </w:rPr>
              <w:t>本次上市数量</w:t>
            </w:r>
          </w:p>
          <w:p w:rsidR="00000000" w:rsidRDefault="0000194B">
            <w:pPr>
              <w:adjustRightInd w:val="0"/>
              <w:snapToGrid w:val="0"/>
              <w:spacing w:line="560" w:lineRule="exact"/>
              <w:jc w:val="center"/>
              <w:rPr>
                <w:rFonts w:ascii="宋体" w:hAnsi="宋体"/>
              </w:rPr>
            </w:pPr>
            <w:r>
              <w:rPr>
                <w:rFonts w:ascii="宋体" w:hAnsi="宋体" w:hint="eastAsia"/>
              </w:rPr>
              <w:t>（单位：股）</w:t>
            </w:r>
          </w:p>
        </w:tc>
        <w:tc>
          <w:tcPr>
            <w:tcW w:w="1657" w:type="dxa"/>
            <w:vAlign w:val="center"/>
          </w:tcPr>
          <w:p w:rsidR="00000000" w:rsidRDefault="0000194B">
            <w:pPr>
              <w:adjustRightInd w:val="0"/>
              <w:snapToGrid w:val="0"/>
              <w:spacing w:line="560" w:lineRule="exact"/>
              <w:jc w:val="center"/>
              <w:rPr>
                <w:rFonts w:ascii="宋体" w:hAnsi="宋体"/>
              </w:rPr>
            </w:pPr>
            <w:r>
              <w:rPr>
                <w:rFonts w:ascii="宋体" w:hAnsi="宋体" w:hint="eastAsia"/>
              </w:rPr>
              <w:t>剩余有限售条件的流通股</w:t>
            </w:r>
            <w:r>
              <w:rPr>
                <w:rFonts w:ascii="宋体" w:hAnsi="宋体" w:hint="eastAsia"/>
              </w:rPr>
              <w:t>股份数量</w:t>
            </w:r>
          </w:p>
        </w:tc>
      </w:tr>
      <w:tr w:rsidR="00000000">
        <w:tc>
          <w:tcPr>
            <w:tcW w:w="691" w:type="dxa"/>
            <w:tcMar>
              <w:left w:w="0" w:type="dxa"/>
              <w:right w:w="0" w:type="dxa"/>
            </w:tcMar>
            <w:vAlign w:val="center"/>
          </w:tcPr>
          <w:p w:rsidR="00000000" w:rsidRDefault="0000194B">
            <w:pPr>
              <w:adjustRightInd w:val="0"/>
              <w:snapToGrid w:val="0"/>
              <w:spacing w:line="560" w:lineRule="exact"/>
              <w:jc w:val="center"/>
              <w:rPr>
                <w:rFonts w:ascii="宋体" w:hAnsi="宋体"/>
              </w:rPr>
            </w:pPr>
          </w:p>
        </w:tc>
        <w:tc>
          <w:tcPr>
            <w:tcW w:w="1114" w:type="dxa"/>
            <w:vAlign w:val="center"/>
          </w:tcPr>
          <w:p w:rsidR="00000000" w:rsidRDefault="0000194B">
            <w:pPr>
              <w:adjustRightInd w:val="0"/>
              <w:snapToGrid w:val="0"/>
              <w:spacing w:line="560" w:lineRule="exact"/>
              <w:jc w:val="center"/>
              <w:rPr>
                <w:rFonts w:ascii="宋体" w:hAnsi="宋体"/>
              </w:rPr>
            </w:pPr>
          </w:p>
        </w:tc>
        <w:tc>
          <w:tcPr>
            <w:tcW w:w="1260" w:type="dxa"/>
            <w:vAlign w:val="center"/>
          </w:tcPr>
          <w:p w:rsidR="00000000" w:rsidRDefault="0000194B">
            <w:pPr>
              <w:adjustRightInd w:val="0"/>
              <w:snapToGrid w:val="0"/>
              <w:spacing w:line="560" w:lineRule="exact"/>
              <w:jc w:val="center"/>
              <w:rPr>
                <w:rFonts w:ascii="宋体" w:hAnsi="宋体"/>
              </w:rPr>
            </w:pPr>
          </w:p>
        </w:tc>
        <w:tc>
          <w:tcPr>
            <w:tcW w:w="1980" w:type="dxa"/>
            <w:vAlign w:val="center"/>
          </w:tcPr>
          <w:p w:rsidR="00000000" w:rsidRDefault="0000194B">
            <w:pPr>
              <w:adjustRightInd w:val="0"/>
              <w:snapToGrid w:val="0"/>
              <w:spacing w:line="560" w:lineRule="exact"/>
              <w:jc w:val="center"/>
              <w:rPr>
                <w:rFonts w:ascii="宋体" w:hAnsi="宋体"/>
              </w:rPr>
            </w:pPr>
          </w:p>
        </w:tc>
        <w:tc>
          <w:tcPr>
            <w:tcW w:w="1620" w:type="dxa"/>
            <w:tcMar>
              <w:left w:w="0" w:type="dxa"/>
              <w:right w:w="0" w:type="dxa"/>
            </w:tcMar>
            <w:vAlign w:val="center"/>
          </w:tcPr>
          <w:p w:rsidR="00000000" w:rsidRDefault="0000194B">
            <w:pPr>
              <w:adjustRightInd w:val="0"/>
              <w:snapToGrid w:val="0"/>
              <w:spacing w:line="560" w:lineRule="exact"/>
              <w:jc w:val="center"/>
              <w:rPr>
                <w:rFonts w:ascii="宋体" w:hAnsi="宋体"/>
              </w:rPr>
            </w:pPr>
          </w:p>
        </w:tc>
        <w:tc>
          <w:tcPr>
            <w:tcW w:w="1657" w:type="dxa"/>
            <w:vAlign w:val="center"/>
          </w:tcPr>
          <w:p w:rsidR="00000000" w:rsidRDefault="0000194B">
            <w:pPr>
              <w:adjustRightInd w:val="0"/>
              <w:snapToGrid w:val="0"/>
              <w:spacing w:line="560" w:lineRule="exact"/>
              <w:jc w:val="center"/>
              <w:rPr>
                <w:rFonts w:ascii="宋体" w:hAnsi="宋体"/>
              </w:rPr>
            </w:pPr>
          </w:p>
        </w:tc>
      </w:tr>
      <w:tr w:rsidR="00000000">
        <w:tc>
          <w:tcPr>
            <w:tcW w:w="691" w:type="dxa"/>
            <w:tcMar>
              <w:left w:w="0" w:type="dxa"/>
              <w:right w:w="0" w:type="dxa"/>
            </w:tcMar>
            <w:vAlign w:val="center"/>
          </w:tcPr>
          <w:p w:rsidR="00000000" w:rsidRDefault="0000194B">
            <w:pPr>
              <w:adjustRightInd w:val="0"/>
              <w:snapToGrid w:val="0"/>
              <w:spacing w:line="560" w:lineRule="exact"/>
              <w:jc w:val="center"/>
              <w:rPr>
                <w:rFonts w:ascii="宋体" w:hAnsi="宋体"/>
              </w:rPr>
            </w:pPr>
          </w:p>
        </w:tc>
        <w:tc>
          <w:tcPr>
            <w:tcW w:w="1114" w:type="dxa"/>
            <w:vAlign w:val="center"/>
          </w:tcPr>
          <w:p w:rsidR="00000000" w:rsidRDefault="0000194B">
            <w:pPr>
              <w:adjustRightInd w:val="0"/>
              <w:snapToGrid w:val="0"/>
              <w:spacing w:line="560" w:lineRule="exact"/>
              <w:jc w:val="center"/>
              <w:rPr>
                <w:rFonts w:ascii="宋体" w:hAnsi="宋体"/>
              </w:rPr>
            </w:pPr>
          </w:p>
        </w:tc>
        <w:tc>
          <w:tcPr>
            <w:tcW w:w="1260" w:type="dxa"/>
            <w:vAlign w:val="center"/>
          </w:tcPr>
          <w:p w:rsidR="00000000" w:rsidRDefault="0000194B">
            <w:pPr>
              <w:adjustRightInd w:val="0"/>
              <w:snapToGrid w:val="0"/>
              <w:spacing w:line="560" w:lineRule="exact"/>
              <w:jc w:val="center"/>
              <w:rPr>
                <w:rFonts w:ascii="宋体" w:hAnsi="宋体"/>
              </w:rPr>
            </w:pPr>
          </w:p>
        </w:tc>
        <w:tc>
          <w:tcPr>
            <w:tcW w:w="1980" w:type="dxa"/>
            <w:vAlign w:val="center"/>
          </w:tcPr>
          <w:p w:rsidR="00000000" w:rsidRDefault="0000194B">
            <w:pPr>
              <w:adjustRightInd w:val="0"/>
              <w:snapToGrid w:val="0"/>
              <w:spacing w:line="560" w:lineRule="exact"/>
              <w:jc w:val="center"/>
              <w:rPr>
                <w:rFonts w:ascii="宋体" w:hAnsi="宋体"/>
              </w:rPr>
            </w:pPr>
          </w:p>
        </w:tc>
        <w:tc>
          <w:tcPr>
            <w:tcW w:w="1620" w:type="dxa"/>
            <w:tcMar>
              <w:left w:w="0" w:type="dxa"/>
              <w:right w:w="0" w:type="dxa"/>
            </w:tcMar>
            <w:vAlign w:val="center"/>
          </w:tcPr>
          <w:p w:rsidR="00000000" w:rsidRDefault="0000194B">
            <w:pPr>
              <w:adjustRightInd w:val="0"/>
              <w:snapToGrid w:val="0"/>
              <w:spacing w:line="560" w:lineRule="exact"/>
              <w:jc w:val="center"/>
              <w:rPr>
                <w:rFonts w:ascii="宋体" w:hAnsi="宋体"/>
              </w:rPr>
            </w:pPr>
          </w:p>
        </w:tc>
        <w:tc>
          <w:tcPr>
            <w:tcW w:w="1657" w:type="dxa"/>
            <w:vAlign w:val="center"/>
          </w:tcPr>
          <w:p w:rsidR="00000000" w:rsidRDefault="0000194B">
            <w:pPr>
              <w:adjustRightInd w:val="0"/>
              <w:snapToGrid w:val="0"/>
              <w:spacing w:line="560" w:lineRule="exact"/>
              <w:jc w:val="center"/>
              <w:rPr>
                <w:rFonts w:ascii="宋体" w:hAnsi="宋体"/>
              </w:rPr>
            </w:pPr>
          </w:p>
        </w:tc>
      </w:tr>
      <w:tr w:rsidR="00000000">
        <w:tc>
          <w:tcPr>
            <w:tcW w:w="691" w:type="dxa"/>
            <w:tcMar>
              <w:left w:w="0" w:type="dxa"/>
              <w:right w:w="0" w:type="dxa"/>
            </w:tcMar>
            <w:vAlign w:val="center"/>
          </w:tcPr>
          <w:p w:rsidR="00000000" w:rsidRDefault="0000194B">
            <w:pPr>
              <w:adjustRightInd w:val="0"/>
              <w:snapToGrid w:val="0"/>
              <w:spacing w:line="560" w:lineRule="exact"/>
              <w:jc w:val="center"/>
              <w:rPr>
                <w:rFonts w:ascii="宋体" w:hAnsi="宋体"/>
              </w:rPr>
            </w:pPr>
          </w:p>
        </w:tc>
        <w:tc>
          <w:tcPr>
            <w:tcW w:w="1114" w:type="dxa"/>
            <w:vAlign w:val="center"/>
          </w:tcPr>
          <w:p w:rsidR="00000000" w:rsidRDefault="0000194B">
            <w:pPr>
              <w:adjustRightInd w:val="0"/>
              <w:snapToGrid w:val="0"/>
              <w:spacing w:line="560" w:lineRule="exact"/>
              <w:jc w:val="center"/>
              <w:rPr>
                <w:rFonts w:ascii="宋体" w:hAnsi="宋体"/>
              </w:rPr>
            </w:pPr>
          </w:p>
        </w:tc>
        <w:tc>
          <w:tcPr>
            <w:tcW w:w="1260" w:type="dxa"/>
            <w:vAlign w:val="center"/>
          </w:tcPr>
          <w:p w:rsidR="00000000" w:rsidRDefault="0000194B">
            <w:pPr>
              <w:adjustRightInd w:val="0"/>
              <w:snapToGrid w:val="0"/>
              <w:spacing w:line="560" w:lineRule="exact"/>
              <w:jc w:val="center"/>
              <w:rPr>
                <w:rFonts w:ascii="宋体" w:hAnsi="宋体"/>
              </w:rPr>
            </w:pPr>
          </w:p>
        </w:tc>
        <w:tc>
          <w:tcPr>
            <w:tcW w:w="1980" w:type="dxa"/>
            <w:vAlign w:val="center"/>
          </w:tcPr>
          <w:p w:rsidR="00000000" w:rsidRDefault="0000194B">
            <w:pPr>
              <w:adjustRightInd w:val="0"/>
              <w:snapToGrid w:val="0"/>
              <w:spacing w:line="560" w:lineRule="exact"/>
              <w:jc w:val="center"/>
              <w:rPr>
                <w:rFonts w:ascii="宋体" w:hAnsi="宋体"/>
              </w:rPr>
            </w:pPr>
          </w:p>
        </w:tc>
        <w:tc>
          <w:tcPr>
            <w:tcW w:w="1620" w:type="dxa"/>
            <w:tcMar>
              <w:left w:w="0" w:type="dxa"/>
              <w:right w:w="0" w:type="dxa"/>
            </w:tcMar>
            <w:vAlign w:val="center"/>
          </w:tcPr>
          <w:p w:rsidR="00000000" w:rsidRDefault="0000194B">
            <w:pPr>
              <w:adjustRightInd w:val="0"/>
              <w:snapToGrid w:val="0"/>
              <w:spacing w:line="560" w:lineRule="exact"/>
              <w:jc w:val="center"/>
              <w:rPr>
                <w:rFonts w:ascii="宋体" w:hAnsi="宋体"/>
              </w:rPr>
            </w:pPr>
          </w:p>
        </w:tc>
        <w:tc>
          <w:tcPr>
            <w:tcW w:w="1657" w:type="dxa"/>
            <w:vAlign w:val="center"/>
          </w:tcPr>
          <w:p w:rsidR="00000000" w:rsidRDefault="0000194B">
            <w:pPr>
              <w:adjustRightInd w:val="0"/>
              <w:snapToGrid w:val="0"/>
              <w:spacing w:line="560" w:lineRule="exact"/>
              <w:jc w:val="center"/>
              <w:rPr>
                <w:rFonts w:ascii="宋体" w:hAnsi="宋体"/>
              </w:rPr>
            </w:pPr>
          </w:p>
        </w:tc>
      </w:tr>
      <w:tr w:rsidR="00000000">
        <w:tc>
          <w:tcPr>
            <w:tcW w:w="691" w:type="dxa"/>
            <w:tcMar>
              <w:left w:w="0" w:type="dxa"/>
              <w:right w:w="0" w:type="dxa"/>
            </w:tcMar>
            <w:vAlign w:val="center"/>
          </w:tcPr>
          <w:p w:rsidR="00000000" w:rsidRDefault="0000194B">
            <w:pPr>
              <w:adjustRightInd w:val="0"/>
              <w:snapToGrid w:val="0"/>
              <w:spacing w:line="560" w:lineRule="exact"/>
              <w:jc w:val="center"/>
              <w:rPr>
                <w:rFonts w:ascii="宋体" w:hAnsi="宋体"/>
              </w:rPr>
            </w:pPr>
          </w:p>
        </w:tc>
        <w:tc>
          <w:tcPr>
            <w:tcW w:w="1114" w:type="dxa"/>
            <w:vAlign w:val="center"/>
          </w:tcPr>
          <w:p w:rsidR="00000000" w:rsidRDefault="0000194B">
            <w:pPr>
              <w:adjustRightInd w:val="0"/>
              <w:snapToGrid w:val="0"/>
              <w:spacing w:line="560" w:lineRule="exact"/>
              <w:jc w:val="center"/>
              <w:rPr>
                <w:rFonts w:ascii="宋体" w:hAnsi="宋体"/>
              </w:rPr>
            </w:pPr>
          </w:p>
        </w:tc>
        <w:tc>
          <w:tcPr>
            <w:tcW w:w="1260" w:type="dxa"/>
            <w:vAlign w:val="center"/>
          </w:tcPr>
          <w:p w:rsidR="00000000" w:rsidRDefault="0000194B">
            <w:pPr>
              <w:adjustRightInd w:val="0"/>
              <w:snapToGrid w:val="0"/>
              <w:spacing w:line="560" w:lineRule="exact"/>
              <w:jc w:val="center"/>
              <w:rPr>
                <w:rFonts w:ascii="宋体" w:hAnsi="宋体"/>
              </w:rPr>
            </w:pPr>
          </w:p>
        </w:tc>
        <w:tc>
          <w:tcPr>
            <w:tcW w:w="1980" w:type="dxa"/>
            <w:vAlign w:val="center"/>
          </w:tcPr>
          <w:p w:rsidR="00000000" w:rsidRDefault="0000194B">
            <w:pPr>
              <w:adjustRightInd w:val="0"/>
              <w:snapToGrid w:val="0"/>
              <w:spacing w:line="560" w:lineRule="exact"/>
              <w:jc w:val="center"/>
              <w:rPr>
                <w:rFonts w:ascii="宋体" w:hAnsi="宋体"/>
              </w:rPr>
            </w:pPr>
          </w:p>
        </w:tc>
        <w:tc>
          <w:tcPr>
            <w:tcW w:w="1620" w:type="dxa"/>
            <w:tcMar>
              <w:left w:w="0" w:type="dxa"/>
              <w:right w:w="0" w:type="dxa"/>
            </w:tcMar>
            <w:vAlign w:val="center"/>
          </w:tcPr>
          <w:p w:rsidR="00000000" w:rsidRDefault="0000194B">
            <w:pPr>
              <w:adjustRightInd w:val="0"/>
              <w:snapToGrid w:val="0"/>
              <w:spacing w:line="560" w:lineRule="exact"/>
              <w:jc w:val="center"/>
              <w:rPr>
                <w:rFonts w:ascii="宋体" w:hAnsi="宋体"/>
              </w:rPr>
            </w:pPr>
          </w:p>
        </w:tc>
        <w:tc>
          <w:tcPr>
            <w:tcW w:w="1657" w:type="dxa"/>
            <w:vAlign w:val="center"/>
          </w:tcPr>
          <w:p w:rsidR="00000000" w:rsidRDefault="0000194B">
            <w:pPr>
              <w:adjustRightInd w:val="0"/>
              <w:snapToGrid w:val="0"/>
              <w:spacing w:line="560" w:lineRule="exact"/>
              <w:jc w:val="center"/>
              <w:rPr>
                <w:rFonts w:ascii="宋体" w:hAnsi="宋体"/>
              </w:rPr>
            </w:pPr>
          </w:p>
        </w:tc>
      </w:tr>
      <w:tr w:rsidR="00000000">
        <w:tc>
          <w:tcPr>
            <w:tcW w:w="1805" w:type="dxa"/>
            <w:gridSpan w:val="2"/>
            <w:tcMar>
              <w:left w:w="0" w:type="dxa"/>
              <w:right w:w="0" w:type="dxa"/>
            </w:tcMar>
            <w:vAlign w:val="center"/>
          </w:tcPr>
          <w:p w:rsidR="00000000" w:rsidRDefault="0000194B">
            <w:pPr>
              <w:adjustRightInd w:val="0"/>
              <w:snapToGrid w:val="0"/>
              <w:spacing w:line="560" w:lineRule="exact"/>
              <w:jc w:val="center"/>
              <w:rPr>
                <w:rFonts w:ascii="宋体" w:hAnsi="宋体"/>
              </w:rPr>
            </w:pPr>
            <w:r>
              <w:rPr>
                <w:rFonts w:ascii="宋体" w:hAnsi="宋体" w:hint="eastAsia"/>
              </w:rPr>
              <w:t>合计</w:t>
            </w:r>
          </w:p>
        </w:tc>
        <w:tc>
          <w:tcPr>
            <w:tcW w:w="1260" w:type="dxa"/>
            <w:vAlign w:val="center"/>
          </w:tcPr>
          <w:p w:rsidR="00000000" w:rsidRDefault="0000194B">
            <w:pPr>
              <w:adjustRightInd w:val="0"/>
              <w:snapToGrid w:val="0"/>
              <w:spacing w:line="560" w:lineRule="exact"/>
              <w:jc w:val="center"/>
              <w:rPr>
                <w:rFonts w:ascii="宋体" w:hAnsi="宋体"/>
              </w:rPr>
            </w:pPr>
          </w:p>
        </w:tc>
        <w:tc>
          <w:tcPr>
            <w:tcW w:w="1980" w:type="dxa"/>
            <w:vAlign w:val="center"/>
          </w:tcPr>
          <w:p w:rsidR="00000000" w:rsidRDefault="0000194B">
            <w:pPr>
              <w:adjustRightInd w:val="0"/>
              <w:snapToGrid w:val="0"/>
              <w:spacing w:line="560" w:lineRule="exact"/>
              <w:jc w:val="center"/>
              <w:rPr>
                <w:rFonts w:ascii="宋体" w:hAnsi="宋体"/>
              </w:rPr>
            </w:pPr>
          </w:p>
        </w:tc>
        <w:tc>
          <w:tcPr>
            <w:tcW w:w="1620" w:type="dxa"/>
            <w:vAlign w:val="center"/>
          </w:tcPr>
          <w:p w:rsidR="00000000" w:rsidRDefault="0000194B">
            <w:pPr>
              <w:adjustRightInd w:val="0"/>
              <w:snapToGrid w:val="0"/>
              <w:spacing w:line="560" w:lineRule="exact"/>
              <w:jc w:val="center"/>
              <w:rPr>
                <w:rFonts w:ascii="宋体" w:hAnsi="宋体"/>
              </w:rPr>
            </w:pPr>
          </w:p>
        </w:tc>
        <w:tc>
          <w:tcPr>
            <w:tcW w:w="1657" w:type="dxa"/>
            <w:tcMar>
              <w:left w:w="0" w:type="dxa"/>
              <w:right w:w="0" w:type="dxa"/>
            </w:tcMar>
            <w:vAlign w:val="center"/>
          </w:tcPr>
          <w:p w:rsidR="00000000" w:rsidRDefault="0000194B">
            <w:pPr>
              <w:adjustRightInd w:val="0"/>
              <w:snapToGrid w:val="0"/>
              <w:spacing w:line="560" w:lineRule="exact"/>
              <w:jc w:val="center"/>
              <w:rPr>
                <w:rFonts w:ascii="宋体" w:hAnsi="宋体"/>
              </w:rPr>
            </w:pPr>
          </w:p>
        </w:tc>
      </w:tr>
    </w:tbl>
    <w:p w:rsidR="00000000" w:rsidRDefault="0000194B">
      <w:pPr>
        <w:tabs>
          <w:tab w:val="left" w:pos="616"/>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（四）本次限售流通股上市情况与股改说明书所载情况的差异情况：</w:t>
      </w: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如不一致，说明不一致情况，包括名称变更、数量变化、部分股东可上市的股份本次未安排上市等；如完全一致，本项披露为：“本次限售流通股上市情况与股改说明书所载情况完全一致”。</w:t>
      </w:r>
      <w:r>
        <w:rPr>
          <w:rFonts w:ascii="楷体" w:eastAsia="楷体" w:hAnsi="楷体" w:hint="eastAsia"/>
          <w:sz w:val="24"/>
        </w:rPr>
        <w:t>（编制提醒：上市时间比原定时间晚的，不视为不一致）</w:t>
      </w:r>
    </w:p>
    <w:p w:rsidR="00000000" w:rsidRDefault="0000194B">
      <w:pPr>
        <w:tabs>
          <w:tab w:val="left" w:pos="616"/>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（五）此前限售流通股上市情况：</w:t>
      </w: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说明此前发生过限售流通股（仅限股改形成）上市情况；如未发生过限售流通股（仅限股改形成）上市情况，则应披露：“本次限</w:t>
      </w:r>
      <w:r>
        <w:rPr>
          <w:rFonts w:ascii="仿宋" w:eastAsia="仿宋_GB2312" w:hAnsi="仿宋" w:hint="eastAsia"/>
          <w:sz w:val="30"/>
          <w:szCs w:val="30"/>
        </w:rPr>
        <w:t>售流通股上市为公司第一次安排限售流通股（仅限股改形成）上市”。</w:t>
      </w:r>
    </w:p>
    <w:p w:rsidR="00000000" w:rsidRDefault="0000194B">
      <w:pPr>
        <w:adjustRightInd w:val="0"/>
        <w:snapToGrid w:val="0"/>
        <w:spacing w:line="560" w:lineRule="exact"/>
        <w:ind w:firstLineChars="200" w:firstLine="600"/>
        <w:rPr>
          <w:rFonts w:ascii="仿宋" w:eastAsia="仿宋_GB2312" w:hAnsi="仿宋" w:hint="eastAsia"/>
          <w:sz w:val="30"/>
          <w:szCs w:val="30"/>
        </w:rPr>
      </w:pPr>
    </w:p>
    <w:p w:rsidR="00000000" w:rsidRDefault="0000194B">
      <w:pPr>
        <w:numPr>
          <w:ilvl w:val="0"/>
          <w:numId w:val="2"/>
        </w:numPr>
        <w:adjustRightInd w:val="0"/>
        <w:snapToGrid w:val="0"/>
        <w:spacing w:line="560" w:lineRule="exact"/>
        <w:ind w:firstLineChars="200" w:firstLine="600"/>
        <w:rPr>
          <w:rFonts w:ascii="黑体" w:eastAsia="黑体" w:hAnsi="黑体" w:hint="eastAsia"/>
          <w:sz w:val="30"/>
          <w:szCs w:val="30"/>
        </w:rPr>
      </w:pPr>
      <w:r>
        <w:rPr>
          <w:rFonts w:ascii="黑体" w:eastAsia="黑体" w:hAnsi="黑体" w:hint="eastAsia"/>
          <w:sz w:val="30"/>
          <w:szCs w:val="30"/>
        </w:rPr>
        <w:t>本次股本变动结构表（如果某行没有数字，公司可予以</w:t>
      </w:r>
      <w:r>
        <w:rPr>
          <w:rFonts w:ascii="黑体" w:eastAsia="黑体" w:hAnsi="黑体" w:hint="eastAsia"/>
          <w:sz w:val="30"/>
          <w:szCs w:val="30"/>
        </w:rPr>
        <w:lastRenderedPageBreak/>
        <w:t>省略，序号作相应调整。）</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3"/>
        <w:gridCol w:w="1489"/>
        <w:gridCol w:w="2126"/>
        <w:gridCol w:w="1560"/>
      </w:tblGrid>
      <w:tr w:rsidR="00000000">
        <w:trPr>
          <w:trHeight w:val="638"/>
        </w:trPr>
        <w:tc>
          <w:tcPr>
            <w:tcW w:w="3013" w:type="dxa"/>
            <w:vAlign w:val="center"/>
          </w:tcPr>
          <w:p w:rsidR="00000000" w:rsidRDefault="0000194B">
            <w:pPr>
              <w:widowControl/>
              <w:adjustRightInd w:val="0"/>
              <w:snapToGrid w:val="0"/>
              <w:spacing w:line="360" w:lineRule="auto"/>
              <w:rPr>
                <w:rFonts w:ascii="仿宋_GB2312" w:eastAsia="仿宋_GB2312" w:hAnsi="宋体"/>
                <w:sz w:val="24"/>
              </w:rPr>
            </w:pPr>
          </w:p>
        </w:tc>
        <w:tc>
          <w:tcPr>
            <w:tcW w:w="1489" w:type="dxa"/>
            <w:vAlign w:val="center"/>
          </w:tcPr>
          <w:p w:rsidR="00000000" w:rsidRDefault="0000194B">
            <w:pPr>
              <w:snapToGrid w:val="0"/>
              <w:spacing w:line="360" w:lineRule="auto"/>
              <w:jc w:val="center"/>
              <w:rPr>
                <w:rFonts w:ascii="仿宋_GB2312" w:eastAsia="仿宋_GB2312" w:hAnsi="宋体"/>
                <w:b/>
                <w:kern w:val="0"/>
                <w:sz w:val="24"/>
              </w:rPr>
            </w:pPr>
            <w:r>
              <w:rPr>
                <w:rFonts w:ascii="仿宋_GB2312" w:eastAsia="仿宋_GB2312" w:hAnsi="宋体" w:hint="eastAsia"/>
                <w:b/>
                <w:kern w:val="0"/>
                <w:sz w:val="24"/>
              </w:rPr>
              <w:t>变动前</w:t>
            </w:r>
          </w:p>
        </w:tc>
        <w:tc>
          <w:tcPr>
            <w:tcW w:w="2126" w:type="dxa"/>
            <w:vAlign w:val="center"/>
          </w:tcPr>
          <w:p w:rsidR="00000000" w:rsidRDefault="0000194B">
            <w:pPr>
              <w:snapToGrid w:val="0"/>
              <w:spacing w:line="360" w:lineRule="auto"/>
              <w:jc w:val="center"/>
              <w:rPr>
                <w:rFonts w:ascii="仿宋_GB2312" w:eastAsia="仿宋_GB2312" w:hAnsi="宋体"/>
                <w:b/>
                <w:kern w:val="0"/>
                <w:sz w:val="24"/>
              </w:rPr>
            </w:pPr>
            <w:r>
              <w:rPr>
                <w:rFonts w:ascii="仿宋_GB2312" w:eastAsia="仿宋_GB2312" w:hAnsi="宋体" w:hint="eastAsia"/>
                <w:b/>
                <w:kern w:val="0"/>
                <w:sz w:val="24"/>
              </w:rPr>
              <w:t>变动数</w:t>
            </w:r>
          </w:p>
        </w:tc>
        <w:tc>
          <w:tcPr>
            <w:tcW w:w="1560" w:type="dxa"/>
            <w:vAlign w:val="center"/>
          </w:tcPr>
          <w:p w:rsidR="00000000" w:rsidRDefault="0000194B">
            <w:pPr>
              <w:snapToGrid w:val="0"/>
              <w:spacing w:line="360" w:lineRule="auto"/>
              <w:jc w:val="center"/>
              <w:rPr>
                <w:rFonts w:ascii="仿宋_GB2312" w:eastAsia="仿宋_GB2312" w:hAnsi="宋体"/>
                <w:b/>
                <w:kern w:val="0"/>
                <w:sz w:val="24"/>
              </w:rPr>
            </w:pPr>
            <w:r>
              <w:rPr>
                <w:rFonts w:ascii="仿宋_GB2312" w:eastAsia="仿宋_GB2312" w:hAnsi="宋体" w:hint="eastAsia"/>
                <w:b/>
                <w:kern w:val="0"/>
                <w:sz w:val="24"/>
              </w:rPr>
              <w:t>变动后</w:t>
            </w:r>
          </w:p>
        </w:tc>
      </w:tr>
      <w:tr w:rsidR="00000000">
        <w:trPr>
          <w:trHeight w:val="317"/>
        </w:trPr>
        <w:tc>
          <w:tcPr>
            <w:tcW w:w="3013" w:type="dxa"/>
          </w:tcPr>
          <w:p w:rsidR="00000000" w:rsidRDefault="0000194B">
            <w:pPr>
              <w:spacing w:line="360" w:lineRule="auto"/>
              <w:rPr>
                <w:rFonts w:ascii="仿宋_GB2312" w:eastAsia="仿宋_GB2312" w:hAnsi="宋体"/>
                <w:sz w:val="24"/>
              </w:rPr>
            </w:pPr>
            <w:r>
              <w:rPr>
                <w:rFonts w:ascii="仿宋_GB2312" w:eastAsia="仿宋_GB2312" w:hAnsi="宋体" w:hint="eastAsia"/>
                <w:sz w:val="24"/>
              </w:rPr>
              <w:t>有限售条件的流通股</w:t>
            </w:r>
          </w:p>
        </w:tc>
        <w:tc>
          <w:tcPr>
            <w:tcW w:w="1489" w:type="dxa"/>
            <w:vAlign w:val="center"/>
          </w:tcPr>
          <w:p w:rsidR="00000000" w:rsidRDefault="0000194B">
            <w:pPr>
              <w:widowControl/>
              <w:adjustRightInd w:val="0"/>
              <w:snapToGrid w:val="0"/>
              <w:spacing w:line="360" w:lineRule="auto"/>
              <w:jc w:val="right"/>
              <w:rPr>
                <w:rFonts w:ascii="仿宋_GB2312" w:eastAsia="仿宋_GB2312" w:hAnsi="宋体"/>
                <w:sz w:val="24"/>
              </w:rPr>
            </w:pPr>
          </w:p>
        </w:tc>
        <w:tc>
          <w:tcPr>
            <w:tcW w:w="2126" w:type="dxa"/>
          </w:tcPr>
          <w:p w:rsidR="00000000" w:rsidRDefault="0000194B">
            <w:pPr>
              <w:widowControl/>
              <w:adjustRightInd w:val="0"/>
              <w:snapToGrid w:val="0"/>
              <w:spacing w:line="360" w:lineRule="auto"/>
              <w:jc w:val="right"/>
              <w:rPr>
                <w:rFonts w:ascii="仿宋_GB2312" w:eastAsia="仿宋_GB2312" w:hAnsi="宋体"/>
                <w:sz w:val="24"/>
              </w:rPr>
            </w:pPr>
          </w:p>
        </w:tc>
        <w:tc>
          <w:tcPr>
            <w:tcW w:w="1560" w:type="dxa"/>
            <w:vAlign w:val="center"/>
          </w:tcPr>
          <w:p w:rsidR="00000000" w:rsidRDefault="0000194B">
            <w:pPr>
              <w:widowControl/>
              <w:adjustRightInd w:val="0"/>
              <w:snapToGrid w:val="0"/>
              <w:spacing w:line="360" w:lineRule="auto"/>
              <w:jc w:val="right"/>
              <w:rPr>
                <w:rFonts w:ascii="仿宋_GB2312" w:eastAsia="仿宋_GB2312" w:hAnsi="宋体"/>
                <w:sz w:val="24"/>
              </w:rPr>
            </w:pPr>
          </w:p>
        </w:tc>
      </w:tr>
      <w:tr w:rsidR="00000000">
        <w:trPr>
          <w:trHeight w:val="317"/>
        </w:trPr>
        <w:tc>
          <w:tcPr>
            <w:tcW w:w="3013" w:type="dxa"/>
          </w:tcPr>
          <w:p w:rsidR="00000000" w:rsidRDefault="0000194B">
            <w:pPr>
              <w:pStyle w:val="a4"/>
              <w:spacing w:line="360" w:lineRule="auto"/>
              <w:rPr>
                <w:rFonts w:ascii="仿宋_GB2312" w:eastAsia="仿宋_GB2312" w:hAnsi="宋体"/>
                <w:sz w:val="24"/>
                <w:szCs w:val="24"/>
              </w:rPr>
            </w:pPr>
            <w:r>
              <w:rPr>
                <w:rFonts w:ascii="仿宋_GB2312" w:eastAsia="仿宋_GB2312" w:hAnsi="宋体" w:hint="eastAsia"/>
                <w:sz w:val="24"/>
                <w:szCs w:val="24"/>
              </w:rPr>
              <w:t>无限售条件的流通股</w:t>
            </w:r>
          </w:p>
        </w:tc>
        <w:tc>
          <w:tcPr>
            <w:tcW w:w="1489" w:type="dxa"/>
            <w:vAlign w:val="center"/>
          </w:tcPr>
          <w:p w:rsidR="00000000" w:rsidRDefault="0000194B">
            <w:pPr>
              <w:widowControl/>
              <w:adjustRightInd w:val="0"/>
              <w:snapToGrid w:val="0"/>
              <w:spacing w:line="360" w:lineRule="auto"/>
              <w:jc w:val="right"/>
              <w:rPr>
                <w:rFonts w:ascii="仿宋_GB2312" w:eastAsia="仿宋_GB2312" w:hAnsi="宋体"/>
                <w:sz w:val="24"/>
              </w:rPr>
            </w:pPr>
          </w:p>
        </w:tc>
        <w:tc>
          <w:tcPr>
            <w:tcW w:w="2126" w:type="dxa"/>
          </w:tcPr>
          <w:p w:rsidR="00000000" w:rsidRDefault="0000194B">
            <w:pPr>
              <w:widowControl/>
              <w:adjustRightInd w:val="0"/>
              <w:snapToGrid w:val="0"/>
              <w:spacing w:line="360" w:lineRule="auto"/>
              <w:jc w:val="right"/>
              <w:rPr>
                <w:rFonts w:ascii="仿宋_GB2312" w:eastAsia="仿宋_GB2312" w:hAnsi="宋体"/>
                <w:sz w:val="24"/>
              </w:rPr>
            </w:pPr>
          </w:p>
        </w:tc>
        <w:tc>
          <w:tcPr>
            <w:tcW w:w="1560" w:type="dxa"/>
            <w:vAlign w:val="center"/>
          </w:tcPr>
          <w:p w:rsidR="00000000" w:rsidRDefault="0000194B">
            <w:pPr>
              <w:widowControl/>
              <w:adjustRightInd w:val="0"/>
              <w:snapToGrid w:val="0"/>
              <w:spacing w:line="360" w:lineRule="auto"/>
              <w:jc w:val="right"/>
              <w:rPr>
                <w:rFonts w:ascii="仿宋_GB2312" w:eastAsia="仿宋_GB2312" w:hAnsi="宋体"/>
                <w:sz w:val="24"/>
              </w:rPr>
            </w:pPr>
          </w:p>
        </w:tc>
      </w:tr>
      <w:tr w:rsidR="00000000">
        <w:trPr>
          <w:trHeight w:val="317"/>
        </w:trPr>
        <w:tc>
          <w:tcPr>
            <w:tcW w:w="3013" w:type="dxa"/>
          </w:tcPr>
          <w:p w:rsidR="00000000" w:rsidRDefault="0000194B">
            <w:pPr>
              <w:spacing w:line="360" w:lineRule="auto"/>
              <w:jc w:val="left"/>
              <w:rPr>
                <w:rFonts w:ascii="仿宋_GB2312" w:eastAsia="仿宋_GB2312" w:hAnsi="宋体"/>
                <w:sz w:val="24"/>
              </w:rPr>
            </w:pPr>
            <w:r>
              <w:rPr>
                <w:rFonts w:ascii="仿宋_GB2312" w:eastAsia="仿宋_GB2312" w:hAnsi="宋体" w:hint="eastAsia"/>
                <w:sz w:val="24"/>
              </w:rPr>
              <w:t>股份合计</w:t>
            </w:r>
          </w:p>
        </w:tc>
        <w:tc>
          <w:tcPr>
            <w:tcW w:w="1489" w:type="dxa"/>
            <w:vAlign w:val="center"/>
          </w:tcPr>
          <w:p w:rsidR="00000000" w:rsidRDefault="0000194B">
            <w:pPr>
              <w:widowControl/>
              <w:adjustRightInd w:val="0"/>
              <w:snapToGrid w:val="0"/>
              <w:spacing w:line="360" w:lineRule="auto"/>
              <w:jc w:val="right"/>
              <w:rPr>
                <w:rFonts w:ascii="仿宋_GB2312" w:eastAsia="仿宋_GB2312" w:hAnsi="宋体"/>
                <w:sz w:val="24"/>
              </w:rPr>
            </w:pPr>
          </w:p>
        </w:tc>
        <w:tc>
          <w:tcPr>
            <w:tcW w:w="2126" w:type="dxa"/>
          </w:tcPr>
          <w:p w:rsidR="00000000" w:rsidRDefault="0000194B">
            <w:pPr>
              <w:widowControl/>
              <w:adjustRightInd w:val="0"/>
              <w:snapToGrid w:val="0"/>
              <w:spacing w:line="360" w:lineRule="auto"/>
              <w:jc w:val="right"/>
              <w:rPr>
                <w:rFonts w:ascii="仿宋_GB2312" w:eastAsia="仿宋_GB2312" w:hAnsi="宋体"/>
                <w:sz w:val="24"/>
              </w:rPr>
            </w:pPr>
          </w:p>
        </w:tc>
        <w:tc>
          <w:tcPr>
            <w:tcW w:w="1560" w:type="dxa"/>
            <w:vAlign w:val="center"/>
          </w:tcPr>
          <w:p w:rsidR="00000000" w:rsidRDefault="0000194B">
            <w:pPr>
              <w:widowControl/>
              <w:adjustRightInd w:val="0"/>
              <w:snapToGrid w:val="0"/>
              <w:spacing w:line="360" w:lineRule="auto"/>
              <w:jc w:val="right"/>
              <w:rPr>
                <w:rFonts w:ascii="仿宋_GB2312" w:eastAsia="仿宋_GB2312" w:hAnsi="宋体"/>
                <w:sz w:val="24"/>
              </w:rPr>
            </w:pPr>
          </w:p>
        </w:tc>
      </w:tr>
    </w:tbl>
    <w:p w:rsidR="00000000" w:rsidRDefault="0000194B">
      <w:pPr>
        <w:adjustRightInd w:val="0"/>
        <w:snapToGrid w:val="0"/>
        <w:spacing w:line="560" w:lineRule="exact"/>
        <w:rPr>
          <w:rFonts w:ascii="黑体" w:eastAsia="黑体" w:hAnsi="黑体" w:hint="eastAsia"/>
          <w:sz w:val="30"/>
          <w:szCs w:val="30"/>
        </w:rPr>
      </w:pP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特此公告。</w:t>
      </w:r>
    </w:p>
    <w:p w:rsidR="00000000" w:rsidRDefault="0000194B">
      <w:pPr>
        <w:adjustRightInd w:val="0"/>
        <w:snapToGrid w:val="0"/>
        <w:spacing w:line="560" w:lineRule="exact"/>
        <w:rPr>
          <w:rFonts w:ascii="宋体" w:hAnsi="宋体"/>
          <w:sz w:val="24"/>
        </w:rPr>
      </w:pPr>
    </w:p>
    <w:p w:rsidR="00000000" w:rsidRDefault="0000194B">
      <w:pPr>
        <w:adjustRightInd w:val="0"/>
        <w:snapToGrid w:val="0"/>
        <w:spacing w:line="560" w:lineRule="exact"/>
        <w:ind w:firstLineChars="1607" w:firstLine="4821"/>
        <w:jc w:val="right"/>
        <w:rPr>
          <w:rFonts w:ascii="仿宋" w:eastAsia="仿宋_GB2312" w:hAnsi="仿宋"/>
          <w:sz w:val="30"/>
          <w:szCs w:val="30"/>
        </w:rPr>
      </w:pPr>
      <w:r>
        <w:rPr>
          <w:rFonts w:ascii="仿宋" w:eastAsia="仿宋_GB2312" w:hAnsi="仿宋" w:hint="eastAsia"/>
          <w:sz w:val="30"/>
          <w:szCs w:val="30"/>
        </w:rPr>
        <w:t>XXXX</w:t>
      </w:r>
      <w:r>
        <w:rPr>
          <w:rFonts w:ascii="仿宋" w:eastAsia="仿宋_GB2312" w:hAnsi="仿宋" w:hint="eastAsia"/>
          <w:sz w:val="30"/>
          <w:szCs w:val="30"/>
        </w:rPr>
        <w:t>股份有限公司董事会</w:t>
      </w:r>
    </w:p>
    <w:p w:rsidR="00000000" w:rsidRDefault="0000194B">
      <w:pPr>
        <w:adjustRightInd w:val="0"/>
        <w:snapToGrid w:val="0"/>
        <w:spacing w:line="560" w:lineRule="exact"/>
        <w:ind w:firstLineChars="1607" w:firstLine="4821"/>
        <w:jc w:val="right"/>
        <w:rPr>
          <w:rFonts w:ascii="仿宋" w:eastAsia="仿宋_GB2312" w:hAnsi="仿宋"/>
          <w:sz w:val="30"/>
          <w:szCs w:val="30"/>
        </w:rPr>
      </w:pPr>
      <w:r>
        <w:rPr>
          <w:rFonts w:ascii="仿宋" w:eastAsia="仿宋_GB2312" w:hAnsi="仿宋" w:hint="eastAsia"/>
          <w:sz w:val="30"/>
          <w:szCs w:val="30"/>
        </w:rPr>
        <w:t>年</w:t>
      </w:r>
      <w:r>
        <w:rPr>
          <w:rFonts w:ascii="仿宋" w:eastAsia="仿宋_GB2312" w:hAnsi="仿宋" w:hint="eastAsia"/>
          <w:sz w:val="30"/>
          <w:szCs w:val="30"/>
        </w:rPr>
        <w:t xml:space="preserve">  </w:t>
      </w:r>
      <w:r>
        <w:rPr>
          <w:rFonts w:ascii="仿宋" w:eastAsia="仿宋_GB2312" w:hAnsi="仿宋" w:hint="eastAsia"/>
          <w:sz w:val="30"/>
          <w:szCs w:val="30"/>
        </w:rPr>
        <w:t>月</w:t>
      </w:r>
      <w:r>
        <w:rPr>
          <w:rFonts w:ascii="仿宋" w:eastAsia="仿宋_GB2312" w:hAnsi="仿宋" w:hint="eastAsia"/>
          <w:sz w:val="30"/>
          <w:szCs w:val="30"/>
        </w:rPr>
        <w:t xml:space="preserve">  </w:t>
      </w:r>
      <w:r>
        <w:rPr>
          <w:rFonts w:ascii="仿宋" w:eastAsia="仿宋_GB2312" w:hAnsi="仿宋" w:hint="eastAsia"/>
          <w:sz w:val="30"/>
          <w:szCs w:val="30"/>
        </w:rPr>
        <w:t>日</w:t>
      </w:r>
    </w:p>
    <w:p w:rsidR="00000000" w:rsidRDefault="0000194B">
      <w:pPr>
        <w:adjustRightInd w:val="0"/>
        <w:snapToGrid w:val="0"/>
        <w:spacing w:line="560" w:lineRule="exact"/>
        <w:ind w:firstLineChars="1607" w:firstLine="4821"/>
        <w:jc w:val="right"/>
        <w:rPr>
          <w:rFonts w:ascii="仿宋" w:eastAsia="仿宋_GB2312" w:hAnsi="仿宋" w:hint="eastAsia"/>
          <w:sz w:val="30"/>
          <w:szCs w:val="30"/>
        </w:rPr>
      </w:pPr>
    </w:p>
    <w:p w:rsidR="00000000" w:rsidRDefault="0000194B">
      <w:pPr>
        <w:pStyle w:val="ab"/>
        <w:numPr>
          <w:ilvl w:val="0"/>
          <w:numId w:val="3"/>
        </w:numPr>
        <w:autoSpaceDE w:val="0"/>
        <w:autoSpaceDN w:val="0"/>
        <w:adjustRightInd w:val="0"/>
        <w:snapToGrid w:val="0"/>
        <w:spacing w:line="560" w:lineRule="exact"/>
        <w:ind w:firstLineChars="0"/>
        <w:rPr>
          <w:rFonts w:ascii="仿宋_GB2312" w:eastAsia="仿宋_GB2312" w:hAnsi="宋体"/>
          <w:b/>
          <w:color w:val="000000"/>
          <w:sz w:val="30"/>
          <w:szCs w:val="30"/>
        </w:rPr>
      </w:pPr>
      <w:r>
        <w:rPr>
          <w:rFonts w:ascii="仿宋_GB2312" w:eastAsia="仿宋_GB2312" w:hAnsi="宋体" w:hint="eastAsia"/>
          <w:b/>
          <w:color w:val="000000"/>
          <w:sz w:val="30"/>
          <w:szCs w:val="30"/>
        </w:rPr>
        <w:t>上网公告文件</w:t>
      </w:r>
    </w:p>
    <w:p w:rsidR="00000000" w:rsidRDefault="0000194B">
      <w:pPr>
        <w:adjustRightInd w:val="0"/>
        <w:snapToGrid w:val="0"/>
        <w:spacing w:line="560" w:lineRule="exact"/>
        <w:rPr>
          <w:rFonts w:ascii="仿宋" w:eastAsia="仿宋_GB2312" w:hAnsi="仿宋" w:hint="eastAsia"/>
          <w:sz w:val="30"/>
          <w:szCs w:val="30"/>
        </w:rPr>
      </w:pPr>
      <w:r>
        <w:rPr>
          <w:rFonts w:ascii="仿宋" w:eastAsia="仿宋_GB2312" w:hAnsi="仿宋" w:hint="eastAsia"/>
          <w:sz w:val="30"/>
          <w:szCs w:val="30"/>
        </w:rPr>
        <w:t xml:space="preserve">    </w:t>
      </w:r>
      <w:r>
        <w:rPr>
          <w:rFonts w:ascii="仿宋" w:eastAsia="仿宋_GB2312" w:hAnsi="仿宋" w:hint="eastAsia"/>
          <w:sz w:val="30"/>
          <w:szCs w:val="30"/>
        </w:rPr>
        <w:t>保荐机构核查意见书</w:t>
      </w:r>
    </w:p>
    <w:p w:rsidR="00000000" w:rsidRDefault="0000194B">
      <w:pPr>
        <w:adjustRightInd w:val="0"/>
        <w:snapToGrid w:val="0"/>
        <w:spacing w:line="560" w:lineRule="exact"/>
        <w:rPr>
          <w:rFonts w:ascii="宋体" w:hAnsi="宋体" w:hint="eastAsia"/>
          <w:sz w:val="24"/>
        </w:rPr>
      </w:pPr>
    </w:p>
    <w:p w:rsidR="00000000" w:rsidRDefault="0000194B">
      <w:pPr>
        <w:pStyle w:val="ab"/>
        <w:numPr>
          <w:ilvl w:val="0"/>
          <w:numId w:val="3"/>
        </w:numPr>
        <w:autoSpaceDE w:val="0"/>
        <w:autoSpaceDN w:val="0"/>
        <w:adjustRightInd w:val="0"/>
        <w:snapToGrid w:val="0"/>
        <w:spacing w:line="560" w:lineRule="exact"/>
        <w:ind w:firstLineChars="0"/>
        <w:rPr>
          <w:rFonts w:ascii="仿宋_GB2312" w:eastAsia="仿宋_GB2312" w:hAnsi="宋体"/>
          <w:b/>
          <w:color w:val="000000"/>
          <w:sz w:val="30"/>
          <w:szCs w:val="30"/>
        </w:rPr>
      </w:pPr>
      <w:r>
        <w:rPr>
          <w:rFonts w:ascii="仿宋_GB2312" w:eastAsia="仿宋_GB2312" w:hAnsi="宋体" w:hint="eastAsia"/>
          <w:b/>
          <w:color w:val="000000"/>
          <w:sz w:val="30"/>
          <w:szCs w:val="30"/>
        </w:rPr>
        <w:t>报备文件</w:t>
      </w:r>
    </w:p>
    <w:p w:rsidR="00000000" w:rsidRDefault="0000194B">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应提供加盖董事会印章的“有限售条件的流通股上市流通申请表”（经中国证券登记结算有限责任公司上海分公司确认）</w:t>
      </w:r>
    </w:p>
    <w:p w:rsidR="00000000" w:rsidRDefault="0000194B">
      <w:pPr>
        <w:adjustRightInd w:val="0"/>
        <w:snapToGrid w:val="0"/>
        <w:spacing w:line="560" w:lineRule="exact"/>
        <w:ind w:firstLineChars="200" w:firstLine="420"/>
        <w:rPr>
          <w:rFonts w:hint="eastAsia"/>
        </w:rPr>
      </w:pPr>
    </w:p>
    <w:sectPr w:rsidR="00000000">
      <w:footerReference w:type="even"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00194B">
      <w:r>
        <w:separator/>
      </w:r>
    </w:p>
  </w:endnote>
  <w:endnote w:type="continuationSeparator" w:id="0">
    <w:p w:rsidR="00000000" w:rsidRDefault="0000194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00194B">
    <w:pPr>
      <w:pStyle w:val="a6"/>
      <w:framePr w:wrap="around" w:vAnchor="text" w:hAnchor="margin" w:xAlign="center" w:y="1"/>
      <w:rPr>
        <w:rStyle w:val="a9"/>
      </w:rPr>
    </w:pPr>
    <w:r>
      <w:fldChar w:fldCharType="begin"/>
    </w:r>
    <w:r>
      <w:rPr>
        <w:rStyle w:val="a9"/>
      </w:rPr>
      <w:instrText xml:space="preserve">PAGE  </w:instrText>
    </w:r>
    <w:r>
      <w:fldChar w:fldCharType="end"/>
    </w:r>
  </w:p>
  <w:p w:rsidR="00000000" w:rsidRDefault="0000194B">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00194B">
    <w:pPr>
      <w:pStyle w:val="a6"/>
      <w:framePr w:wrap="around" w:vAnchor="text" w:hAnchor="margin" w:xAlign="center" w:y="1"/>
      <w:rPr>
        <w:rStyle w:val="a9"/>
      </w:rPr>
    </w:pPr>
    <w:r>
      <w:fldChar w:fldCharType="begin"/>
    </w:r>
    <w:r>
      <w:rPr>
        <w:rStyle w:val="a9"/>
      </w:rPr>
      <w:instrText xml:space="preserve">PAGE  </w:instrText>
    </w:r>
    <w:r>
      <w:fldChar w:fldCharType="separate"/>
    </w:r>
    <w:r>
      <w:rPr>
        <w:rStyle w:val="a9"/>
        <w:noProof/>
      </w:rPr>
      <w:t>5</w:t>
    </w:r>
    <w:r>
      <w:fldChar w:fldCharType="end"/>
    </w:r>
  </w:p>
  <w:p w:rsidR="00000000" w:rsidRDefault="000019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00194B">
      <w:r>
        <w:separator/>
      </w:r>
    </w:p>
  </w:footnote>
  <w:footnote w:type="continuationSeparator" w:id="0">
    <w:p w:rsidR="00000000" w:rsidRDefault="000019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97DA9"/>
    <w:multiLevelType w:val="multilevel"/>
    <w:tmpl w:val="24297DA9"/>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nsid w:val="52E561F7"/>
    <w:multiLevelType w:val="multilevel"/>
    <w:tmpl w:val="52E561F7"/>
    <w:lvl w:ilvl="0">
      <w:start w:val="1"/>
      <w:numFmt w:val="bullet"/>
      <w:lvlText w:val=""/>
      <w:lvlJc w:val="left"/>
      <w:pPr>
        <w:ind w:left="1022" w:hanging="420"/>
      </w:pPr>
      <w:rPr>
        <w:rFonts w:ascii="Wingdings" w:hAnsi="Wingdings" w:hint="default"/>
      </w:rPr>
    </w:lvl>
    <w:lvl w:ilvl="1">
      <w:start w:val="1"/>
      <w:numFmt w:val="bullet"/>
      <w:lvlText w:val=""/>
      <w:lvlJc w:val="left"/>
      <w:pPr>
        <w:ind w:left="1442" w:hanging="420"/>
      </w:pPr>
      <w:rPr>
        <w:rFonts w:ascii="Wingdings" w:hAnsi="Wingdings" w:hint="default"/>
      </w:rPr>
    </w:lvl>
    <w:lvl w:ilvl="2">
      <w:start w:val="1"/>
      <w:numFmt w:val="bullet"/>
      <w:lvlText w:val=""/>
      <w:lvlJc w:val="left"/>
      <w:pPr>
        <w:ind w:left="1862" w:hanging="420"/>
      </w:pPr>
      <w:rPr>
        <w:rFonts w:ascii="Wingdings" w:hAnsi="Wingdings" w:hint="default"/>
      </w:rPr>
    </w:lvl>
    <w:lvl w:ilvl="3">
      <w:start w:val="1"/>
      <w:numFmt w:val="bullet"/>
      <w:lvlText w:val=""/>
      <w:lvlJc w:val="left"/>
      <w:pPr>
        <w:ind w:left="2282" w:hanging="420"/>
      </w:pPr>
      <w:rPr>
        <w:rFonts w:ascii="Wingdings" w:hAnsi="Wingdings" w:hint="default"/>
      </w:rPr>
    </w:lvl>
    <w:lvl w:ilvl="4">
      <w:start w:val="1"/>
      <w:numFmt w:val="bullet"/>
      <w:lvlText w:val=""/>
      <w:lvlJc w:val="left"/>
      <w:pPr>
        <w:ind w:left="2702" w:hanging="420"/>
      </w:pPr>
      <w:rPr>
        <w:rFonts w:ascii="Wingdings" w:hAnsi="Wingdings" w:hint="default"/>
      </w:rPr>
    </w:lvl>
    <w:lvl w:ilvl="5">
      <w:start w:val="1"/>
      <w:numFmt w:val="bullet"/>
      <w:lvlText w:val=""/>
      <w:lvlJc w:val="left"/>
      <w:pPr>
        <w:ind w:left="3122" w:hanging="420"/>
      </w:pPr>
      <w:rPr>
        <w:rFonts w:ascii="Wingdings" w:hAnsi="Wingdings" w:hint="default"/>
      </w:rPr>
    </w:lvl>
    <w:lvl w:ilvl="6">
      <w:start w:val="1"/>
      <w:numFmt w:val="bullet"/>
      <w:lvlText w:val=""/>
      <w:lvlJc w:val="left"/>
      <w:pPr>
        <w:ind w:left="3542" w:hanging="420"/>
      </w:pPr>
      <w:rPr>
        <w:rFonts w:ascii="Wingdings" w:hAnsi="Wingdings" w:hint="default"/>
      </w:rPr>
    </w:lvl>
    <w:lvl w:ilvl="7">
      <w:start w:val="1"/>
      <w:numFmt w:val="bullet"/>
      <w:lvlText w:val=""/>
      <w:lvlJc w:val="left"/>
      <w:pPr>
        <w:ind w:left="3962" w:hanging="420"/>
      </w:pPr>
      <w:rPr>
        <w:rFonts w:ascii="Wingdings" w:hAnsi="Wingdings" w:hint="default"/>
      </w:rPr>
    </w:lvl>
    <w:lvl w:ilvl="8">
      <w:start w:val="1"/>
      <w:numFmt w:val="bullet"/>
      <w:lvlText w:val=""/>
      <w:lvlJc w:val="left"/>
      <w:pPr>
        <w:ind w:left="4382" w:hanging="420"/>
      </w:pPr>
      <w:rPr>
        <w:rFonts w:ascii="Wingdings" w:hAnsi="Wingdings" w:hint="default"/>
      </w:rPr>
    </w:lvl>
  </w:abstractNum>
  <w:abstractNum w:abstractNumId="2">
    <w:nsid w:val="6A003C6E"/>
    <w:multiLevelType w:val="singleLevel"/>
    <w:tmpl w:val="6A003C6E"/>
    <w:lvl w:ilvl="0">
      <w:start w:val="7"/>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A0297"/>
    <w:rsid w:val="0000194B"/>
    <w:rsid w:val="00080536"/>
    <w:rsid w:val="000C664C"/>
    <w:rsid w:val="001C27E7"/>
    <w:rsid w:val="002A5579"/>
    <w:rsid w:val="00360D02"/>
    <w:rsid w:val="00384FBE"/>
    <w:rsid w:val="003D5DE6"/>
    <w:rsid w:val="004162AF"/>
    <w:rsid w:val="004A0297"/>
    <w:rsid w:val="004A46BE"/>
    <w:rsid w:val="004B15BD"/>
    <w:rsid w:val="00853E12"/>
    <w:rsid w:val="008623EE"/>
    <w:rsid w:val="00966DCE"/>
    <w:rsid w:val="009E047D"/>
    <w:rsid w:val="00CA2E54"/>
    <w:rsid w:val="00D049FE"/>
    <w:rsid w:val="00D954D1"/>
    <w:rsid w:val="00DB1C87"/>
    <w:rsid w:val="00DF153C"/>
    <w:rsid w:val="00E31DCC"/>
    <w:rsid w:val="00E92304"/>
    <w:rsid w:val="00EA2EE8"/>
    <w:rsid w:val="00F60604"/>
    <w:rsid w:val="01195F6E"/>
    <w:rsid w:val="6CD556F8"/>
    <w:rsid w:val="AFC78E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alutation"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Pr>
      <w:rFonts w:eastAsia="宋体"/>
      <w:b/>
      <w:bCs/>
      <w:kern w:val="44"/>
      <w:sz w:val="44"/>
      <w:szCs w:val="44"/>
      <w:lang w:val="en-US" w:eastAsia="zh-CN" w:bidi="ar-SA"/>
    </w:rPr>
  </w:style>
  <w:style w:type="paragraph" w:styleId="a3">
    <w:name w:val="annotation text"/>
    <w:basedOn w:val="a"/>
    <w:link w:val="Char"/>
    <w:pPr>
      <w:jc w:val="left"/>
    </w:pPr>
  </w:style>
  <w:style w:type="character" w:customStyle="1" w:styleId="Char">
    <w:name w:val="批注文字 Char"/>
    <w:link w:val="a3"/>
    <w:rPr>
      <w:kern w:val="2"/>
      <w:sz w:val="21"/>
      <w:szCs w:val="24"/>
    </w:rPr>
  </w:style>
  <w:style w:type="paragraph" w:styleId="a4">
    <w:name w:val="Salutation"/>
    <w:basedOn w:val="a"/>
    <w:next w:val="a"/>
    <w:uiPriority w:val="99"/>
    <w:qFormat/>
    <w:rPr>
      <w:szCs w:val="21"/>
    </w:rPr>
  </w:style>
  <w:style w:type="paragraph" w:styleId="a5">
    <w:name w:val="Balloon Text"/>
    <w:basedOn w:val="a"/>
    <w:link w:val="Char0"/>
    <w:rPr>
      <w:sz w:val="18"/>
      <w:szCs w:val="18"/>
    </w:rPr>
  </w:style>
  <w:style w:type="character" w:customStyle="1" w:styleId="Char0">
    <w:name w:val="批注框文本 Char"/>
    <w:link w:val="a5"/>
    <w:rPr>
      <w:kern w:val="2"/>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link w:val="Char1"/>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7"/>
    <w:rPr>
      <w:kern w:val="2"/>
      <w:sz w:val="18"/>
      <w:szCs w:val="18"/>
    </w:rPr>
  </w:style>
  <w:style w:type="paragraph" w:styleId="a8">
    <w:name w:val="annotation subject"/>
    <w:basedOn w:val="a3"/>
    <w:next w:val="a3"/>
    <w:link w:val="Char2"/>
    <w:rPr>
      <w:b/>
      <w:bCs/>
    </w:rPr>
  </w:style>
  <w:style w:type="character" w:customStyle="1" w:styleId="Char2">
    <w:name w:val="批注主题 Char"/>
    <w:link w:val="a8"/>
    <w:rPr>
      <w:b/>
      <w:bCs/>
      <w:kern w:val="2"/>
      <w:sz w:val="21"/>
      <w:szCs w:val="24"/>
    </w:rPr>
  </w:style>
  <w:style w:type="character" w:styleId="a9">
    <w:name w:val="page number"/>
    <w:basedOn w:val="a0"/>
  </w:style>
  <w:style w:type="character" w:styleId="aa">
    <w:name w:val="annotation reference"/>
    <w:rPr>
      <w:sz w:val="21"/>
      <w:szCs w:val="21"/>
    </w:rPr>
  </w:style>
  <w:style w:type="paragraph" w:styleId="ab">
    <w:name w:val="List Paragraph"/>
    <w:basedOn w:val="a"/>
    <w:uiPriority w:val="34"/>
    <w:qFormat/>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302</Words>
  <Characters>1724</Characters>
  <Application>Microsoft Office Word</Application>
  <DocSecurity>4</DocSecurity>
  <Lines>14</Lines>
  <Paragraphs>4</Paragraphs>
  <ScaleCrop>false</ScaleCrop>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wentinglou</dc:creator>
  <cp:lastModifiedBy>user</cp:lastModifiedBy>
  <cp:revision>2</cp:revision>
  <dcterms:created xsi:type="dcterms:W3CDTF">2025-11-07T07:08:00Z</dcterms:created>
  <dcterms:modified xsi:type="dcterms:W3CDTF">2025-11-07T07:08:00Z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F255D77A42FB4D0DAF50A2E0C18918B3</vt:lpwstr>
  </property>
</Properties>
</file>