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15021">
      <w:pPr>
        <w:jc w:val="center"/>
        <w:rPr>
          <w:rFonts w:ascii="Times New Roman" w:eastAsia="黑体" w:hAnsi="Times New Roman" w:hint="eastAsia"/>
          <w:b/>
          <w:bCs/>
          <w:sz w:val="36"/>
          <w:szCs w:val="36"/>
        </w:rPr>
      </w:pPr>
      <w:r>
        <w:rPr>
          <w:rFonts w:ascii="Times New Roman" w:eastAsia="黑体" w:hAnsi="Times New Roman"/>
          <w:b/>
          <w:bCs/>
          <w:sz w:val="36"/>
          <w:szCs w:val="36"/>
        </w:rPr>
        <w:t>第二十</w:t>
      </w:r>
      <w:r>
        <w:rPr>
          <w:rFonts w:ascii="Times New Roman" w:eastAsia="黑体" w:hAnsi="Times New Roman" w:hint="eastAsia"/>
          <w:b/>
          <w:bCs/>
          <w:sz w:val="36"/>
          <w:szCs w:val="36"/>
        </w:rPr>
        <w:t>六</w:t>
      </w:r>
      <w:bookmarkStart w:id="0" w:name="_GoBack"/>
      <w:bookmarkEnd w:id="0"/>
      <w:r>
        <w:rPr>
          <w:rFonts w:ascii="Times New Roman" w:eastAsia="黑体" w:hAnsi="Times New Roman"/>
          <w:b/>
          <w:bCs/>
          <w:sz w:val="36"/>
          <w:szCs w:val="36"/>
        </w:rPr>
        <w:t>号</w:t>
      </w:r>
      <w:r>
        <w:rPr>
          <w:rFonts w:ascii="Times New Roman" w:eastAsia="黑体" w:hAnsi="Times New Roman"/>
          <w:b/>
          <w:bCs/>
          <w:sz w:val="36"/>
          <w:szCs w:val="36"/>
        </w:rPr>
        <w:t xml:space="preserve"> </w:t>
      </w:r>
      <w:r>
        <w:rPr>
          <w:rFonts w:ascii="Times New Roman" w:eastAsia="黑体" w:hAnsi="Times New Roman"/>
          <w:b/>
          <w:bCs/>
          <w:sz w:val="36"/>
          <w:szCs w:val="36"/>
        </w:rPr>
        <w:t>上市公司股票交易异常波动</w:t>
      </w:r>
      <w:r>
        <w:rPr>
          <w:rFonts w:ascii="Times New Roman" w:eastAsia="黑体" w:hAnsi="Times New Roman" w:hint="eastAsia"/>
          <w:b/>
          <w:bCs/>
          <w:sz w:val="36"/>
          <w:szCs w:val="36"/>
        </w:rPr>
        <w:t>、</w:t>
      </w:r>
    </w:p>
    <w:p w:rsidR="00000000" w:rsidRDefault="00B15021">
      <w:pPr>
        <w:jc w:val="center"/>
        <w:rPr>
          <w:rFonts w:ascii="Times New Roman" w:eastAsia="黑体" w:hAnsi="Times New Roman"/>
          <w:b/>
          <w:bCs/>
          <w:sz w:val="36"/>
          <w:szCs w:val="36"/>
        </w:rPr>
      </w:pPr>
      <w:r>
        <w:rPr>
          <w:rFonts w:ascii="Times New Roman" w:eastAsia="黑体" w:hAnsi="Times New Roman" w:hint="eastAsia"/>
          <w:b/>
          <w:bCs/>
          <w:sz w:val="36"/>
          <w:szCs w:val="36"/>
        </w:rPr>
        <w:t>严重异常波动</w:t>
      </w:r>
      <w:r>
        <w:rPr>
          <w:rFonts w:ascii="Times New Roman" w:eastAsia="黑体" w:hAnsi="Times New Roman"/>
          <w:b/>
          <w:bCs/>
          <w:sz w:val="36"/>
          <w:szCs w:val="36"/>
        </w:rPr>
        <w:t>公告</w:t>
      </w:r>
    </w:p>
    <w:p w:rsidR="00000000" w:rsidRDefault="00B15021">
      <w:pPr>
        <w:autoSpaceDE w:val="0"/>
        <w:autoSpaceDN w:val="0"/>
        <w:adjustRightInd w:val="0"/>
        <w:spacing w:line="560" w:lineRule="exact"/>
        <w:rPr>
          <w:rFonts w:ascii="Times New Roman" w:hAnsi="Times New Roman"/>
          <w:color w:val="000000"/>
          <w:kern w:val="0"/>
          <w:sz w:val="32"/>
          <w:szCs w:val="32"/>
          <w:highlight w:val="yellow"/>
        </w:rPr>
      </w:pPr>
    </w:p>
    <w:p w:rsidR="00000000" w:rsidRDefault="00B15021">
      <w:pPr>
        <w:autoSpaceDE w:val="0"/>
        <w:autoSpaceDN w:val="0"/>
        <w:adjustRightInd w:val="0"/>
        <w:snapToGrid w:val="0"/>
        <w:spacing w:line="560" w:lineRule="exact"/>
        <w:rPr>
          <w:rFonts w:ascii="Times New Roman" w:eastAsia="仿宋_GB2312" w:hAnsi="Times New Roman"/>
          <w:b/>
          <w:sz w:val="30"/>
          <w:szCs w:val="30"/>
        </w:rPr>
      </w:pPr>
      <w:r>
        <w:rPr>
          <w:rFonts w:ascii="Times New Roman" w:eastAsia="仿宋_GB2312" w:hAnsi="Times New Roman"/>
          <w:b/>
          <w:sz w:val="30"/>
          <w:szCs w:val="30"/>
        </w:rPr>
        <w:t>适用情形：</w:t>
      </w:r>
    </w:p>
    <w:p w:rsidR="00000000" w:rsidRDefault="00B15021">
      <w:pPr>
        <w:spacing w:line="560" w:lineRule="exact"/>
        <w:ind w:firstLineChars="200" w:firstLine="600"/>
        <w:rPr>
          <w:rFonts w:ascii="Times New Roman" w:eastAsia="仿宋_GB2312" w:hAnsi="Times New Roman"/>
          <w:color w:val="000000"/>
          <w:sz w:val="30"/>
          <w:szCs w:val="30"/>
        </w:rPr>
      </w:pPr>
      <w:r>
        <w:rPr>
          <w:rFonts w:ascii="Times New Roman" w:eastAsia="仿宋_GB2312" w:hAnsi="Times New Roman"/>
          <w:color w:val="000000"/>
          <w:sz w:val="30"/>
          <w:szCs w:val="30"/>
        </w:rPr>
        <w:t>1.</w:t>
      </w:r>
      <w:r>
        <w:rPr>
          <w:rFonts w:ascii="Times New Roman" w:eastAsia="仿宋_GB2312" w:hAnsi="Times New Roman"/>
          <w:color w:val="000000"/>
          <w:sz w:val="30"/>
          <w:szCs w:val="30"/>
        </w:rPr>
        <w:t>上市公司股票交易出现异常波动</w:t>
      </w:r>
      <w:r>
        <w:rPr>
          <w:rFonts w:ascii="Times New Roman" w:eastAsia="仿宋_GB2312" w:hAnsi="Times New Roman" w:hint="eastAsia"/>
          <w:color w:val="000000"/>
          <w:sz w:val="30"/>
          <w:szCs w:val="30"/>
        </w:rPr>
        <w:t>/</w:t>
      </w:r>
      <w:r>
        <w:rPr>
          <w:rFonts w:ascii="Times New Roman" w:eastAsia="仿宋_GB2312" w:hAnsi="Times New Roman" w:hint="eastAsia"/>
          <w:color w:val="000000"/>
          <w:sz w:val="30"/>
          <w:szCs w:val="30"/>
        </w:rPr>
        <w:t>严重异常波动</w:t>
      </w:r>
      <w:r>
        <w:rPr>
          <w:rFonts w:ascii="Times New Roman" w:eastAsia="仿宋_GB2312" w:hAnsi="Times New Roman"/>
          <w:color w:val="000000"/>
          <w:sz w:val="30"/>
          <w:szCs w:val="30"/>
        </w:rPr>
        <w:t>情形的，应当适用本公告格式。前述股票交易异常波动</w:t>
      </w:r>
      <w:r>
        <w:rPr>
          <w:rFonts w:ascii="Times New Roman" w:eastAsia="仿宋_GB2312" w:hAnsi="Times New Roman" w:hint="eastAsia"/>
          <w:color w:val="000000"/>
          <w:sz w:val="30"/>
          <w:szCs w:val="30"/>
        </w:rPr>
        <w:t>/</w:t>
      </w:r>
      <w:r>
        <w:rPr>
          <w:rFonts w:ascii="Times New Roman" w:eastAsia="仿宋_GB2312" w:hAnsi="Times New Roman" w:hint="eastAsia"/>
          <w:color w:val="000000"/>
          <w:sz w:val="30"/>
          <w:szCs w:val="30"/>
        </w:rPr>
        <w:t>严重异常波动</w:t>
      </w:r>
      <w:r>
        <w:rPr>
          <w:rFonts w:ascii="Times New Roman" w:eastAsia="仿宋_GB2312" w:hAnsi="Times New Roman"/>
          <w:color w:val="000000"/>
          <w:sz w:val="30"/>
          <w:szCs w:val="30"/>
        </w:rPr>
        <w:t>，是指《上海证券交易所交易规则》等规定的股票交易异常波动</w:t>
      </w:r>
      <w:r>
        <w:rPr>
          <w:rFonts w:ascii="Times New Roman" w:eastAsia="仿宋_GB2312" w:hAnsi="Times New Roman" w:hint="eastAsia"/>
          <w:color w:val="000000"/>
          <w:sz w:val="30"/>
          <w:szCs w:val="30"/>
        </w:rPr>
        <w:t>/</w:t>
      </w:r>
      <w:r>
        <w:rPr>
          <w:rFonts w:ascii="Times New Roman" w:eastAsia="仿宋_GB2312" w:hAnsi="Times New Roman" w:hint="eastAsia"/>
          <w:color w:val="000000"/>
          <w:sz w:val="30"/>
          <w:szCs w:val="30"/>
        </w:rPr>
        <w:t>严重异常波动</w:t>
      </w:r>
      <w:r>
        <w:rPr>
          <w:rFonts w:ascii="Times New Roman" w:eastAsia="仿宋_GB2312" w:hAnsi="Times New Roman"/>
          <w:color w:val="000000"/>
          <w:sz w:val="30"/>
          <w:szCs w:val="30"/>
        </w:rPr>
        <w:t>情形。</w:t>
      </w:r>
      <w:r>
        <w:rPr>
          <w:rFonts w:ascii="Times New Roman" w:eastAsia="仿宋_GB2312" w:hAnsi="Times New Roman"/>
          <w:color w:val="000000"/>
          <w:sz w:val="30"/>
          <w:szCs w:val="30"/>
        </w:rPr>
        <w:t xml:space="preserve"> </w:t>
      </w:r>
    </w:p>
    <w:p w:rsidR="00000000" w:rsidRDefault="00B15021">
      <w:pPr>
        <w:spacing w:line="560" w:lineRule="exact"/>
        <w:ind w:firstLineChars="200" w:firstLine="600"/>
        <w:rPr>
          <w:rFonts w:ascii="Times New Roman" w:eastAsia="仿宋_GB2312" w:hAnsi="Times New Roman"/>
          <w:color w:val="000000"/>
          <w:sz w:val="30"/>
          <w:szCs w:val="30"/>
        </w:rPr>
      </w:pPr>
      <w:r>
        <w:rPr>
          <w:rFonts w:ascii="Times New Roman" w:eastAsia="仿宋_GB2312" w:hAnsi="Times New Roman"/>
          <w:color w:val="000000"/>
          <w:sz w:val="30"/>
          <w:szCs w:val="30"/>
        </w:rPr>
        <w:t>2.</w:t>
      </w:r>
      <w:r>
        <w:rPr>
          <w:rFonts w:ascii="Times New Roman" w:eastAsia="仿宋_GB2312" w:hAnsi="Times New Roman"/>
          <w:color w:val="000000"/>
          <w:sz w:val="30"/>
          <w:szCs w:val="30"/>
        </w:rPr>
        <w:t>上市公司存在热点概念有关事项、生产经营环境重大变化、重大事项及其进展、媒体报道或市场传闻等，公司股价涨（跌）幅较大，股票交易虽未触及异常波动情形，但公司认为相关股票交易未能反映公司实际情况的，可以参照本公告格式披露相关风险提示公告，本所也可以视情况</w:t>
      </w:r>
      <w:r>
        <w:rPr>
          <w:rFonts w:ascii="Times New Roman" w:eastAsia="仿宋_GB2312" w:hAnsi="Times New Roman"/>
          <w:color w:val="000000"/>
          <w:sz w:val="30"/>
          <w:szCs w:val="30"/>
        </w:rPr>
        <w:t>要求公司参照本公告格式进行披露。</w:t>
      </w:r>
    </w:p>
    <w:p w:rsidR="00000000" w:rsidRDefault="00B15021">
      <w:pPr>
        <w:spacing w:line="560" w:lineRule="exact"/>
        <w:rPr>
          <w:rFonts w:ascii="Times New Roman" w:eastAsia="仿宋_GB2312" w:hAnsi="Times New Roman"/>
          <w:sz w:val="30"/>
          <w:szCs w:val="30"/>
        </w:rPr>
      </w:pPr>
    </w:p>
    <w:p w:rsidR="00000000" w:rsidRDefault="00B15021">
      <w:pPr>
        <w:adjustRightInd w:val="0"/>
        <w:snapToGrid w:val="0"/>
        <w:spacing w:line="560" w:lineRule="exact"/>
        <w:rPr>
          <w:rFonts w:ascii="Times New Roman" w:eastAsia="仿宋_GB2312" w:hAnsi="Times New Roman"/>
          <w:sz w:val="30"/>
          <w:szCs w:val="30"/>
        </w:rPr>
      </w:pPr>
      <w:r>
        <w:rPr>
          <w:rFonts w:ascii="Times New Roman" w:eastAsia="仿宋_GB2312" w:hAnsi="Times New Roman"/>
          <w:sz w:val="30"/>
          <w:szCs w:val="30"/>
        </w:rPr>
        <w:t>证券代码：</w:t>
      </w:r>
      <w:r>
        <w:rPr>
          <w:rFonts w:ascii="Times New Roman" w:eastAsia="仿宋_GB2312" w:hAnsi="Times New Roman"/>
          <w:sz w:val="30"/>
          <w:szCs w:val="30"/>
        </w:rPr>
        <w:t xml:space="preserve">             </w:t>
      </w:r>
      <w:r>
        <w:rPr>
          <w:rFonts w:ascii="Times New Roman" w:eastAsia="仿宋_GB2312" w:hAnsi="Times New Roman"/>
          <w:sz w:val="30"/>
          <w:szCs w:val="30"/>
        </w:rPr>
        <w:t>证券简称：</w:t>
      </w:r>
      <w:r>
        <w:rPr>
          <w:rFonts w:ascii="Times New Roman" w:eastAsia="仿宋_GB2312" w:hAnsi="Times New Roman"/>
          <w:sz w:val="30"/>
          <w:szCs w:val="30"/>
        </w:rPr>
        <w:t xml:space="preserve">            </w:t>
      </w:r>
      <w:r>
        <w:rPr>
          <w:rFonts w:ascii="Times New Roman" w:eastAsia="仿宋_GB2312" w:hAnsi="Times New Roman"/>
          <w:sz w:val="30"/>
          <w:szCs w:val="30"/>
        </w:rPr>
        <w:t>公告编号：</w:t>
      </w:r>
    </w:p>
    <w:p w:rsidR="00000000" w:rsidRDefault="00B15021">
      <w:pPr>
        <w:adjustRightInd w:val="0"/>
        <w:snapToGrid w:val="0"/>
        <w:spacing w:line="560" w:lineRule="exact"/>
        <w:jc w:val="center"/>
        <w:rPr>
          <w:rFonts w:ascii="Times New Roman" w:eastAsia="仿宋_GB2312" w:hAnsi="Times New Roman"/>
          <w:color w:val="000000"/>
          <w:sz w:val="30"/>
          <w:szCs w:val="30"/>
        </w:rPr>
      </w:pPr>
    </w:p>
    <w:p w:rsidR="00000000" w:rsidRDefault="00B15021">
      <w:pPr>
        <w:snapToGrid w:val="0"/>
        <w:spacing w:line="560" w:lineRule="exact"/>
        <w:jc w:val="center"/>
        <w:rPr>
          <w:rFonts w:ascii="Times New Roman" w:eastAsia="仿宋_GB2312" w:hAnsi="Times New Roman"/>
          <w:kern w:val="0"/>
          <w:sz w:val="30"/>
          <w:szCs w:val="30"/>
        </w:rPr>
      </w:pPr>
      <w:r>
        <w:rPr>
          <w:rFonts w:ascii="仿宋_GB2312" w:eastAsia="仿宋_GB2312" w:hAnsi="Times New Roman" w:hint="eastAsia"/>
          <w:color w:val="000000"/>
          <w:sz w:val="30"/>
          <w:szCs w:val="30"/>
        </w:rPr>
        <w:t>XXXX</w:t>
      </w:r>
      <w:r>
        <w:rPr>
          <w:rFonts w:ascii="仿宋_GB2312" w:eastAsia="仿宋_GB2312" w:hAnsi="Times New Roman" w:hint="eastAsia"/>
          <w:color w:val="000000"/>
          <w:sz w:val="30"/>
          <w:szCs w:val="30"/>
        </w:rPr>
        <w:t>股份有限公司股票交易</w:t>
      </w:r>
      <w:r>
        <w:rPr>
          <w:rFonts w:ascii="仿宋_GB2312" w:eastAsia="仿宋_GB2312" w:hAnsi="Times New Roman" w:hint="eastAsia"/>
          <w:bCs/>
          <w:kern w:val="0"/>
          <w:sz w:val="30"/>
          <w:szCs w:val="30"/>
        </w:rPr>
        <w:t>异常波</w:t>
      </w:r>
      <w:r>
        <w:rPr>
          <w:rFonts w:ascii="Times New Roman" w:eastAsia="仿宋_GB2312" w:hAnsi="Times New Roman"/>
          <w:bCs/>
          <w:kern w:val="0"/>
          <w:sz w:val="30"/>
          <w:szCs w:val="30"/>
        </w:rPr>
        <w:t>动</w:t>
      </w:r>
      <w:r>
        <w:rPr>
          <w:rFonts w:ascii="Times New Roman" w:eastAsia="仿宋_GB2312" w:hAnsi="Times New Roman" w:hint="eastAsia"/>
          <w:bCs/>
          <w:kern w:val="0"/>
          <w:sz w:val="30"/>
          <w:szCs w:val="30"/>
        </w:rPr>
        <w:t>、严重异常波动</w:t>
      </w:r>
      <w:r>
        <w:rPr>
          <w:rFonts w:ascii="Times New Roman" w:eastAsia="仿宋_GB2312" w:hAnsi="Times New Roman"/>
          <w:kern w:val="0"/>
          <w:sz w:val="30"/>
          <w:szCs w:val="30"/>
        </w:rPr>
        <w:t>公告</w:t>
      </w:r>
    </w:p>
    <w:p w:rsidR="00000000" w:rsidRDefault="00B15021">
      <w:pPr>
        <w:snapToGrid w:val="0"/>
        <w:spacing w:line="560" w:lineRule="exact"/>
        <w:jc w:val="center"/>
        <w:rPr>
          <w:rFonts w:ascii="Times New Roman" w:eastAsia="仿宋_GB2312" w:hAnsi="Times New Roman"/>
          <w:color w:val="000000"/>
          <w:sz w:val="30"/>
          <w:szCs w:val="30"/>
        </w:rPr>
      </w:pPr>
    </w:p>
    <w:p w:rsidR="00000000" w:rsidRDefault="00B15021">
      <w:pPr>
        <w:pBdr>
          <w:top w:val="single" w:sz="4" w:space="1" w:color="auto"/>
          <w:left w:val="single" w:sz="4" w:space="4" w:color="auto"/>
          <w:bottom w:val="single" w:sz="4" w:space="2" w:color="auto"/>
          <w:right w:val="single" w:sz="4" w:space="4" w:color="auto"/>
        </w:pBdr>
        <w:adjustRightInd w:val="0"/>
        <w:spacing w:line="560" w:lineRule="exact"/>
        <w:rPr>
          <w:rFonts w:ascii="Times New Roman" w:eastAsia="仿宋_GB2312" w:hAnsi="Times New Roman"/>
          <w:color w:val="000000"/>
          <w:sz w:val="30"/>
          <w:szCs w:val="30"/>
        </w:rPr>
      </w:pPr>
      <w:r>
        <w:rPr>
          <w:rFonts w:ascii="Times New Roman" w:eastAsia="仿宋_GB2312" w:hAnsi="Times New Roman"/>
          <w:color w:val="000000"/>
          <w:sz w:val="30"/>
          <w:szCs w:val="30"/>
        </w:rPr>
        <w:t xml:space="preserve">    </w:t>
      </w:r>
      <w:r>
        <w:rPr>
          <w:rFonts w:ascii="Times New Roman" w:eastAsia="仿宋_GB2312" w:hAnsi="Times New Roman"/>
          <w:color w:val="000000"/>
          <w:sz w:val="30"/>
          <w:szCs w:val="30"/>
        </w:rPr>
        <w:t>本公司董事会及全体董事保证本公告内容不存在任何虚假记载、误导性陈述或者重大遗漏，并对其内容的真实性、准确性和完整性承担法律责任。</w:t>
      </w:r>
    </w:p>
    <w:p w:rsidR="00000000" w:rsidRDefault="00B15021">
      <w:pPr>
        <w:pBdr>
          <w:top w:val="single" w:sz="4" w:space="1" w:color="auto"/>
          <w:left w:val="single" w:sz="4" w:space="4" w:color="auto"/>
          <w:bottom w:val="single" w:sz="4" w:space="2" w:color="auto"/>
          <w:right w:val="single" w:sz="4" w:space="4" w:color="auto"/>
        </w:pBdr>
        <w:adjustRightInd w:val="0"/>
        <w:spacing w:line="560" w:lineRule="exact"/>
        <w:rPr>
          <w:rFonts w:ascii="Times New Roman" w:eastAsia="仿宋_GB2312" w:hAnsi="Times New Roman"/>
          <w:color w:val="000000"/>
          <w:sz w:val="30"/>
          <w:szCs w:val="30"/>
        </w:rPr>
      </w:pPr>
      <w:r>
        <w:rPr>
          <w:rFonts w:ascii="Times New Roman" w:eastAsia="仿宋_GB2312" w:hAnsi="Times New Roman"/>
          <w:color w:val="000000"/>
          <w:sz w:val="30"/>
          <w:szCs w:val="30"/>
        </w:rPr>
        <w:t xml:space="preserve">    </w:t>
      </w:r>
      <w:r>
        <w:rPr>
          <w:rFonts w:ascii="Times New Roman" w:eastAsia="仿宋_GB2312" w:hAnsi="Times New Roman"/>
          <w:color w:val="000000"/>
          <w:sz w:val="30"/>
          <w:szCs w:val="30"/>
        </w:rPr>
        <w:t>如有董事对临时公告内容的真实性、准确性和完整性无法保证或存在异议的，公司应当在公告中作特别提示。</w:t>
      </w:r>
    </w:p>
    <w:p w:rsidR="00000000" w:rsidRDefault="00B15021">
      <w:pPr>
        <w:adjustRightInd w:val="0"/>
        <w:snapToGrid w:val="0"/>
        <w:spacing w:line="560" w:lineRule="exact"/>
        <w:rPr>
          <w:rFonts w:ascii="Times New Roman" w:eastAsia="仿宋_GB2312" w:hAnsi="Times New Roman"/>
          <w:sz w:val="30"/>
          <w:szCs w:val="30"/>
        </w:rPr>
      </w:pPr>
    </w:p>
    <w:p w:rsidR="00000000" w:rsidRDefault="00B15021" w:rsidP="00B15021">
      <w:pPr>
        <w:adjustRightInd w:val="0"/>
        <w:snapToGrid w:val="0"/>
        <w:spacing w:line="560" w:lineRule="exact"/>
        <w:ind w:firstLineChars="200" w:firstLine="600"/>
        <w:rPr>
          <w:rFonts w:ascii="Times New Roman" w:eastAsia="仿宋_GB2312" w:hAnsi="Times New Roman"/>
          <w:b/>
          <w:sz w:val="30"/>
          <w:szCs w:val="30"/>
        </w:rPr>
      </w:pPr>
      <w:r>
        <w:rPr>
          <w:rFonts w:ascii="Times New Roman" w:eastAsia="仿宋_GB2312" w:hAnsi="Times New Roman"/>
          <w:b/>
          <w:sz w:val="30"/>
          <w:szCs w:val="30"/>
        </w:rPr>
        <w:t>重要内容提示：</w:t>
      </w:r>
    </w:p>
    <w:p w:rsidR="00000000" w:rsidRDefault="00B15021">
      <w:pPr>
        <w:pStyle w:val="a9"/>
        <w:numPr>
          <w:ilvl w:val="0"/>
          <w:numId w:val="1"/>
        </w:numPr>
        <w:ind w:left="0" w:firstLine="600"/>
        <w:rPr>
          <w:rFonts w:ascii="Times New Roman" w:eastAsia="仿宋_GB2312" w:hAnsi="Times New Roman"/>
          <w:color w:val="000000"/>
          <w:sz w:val="30"/>
          <w:szCs w:val="30"/>
        </w:rPr>
      </w:pPr>
      <w:r>
        <w:rPr>
          <w:rFonts w:ascii="Times New Roman" w:eastAsia="仿宋_GB2312" w:hAnsi="Times New Roman"/>
          <w:color w:val="000000"/>
          <w:sz w:val="30"/>
          <w:szCs w:val="30"/>
        </w:rPr>
        <w:t>股票交易异常波动</w:t>
      </w:r>
      <w:r>
        <w:rPr>
          <w:rFonts w:ascii="Times New Roman" w:eastAsia="仿宋_GB2312" w:hAnsi="Times New Roman" w:hint="eastAsia"/>
          <w:color w:val="000000"/>
          <w:sz w:val="30"/>
          <w:szCs w:val="30"/>
        </w:rPr>
        <w:t>/</w:t>
      </w:r>
      <w:r>
        <w:rPr>
          <w:rFonts w:ascii="Times New Roman" w:eastAsia="仿宋_GB2312" w:hAnsi="Times New Roman" w:hint="eastAsia"/>
          <w:color w:val="000000"/>
          <w:sz w:val="30"/>
          <w:szCs w:val="30"/>
        </w:rPr>
        <w:t>严重异常波动</w:t>
      </w:r>
      <w:r>
        <w:rPr>
          <w:rFonts w:ascii="Times New Roman" w:eastAsia="仿宋_GB2312" w:hAnsi="Times New Roman"/>
          <w:color w:val="000000"/>
          <w:sz w:val="30"/>
          <w:szCs w:val="30"/>
        </w:rPr>
        <w:t>的情形</w:t>
      </w:r>
    </w:p>
    <w:p w:rsidR="00000000" w:rsidRDefault="00B15021">
      <w:pPr>
        <w:pStyle w:val="a9"/>
        <w:numPr>
          <w:ilvl w:val="0"/>
          <w:numId w:val="1"/>
        </w:numPr>
        <w:ind w:left="0" w:firstLine="600"/>
        <w:rPr>
          <w:rFonts w:ascii="Times New Roman" w:eastAsia="仿宋_GB2312" w:hAnsi="Times New Roman"/>
          <w:color w:val="000000"/>
          <w:sz w:val="30"/>
          <w:szCs w:val="30"/>
        </w:rPr>
      </w:pPr>
      <w:r>
        <w:rPr>
          <w:rFonts w:ascii="Times New Roman" w:eastAsia="仿宋_GB2312" w:hAnsi="Times New Roman"/>
          <w:color w:val="000000"/>
          <w:sz w:val="30"/>
          <w:szCs w:val="30"/>
        </w:rPr>
        <w:t>公司核查发现的重大事项和风险事项</w:t>
      </w:r>
    </w:p>
    <w:p w:rsidR="00000000" w:rsidRDefault="00B15021">
      <w:pPr>
        <w:pStyle w:val="a9"/>
        <w:numPr>
          <w:ilvl w:val="0"/>
          <w:numId w:val="1"/>
        </w:numPr>
        <w:ind w:left="0" w:firstLine="600"/>
        <w:rPr>
          <w:rFonts w:ascii="Times New Roman" w:eastAsia="仿宋_GB2312" w:hAnsi="Times New Roman"/>
          <w:color w:val="000000"/>
          <w:sz w:val="30"/>
          <w:szCs w:val="30"/>
        </w:rPr>
      </w:pPr>
      <w:r>
        <w:rPr>
          <w:rFonts w:ascii="Times New Roman" w:eastAsia="仿宋_GB2312" w:hAnsi="Times New Roman"/>
          <w:color w:val="000000"/>
          <w:sz w:val="30"/>
          <w:szCs w:val="30"/>
        </w:rPr>
        <w:t>重大风险提示。例如，上市公司在股票交易异常波动期间涉及热点概念有关事项的，应当结合概念事项与公司实际经营业务的关联性、相关业务的实际开展情况等，就其中的不确定性和可能存在的风险等向投资者充分提示。上市公司</w:t>
      </w:r>
      <w:r>
        <w:rPr>
          <w:rFonts w:ascii="Times New Roman" w:eastAsia="仿宋_GB2312" w:hAnsi="Times New Roman" w:hint="eastAsia"/>
          <w:color w:val="000000"/>
          <w:sz w:val="30"/>
          <w:szCs w:val="30"/>
        </w:rPr>
        <w:t>出现股票交易严重异常波动的，</w:t>
      </w:r>
      <w:r>
        <w:rPr>
          <w:rFonts w:ascii="Times New Roman" w:eastAsia="仿宋_GB2312" w:hAnsi="Times New Roman"/>
          <w:color w:val="000000"/>
          <w:sz w:val="30"/>
          <w:szCs w:val="30"/>
        </w:rPr>
        <w:t>应当</w:t>
      </w:r>
      <w:r>
        <w:rPr>
          <w:rFonts w:ascii="Times New Roman" w:eastAsia="仿宋_GB2312" w:hAnsi="Times New Roman" w:hint="eastAsia"/>
          <w:color w:val="000000"/>
          <w:sz w:val="30"/>
          <w:szCs w:val="30"/>
        </w:rPr>
        <w:t>充分提示公司股价严重异常波动的交易风险。</w:t>
      </w:r>
    </w:p>
    <w:p w:rsidR="00000000" w:rsidRDefault="00B15021">
      <w:pPr>
        <w:autoSpaceDE w:val="0"/>
        <w:autoSpaceDN w:val="0"/>
        <w:adjustRightInd w:val="0"/>
        <w:spacing w:line="560" w:lineRule="exact"/>
        <w:ind w:firstLineChars="192" w:firstLine="576"/>
        <w:jc w:val="left"/>
        <w:rPr>
          <w:rFonts w:ascii="Times New Roman" w:eastAsia="仿宋_GB2312" w:hAnsi="Times New Roman"/>
          <w:kern w:val="0"/>
          <w:sz w:val="30"/>
          <w:szCs w:val="30"/>
        </w:rPr>
      </w:pPr>
    </w:p>
    <w:p w:rsidR="00000000" w:rsidRDefault="00B15021">
      <w:pPr>
        <w:autoSpaceDE w:val="0"/>
        <w:autoSpaceDN w:val="0"/>
        <w:adjustRightInd w:val="0"/>
        <w:snapToGrid w:val="0"/>
        <w:spacing w:line="560" w:lineRule="exact"/>
        <w:ind w:firstLineChars="200" w:firstLine="602"/>
        <w:rPr>
          <w:rFonts w:ascii="Times New Roman" w:eastAsia="黑体" w:hAnsi="Times New Roman"/>
          <w:b/>
          <w:sz w:val="30"/>
          <w:szCs w:val="30"/>
        </w:rPr>
      </w:pPr>
      <w:r>
        <w:rPr>
          <w:rFonts w:ascii="Times New Roman" w:eastAsia="黑体" w:hAnsi="Times New Roman"/>
          <w:b/>
          <w:sz w:val="30"/>
          <w:szCs w:val="30"/>
        </w:rPr>
        <w:t>一、股票交易异常波动</w:t>
      </w:r>
      <w:r>
        <w:rPr>
          <w:rFonts w:ascii="Times New Roman" w:eastAsia="黑体" w:hAnsi="Times New Roman" w:hint="eastAsia"/>
          <w:b/>
          <w:sz w:val="30"/>
          <w:szCs w:val="30"/>
        </w:rPr>
        <w:t>/</w:t>
      </w:r>
      <w:r>
        <w:rPr>
          <w:rFonts w:ascii="Times New Roman" w:eastAsia="黑体" w:hAnsi="Times New Roman" w:hint="eastAsia"/>
          <w:b/>
          <w:sz w:val="30"/>
          <w:szCs w:val="30"/>
        </w:rPr>
        <w:t>严重异常波动</w:t>
      </w:r>
      <w:r>
        <w:rPr>
          <w:rFonts w:ascii="Times New Roman" w:eastAsia="黑体" w:hAnsi="Times New Roman"/>
          <w:b/>
          <w:sz w:val="30"/>
          <w:szCs w:val="30"/>
        </w:rPr>
        <w:t>的具体情况</w:t>
      </w:r>
    </w:p>
    <w:p w:rsidR="00000000" w:rsidRDefault="00B15021">
      <w:pPr>
        <w:autoSpaceDE w:val="0"/>
        <w:autoSpaceDN w:val="0"/>
        <w:adjustRightInd w:val="0"/>
        <w:snapToGrid w:val="0"/>
        <w:spacing w:line="560" w:lineRule="exact"/>
        <w:ind w:firstLineChars="200" w:firstLine="600"/>
        <w:rPr>
          <w:rFonts w:eastAsia="仿宋_GB2312"/>
          <w:color w:val="000000"/>
          <w:kern w:val="0"/>
          <w:sz w:val="30"/>
          <w:szCs w:val="30"/>
        </w:rPr>
      </w:pPr>
      <w:r>
        <w:rPr>
          <w:rFonts w:ascii="仿宋_GB2312" w:eastAsia="仿宋_GB2312" w:hAnsi="Times New Roman" w:hint="eastAsia"/>
          <w:color w:val="000000"/>
          <w:kern w:val="0"/>
          <w:sz w:val="30"/>
          <w:szCs w:val="30"/>
        </w:rPr>
        <w:t>上市公司应当说明股票交易异常波动</w:t>
      </w:r>
      <w:r>
        <w:rPr>
          <w:rFonts w:ascii="仿宋_GB2312" w:eastAsia="仿宋_GB2312" w:hAnsi="Times New Roman" w:hint="eastAsia"/>
          <w:color w:val="000000"/>
          <w:kern w:val="0"/>
          <w:sz w:val="30"/>
          <w:szCs w:val="30"/>
        </w:rPr>
        <w:t>/</w:t>
      </w:r>
      <w:r>
        <w:rPr>
          <w:rFonts w:ascii="仿宋_GB2312" w:eastAsia="仿宋_GB2312" w:hAnsi="Times New Roman" w:hint="eastAsia"/>
          <w:color w:val="000000"/>
          <w:kern w:val="0"/>
          <w:sz w:val="30"/>
          <w:szCs w:val="30"/>
        </w:rPr>
        <w:t>严重异常波动的具体情形及发生时间等。例如，上市公司股票交易出现《上海证券交易所交易规则》规定的异常波动情形的，应当表述为“公司股票交易连续</w:t>
      </w:r>
      <w:r>
        <w:rPr>
          <w:rFonts w:ascii="仿宋_GB2312" w:eastAsia="仿宋_GB2312" w:hAnsi="Times New Roman" w:hint="eastAsia"/>
          <w:color w:val="000000"/>
          <w:kern w:val="0"/>
          <w:sz w:val="30"/>
          <w:szCs w:val="30"/>
        </w:rPr>
        <w:t>3</w:t>
      </w:r>
      <w:r>
        <w:rPr>
          <w:rFonts w:ascii="仿宋_GB2312" w:eastAsia="仿宋_GB2312" w:hAnsi="Times New Roman" w:hint="eastAsia"/>
          <w:color w:val="000000"/>
          <w:kern w:val="0"/>
          <w:sz w:val="30"/>
          <w:szCs w:val="30"/>
        </w:rPr>
        <w:t>个交易日内日</w:t>
      </w:r>
      <w:r>
        <w:rPr>
          <w:rFonts w:ascii="仿宋_GB2312" w:eastAsia="仿宋_GB2312" w:hAnsi="Times New Roman" w:hint="eastAsia"/>
          <w:color w:val="000000"/>
          <w:kern w:val="0"/>
          <w:sz w:val="30"/>
          <w:szCs w:val="30"/>
        </w:rPr>
        <w:t>收盘价格涨</w:t>
      </w:r>
      <w:r>
        <w:rPr>
          <w:rFonts w:ascii="仿宋_GB2312" w:eastAsia="仿宋_GB2312" w:hAnsi="Times New Roman" w:hint="eastAsia"/>
          <w:color w:val="000000"/>
          <w:kern w:val="0"/>
          <w:sz w:val="30"/>
          <w:szCs w:val="30"/>
        </w:rPr>
        <w:t>/</w:t>
      </w:r>
      <w:r>
        <w:rPr>
          <w:rFonts w:ascii="仿宋_GB2312" w:eastAsia="仿宋_GB2312" w:hAnsi="Times New Roman" w:hint="eastAsia"/>
          <w:color w:val="000000"/>
          <w:kern w:val="0"/>
          <w:sz w:val="30"/>
          <w:szCs w:val="30"/>
        </w:rPr>
        <w:t>跌幅偏离值累计达</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”等。出现《上海证券交易所交易规则》规定的严重异常波动情形的，应当表述为“连续</w:t>
      </w:r>
      <w:r>
        <w:rPr>
          <w:rFonts w:ascii="仿宋_GB2312" w:eastAsia="仿宋_GB2312" w:hAnsi="Times New Roman" w:hint="eastAsia"/>
          <w:color w:val="000000"/>
          <w:kern w:val="0"/>
          <w:sz w:val="30"/>
          <w:szCs w:val="30"/>
        </w:rPr>
        <w:t>10</w:t>
      </w:r>
      <w:r>
        <w:rPr>
          <w:rFonts w:ascii="仿宋_GB2312" w:eastAsia="仿宋_GB2312" w:hAnsi="Times New Roman" w:hint="eastAsia"/>
          <w:color w:val="000000"/>
          <w:kern w:val="0"/>
          <w:sz w:val="30"/>
          <w:szCs w:val="30"/>
        </w:rPr>
        <w:t>个交易日内</w:t>
      </w:r>
      <w:r>
        <w:rPr>
          <w:rFonts w:ascii="仿宋_GB2312" w:eastAsia="仿宋_GB2312" w:hAnsi="Times New Roman" w:hint="eastAsia"/>
          <w:color w:val="000000"/>
          <w:kern w:val="0"/>
          <w:sz w:val="30"/>
          <w:szCs w:val="30"/>
        </w:rPr>
        <w:t>4</w:t>
      </w:r>
      <w:r>
        <w:rPr>
          <w:rFonts w:ascii="仿宋_GB2312" w:eastAsia="仿宋_GB2312" w:hAnsi="Times New Roman" w:hint="eastAsia"/>
          <w:color w:val="000000"/>
          <w:kern w:val="0"/>
          <w:sz w:val="30"/>
          <w:szCs w:val="30"/>
        </w:rPr>
        <w:t>次出现《上海证券交易所交易规则》规定的同向异常波动情形”“公司股票交易连续</w:t>
      </w:r>
      <w:r>
        <w:rPr>
          <w:rFonts w:ascii="仿宋_GB2312" w:eastAsia="仿宋_GB2312" w:hAnsi="Times New Roman" w:hint="eastAsia"/>
          <w:color w:val="000000"/>
          <w:kern w:val="0"/>
          <w:sz w:val="30"/>
          <w:szCs w:val="30"/>
        </w:rPr>
        <w:t>10</w:t>
      </w:r>
      <w:r>
        <w:rPr>
          <w:rFonts w:ascii="仿宋_GB2312" w:eastAsia="仿宋_GB2312" w:hAnsi="Times New Roman" w:hint="eastAsia"/>
          <w:color w:val="000000"/>
          <w:kern w:val="0"/>
          <w:sz w:val="30"/>
          <w:szCs w:val="30"/>
        </w:rPr>
        <w:t>个交易日内日收盘价格涨</w:t>
      </w:r>
      <w:r>
        <w:rPr>
          <w:rFonts w:ascii="仿宋_GB2312" w:eastAsia="仿宋_GB2312" w:hAnsi="Times New Roman" w:hint="eastAsia"/>
          <w:color w:val="000000"/>
          <w:kern w:val="0"/>
          <w:sz w:val="30"/>
          <w:szCs w:val="30"/>
        </w:rPr>
        <w:t>/</w:t>
      </w:r>
      <w:r>
        <w:rPr>
          <w:rFonts w:ascii="仿宋_GB2312" w:eastAsia="仿宋_GB2312" w:hAnsi="Times New Roman" w:hint="eastAsia"/>
          <w:color w:val="000000"/>
          <w:kern w:val="0"/>
          <w:sz w:val="30"/>
          <w:szCs w:val="30"/>
        </w:rPr>
        <w:t>跌幅偏离值累计达到</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”“公司股票交易连续</w:t>
      </w:r>
      <w:r>
        <w:rPr>
          <w:rFonts w:ascii="仿宋_GB2312" w:eastAsia="仿宋_GB2312" w:hAnsi="Times New Roman" w:hint="eastAsia"/>
          <w:color w:val="000000"/>
          <w:kern w:val="0"/>
          <w:sz w:val="30"/>
          <w:szCs w:val="30"/>
        </w:rPr>
        <w:t>30</w:t>
      </w:r>
      <w:r>
        <w:rPr>
          <w:rFonts w:ascii="仿宋_GB2312" w:eastAsia="仿宋_GB2312" w:hAnsi="Times New Roman" w:hint="eastAsia"/>
          <w:color w:val="000000"/>
          <w:kern w:val="0"/>
          <w:sz w:val="30"/>
          <w:szCs w:val="30"/>
        </w:rPr>
        <w:t>个交易日内日收盘价格涨</w:t>
      </w:r>
      <w:r>
        <w:rPr>
          <w:rFonts w:ascii="仿宋_GB2312" w:eastAsia="仿宋_GB2312" w:hAnsi="Times New Roman" w:hint="eastAsia"/>
          <w:color w:val="000000"/>
          <w:kern w:val="0"/>
          <w:sz w:val="30"/>
          <w:szCs w:val="30"/>
        </w:rPr>
        <w:t>/</w:t>
      </w:r>
      <w:r>
        <w:rPr>
          <w:rFonts w:ascii="仿宋_GB2312" w:eastAsia="仿宋_GB2312" w:hAnsi="Times New Roman" w:hint="eastAsia"/>
          <w:color w:val="000000"/>
          <w:kern w:val="0"/>
          <w:sz w:val="30"/>
          <w:szCs w:val="30"/>
        </w:rPr>
        <w:t>跌幅偏离值累计达到</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”等。如上市公司股票交易出现严重异常波动的多种情形，需列明出现的所有情形。</w:t>
      </w:r>
    </w:p>
    <w:p w:rsidR="00000000" w:rsidRDefault="00B15021">
      <w:pPr>
        <w:autoSpaceDE w:val="0"/>
        <w:autoSpaceDN w:val="0"/>
        <w:adjustRightInd w:val="0"/>
        <w:snapToGrid w:val="0"/>
        <w:spacing w:line="560" w:lineRule="exact"/>
        <w:ind w:firstLineChars="200" w:firstLine="600"/>
        <w:rPr>
          <w:rFonts w:ascii="仿宋_GB2312" w:eastAsia="仿宋_GB2312" w:hAnsi="Times New Roman"/>
          <w:color w:val="000000"/>
          <w:kern w:val="0"/>
          <w:sz w:val="30"/>
          <w:szCs w:val="30"/>
        </w:rPr>
      </w:pPr>
      <w:r>
        <w:rPr>
          <w:rFonts w:ascii="仿宋_GB2312" w:eastAsia="仿宋_GB2312" w:hAnsi="Times New Roman" w:hint="eastAsia"/>
          <w:color w:val="000000"/>
          <w:kern w:val="0"/>
          <w:sz w:val="30"/>
          <w:szCs w:val="30"/>
        </w:rPr>
        <w:t>上市公司股价涨</w:t>
      </w:r>
      <w:r>
        <w:rPr>
          <w:rFonts w:ascii="仿宋_GB2312" w:eastAsia="仿宋_GB2312" w:hAnsi="Times New Roman" w:hint="eastAsia"/>
          <w:color w:val="000000"/>
          <w:kern w:val="0"/>
          <w:sz w:val="30"/>
          <w:szCs w:val="30"/>
        </w:rPr>
        <w:t>/</w:t>
      </w:r>
      <w:r>
        <w:rPr>
          <w:rFonts w:ascii="仿宋_GB2312" w:eastAsia="仿宋_GB2312" w:hAnsi="Times New Roman" w:hint="eastAsia"/>
          <w:color w:val="000000"/>
          <w:kern w:val="0"/>
          <w:sz w:val="30"/>
          <w:szCs w:val="30"/>
        </w:rPr>
        <w:t>跌幅较大，股票交易虽未触及异常波动情</w:t>
      </w:r>
      <w:r>
        <w:rPr>
          <w:rFonts w:ascii="仿宋_GB2312" w:eastAsia="仿宋_GB2312" w:hAnsi="Times New Roman" w:hint="eastAsia"/>
          <w:color w:val="000000"/>
          <w:kern w:val="0"/>
          <w:sz w:val="30"/>
          <w:szCs w:val="30"/>
        </w:rPr>
        <w:lastRenderedPageBreak/>
        <w:t>形，但上市公司认为相关股票交易未能反映公司实际情况的，应当</w:t>
      </w:r>
      <w:r>
        <w:rPr>
          <w:rFonts w:ascii="仿宋_GB2312" w:eastAsia="仿宋_GB2312" w:hAnsi="Times New Roman" w:hint="eastAsia"/>
          <w:color w:val="000000"/>
          <w:kern w:val="0"/>
          <w:sz w:val="30"/>
          <w:szCs w:val="30"/>
        </w:rPr>
        <w:t>说明股票交易波动的具体情形。例如，“公司股票交易连续</w:t>
      </w:r>
      <w:r>
        <w:rPr>
          <w:rFonts w:ascii="仿宋_GB2312" w:eastAsia="仿宋_GB2312" w:hAnsi="Times New Roman" w:hint="eastAsia"/>
          <w:color w:val="000000"/>
          <w:kern w:val="0"/>
          <w:sz w:val="30"/>
          <w:szCs w:val="30"/>
        </w:rPr>
        <w:t>2</w:t>
      </w:r>
      <w:r>
        <w:rPr>
          <w:rFonts w:ascii="仿宋_GB2312" w:eastAsia="仿宋_GB2312" w:hAnsi="Times New Roman" w:hint="eastAsia"/>
          <w:color w:val="000000"/>
          <w:kern w:val="0"/>
          <w:sz w:val="30"/>
          <w:szCs w:val="30"/>
        </w:rPr>
        <w:t>个交易日内日收盘价格涨</w:t>
      </w:r>
      <w:r>
        <w:rPr>
          <w:rFonts w:ascii="仿宋_GB2312" w:eastAsia="仿宋_GB2312" w:hAnsi="Times New Roman" w:hint="eastAsia"/>
          <w:color w:val="000000"/>
          <w:kern w:val="0"/>
          <w:sz w:val="30"/>
          <w:szCs w:val="30"/>
        </w:rPr>
        <w:t>/</w:t>
      </w:r>
      <w:r>
        <w:rPr>
          <w:rFonts w:ascii="仿宋_GB2312" w:eastAsia="仿宋_GB2312" w:hAnsi="Times New Roman" w:hint="eastAsia"/>
          <w:color w:val="000000"/>
          <w:kern w:val="0"/>
          <w:sz w:val="30"/>
          <w:szCs w:val="30"/>
        </w:rPr>
        <w:t>跌停，公司股价涨</w:t>
      </w:r>
      <w:r>
        <w:rPr>
          <w:rFonts w:ascii="仿宋_GB2312" w:eastAsia="仿宋_GB2312" w:hAnsi="Times New Roman" w:hint="eastAsia"/>
          <w:color w:val="000000"/>
          <w:kern w:val="0"/>
          <w:sz w:val="30"/>
          <w:szCs w:val="30"/>
        </w:rPr>
        <w:t>/</w:t>
      </w:r>
      <w:r>
        <w:rPr>
          <w:rFonts w:ascii="仿宋_GB2312" w:eastAsia="仿宋_GB2312" w:hAnsi="Times New Roman" w:hint="eastAsia"/>
          <w:color w:val="000000"/>
          <w:kern w:val="0"/>
          <w:sz w:val="30"/>
          <w:szCs w:val="30"/>
        </w:rPr>
        <w:t>跌幅较大”或者“</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年</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月</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日至</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年</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月</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日公司股票价格涨</w:t>
      </w:r>
      <w:r>
        <w:rPr>
          <w:rFonts w:ascii="仿宋_GB2312" w:eastAsia="仿宋_GB2312" w:hAnsi="Times New Roman" w:hint="eastAsia"/>
          <w:color w:val="000000"/>
          <w:kern w:val="0"/>
          <w:sz w:val="30"/>
          <w:szCs w:val="30"/>
        </w:rPr>
        <w:t>/</w:t>
      </w:r>
      <w:r>
        <w:rPr>
          <w:rFonts w:ascii="仿宋_GB2312" w:eastAsia="仿宋_GB2312" w:hAnsi="Times New Roman" w:hint="eastAsia"/>
          <w:color w:val="000000"/>
          <w:kern w:val="0"/>
          <w:sz w:val="30"/>
          <w:szCs w:val="30"/>
        </w:rPr>
        <w:t>跌幅</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，偏离大盘</w:t>
      </w:r>
      <w:r>
        <w:rPr>
          <w:rFonts w:ascii="仿宋_GB2312" w:eastAsia="仿宋_GB2312" w:hAnsi="Times New Roman" w:hint="eastAsia"/>
          <w:color w:val="000000"/>
          <w:kern w:val="0"/>
          <w:sz w:val="30"/>
          <w:szCs w:val="30"/>
        </w:rPr>
        <w:t>/</w:t>
      </w:r>
      <w:r>
        <w:rPr>
          <w:rFonts w:ascii="仿宋_GB2312" w:eastAsia="仿宋_GB2312" w:hAnsi="Times New Roman" w:hint="eastAsia"/>
          <w:color w:val="000000"/>
          <w:kern w:val="0"/>
          <w:sz w:val="30"/>
          <w:szCs w:val="30"/>
        </w:rPr>
        <w:t>行业指数</w:t>
      </w:r>
      <w:r>
        <w:rPr>
          <w:rFonts w:ascii="仿宋_GB2312" w:eastAsia="仿宋_GB2312" w:hAnsi="Times New Roman" w:hint="eastAsia"/>
          <w:color w:val="000000"/>
          <w:kern w:val="0"/>
          <w:sz w:val="30"/>
          <w:szCs w:val="30"/>
        </w:rPr>
        <w:t>XX%</w:t>
      </w:r>
      <w:r>
        <w:rPr>
          <w:rFonts w:ascii="仿宋_GB2312" w:eastAsia="仿宋_GB2312" w:hAnsi="Times New Roman" w:hint="eastAsia"/>
          <w:color w:val="000000"/>
          <w:kern w:val="0"/>
          <w:sz w:val="30"/>
          <w:szCs w:val="30"/>
        </w:rPr>
        <w:t>”等。</w:t>
      </w:r>
    </w:p>
    <w:p w:rsidR="00000000" w:rsidRDefault="00B15021">
      <w:pPr>
        <w:autoSpaceDE w:val="0"/>
        <w:autoSpaceDN w:val="0"/>
        <w:adjustRightInd w:val="0"/>
        <w:snapToGrid w:val="0"/>
        <w:spacing w:line="560" w:lineRule="exact"/>
        <w:ind w:firstLineChars="200" w:firstLine="480"/>
        <w:rPr>
          <w:rFonts w:ascii="Times New Roman" w:eastAsia="楷体" w:hAnsi="Times New Roman"/>
          <w:color w:val="000000"/>
          <w:kern w:val="0"/>
          <w:sz w:val="24"/>
          <w:szCs w:val="24"/>
        </w:rPr>
      </w:pPr>
    </w:p>
    <w:p w:rsidR="00000000" w:rsidRDefault="00B15021">
      <w:pPr>
        <w:autoSpaceDE w:val="0"/>
        <w:autoSpaceDN w:val="0"/>
        <w:adjustRightInd w:val="0"/>
        <w:spacing w:line="560" w:lineRule="exact"/>
        <w:ind w:firstLineChars="192" w:firstLine="578"/>
        <w:jc w:val="left"/>
        <w:rPr>
          <w:rFonts w:ascii="Times New Roman" w:eastAsia="黑体" w:hAnsi="Times New Roman"/>
          <w:b/>
          <w:color w:val="000000"/>
          <w:kern w:val="0"/>
          <w:sz w:val="30"/>
          <w:szCs w:val="30"/>
        </w:rPr>
      </w:pPr>
      <w:r>
        <w:rPr>
          <w:rFonts w:ascii="Times New Roman" w:eastAsia="黑体" w:hAnsi="Times New Roman"/>
          <w:b/>
          <w:color w:val="000000"/>
          <w:kern w:val="0"/>
          <w:sz w:val="30"/>
          <w:szCs w:val="30"/>
        </w:rPr>
        <w:t>二、公司关注并核实的相关情况</w:t>
      </w:r>
    </w:p>
    <w:p w:rsidR="00000000" w:rsidRDefault="00B15021">
      <w:pPr>
        <w:autoSpaceDE w:val="0"/>
        <w:autoSpaceDN w:val="0"/>
        <w:adjustRightInd w:val="0"/>
        <w:spacing w:line="560" w:lineRule="exact"/>
        <w:ind w:firstLineChars="192" w:firstLine="576"/>
        <w:rPr>
          <w:rFonts w:ascii="Times New Roman" w:eastAsia="仿宋_GB2312" w:hAnsi="Times New Roman"/>
          <w:color w:val="000000"/>
          <w:sz w:val="30"/>
          <w:szCs w:val="30"/>
        </w:rPr>
      </w:pPr>
      <w:r>
        <w:rPr>
          <w:rFonts w:ascii="Times New Roman" w:eastAsia="仿宋_GB2312" w:hAnsi="Times New Roman"/>
          <w:color w:val="000000"/>
          <w:sz w:val="30"/>
          <w:szCs w:val="30"/>
        </w:rPr>
        <w:t>上市公司股票交易出现异常波动</w:t>
      </w:r>
      <w:r>
        <w:rPr>
          <w:rFonts w:ascii="Times New Roman" w:eastAsia="仿宋_GB2312" w:hAnsi="Times New Roman" w:hint="eastAsia"/>
          <w:color w:val="000000"/>
          <w:sz w:val="30"/>
          <w:szCs w:val="30"/>
        </w:rPr>
        <w:t>/</w:t>
      </w:r>
      <w:r>
        <w:rPr>
          <w:rFonts w:ascii="Times New Roman" w:eastAsia="仿宋_GB2312" w:hAnsi="Times New Roman" w:hint="eastAsia"/>
          <w:color w:val="000000"/>
          <w:sz w:val="30"/>
          <w:szCs w:val="30"/>
        </w:rPr>
        <w:t>严重异常波动</w:t>
      </w:r>
      <w:r>
        <w:rPr>
          <w:rFonts w:ascii="Times New Roman" w:eastAsia="仿宋_GB2312" w:hAnsi="Times New Roman"/>
          <w:color w:val="000000"/>
          <w:sz w:val="30"/>
          <w:szCs w:val="30"/>
        </w:rPr>
        <w:t>的，上市公司应当自查核实并向其控股股东、实际控制人等相关方函询是否存在如下重大事项和风险事项。同时，应当就核查发现的重大事项、相关进展及变化的实际情况等予以披露。上市公司经核查认为相关重大事项不存在或未有相关进展、变化的，也应当</w:t>
      </w:r>
      <w:r>
        <w:rPr>
          <w:rFonts w:ascii="Times New Roman" w:eastAsia="仿宋_GB2312" w:hAnsi="Times New Roman"/>
          <w:color w:val="000000"/>
          <w:sz w:val="30"/>
          <w:szCs w:val="30"/>
        </w:rPr>
        <w:t>说明核查事项、核查过程及核查结果。</w:t>
      </w:r>
    </w:p>
    <w:p w:rsidR="00000000" w:rsidRDefault="00B15021">
      <w:pPr>
        <w:autoSpaceDE w:val="0"/>
        <w:autoSpaceDN w:val="0"/>
        <w:adjustRightInd w:val="0"/>
        <w:spacing w:line="560" w:lineRule="exact"/>
        <w:ind w:firstLineChars="192" w:firstLine="576"/>
        <w:rPr>
          <w:rFonts w:ascii="Times New Roman" w:eastAsia="仿宋_GB2312" w:hAnsi="Times New Roman"/>
          <w:color w:val="000000"/>
          <w:sz w:val="30"/>
          <w:szCs w:val="30"/>
        </w:rPr>
      </w:pPr>
      <w:r>
        <w:rPr>
          <w:rFonts w:ascii="Times New Roman" w:eastAsia="仿宋_GB2312" w:hAnsi="Times New Roman"/>
          <w:color w:val="000000"/>
          <w:sz w:val="30"/>
          <w:szCs w:val="30"/>
        </w:rPr>
        <w:t>（一）生产经营情况。上市公司日常经营情况及外部环境是否或预计将要发生重大变化。例如，市场环境或行业政策是否发生重大调整、生产成本和销售等情况是否出现大幅波动、内部生产经营秩序是否正常、近期是否签订重大合同等。上市公司主业经营是否涉及新技术、新产业、新业态、新模式。如涉及，应当说明相关业务的实际情况、进展阶段、对公司经营业绩的影响等。</w:t>
      </w:r>
    </w:p>
    <w:p w:rsidR="00000000" w:rsidRDefault="00B15021">
      <w:pPr>
        <w:autoSpaceDE w:val="0"/>
        <w:autoSpaceDN w:val="0"/>
        <w:adjustRightInd w:val="0"/>
        <w:spacing w:line="560" w:lineRule="exact"/>
        <w:ind w:firstLineChars="192" w:firstLine="576"/>
        <w:rPr>
          <w:rFonts w:ascii="Times New Roman" w:eastAsia="仿宋_GB2312" w:hAnsi="Times New Roman"/>
          <w:color w:val="000000"/>
          <w:sz w:val="30"/>
          <w:szCs w:val="30"/>
        </w:rPr>
      </w:pPr>
      <w:r>
        <w:rPr>
          <w:rFonts w:ascii="Times New Roman" w:eastAsia="仿宋_GB2312" w:hAnsi="Times New Roman"/>
          <w:color w:val="000000"/>
          <w:sz w:val="30"/>
          <w:szCs w:val="30"/>
        </w:rPr>
        <w:t>（二）重大事项情况。上市公司、控股股东、实际控制人及相关方等是否正在筹划涉及上市公司的重大资产重组、股份发行、重大交易类事项、业务重组、股份</w:t>
      </w:r>
      <w:r>
        <w:rPr>
          <w:rFonts w:ascii="Times New Roman" w:eastAsia="仿宋_GB2312" w:hAnsi="Times New Roman"/>
          <w:color w:val="000000"/>
          <w:sz w:val="30"/>
          <w:szCs w:val="30"/>
        </w:rPr>
        <w:t>回购、股权激励、破产重整、重大业务合作、引进战略投资者等重大事项。确有筹划前述重大事项的，应当披露筹划进展情况，如是否已接触或确定交易</w:t>
      </w:r>
      <w:r>
        <w:rPr>
          <w:rFonts w:ascii="Times New Roman" w:eastAsia="仿宋_GB2312" w:hAnsi="Times New Roman"/>
          <w:color w:val="000000"/>
          <w:sz w:val="30"/>
          <w:szCs w:val="30"/>
        </w:rPr>
        <w:lastRenderedPageBreak/>
        <w:t>对方、是否已正式委托相关中介服务机构、是否已选定交易标的、是否已初步达成交易框架或制定相关方案、近期是否拟召开董事会审议相关方案等。</w:t>
      </w:r>
    </w:p>
    <w:p w:rsidR="00000000" w:rsidRDefault="00B15021">
      <w:pPr>
        <w:autoSpaceDE w:val="0"/>
        <w:autoSpaceDN w:val="0"/>
        <w:adjustRightInd w:val="0"/>
        <w:spacing w:line="560" w:lineRule="exact"/>
        <w:ind w:firstLineChars="192" w:firstLine="576"/>
        <w:rPr>
          <w:rFonts w:ascii="Times New Roman" w:eastAsia="仿宋_GB2312" w:hAnsi="Times New Roman"/>
          <w:color w:val="000000"/>
          <w:sz w:val="30"/>
          <w:szCs w:val="30"/>
        </w:rPr>
      </w:pPr>
      <w:r>
        <w:rPr>
          <w:rFonts w:ascii="Times New Roman" w:eastAsia="仿宋_GB2312" w:hAnsi="Times New Roman"/>
          <w:color w:val="000000"/>
          <w:sz w:val="30"/>
          <w:szCs w:val="30"/>
        </w:rPr>
        <w:t>上市公司、控股股东、实际控制人及相关方等未开始筹划前述重大事项的，不得在公告中表示预计、计划、可能或不排除未来一定期间内启动筹划前述重大事项。</w:t>
      </w:r>
    </w:p>
    <w:p w:rsidR="00000000" w:rsidRDefault="00B15021">
      <w:pPr>
        <w:autoSpaceDE w:val="0"/>
        <w:autoSpaceDN w:val="0"/>
        <w:adjustRightInd w:val="0"/>
        <w:spacing w:line="560" w:lineRule="exact"/>
        <w:ind w:firstLineChars="192" w:firstLine="576"/>
        <w:rPr>
          <w:rFonts w:ascii="Times New Roman" w:eastAsia="仿宋_GB2312" w:hAnsi="Times New Roman" w:hint="eastAsia"/>
          <w:color w:val="000000"/>
          <w:sz w:val="30"/>
          <w:szCs w:val="30"/>
        </w:rPr>
      </w:pPr>
      <w:r>
        <w:rPr>
          <w:rFonts w:ascii="Times New Roman" w:eastAsia="仿宋_GB2312" w:hAnsi="Times New Roman"/>
          <w:color w:val="000000"/>
          <w:sz w:val="30"/>
          <w:szCs w:val="30"/>
        </w:rPr>
        <w:t>（三）媒体报道、市场传闻、热点概念情况。是否存在可能或已经对上市公司股票交易价格产生影响的媒体报道或</w:t>
      </w:r>
      <w:r>
        <w:rPr>
          <w:rFonts w:ascii="Times New Roman" w:eastAsia="仿宋_GB2312" w:hAnsi="Times New Roman"/>
          <w:color w:val="000000"/>
          <w:sz w:val="30"/>
          <w:szCs w:val="30"/>
        </w:rPr>
        <w:t>市场传闻，是否涉及热点概念事项等。如是，上市公司应当就上述媒体报道或市场传闻、热点概念等所涉事项进行针对性说明，包括相关事项是否客观存在、与上市公司有无关联，相关业务是否开展、所处阶段，相关事项或业务对上市公司生产经营的具体影响，包括营业收入或利润占比，上市公司是否具备相关业务开展所需的资金、人员、设备、技术、资质等，相关主体与上市公司大股东之间有无业务合作事项、有无投资意向等。</w:t>
      </w:r>
    </w:p>
    <w:p w:rsidR="00000000" w:rsidRDefault="00B15021">
      <w:pPr>
        <w:autoSpaceDE w:val="0"/>
        <w:autoSpaceDN w:val="0"/>
        <w:adjustRightInd w:val="0"/>
        <w:spacing w:line="560" w:lineRule="exact"/>
        <w:ind w:firstLineChars="192" w:firstLine="576"/>
        <w:rPr>
          <w:rFonts w:ascii="Times New Roman" w:eastAsia="仿宋_GB2312" w:hAnsi="Times New Roman"/>
          <w:color w:val="000000"/>
          <w:sz w:val="30"/>
          <w:szCs w:val="30"/>
        </w:rPr>
      </w:pPr>
      <w:r>
        <w:rPr>
          <w:rFonts w:ascii="Times New Roman" w:eastAsia="仿宋_GB2312" w:hAnsi="Times New Roman"/>
          <w:color w:val="000000"/>
          <w:sz w:val="30"/>
          <w:szCs w:val="30"/>
        </w:rPr>
        <w:t>（四）可能导致公司股票交易异常波动的其他股价敏感信息</w:t>
      </w:r>
      <w:r>
        <w:rPr>
          <w:rFonts w:ascii="Times New Roman" w:eastAsia="仿宋_GB2312" w:hAnsi="Times New Roman" w:hint="eastAsia"/>
          <w:color w:val="000000"/>
          <w:sz w:val="30"/>
          <w:szCs w:val="30"/>
        </w:rPr>
        <w:t>或者可能导致股票交易严重异常波动的其他事项</w:t>
      </w:r>
      <w:r>
        <w:rPr>
          <w:rFonts w:ascii="Times New Roman" w:eastAsia="仿宋_GB2312" w:hAnsi="Times New Roman"/>
          <w:color w:val="000000"/>
          <w:sz w:val="30"/>
          <w:szCs w:val="30"/>
        </w:rPr>
        <w:t>。是否出现其他可能对上市公司股价产</w:t>
      </w:r>
      <w:r>
        <w:rPr>
          <w:rFonts w:ascii="Times New Roman" w:eastAsia="仿宋_GB2312" w:hAnsi="Times New Roman"/>
          <w:color w:val="000000"/>
          <w:sz w:val="30"/>
          <w:szCs w:val="30"/>
        </w:rPr>
        <w:t>生较大影响的重大事件。例如，上市公司董事、高级管理人员、控股股东及其一致行动人、其他重要股东存在买卖公司股票的情况；上市公司前期公告事项取得实质性进展或发生变化，上市公司前期公告的并购重组或股份发行等事项取得有权部门正式批复或拟进行重大调整、变更、终止。</w:t>
      </w:r>
    </w:p>
    <w:p w:rsidR="00000000" w:rsidRDefault="00B15021">
      <w:pPr>
        <w:autoSpaceDE w:val="0"/>
        <w:autoSpaceDN w:val="0"/>
        <w:adjustRightInd w:val="0"/>
        <w:spacing w:line="560" w:lineRule="exact"/>
        <w:ind w:firstLineChars="192" w:firstLine="576"/>
        <w:rPr>
          <w:rFonts w:ascii="Times New Roman" w:eastAsia="仿宋_GB2312" w:hAnsi="Times New Roman"/>
          <w:color w:val="000000"/>
          <w:sz w:val="30"/>
          <w:szCs w:val="30"/>
        </w:rPr>
      </w:pPr>
      <w:r>
        <w:rPr>
          <w:rFonts w:ascii="Times New Roman" w:eastAsia="仿宋_GB2312" w:hAnsi="Times New Roman"/>
          <w:color w:val="000000"/>
          <w:sz w:val="30"/>
          <w:szCs w:val="30"/>
        </w:rPr>
        <w:t>（五）本所要求上市公司核实并披露的其他事项。</w:t>
      </w:r>
    </w:p>
    <w:p w:rsidR="00000000" w:rsidRDefault="00B15021" w:rsidP="00B15021">
      <w:pPr>
        <w:autoSpaceDE w:val="0"/>
        <w:autoSpaceDN w:val="0"/>
        <w:adjustRightInd w:val="0"/>
        <w:spacing w:line="560" w:lineRule="exact"/>
        <w:ind w:firstLineChars="192" w:firstLine="461"/>
        <w:rPr>
          <w:rFonts w:ascii="Times New Roman" w:eastAsia="楷体" w:hAnsi="Times New Roman"/>
          <w:color w:val="000000"/>
          <w:kern w:val="0"/>
          <w:sz w:val="24"/>
          <w:szCs w:val="24"/>
        </w:rPr>
      </w:pPr>
    </w:p>
    <w:p w:rsidR="00000000" w:rsidRDefault="00B15021">
      <w:pPr>
        <w:autoSpaceDE w:val="0"/>
        <w:autoSpaceDN w:val="0"/>
        <w:adjustRightInd w:val="0"/>
        <w:snapToGrid w:val="0"/>
        <w:spacing w:line="560" w:lineRule="exact"/>
        <w:ind w:firstLineChars="200" w:firstLine="602"/>
        <w:rPr>
          <w:rFonts w:ascii="Times New Roman" w:eastAsia="黑体" w:hAnsi="Times New Roman"/>
          <w:b/>
          <w:sz w:val="30"/>
          <w:szCs w:val="30"/>
        </w:rPr>
      </w:pPr>
      <w:r>
        <w:rPr>
          <w:rFonts w:ascii="Times New Roman" w:eastAsia="黑体" w:hAnsi="Times New Roman"/>
          <w:b/>
          <w:sz w:val="30"/>
          <w:szCs w:val="30"/>
        </w:rPr>
        <w:lastRenderedPageBreak/>
        <w:t>三、相关风险提示</w:t>
      </w:r>
    </w:p>
    <w:p w:rsidR="00000000" w:rsidRDefault="00B15021">
      <w:pPr>
        <w:autoSpaceDE w:val="0"/>
        <w:autoSpaceDN w:val="0"/>
        <w:adjustRightInd w:val="0"/>
        <w:snapToGrid w:val="0"/>
        <w:spacing w:line="560" w:lineRule="exact"/>
        <w:ind w:firstLineChars="200" w:firstLine="600"/>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上市公司核实发现存在重大事项的，除按照前述第二部分要求披露实际情况外，涉及下述风险因素的，还应当充分提示相关风险。</w:t>
      </w:r>
      <w:r>
        <w:rPr>
          <w:rFonts w:ascii="Times New Roman" w:eastAsia="仿宋_GB2312" w:hAnsi="Times New Roman" w:hint="eastAsia"/>
          <w:color w:val="000000"/>
          <w:sz w:val="30"/>
          <w:szCs w:val="30"/>
        </w:rPr>
        <w:t>公司出现股票交易异常波动</w:t>
      </w:r>
      <w:r>
        <w:rPr>
          <w:rFonts w:ascii="Times New Roman" w:eastAsia="仿宋_GB2312" w:hAnsi="Times New Roman" w:hint="eastAsia"/>
          <w:color w:val="000000"/>
          <w:sz w:val="30"/>
          <w:szCs w:val="30"/>
        </w:rPr>
        <w:t>/</w:t>
      </w:r>
      <w:r>
        <w:rPr>
          <w:rFonts w:ascii="Times New Roman" w:eastAsia="仿宋_GB2312" w:hAnsi="Times New Roman" w:hint="eastAsia"/>
          <w:color w:val="000000"/>
          <w:sz w:val="30"/>
          <w:szCs w:val="30"/>
        </w:rPr>
        <w:t>严重异常波动，</w:t>
      </w:r>
      <w:r>
        <w:rPr>
          <w:rFonts w:ascii="Times New Roman" w:eastAsia="仿宋_GB2312" w:hAnsi="Times New Roman"/>
          <w:color w:val="000000"/>
          <w:kern w:val="0"/>
          <w:sz w:val="30"/>
          <w:szCs w:val="30"/>
        </w:rPr>
        <w:t>上市公司核实无重大事项或相关事项未有</w:t>
      </w:r>
      <w:r>
        <w:rPr>
          <w:rFonts w:ascii="Times New Roman" w:eastAsia="仿宋_GB2312" w:hAnsi="Times New Roman"/>
          <w:color w:val="000000"/>
          <w:kern w:val="0"/>
          <w:sz w:val="30"/>
          <w:szCs w:val="30"/>
        </w:rPr>
        <w:t>进展、变化的，至少应当提示投资者注意市场交易风险。</w:t>
      </w:r>
    </w:p>
    <w:p w:rsidR="00000000" w:rsidRDefault="00B15021">
      <w:pPr>
        <w:autoSpaceDE w:val="0"/>
        <w:autoSpaceDN w:val="0"/>
        <w:adjustRightInd w:val="0"/>
        <w:spacing w:line="560" w:lineRule="exact"/>
        <w:ind w:firstLineChars="192" w:firstLine="576"/>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（一）市场交易风险。例如，上市公司股价连续多日涨</w:t>
      </w:r>
      <w:r>
        <w:rPr>
          <w:rFonts w:ascii="Times New Roman" w:eastAsia="仿宋_GB2312" w:hAnsi="Times New Roman"/>
          <w:color w:val="000000"/>
          <w:kern w:val="0"/>
          <w:sz w:val="30"/>
          <w:szCs w:val="30"/>
        </w:rPr>
        <w:t>/</w:t>
      </w:r>
      <w:r>
        <w:rPr>
          <w:rFonts w:ascii="Times New Roman" w:eastAsia="仿宋_GB2312" w:hAnsi="Times New Roman"/>
          <w:color w:val="000000"/>
          <w:kern w:val="0"/>
          <w:sz w:val="30"/>
          <w:szCs w:val="30"/>
        </w:rPr>
        <w:t>跌停，或股价涨</w:t>
      </w:r>
      <w:r>
        <w:rPr>
          <w:rFonts w:ascii="Times New Roman" w:eastAsia="仿宋_GB2312" w:hAnsi="Times New Roman"/>
          <w:color w:val="000000"/>
          <w:kern w:val="0"/>
          <w:sz w:val="30"/>
          <w:szCs w:val="30"/>
        </w:rPr>
        <w:t>/</w:t>
      </w:r>
      <w:r>
        <w:rPr>
          <w:rFonts w:ascii="Times New Roman" w:eastAsia="仿宋_GB2312" w:hAnsi="Times New Roman"/>
          <w:color w:val="000000"/>
          <w:kern w:val="0"/>
          <w:sz w:val="30"/>
          <w:szCs w:val="30"/>
        </w:rPr>
        <w:t>跌幅大于行业内大部分公司涨</w:t>
      </w:r>
      <w:r>
        <w:rPr>
          <w:rFonts w:ascii="Times New Roman" w:eastAsia="仿宋_GB2312" w:hAnsi="Times New Roman"/>
          <w:color w:val="000000"/>
          <w:kern w:val="0"/>
          <w:sz w:val="30"/>
          <w:szCs w:val="30"/>
        </w:rPr>
        <w:t>/</w:t>
      </w:r>
      <w:r>
        <w:rPr>
          <w:rFonts w:ascii="Times New Roman" w:eastAsia="仿宋_GB2312" w:hAnsi="Times New Roman"/>
          <w:color w:val="000000"/>
          <w:kern w:val="0"/>
          <w:sz w:val="30"/>
          <w:szCs w:val="30"/>
        </w:rPr>
        <w:t>跌幅，或股价剔除大盘和板块整体因素后的实际波动幅度较大，或股价处于历史高</w:t>
      </w:r>
      <w:r>
        <w:rPr>
          <w:rFonts w:ascii="Times New Roman" w:eastAsia="仿宋_GB2312" w:hAnsi="Times New Roman"/>
          <w:color w:val="000000"/>
          <w:kern w:val="0"/>
          <w:sz w:val="30"/>
          <w:szCs w:val="30"/>
        </w:rPr>
        <w:t>/</w:t>
      </w:r>
      <w:r>
        <w:rPr>
          <w:rFonts w:ascii="Times New Roman" w:eastAsia="仿宋_GB2312" w:hAnsi="Times New Roman"/>
          <w:color w:val="000000"/>
          <w:kern w:val="0"/>
          <w:sz w:val="30"/>
          <w:szCs w:val="30"/>
        </w:rPr>
        <w:t>低位，或换手率较高的，应当说明相关情况并提示风险。例如，上市公司股票市盈率、市净率显著高</w:t>
      </w:r>
      <w:r>
        <w:rPr>
          <w:rFonts w:ascii="Times New Roman" w:eastAsia="仿宋_GB2312" w:hAnsi="Times New Roman"/>
          <w:color w:val="000000"/>
          <w:kern w:val="0"/>
          <w:sz w:val="30"/>
          <w:szCs w:val="30"/>
        </w:rPr>
        <w:t>/</w:t>
      </w:r>
      <w:r>
        <w:rPr>
          <w:rFonts w:ascii="Times New Roman" w:eastAsia="仿宋_GB2312" w:hAnsi="Times New Roman"/>
          <w:color w:val="000000"/>
          <w:kern w:val="0"/>
          <w:sz w:val="30"/>
          <w:szCs w:val="30"/>
        </w:rPr>
        <w:t>低于行业平均水平的，应当披露市盈率、市净率同行业比较的具体情况并提示相关风险。例如，上市公司经营业绩无明显变化的，还应当明确说明该情况，并提示市场交易变化无对应盈利能力变化支撑的风险。</w:t>
      </w:r>
      <w:r>
        <w:rPr>
          <w:rFonts w:ascii="Times New Roman" w:eastAsia="仿宋_GB2312" w:hAnsi="Times New Roman" w:hint="eastAsia"/>
          <w:color w:val="000000"/>
          <w:sz w:val="30"/>
          <w:szCs w:val="30"/>
        </w:rPr>
        <w:t>公司出现股票交易严</w:t>
      </w:r>
      <w:r>
        <w:rPr>
          <w:rFonts w:ascii="Times New Roman" w:eastAsia="仿宋_GB2312" w:hAnsi="Times New Roman" w:hint="eastAsia"/>
          <w:color w:val="000000"/>
          <w:sz w:val="30"/>
          <w:szCs w:val="30"/>
        </w:rPr>
        <w:t>重异常波动时，应当核实公司股价是否严重偏离同行业上市公司合理估值，并参照前述示例说明相关情况。</w:t>
      </w:r>
    </w:p>
    <w:p w:rsidR="00000000" w:rsidRDefault="00B15021">
      <w:pPr>
        <w:autoSpaceDE w:val="0"/>
        <w:autoSpaceDN w:val="0"/>
        <w:adjustRightInd w:val="0"/>
        <w:snapToGrid w:val="0"/>
        <w:spacing w:line="560" w:lineRule="exact"/>
        <w:ind w:firstLineChars="200" w:firstLine="600"/>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（二）生产经营风险。结合业绩预告、定期报告等，提示相关经营风险。上市公司业绩变化是由非经常性损益等因素造成的，还应当明确说明并就此专项提示风险。</w:t>
      </w:r>
    </w:p>
    <w:p w:rsidR="00000000" w:rsidRDefault="00B15021">
      <w:pPr>
        <w:autoSpaceDE w:val="0"/>
        <w:autoSpaceDN w:val="0"/>
        <w:adjustRightInd w:val="0"/>
        <w:snapToGrid w:val="0"/>
        <w:spacing w:line="560" w:lineRule="exact"/>
        <w:ind w:firstLineChars="200" w:firstLine="600"/>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（三）重大事项进展风险。</w:t>
      </w:r>
      <w:r>
        <w:rPr>
          <w:rFonts w:ascii="Times New Roman" w:eastAsia="仿宋_GB2312" w:hAnsi="Times New Roman"/>
          <w:color w:val="000000"/>
          <w:sz w:val="30"/>
          <w:szCs w:val="30"/>
        </w:rPr>
        <w:t>上市公司、控股股东、实际控制人及相关方等</w:t>
      </w:r>
      <w:r>
        <w:rPr>
          <w:rFonts w:ascii="Times New Roman" w:eastAsia="仿宋_GB2312" w:hAnsi="Times New Roman"/>
          <w:color w:val="000000"/>
          <w:kern w:val="0"/>
          <w:sz w:val="30"/>
          <w:szCs w:val="30"/>
        </w:rPr>
        <w:t>筹划重大资产重组、股份发行、收购、债务重组、业务重组、资产剥离、资产注入、股份回购、股权激励、破产重整、重大业务合作、引进战略投资者等重大事项推进和实施存在重大不确定性的，应当提示重大调整、无法按期进行、终</w:t>
      </w:r>
      <w:r>
        <w:rPr>
          <w:rFonts w:ascii="Times New Roman" w:eastAsia="仿宋_GB2312" w:hAnsi="Times New Roman"/>
          <w:color w:val="000000"/>
          <w:kern w:val="0"/>
          <w:sz w:val="30"/>
          <w:szCs w:val="30"/>
        </w:rPr>
        <w:t>止等风</w:t>
      </w:r>
      <w:r>
        <w:rPr>
          <w:rFonts w:ascii="Times New Roman" w:eastAsia="仿宋_GB2312" w:hAnsi="Times New Roman"/>
          <w:color w:val="000000"/>
          <w:kern w:val="0"/>
          <w:sz w:val="30"/>
          <w:szCs w:val="30"/>
        </w:rPr>
        <w:lastRenderedPageBreak/>
        <w:t>险。</w:t>
      </w:r>
    </w:p>
    <w:p w:rsidR="00000000" w:rsidRDefault="00B15021">
      <w:pPr>
        <w:autoSpaceDE w:val="0"/>
        <w:autoSpaceDN w:val="0"/>
        <w:adjustRightInd w:val="0"/>
        <w:snapToGrid w:val="0"/>
        <w:spacing w:line="560" w:lineRule="exact"/>
        <w:ind w:firstLineChars="200" w:firstLine="600"/>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四）媒体报道、市场传闻、热点概念涉及事项或业务的不确定性风险。上市公司近期签订或正在磋商重大合同（战略合作协议）、为产业转型升级拟投资或已投资新项目等被媒体报道、涉及市场传闻，或者上市公司涉及热点概念事项的，应当结合实际情况提示如下风险，包括相关项目、业务、合同尚处于磋商或起步阶段，其推进或实施存在不确定性，尚不具备商业化的条件，以及对公司营业收入、利润增长没有实质或重大影响等。</w:t>
      </w:r>
    </w:p>
    <w:p w:rsidR="00000000" w:rsidRDefault="00B15021">
      <w:pPr>
        <w:autoSpaceDE w:val="0"/>
        <w:autoSpaceDN w:val="0"/>
        <w:adjustRightInd w:val="0"/>
        <w:snapToGrid w:val="0"/>
        <w:spacing w:line="560" w:lineRule="exact"/>
        <w:ind w:firstLineChars="200" w:firstLine="600"/>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（五）行业风险。上市公司应当结合所处细分行业特点，分析说明相关行业或业务近期风险。如市场竞争风险、行业政策风险、技</w:t>
      </w:r>
      <w:r>
        <w:rPr>
          <w:rFonts w:ascii="Times New Roman" w:eastAsia="仿宋_GB2312" w:hAnsi="Times New Roman"/>
          <w:color w:val="000000"/>
          <w:kern w:val="0"/>
          <w:sz w:val="30"/>
          <w:szCs w:val="30"/>
        </w:rPr>
        <w:t>术风险（如更新换代）、环保风险、安全风险，以及上市公司认为有必要提示的其他行业风险。</w:t>
      </w:r>
    </w:p>
    <w:p w:rsidR="00000000" w:rsidRDefault="00B15021">
      <w:pPr>
        <w:autoSpaceDE w:val="0"/>
        <w:autoSpaceDN w:val="0"/>
        <w:adjustRightInd w:val="0"/>
        <w:snapToGrid w:val="0"/>
        <w:spacing w:line="560" w:lineRule="exact"/>
        <w:ind w:firstLineChars="200" w:firstLine="600"/>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六）大股东质押风险或商誉减值风险。大股东质押比例较高、股价大幅波动可能对上市公司控制权、生产经营稳定性造成影响的，应当充分提示相关风险。上市公司商誉金额较大或占净资产比重较高的，应当提示相关风险并说明是否存在商誉减值迹象。</w:t>
      </w:r>
    </w:p>
    <w:p w:rsidR="00000000" w:rsidRDefault="00B15021">
      <w:pPr>
        <w:autoSpaceDE w:val="0"/>
        <w:autoSpaceDN w:val="0"/>
        <w:adjustRightInd w:val="0"/>
        <w:snapToGrid w:val="0"/>
        <w:spacing w:line="560" w:lineRule="exact"/>
        <w:ind w:firstLineChars="200" w:firstLine="600"/>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（七）上市公司或本所认为必要的其他风险提示。</w:t>
      </w:r>
    </w:p>
    <w:p w:rsidR="00000000" w:rsidRDefault="00B15021">
      <w:pPr>
        <w:autoSpaceDE w:val="0"/>
        <w:autoSpaceDN w:val="0"/>
        <w:adjustRightInd w:val="0"/>
        <w:snapToGrid w:val="0"/>
        <w:spacing w:line="560" w:lineRule="exact"/>
        <w:ind w:firstLineChars="200" w:firstLine="480"/>
        <w:rPr>
          <w:rFonts w:ascii="Times New Roman" w:eastAsia="楷体" w:hAnsi="Times New Roman"/>
          <w:color w:val="000000"/>
          <w:kern w:val="0"/>
          <w:sz w:val="24"/>
          <w:szCs w:val="24"/>
        </w:rPr>
      </w:pPr>
    </w:p>
    <w:p w:rsidR="00000000" w:rsidRDefault="00B15021">
      <w:pPr>
        <w:autoSpaceDE w:val="0"/>
        <w:autoSpaceDN w:val="0"/>
        <w:adjustRightInd w:val="0"/>
        <w:snapToGrid w:val="0"/>
        <w:spacing w:line="560" w:lineRule="exact"/>
        <w:ind w:firstLineChars="200" w:firstLine="602"/>
        <w:rPr>
          <w:rFonts w:ascii="Times New Roman" w:eastAsia="黑体" w:hAnsi="Times New Roman"/>
          <w:b/>
          <w:sz w:val="30"/>
          <w:szCs w:val="30"/>
        </w:rPr>
      </w:pPr>
      <w:r>
        <w:rPr>
          <w:rFonts w:ascii="Times New Roman" w:eastAsia="黑体" w:hAnsi="Times New Roman"/>
          <w:b/>
          <w:sz w:val="30"/>
          <w:szCs w:val="30"/>
        </w:rPr>
        <w:t>四、董事会声明及相关方承诺</w:t>
      </w:r>
    </w:p>
    <w:p w:rsidR="00000000" w:rsidRDefault="00B15021">
      <w:pPr>
        <w:autoSpaceDE w:val="0"/>
        <w:autoSpaceDN w:val="0"/>
        <w:adjustRightInd w:val="0"/>
        <w:snapToGrid w:val="0"/>
        <w:spacing w:line="560" w:lineRule="exact"/>
        <w:ind w:firstLineChars="200" w:firstLine="600"/>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（一）上市公司董事会根据本</w:t>
      </w:r>
      <w:r>
        <w:rPr>
          <w:rFonts w:ascii="Times New Roman" w:eastAsia="仿宋_GB2312" w:hAnsi="Times New Roman"/>
          <w:color w:val="000000"/>
          <w:sz w:val="30"/>
          <w:szCs w:val="30"/>
        </w:rPr>
        <w:t>公告格式</w:t>
      </w:r>
      <w:r>
        <w:rPr>
          <w:rFonts w:ascii="Times New Roman" w:eastAsia="仿宋_GB2312" w:hAnsi="Times New Roman"/>
          <w:color w:val="000000"/>
          <w:kern w:val="0"/>
          <w:sz w:val="30"/>
          <w:szCs w:val="30"/>
        </w:rPr>
        <w:t>要求进行核查后，应当做出如下声明：</w:t>
      </w:r>
      <w:r>
        <w:rPr>
          <w:rFonts w:ascii="Times New Roman" w:eastAsia="仿宋_GB2312" w:hAnsi="Times New Roman"/>
          <w:color w:val="000000"/>
          <w:kern w:val="0"/>
          <w:sz w:val="30"/>
          <w:szCs w:val="30"/>
        </w:rPr>
        <w:t>“</w:t>
      </w:r>
      <w:r>
        <w:rPr>
          <w:rFonts w:ascii="Times New Roman" w:eastAsia="仿宋_GB2312" w:hAnsi="Times New Roman"/>
          <w:color w:val="000000"/>
          <w:kern w:val="0"/>
          <w:sz w:val="30"/>
          <w:szCs w:val="30"/>
        </w:rPr>
        <w:t>本公司董事会确认，（除前述第二部分涉及的披露事项外）本</w:t>
      </w:r>
      <w:r>
        <w:rPr>
          <w:rFonts w:ascii="Times New Roman" w:eastAsia="仿宋_GB2312" w:hAnsi="Times New Roman"/>
          <w:color w:val="000000"/>
          <w:kern w:val="0"/>
          <w:sz w:val="30"/>
          <w:szCs w:val="30"/>
        </w:rPr>
        <w:t>公司没有任何根据《股票上市规则》等有关规定应披露而未披露的事项或与该等事项有关的筹划、商谈、意向、</w:t>
      </w:r>
      <w:r>
        <w:rPr>
          <w:rFonts w:ascii="Times New Roman" w:eastAsia="仿宋_GB2312" w:hAnsi="Times New Roman"/>
          <w:color w:val="000000"/>
          <w:kern w:val="0"/>
          <w:sz w:val="30"/>
          <w:szCs w:val="30"/>
        </w:rPr>
        <w:lastRenderedPageBreak/>
        <w:t>协议等，董事会也未获悉根据《股票上市规则》等有关规定应披露而未披露的、对本公司股票及其衍生品种交易价格可能产生较大影响的信息；公司前期披露的信息不存在需要更正、补充之处。</w:t>
      </w:r>
      <w:r>
        <w:rPr>
          <w:rFonts w:ascii="Times New Roman" w:eastAsia="仿宋_GB2312" w:hAnsi="Times New Roman"/>
          <w:color w:val="000000"/>
          <w:kern w:val="0"/>
          <w:sz w:val="30"/>
          <w:szCs w:val="30"/>
        </w:rPr>
        <w:t>”</w:t>
      </w:r>
    </w:p>
    <w:p w:rsidR="00000000" w:rsidRDefault="00B15021">
      <w:pPr>
        <w:autoSpaceDE w:val="0"/>
        <w:autoSpaceDN w:val="0"/>
        <w:adjustRightInd w:val="0"/>
        <w:snapToGrid w:val="0"/>
        <w:spacing w:line="560" w:lineRule="exact"/>
        <w:ind w:firstLineChars="200" w:firstLine="600"/>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二）上市公司、控股股东、实际控制人及相关方等在公告中披露目前未筹划涉及上市公司的重大资产重组、股份发行、收购、债务重组、业务重组、资产剥离、资产注入、股份回购、股权激励、破产重整、重大业务合作、引进战略投资者等重大事项的，可以在公告中承诺</w:t>
      </w:r>
      <w:r>
        <w:rPr>
          <w:rFonts w:ascii="Times New Roman" w:eastAsia="仿宋_GB2312" w:hAnsi="Times New Roman"/>
          <w:color w:val="000000"/>
          <w:kern w:val="0"/>
          <w:sz w:val="30"/>
          <w:szCs w:val="30"/>
        </w:rPr>
        <w:t>3</w:t>
      </w:r>
      <w:r>
        <w:rPr>
          <w:rFonts w:ascii="Times New Roman" w:eastAsia="仿宋_GB2312" w:hAnsi="Times New Roman"/>
          <w:color w:val="000000"/>
          <w:kern w:val="0"/>
          <w:sz w:val="30"/>
          <w:szCs w:val="30"/>
        </w:rPr>
        <w:t>个月内不筹划前述事项，并同时在公告的</w:t>
      </w:r>
      <w:r>
        <w:rPr>
          <w:rFonts w:ascii="Times New Roman" w:eastAsia="仿宋_GB2312" w:hAnsi="Times New Roman"/>
          <w:color w:val="000000"/>
          <w:kern w:val="0"/>
          <w:sz w:val="30"/>
          <w:szCs w:val="30"/>
        </w:rPr>
        <w:t>“</w:t>
      </w:r>
      <w:r>
        <w:rPr>
          <w:rFonts w:ascii="Times New Roman" w:eastAsia="仿宋_GB2312" w:hAnsi="Times New Roman"/>
          <w:color w:val="000000"/>
          <w:kern w:val="0"/>
          <w:sz w:val="30"/>
          <w:szCs w:val="30"/>
        </w:rPr>
        <w:t>重要内容提示</w:t>
      </w:r>
      <w:r>
        <w:rPr>
          <w:rFonts w:ascii="Times New Roman" w:eastAsia="仿宋_GB2312" w:hAnsi="Times New Roman"/>
          <w:color w:val="000000"/>
          <w:kern w:val="0"/>
          <w:sz w:val="30"/>
          <w:szCs w:val="30"/>
        </w:rPr>
        <w:t>”</w:t>
      </w:r>
      <w:r>
        <w:rPr>
          <w:rFonts w:ascii="Times New Roman" w:eastAsia="仿宋_GB2312" w:hAnsi="Times New Roman"/>
          <w:color w:val="000000"/>
          <w:kern w:val="0"/>
          <w:sz w:val="30"/>
          <w:szCs w:val="30"/>
        </w:rPr>
        <w:t>中披露。</w:t>
      </w:r>
    </w:p>
    <w:p w:rsidR="00000000" w:rsidRDefault="00B15021">
      <w:pPr>
        <w:autoSpaceDE w:val="0"/>
        <w:autoSpaceDN w:val="0"/>
        <w:adjustRightInd w:val="0"/>
        <w:spacing w:line="560" w:lineRule="exact"/>
        <w:ind w:firstLineChars="192" w:firstLine="578"/>
        <w:jc w:val="left"/>
        <w:rPr>
          <w:rFonts w:ascii="Times New Roman" w:eastAsia="黑体" w:hAnsi="Times New Roman"/>
          <w:b/>
          <w:color w:val="000000"/>
          <w:kern w:val="0"/>
          <w:sz w:val="30"/>
          <w:szCs w:val="30"/>
        </w:rPr>
      </w:pPr>
    </w:p>
    <w:p w:rsidR="00000000" w:rsidRDefault="00B15021">
      <w:pPr>
        <w:autoSpaceDE w:val="0"/>
        <w:autoSpaceDN w:val="0"/>
        <w:adjustRightInd w:val="0"/>
        <w:spacing w:line="560" w:lineRule="exact"/>
        <w:ind w:firstLineChars="192" w:firstLine="576"/>
        <w:jc w:val="left"/>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特此公告。</w:t>
      </w:r>
    </w:p>
    <w:p w:rsidR="00000000" w:rsidRDefault="00B15021">
      <w:pPr>
        <w:autoSpaceDE w:val="0"/>
        <w:autoSpaceDN w:val="0"/>
        <w:adjustRightInd w:val="0"/>
        <w:spacing w:line="560" w:lineRule="exact"/>
        <w:ind w:firstLineChars="192" w:firstLine="576"/>
        <w:jc w:val="left"/>
        <w:rPr>
          <w:rFonts w:ascii="Times New Roman" w:eastAsia="仿宋_GB2312" w:hAnsi="Times New Roman"/>
          <w:color w:val="000000"/>
          <w:kern w:val="0"/>
          <w:sz w:val="30"/>
          <w:szCs w:val="30"/>
        </w:rPr>
      </w:pPr>
    </w:p>
    <w:p w:rsidR="00000000" w:rsidRDefault="00B15021">
      <w:pPr>
        <w:autoSpaceDE w:val="0"/>
        <w:autoSpaceDN w:val="0"/>
        <w:adjustRightInd w:val="0"/>
        <w:spacing w:line="560" w:lineRule="exact"/>
        <w:jc w:val="right"/>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w:t>
      </w:r>
      <w:r>
        <w:rPr>
          <w:rFonts w:ascii="Times New Roman" w:eastAsia="仿宋_GB2312" w:hAnsi="Times New Roman"/>
          <w:color w:val="000000"/>
          <w:kern w:val="0"/>
          <w:sz w:val="30"/>
          <w:szCs w:val="30"/>
        </w:rPr>
        <w:t>股份有限公司董事会</w:t>
      </w:r>
    </w:p>
    <w:p w:rsidR="00000000" w:rsidRDefault="00B15021">
      <w:pPr>
        <w:spacing w:line="560" w:lineRule="exact"/>
        <w:jc w:val="right"/>
        <w:rPr>
          <w:rFonts w:ascii="Times New Roman" w:eastAsia="仿宋_GB2312" w:hAnsi="Times New Roman"/>
          <w:color w:val="000000"/>
          <w:kern w:val="0"/>
          <w:sz w:val="30"/>
          <w:szCs w:val="30"/>
        </w:rPr>
      </w:pPr>
      <w:r>
        <w:rPr>
          <w:rFonts w:ascii="Times New Roman" w:eastAsia="仿宋_GB2312" w:hAnsi="Times New Roman"/>
          <w:color w:val="000000"/>
          <w:kern w:val="0"/>
          <w:sz w:val="30"/>
          <w:szCs w:val="30"/>
        </w:rPr>
        <w:t xml:space="preserve"> </w:t>
      </w:r>
      <w:r>
        <w:rPr>
          <w:rFonts w:ascii="Times New Roman" w:eastAsia="仿宋_GB2312" w:hAnsi="Times New Roman"/>
          <w:color w:val="000000"/>
          <w:kern w:val="0"/>
          <w:sz w:val="30"/>
          <w:szCs w:val="30"/>
        </w:rPr>
        <w:t>年</w:t>
      </w:r>
      <w:r>
        <w:rPr>
          <w:rFonts w:ascii="Times New Roman" w:eastAsia="仿宋_GB2312" w:hAnsi="Times New Roman"/>
          <w:color w:val="000000"/>
          <w:kern w:val="0"/>
          <w:sz w:val="30"/>
          <w:szCs w:val="30"/>
        </w:rPr>
        <w:t xml:space="preserve">  </w:t>
      </w:r>
      <w:r>
        <w:rPr>
          <w:rFonts w:ascii="Times New Roman" w:eastAsia="仿宋_GB2312" w:hAnsi="Times New Roman"/>
          <w:color w:val="000000"/>
          <w:kern w:val="0"/>
          <w:sz w:val="30"/>
          <w:szCs w:val="30"/>
        </w:rPr>
        <w:t>月</w:t>
      </w:r>
      <w:r>
        <w:rPr>
          <w:rFonts w:ascii="Times New Roman" w:eastAsia="仿宋_GB2312" w:hAnsi="Times New Roman"/>
          <w:color w:val="000000"/>
          <w:kern w:val="0"/>
          <w:sz w:val="30"/>
          <w:szCs w:val="30"/>
        </w:rPr>
        <w:t xml:space="preserve">  </w:t>
      </w:r>
      <w:r>
        <w:rPr>
          <w:rFonts w:ascii="Times New Roman" w:eastAsia="仿宋_GB2312" w:hAnsi="Times New Roman"/>
          <w:color w:val="000000"/>
          <w:kern w:val="0"/>
          <w:sz w:val="30"/>
          <w:szCs w:val="30"/>
        </w:rPr>
        <w:t>日</w:t>
      </w:r>
    </w:p>
    <w:p w:rsidR="00000000" w:rsidRDefault="00B15021">
      <w:pPr>
        <w:spacing w:line="560" w:lineRule="exact"/>
        <w:jc w:val="right"/>
        <w:rPr>
          <w:rFonts w:ascii="Times New Roman" w:eastAsia="仿宋_GB2312" w:hAnsi="Times New Roman"/>
          <w:color w:val="000000"/>
          <w:kern w:val="0"/>
          <w:sz w:val="30"/>
          <w:szCs w:val="30"/>
        </w:rPr>
      </w:pPr>
    </w:p>
    <w:p w:rsidR="00000000" w:rsidRDefault="00B15021">
      <w:pPr>
        <w:autoSpaceDE w:val="0"/>
        <w:autoSpaceDN w:val="0"/>
        <w:adjustRightInd w:val="0"/>
        <w:spacing w:line="560" w:lineRule="exact"/>
        <w:ind w:firstLineChars="192" w:firstLine="576"/>
        <w:rPr>
          <w:rFonts w:ascii="Times New Roman" w:eastAsia="仿宋_GB2312" w:hAnsi="Times New Roman"/>
          <w:color w:val="000000"/>
          <w:kern w:val="0"/>
          <w:sz w:val="30"/>
          <w:szCs w:val="30"/>
        </w:rPr>
      </w:pPr>
    </w:p>
    <w:p w:rsidR="00000000" w:rsidRDefault="00B15021">
      <w:pPr>
        <w:autoSpaceDE w:val="0"/>
        <w:autoSpaceDN w:val="0"/>
        <w:adjustRightInd w:val="0"/>
        <w:spacing w:line="560" w:lineRule="exact"/>
        <w:ind w:firstLineChars="192" w:firstLine="576"/>
        <w:rPr>
          <w:rFonts w:ascii="Times New Roman" w:eastAsia="仿宋_GB2312" w:hAnsi="Times New Roman"/>
          <w:color w:val="000000"/>
          <w:kern w:val="0"/>
          <w:sz w:val="30"/>
          <w:szCs w:val="30"/>
        </w:rPr>
      </w:pPr>
    </w:p>
    <w:p w:rsidR="00000000" w:rsidRDefault="00B15021">
      <w:pPr>
        <w:spacing w:line="560" w:lineRule="exact"/>
        <w:ind w:firstLine="600"/>
        <w:rPr>
          <w:rFonts w:ascii="Times New Roman" w:eastAsia="仿宋_GB2312" w:hAnsi="Times New Roman"/>
          <w:color w:val="000000"/>
          <w:kern w:val="0"/>
          <w:sz w:val="30"/>
          <w:szCs w:val="30"/>
        </w:rPr>
      </w:pPr>
    </w:p>
    <w:sectPr w:rsidR="00000000">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B15021">
      <w:r>
        <w:separator/>
      </w:r>
    </w:p>
  </w:endnote>
  <w:endnote w:type="continuationSeparator" w:id="0">
    <w:p w:rsidR="00000000" w:rsidRDefault="00B1502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15021">
    <w:pPr>
      <w:pStyle w:val="a5"/>
      <w:jc w:val="center"/>
    </w:pPr>
    <w:r>
      <w:fldChar w:fldCharType="begin"/>
    </w:r>
    <w:r>
      <w:instrText xml:space="preserve"> PAGE   \* MERGEFORMAT </w:instrText>
    </w:r>
    <w:r>
      <w:fldChar w:fldCharType="separate"/>
    </w:r>
    <w:r w:rsidRPr="00B15021">
      <w:rPr>
        <w:noProof/>
        <w:lang w:val="zh-CN" w:eastAsia="zh-CN"/>
      </w:rPr>
      <w:t>7</w:t>
    </w:r>
    <w:r>
      <w:fldChar w:fldCharType="end"/>
    </w:r>
  </w:p>
  <w:p w:rsidR="00000000" w:rsidRDefault="00B1502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B15021">
      <w:r>
        <w:separator/>
      </w:r>
    </w:p>
  </w:footnote>
  <w:footnote w:type="continuationSeparator" w:id="0">
    <w:p w:rsidR="00000000" w:rsidRDefault="00B150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646B16"/>
    <w:multiLevelType w:val="multilevel"/>
    <w:tmpl w:val="74646B16"/>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512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F2ECD"/>
    <w:rsid w:val="00000558"/>
    <w:rsid w:val="00015209"/>
    <w:rsid w:val="00050A2E"/>
    <w:rsid w:val="000611AA"/>
    <w:rsid w:val="00073E68"/>
    <w:rsid w:val="00074F5A"/>
    <w:rsid w:val="0008051A"/>
    <w:rsid w:val="000C62E8"/>
    <w:rsid w:val="000C7DC1"/>
    <w:rsid w:val="000D6607"/>
    <w:rsid w:val="00113319"/>
    <w:rsid w:val="00126188"/>
    <w:rsid w:val="001368F4"/>
    <w:rsid w:val="00153E17"/>
    <w:rsid w:val="0016757D"/>
    <w:rsid w:val="001B691A"/>
    <w:rsid w:val="001C6112"/>
    <w:rsid w:val="00244842"/>
    <w:rsid w:val="00245B84"/>
    <w:rsid w:val="00255DF7"/>
    <w:rsid w:val="002858DE"/>
    <w:rsid w:val="002D04DE"/>
    <w:rsid w:val="002E7596"/>
    <w:rsid w:val="00310CBF"/>
    <w:rsid w:val="00313A26"/>
    <w:rsid w:val="00316D28"/>
    <w:rsid w:val="003452EC"/>
    <w:rsid w:val="00350930"/>
    <w:rsid w:val="003623DD"/>
    <w:rsid w:val="0036300C"/>
    <w:rsid w:val="0039459B"/>
    <w:rsid w:val="003A3D86"/>
    <w:rsid w:val="003B009D"/>
    <w:rsid w:val="003B43D4"/>
    <w:rsid w:val="003C28E9"/>
    <w:rsid w:val="003D71F2"/>
    <w:rsid w:val="003E1A4F"/>
    <w:rsid w:val="003E7E45"/>
    <w:rsid w:val="0040506E"/>
    <w:rsid w:val="00405E7E"/>
    <w:rsid w:val="00407D58"/>
    <w:rsid w:val="00412966"/>
    <w:rsid w:val="00421226"/>
    <w:rsid w:val="004477B3"/>
    <w:rsid w:val="004772D8"/>
    <w:rsid w:val="00493CEB"/>
    <w:rsid w:val="004C0A08"/>
    <w:rsid w:val="004D033F"/>
    <w:rsid w:val="004D32AD"/>
    <w:rsid w:val="004E413C"/>
    <w:rsid w:val="004F7D77"/>
    <w:rsid w:val="00526E74"/>
    <w:rsid w:val="0052717E"/>
    <w:rsid w:val="00551358"/>
    <w:rsid w:val="005737B2"/>
    <w:rsid w:val="005B1765"/>
    <w:rsid w:val="005C39BE"/>
    <w:rsid w:val="0060418E"/>
    <w:rsid w:val="00623893"/>
    <w:rsid w:val="00631267"/>
    <w:rsid w:val="00662F79"/>
    <w:rsid w:val="00673F67"/>
    <w:rsid w:val="006754DD"/>
    <w:rsid w:val="00697E68"/>
    <w:rsid w:val="006B45CE"/>
    <w:rsid w:val="006B5A54"/>
    <w:rsid w:val="006D310D"/>
    <w:rsid w:val="006E20EC"/>
    <w:rsid w:val="006F5B42"/>
    <w:rsid w:val="00701D2D"/>
    <w:rsid w:val="00731CBD"/>
    <w:rsid w:val="0073341C"/>
    <w:rsid w:val="00756DA7"/>
    <w:rsid w:val="00816D8E"/>
    <w:rsid w:val="00843C0F"/>
    <w:rsid w:val="00882537"/>
    <w:rsid w:val="008974A3"/>
    <w:rsid w:val="008B057A"/>
    <w:rsid w:val="008C619F"/>
    <w:rsid w:val="008D2CCC"/>
    <w:rsid w:val="008D39BA"/>
    <w:rsid w:val="008E2FF0"/>
    <w:rsid w:val="008E6693"/>
    <w:rsid w:val="0090569C"/>
    <w:rsid w:val="00915D71"/>
    <w:rsid w:val="00923410"/>
    <w:rsid w:val="009963DA"/>
    <w:rsid w:val="009B3DF7"/>
    <w:rsid w:val="009C0A83"/>
    <w:rsid w:val="009C586A"/>
    <w:rsid w:val="009E118E"/>
    <w:rsid w:val="009E5FE3"/>
    <w:rsid w:val="009E7D15"/>
    <w:rsid w:val="00A00AFD"/>
    <w:rsid w:val="00A22699"/>
    <w:rsid w:val="00A317FA"/>
    <w:rsid w:val="00A47BEC"/>
    <w:rsid w:val="00A63625"/>
    <w:rsid w:val="00A777A2"/>
    <w:rsid w:val="00A95655"/>
    <w:rsid w:val="00A960D8"/>
    <w:rsid w:val="00AA1DF6"/>
    <w:rsid w:val="00AC6182"/>
    <w:rsid w:val="00AE5C91"/>
    <w:rsid w:val="00B15021"/>
    <w:rsid w:val="00B24F2F"/>
    <w:rsid w:val="00B3338B"/>
    <w:rsid w:val="00B51670"/>
    <w:rsid w:val="00B73062"/>
    <w:rsid w:val="00BA5E76"/>
    <w:rsid w:val="00BD18BD"/>
    <w:rsid w:val="00BD67C8"/>
    <w:rsid w:val="00BE0D98"/>
    <w:rsid w:val="00BE5A1C"/>
    <w:rsid w:val="00BF2ECD"/>
    <w:rsid w:val="00C00D1A"/>
    <w:rsid w:val="00C02D29"/>
    <w:rsid w:val="00C0593C"/>
    <w:rsid w:val="00C21ED0"/>
    <w:rsid w:val="00C3040B"/>
    <w:rsid w:val="00C578DC"/>
    <w:rsid w:val="00CA4487"/>
    <w:rsid w:val="00CA457C"/>
    <w:rsid w:val="00CC7DAC"/>
    <w:rsid w:val="00CD0630"/>
    <w:rsid w:val="00D14999"/>
    <w:rsid w:val="00D24DC1"/>
    <w:rsid w:val="00D52F1D"/>
    <w:rsid w:val="00D60E0C"/>
    <w:rsid w:val="00D71B75"/>
    <w:rsid w:val="00DB7B8C"/>
    <w:rsid w:val="00DC0A81"/>
    <w:rsid w:val="00DD56BC"/>
    <w:rsid w:val="00DD5D73"/>
    <w:rsid w:val="00DD7E4B"/>
    <w:rsid w:val="00E216F6"/>
    <w:rsid w:val="00E37F6A"/>
    <w:rsid w:val="00E527D8"/>
    <w:rsid w:val="00EB2648"/>
    <w:rsid w:val="00F04F8F"/>
    <w:rsid w:val="00F1411D"/>
    <w:rsid w:val="00F2030F"/>
    <w:rsid w:val="00F25DEE"/>
    <w:rsid w:val="00F65B4E"/>
    <w:rsid w:val="00F726FB"/>
    <w:rsid w:val="00F82266"/>
    <w:rsid w:val="00F843E7"/>
    <w:rsid w:val="2F843483"/>
    <w:rsid w:val="34904ACE"/>
    <w:rsid w:val="371D7539"/>
    <w:rsid w:val="5F994866"/>
    <w:rsid w:val="73FDA7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qFormat="1"/>
    <w:lsdException w:name="footer" w:semiHidden="0" w:qFormat="1"/>
    <w:lsdException w:name="caption" w:uiPriority="35" w:qFormat="1"/>
    <w:lsdException w:name="annotation reference" w:semiHidden="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annotation subject" w:semiHidden="0"/>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pPr>
      <w:jc w:val="left"/>
    </w:pPr>
  </w:style>
  <w:style w:type="character" w:customStyle="1" w:styleId="Char">
    <w:name w:val="批注文字 Char"/>
    <w:link w:val="a3"/>
    <w:uiPriority w:val="99"/>
    <w:semiHidden/>
    <w:rPr>
      <w:rFonts w:ascii="Calibri" w:eastAsia="宋体" w:hAnsi="Calibri" w:cs="Times New Roman"/>
      <w:kern w:val="2"/>
      <w:sz w:val="21"/>
      <w:szCs w:val="22"/>
    </w:rPr>
  </w:style>
  <w:style w:type="paragraph" w:styleId="a4">
    <w:name w:val="Balloon Text"/>
    <w:basedOn w:val="a"/>
    <w:link w:val="Char0"/>
    <w:uiPriority w:val="99"/>
    <w:unhideWhenUsed/>
    <w:rPr>
      <w:sz w:val="18"/>
      <w:szCs w:val="18"/>
    </w:rPr>
  </w:style>
  <w:style w:type="character" w:customStyle="1" w:styleId="Char0">
    <w:name w:val="批注框文本 Char"/>
    <w:link w:val="a4"/>
    <w:uiPriority w:val="99"/>
    <w:semiHidden/>
    <w:rPr>
      <w:rFonts w:ascii="Calibri" w:eastAsia="宋体" w:hAnsi="Calibri" w:cs="Times New Roman"/>
      <w:kern w:val="2"/>
      <w:sz w:val="18"/>
      <w:szCs w:val="18"/>
    </w:rPr>
  </w:style>
  <w:style w:type="paragraph" w:styleId="a5">
    <w:name w:val="footer"/>
    <w:basedOn w:val="a"/>
    <w:link w:val="Char1"/>
    <w:uiPriority w:val="99"/>
    <w:unhideWhenUsed/>
    <w:qFormat/>
    <w:pPr>
      <w:tabs>
        <w:tab w:val="center" w:pos="4153"/>
        <w:tab w:val="right" w:pos="8306"/>
      </w:tabs>
      <w:snapToGrid w:val="0"/>
      <w:jc w:val="left"/>
    </w:pPr>
    <w:rPr>
      <w:kern w:val="0"/>
      <w:sz w:val="18"/>
      <w:szCs w:val="18"/>
    </w:rPr>
  </w:style>
  <w:style w:type="character" w:customStyle="1" w:styleId="Char1">
    <w:name w:val="页脚 Char"/>
    <w:link w:val="a5"/>
    <w:uiPriority w:val="99"/>
    <w:qFormat/>
    <w:rPr>
      <w:rFonts w:ascii="Calibri" w:eastAsia="宋体" w:hAnsi="Calibri" w:cs="Times New Roman"/>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kern w:val="0"/>
      <w:sz w:val="18"/>
      <w:szCs w:val="18"/>
    </w:rPr>
  </w:style>
  <w:style w:type="character" w:customStyle="1" w:styleId="Char2">
    <w:name w:val="页眉 Char"/>
    <w:link w:val="a6"/>
    <w:uiPriority w:val="99"/>
    <w:qFormat/>
    <w:rPr>
      <w:rFonts w:ascii="Calibri" w:eastAsia="宋体" w:hAnsi="Calibri" w:cs="Times New Roman"/>
      <w:sz w:val="18"/>
      <w:szCs w:val="18"/>
    </w:rPr>
  </w:style>
  <w:style w:type="paragraph" w:styleId="a7">
    <w:name w:val="annotation subject"/>
    <w:basedOn w:val="a3"/>
    <w:next w:val="a3"/>
    <w:link w:val="Char3"/>
    <w:uiPriority w:val="99"/>
    <w:unhideWhenUsed/>
    <w:rPr>
      <w:b/>
      <w:bCs/>
    </w:rPr>
  </w:style>
  <w:style w:type="character" w:customStyle="1" w:styleId="Char3">
    <w:name w:val="批注主题 Char"/>
    <w:link w:val="a7"/>
    <w:uiPriority w:val="99"/>
    <w:semiHidden/>
    <w:rPr>
      <w:rFonts w:ascii="Calibri" w:eastAsia="宋体" w:hAnsi="Calibri" w:cs="Times New Roman"/>
      <w:b/>
      <w:bCs/>
      <w:kern w:val="2"/>
      <w:sz w:val="21"/>
      <w:szCs w:val="22"/>
    </w:rPr>
  </w:style>
  <w:style w:type="character" w:styleId="a8">
    <w:name w:val="annotation reference"/>
    <w:uiPriority w:val="99"/>
    <w:unhideWhenUsed/>
    <w:rPr>
      <w:sz w:val="21"/>
      <w:szCs w:val="21"/>
    </w:rPr>
  </w:style>
  <w:style w:type="paragraph" w:styleId="a9">
    <w:name w:val="List Paragraph"/>
    <w:basedOn w:val="a"/>
    <w:uiPriority w:val="34"/>
    <w:qFormat/>
    <w:pPr>
      <w:ind w:firstLineChars="200" w:firstLine="420"/>
    </w:pPr>
  </w:style>
  <w:style w:type="paragraph" w:styleId="aa">
    <w:name w:val="Revision"/>
    <w:uiPriority w:val="99"/>
    <w:semiHidden/>
    <w:rPr>
      <w:kern w:val="2"/>
      <w:sz w:val="21"/>
      <w:szCs w:val="22"/>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544</Words>
  <Characters>3107</Characters>
  <Application>Microsoft Office Word</Application>
  <DocSecurity>0</DocSecurity>
  <Lines>25</Lines>
  <Paragraphs>7</Paragraphs>
  <ScaleCrop>false</ScaleCrop>
  <Company/>
  <LinksUpToDate>false</LinksUpToDate>
  <CharactersWithSpaces>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sse</dc:creator>
  <cp:lastModifiedBy>user</cp:lastModifiedBy>
  <cp:revision>2</cp:revision>
  <dcterms:created xsi:type="dcterms:W3CDTF">2025-11-07T07:07:00Z</dcterms:created>
  <dcterms:modified xsi:type="dcterms:W3CDTF">2025-11-07T07:07:00Z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8E6EB237F5CF4FD1930DA1A87C061005_13</vt:lpwstr>
  </property>
</Properties>
</file>