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6D5DEA">
      <w:pPr>
        <w:spacing w:line="560" w:lineRule="exact"/>
        <w:jc w:val="center"/>
        <w:rPr>
          <w:rFonts w:ascii="黑体" w:eastAsia="黑体" w:hAnsi="黑体"/>
          <w:b/>
          <w:bCs/>
          <w:sz w:val="36"/>
          <w:szCs w:val="36"/>
        </w:rPr>
      </w:pPr>
      <w:bookmarkStart w:id="0" w:name="_Toc340839637"/>
      <w:bookmarkStart w:id="1" w:name="_Toc330904153"/>
      <w:r>
        <w:rPr>
          <w:rFonts w:ascii="黑体" w:eastAsia="黑体" w:hAnsi="黑体" w:hint="eastAsia"/>
          <w:b/>
          <w:bCs/>
          <w:sz w:val="36"/>
          <w:szCs w:val="36"/>
        </w:rPr>
        <w:t>第九号</w:t>
      </w:r>
      <w:r>
        <w:rPr>
          <w:rFonts w:ascii="黑体" w:eastAsia="黑体" w:hAnsi="黑体" w:hint="eastAsia"/>
          <w:b/>
          <w:bCs/>
          <w:sz w:val="36"/>
          <w:szCs w:val="36"/>
        </w:rPr>
        <w:t xml:space="preserve"> </w:t>
      </w:r>
      <w:r>
        <w:rPr>
          <w:rFonts w:ascii="黑体" w:eastAsia="黑体" w:hAnsi="黑体" w:hint="eastAsia"/>
          <w:b/>
          <w:bCs/>
          <w:sz w:val="36"/>
          <w:szCs w:val="36"/>
        </w:rPr>
        <w:t>上市公司向特定对象发行股票结果</w:t>
      </w:r>
    </w:p>
    <w:p w:rsidR="00000000" w:rsidRDefault="006D5DEA">
      <w:pPr>
        <w:spacing w:line="560" w:lineRule="exact"/>
        <w:jc w:val="center"/>
        <w:rPr>
          <w:rFonts w:ascii="黑体" w:eastAsia="黑体" w:hAnsi="黑体"/>
          <w:b/>
          <w:bCs/>
          <w:sz w:val="36"/>
          <w:szCs w:val="36"/>
        </w:rPr>
      </w:pPr>
      <w:r>
        <w:rPr>
          <w:rFonts w:ascii="黑体" w:eastAsia="黑体" w:hAnsi="黑体" w:hint="eastAsia"/>
          <w:b/>
          <w:bCs/>
          <w:sz w:val="36"/>
          <w:szCs w:val="36"/>
        </w:rPr>
        <w:t>暨股本变动公告</w:t>
      </w:r>
      <w:bookmarkEnd w:id="0"/>
      <w:bookmarkEnd w:id="1"/>
    </w:p>
    <w:p w:rsidR="00000000" w:rsidRDefault="006D5DEA">
      <w:pPr>
        <w:spacing w:line="560" w:lineRule="exact"/>
        <w:jc w:val="center"/>
        <w:rPr>
          <w:rFonts w:ascii="黑体" w:eastAsia="黑体" w:hAnsi="黑体" w:hint="eastAsia"/>
          <w:b/>
          <w:bCs/>
          <w:sz w:val="36"/>
          <w:szCs w:val="36"/>
        </w:rPr>
      </w:pPr>
    </w:p>
    <w:p w:rsidR="00000000" w:rsidRDefault="006D5DEA">
      <w:pPr>
        <w:adjustRightInd w:val="0"/>
        <w:snapToGrid w:val="0"/>
        <w:spacing w:line="560" w:lineRule="exact"/>
        <w:rPr>
          <w:rFonts w:ascii="仿宋" w:eastAsia="仿宋_GB2312" w:hAnsi="仿宋"/>
          <w:b/>
          <w:bCs/>
          <w:sz w:val="30"/>
          <w:szCs w:val="30"/>
        </w:rPr>
      </w:pPr>
      <w:r>
        <w:rPr>
          <w:rFonts w:ascii="仿宋" w:eastAsia="仿宋_GB2312" w:hAnsi="仿宋" w:hint="eastAsia"/>
          <w:b/>
          <w:bCs/>
          <w:sz w:val="30"/>
          <w:szCs w:val="30"/>
        </w:rPr>
        <w:t>适用情形：</w:t>
      </w:r>
    </w:p>
    <w:p w:rsidR="00000000" w:rsidRDefault="006D5DEA">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本公告格式适用于上市公司完成向特定对象发行股票、新增股份登记手续后，披露向特定对象发行股票结果暨股本变动事项。</w:t>
      </w:r>
    </w:p>
    <w:p w:rsidR="00000000" w:rsidRDefault="006D5DEA">
      <w:pPr>
        <w:autoSpaceDE w:val="0"/>
        <w:autoSpaceDN w:val="0"/>
        <w:adjustRightInd w:val="0"/>
        <w:snapToGrid w:val="0"/>
        <w:spacing w:line="560" w:lineRule="exact"/>
        <w:rPr>
          <w:rFonts w:ascii="仿宋" w:eastAsia="仿宋_GB2312" w:hAnsi="仿宋"/>
          <w:sz w:val="30"/>
          <w:szCs w:val="30"/>
        </w:rPr>
      </w:pPr>
    </w:p>
    <w:p w:rsidR="00000000" w:rsidRDefault="006D5DEA">
      <w:pPr>
        <w:adjustRightInd w:val="0"/>
        <w:snapToGrid w:val="0"/>
        <w:spacing w:line="560" w:lineRule="exact"/>
        <w:jc w:val="left"/>
        <w:rPr>
          <w:rFonts w:ascii="仿宋" w:eastAsia="仿宋_GB2312" w:hAnsi="仿宋"/>
          <w:sz w:val="30"/>
          <w:szCs w:val="30"/>
        </w:rPr>
      </w:pPr>
      <w:r>
        <w:rPr>
          <w:rFonts w:ascii="仿宋" w:eastAsia="仿宋_GB2312" w:hAnsi="仿宋" w:hint="eastAsia"/>
          <w:sz w:val="30"/>
          <w:szCs w:val="30"/>
        </w:rPr>
        <w:t>证券代码：</w:t>
      </w:r>
      <w:r>
        <w:rPr>
          <w:rFonts w:ascii="仿宋" w:eastAsia="仿宋_GB2312" w:hAnsi="仿宋"/>
          <w:sz w:val="30"/>
          <w:szCs w:val="30"/>
        </w:rPr>
        <w:t xml:space="preserve">             </w:t>
      </w:r>
      <w:r>
        <w:rPr>
          <w:rFonts w:ascii="仿宋" w:eastAsia="仿宋_GB2312" w:hAnsi="仿宋" w:hint="eastAsia"/>
          <w:sz w:val="30"/>
          <w:szCs w:val="30"/>
        </w:rPr>
        <w:t>证券简称：</w:t>
      </w:r>
      <w:r>
        <w:rPr>
          <w:rFonts w:ascii="仿宋" w:eastAsia="仿宋_GB2312" w:hAnsi="仿宋"/>
          <w:sz w:val="30"/>
          <w:szCs w:val="30"/>
        </w:rPr>
        <w:t xml:space="preserve">            </w:t>
      </w:r>
      <w:r>
        <w:rPr>
          <w:rFonts w:ascii="仿宋" w:eastAsia="仿宋_GB2312" w:hAnsi="仿宋" w:hint="eastAsia"/>
          <w:sz w:val="30"/>
          <w:szCs w:val="30"/>
        </w:rPr>
        <w:t>公告编号：</w:t>
      </w:r>
    </w:p>
    <w:p w:rsidR="00000000" w:rsidRDefault="006D5DEA">
      <w:pPr>
        <w:autoSpaceDE w:val="0"/>
        <w:autoSpaceDN w:val="0"/>
        <w:adjustRightInd w:val="0"/>
        <w:snapToGrid w:val="0"/>
        <w:spacing w:line="560" w:lineRule="exact"/>
        <w:jc w:val="center"/>
        <w:rPr>
          <w:rFonts w:ascii="宋体" w:hAnsi="宋体"/>
          <w:sz w:val="24"/>
        </w:rPr>
      </w:pPr>
    </w:p>
    <w:p w:rsidR="00000000" w:rsidRDefault="006D5DEA">
      <w:pPr>
        <w:adjustRightInd w:val="0"/>
        <w:snapToGrid w:val="0"/>
        <w:spacing w:line="560" w:lineRule="exact"/>
        <w:jc w:val="center"/>
        <w:rPr>
          <w:rFonts w:ascii="仿宋" w:eastAsia="仿宋_GB2312" w:hAnsi="仿宋"/>
          <w:sz w:val="30"/>
          <w:szCs w:val="30"/>
        </w:rPr>
      </w:pPr>
      <w:r>
        <w:rPr>
          <w:rFonts w:ascii="仿宋" w:eastAsia="仿宋_GB2312" w:hAnsi="仿宋" w:hint="eastAsia"/>
          <w:sz w:val="30"/>
          <w:szCs w:val="30"/>
        </w:rPr>
        <w:t>XXXX</w:t>
      </w:r>
      <w:r>
        <w:rPr>
          <w:rFonts w:ascii="仿宋" w:eastAsia="仿宋_GB2312" w:hAnsi="仿宋" w:hint="eastAsia"/>
          <w:sz w:val="30"/>
          <w:szCs w:val="30"/>
        </w:rPr>
        <w:t>股份有限公司向特定对象发行股票结果暨股本变动公告</w:t>
      </w:r>
    </w:p>
    <w:p w:rsidR="00000000" w:rsidRDefault="006D5DEA">
      <w:pPr>
        <w:adjustRightInd w:val="0"/>
        <w:snapToGrid w:val="0"/>
        <w:spacing w:line="560" w:lineRule="exact"/>
        <w:jc w:val="center"/>
        <w:rPr>
          <w:rFonts w:ascii="仿宋" w:eastAsia="仿宋_GB2312" w:hAnsi="仿宋"/>
          <w:sz w:val="30"/>
          <w:szCs w:val="30"/>
        </w:rPr>
      </w:pPr>
    </w:p>
    <w:p w:rsidR="00000000" w:rsidRDefault="006D5DEA">
      <w:pPr>
        <w:pBdr>
          <w:top w:val="single" w:sz="4" w:space="1" w:color="auto"/>
          <w:left w:val="single" w:sz="4" w:space="4" w:color="auto"/>
          <w:bottom w:val="single" w:sz="4" w:space="1" w:color="auto"/>
          <w:right w:val="single" w:sz="4" w:space="4" w:color="auto"/>
        </w:pBdr>
        <w:adjustRightInd w:val="0"/>
        <w:snapToGrid w:val="0"/>
        <w:spacing w:line="560" w:lineRule="exact"/>
        <w:rPr>
          <w:rFonts w:ascii="仿宋" w:eastAsia="仿宋_GB2312" w:hAnsi="仿宋"/>
          <w:sz w:val="30"/>
          <w:szCs w:val="30"/>
        </w:rPr>
      </w:pPr>
      <w:r>
        <w:rPr>
          <w:rFonts w:ascii="仿宋" w:eastAsia="仿宋_GB2312" w:hAnsi="仿宋" w:hint="eastAsia"/>
          <w:sz w:val="30"/>
          <w:szCs w:val="30"/>
        </w:rPr>
        <w:t xml:space="preserve">    </w:t>
      </w:r>
      <w:r>
        <w:rPr>
          <w:rFonts w:ascii="仿宋" w:eastAsia="仿宋_GB2312" w:hAnsi="仿宋" w:hint="eastAsia"/>
          <w:sz w:val="30"/>
          <w:szCs w:val="30"/>
        </w:rPr>
        <w:t>本公司董事会及全体董事保证本公告内容不存在任何虚假记载、误导性陈述或者重大遗漏，并对其内容的真实性、准确性和完整性承担法律责任。</w:t>
      </w:r>
    </w:p>
    <w:p w:rsidR="00000000" w:rsidRDefault="006D5DEA">
      <w:pPr>
        <w:pBdr>
          <w:top w:val="single" w:sz="4" w:space="1" w:color="auto"/>
          <w:left w:val="single" w:sz="4" w:space="4" w:color="auto"/>
          <w:bottom w:val="single" w:sz="4" w:space="1" w:color="auto"/>
          <w:right w:val="single" w:sz="4" w:space="4" w:color="auto"/>
        </w:pBdr>
        <w:adjustRightInd w:val="0"/>
        <w:snapToGrid w:val="0"/>
        <w:spacing w:line="560" w:lineRule="exact"/>
        <w:rPr>
          <w:rFonts w:ascii="仿宋" w:eastAsia="仿宋_GB2312" w:hAnsi="仿宋"/>
          <w:sz w:val="30"/>
          <w:szCs w:val="30"/>
        </w:rPr>
      </w:pPr>
      <w:r>
        <w:rPr>
          <w:rFonts w:ascii="仿宋" w:eastAsia="仿宋_GB2312" w:hAnsi="仿宋" w:hint="eastAsia"/>
          <w:sz w:val="30"/>
          <w:szCs w:val="30"/>
        </w:rPr>
        <w:t xml:space="preserve">    </w:t>
      </w:r>
      <w:r>
        <w:rPr>
          <w:rFonts w:ascii="仿宋" w:eastAsia="仿宋_GB2312" w:hAnsi="仿宋" w:hint="eastAsia"/>
          <w:sz w:val="30"/>
          <w:szCs w:val="30"/>
        </w:rPr>
        <w:t>如有董事对临时公告内容的真实性、准确性</w:t>
      </w:r>
      <w:r>
        <w:rPr>
          <w:rFonts w:ascii="仿宋" w:eastAsia="仿宋_GB2312" w:hAnsi="仿宋" w:hint="eastAsia"/>
          <w:sz w:val="30"/>
          <w:szCs w:val="30"/>
        </w:rPr>
        <w:t>和完整性无法保证或存在异议的，公司应当在公告中作特别提示。</w:t>
      </w:r>
    </w:p>
    <w:p w:rsidR="00000000" w:rsidRDefault="006D5DEA">
      <w:pPr>
        <w:adjustRightInd w:val="0"/>
        <w:snapToGrid w:val="0"/>
        <w:spacing w:line="560" w:lineRule="exact"/>
        <w:ind w:firstLineChars="200" w:firstLine="480"/>
        <w:rPr>
          <w:rFonts w:ascii="宋体" w:hAnsi="宋体" w:cs="Arial Unicode MS"/>
          <w:sz w:val="24"/>
        </w:rPr>
      </w:pPr>
    </w:p>
    <w:p w:rsidR="00000000" w:rsidRDefault="006D5DEA" w:rsidP="006D5DEA">
      <w:pPr>
        <w:adjustRightInd w:val="0"/>
        <w:snapToGrid w:val="0"/>
        <w:spacing w:line="560" w:lineRule="exact"/>
        <w:ind w:firstLineChars="200" w:firstLine="600"/>
        <w:rPr>
          <w:rFonts w:ascii="仿宋" w:eastAsia="仿宋_GB2312" w:hAnsi="仿宋"/>
          <w:b/>
          <w:bCs/>
          <w:sz w:val="30"/>
          <w:szCs w:val="30"/>
        </w:rPr>
        <w:pPrChange w:id="2" w:author="user" w:date="2025-11-07T15:08:00Z">
          <w:pPr>
            <w:adjustRightInd w:val="0"/>
            <w:snapToGrid w:val="0"/>
            <w:spacing w:line="560" w:lineRule="exact"/>
            <w:ind w:firstLineChars="200" w:firstLine="600"/>
          </w:pPr>
        </w:pPrChange>
      </w:pPr>
      <w:r>
        <w:rPr>
          <w:rFonts w:ascii="仿宋" w:eastAsia="仿宋_GB2312" w:hAnsi="仿宋" w:hint="eastAsia"/>
          <w:b/>
          <w:bCs/>
          <w:sz w:val="30"/>
          <w:szCs w:val="30"/>
        </w:rPr>
        <w:t>重要内容提示</w:t>
      </w:r>
      <w:r>
        <w:rPr>
          <w:rFonts w:ascii="仿宋" w:eastAsia="仿宋_GB2312" w:hAnsi="仿宋" w:hint="eastAsia"/>
          <w:b/>
          <w:bCs/>
          <w:sz w:val="30"/>
          <w:szCs w:val="30"/>
        </w:rPr>
        <w:t>:</w:t>
      </w:r>
    </w:p>
    <w:p w:rsidR="00000000" w:rsidRDefault="006D5DEA">
      <w:pPr>
        <w:numPr>
          <w:ilvl w:val="0"/>
          <w:numId w:val="1"/>
        </w:numPr>
        <w:tabs>
          <w:tab w:val="left" w:pos="980"/>
        </w:tabs>
        <w:adjustRightInd w:val="0"/>
        <w:snapToGrid w:val="0"/>
        <w:spacing w:line="560" w:lineRule="exact"/>
        <w:ind w:left="0" w:firstLineChars="200" w:firstLine="600"/>
        <w:rPr>
          <w:rFonts w:ascii="仿宋" w:eastAsia="仿宋_GB2312" w:hAnsi="仿宋"/>
          <w:sz w:val="30"/>
          <w:szCs w:val="30"/>
        </w:rPr>
      </w:pPr>
      <w:r>
        <w:rPr>
          <w:rFonts w:ascii="仿宋" w:eastAsia="仿宋_GB2312" w:hAnsi="仿宋" w:hint="eastAsia"/>
          <w:sz w:val="30"/>
          <w:szCs w:val="30"/>
        </w:rPr>
        <w:t>发行数量和价格</w:t>
      </w:r>
    </w:p>
    <w:p w:rsidR="00000000" w:rsidRDefault="006D5DEA">
      <w:pPr>
        <w:numPr>
          <w:ilvl w:val="0"/>
          <w:numId w:val="1"/>
        </w:numPr>
        <w:tabs>
          <w:tab w:val="left" w:pos="980"/>
        </w:tabs>
        <w:adjustRightInd w:val="0"/>
        <w:snapToGrid w:val="0"/>
        <w:spacing w:line="560" w:lineRule="exact"/>
        <w:ind w:left="0" w:firstLineChars="200" w:firstLine="600"/>
        <w:rPr>
          <w:rFonts w:ascii="仿宋" w:eastAsia="仿宋_GB2312" w:hAnsi="仿宋"/>
          <w:sz w:val="30"/>
          <w:szCs w:val="30"/>
        </w:rPr>
      </w:pPr>
      <w:r>
        <w:rPr>
          <w:rFonts w:ascii="仿宋" w:eastAsia="仿宋_GB2312" w:hAnsi="仿宋" w:hint="eastAsia"/>
          <w:sz w:val="30"/>
          <w:szCs w:val="30"/>
        </w:rPr>
        <w:t>预计上市时间</w:t>
      </w:r>
    </w:p>
    <w:p w:rsidR="00000000" w:rsidRDefault="006D5DEA">
      <w:pPr>
        <w:numPr>
          <w:ilvl w:val="0"/>
          <w:numId w:val="1"/>
        </w:numPr>
        <w:tabs>
          <w:tab w:val="left" w:pos="980"/>
        </w:tabs>
        <w:adjustRightInd w:val="0"/>
        <w:snapToGrid w:val="0"/>
        <w:spacing w:line="560" w:lineRule="exact"/>
        <w:ind w:left="0" w:firstLineChars="200" w:firstLine="600"/>
        <w:rPr>
          <w:rFonts w:ascii="仿宋" w:eastAsia="仿宋_GB2312" w:hAnsi="仿宋"/>
          <w:sz w:val="30"/>
          <w:szCs w:val="30"/>
        </w:rPr>
      </w:pPr>
      <w:r>
        <w:rPr>
          <w:rFonts w:ascii="仿宋" w:eastAsia="仿宋_GB2312" w:hAnsi="仿宋" w:hint="eastAsia"/>
          <w:sz w:val="30"/>
          <w:szCs w:val="30"/>
        </w:rPr>
        <w:t>资产过户情况</w:t>
      </w:r>
    </w:p>
    <w:p w:rsidR="00000000" w:rsidRDefault="006D5DEA">
      <w:pPr>
        <w:adjustRightInd w:val="0"/>
        <w:snapToGrid w:val="0"/>
        <w:spacing w:line="560" w:lineRule="exact"/>
        <w:rPr>
          <w:rFonts w:ascii="宋体" w:hAnsi="宋体" w:cs="Arial Unicode MS"/>
          <w:sz w:val="24"/>
        </w:rPr>
      </w:pPr>
    </w:p>
    <w:p w:rsidR="00000000" w:rsidRDefault="006D5DEA">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一、本次发行概况</w:t>
      </w:r>
    </w:p>
    <w:p w:rsidR="00000000" w:rsidRDefault="006D5DEA">
      <w:pPr>
        <w:numPr>
          <w:ilvl w:val="1"/>
          <w:numId w:val="1"/>
        </w:numPr>
        <w:tabs>
          <w:tab w:val="clear" w:pos="1400"/>
          <w:tab w:val="left" w:pos="1080"/>
        </w:tabs>
        <w:adjustRightInd w:val="0"/>
        <w:snapToGrid w:val="0"/>
        <w:spacing w:line="560" w:lineRule="exact"/>
        <w:ind w:left="0" w:firstLine="540"/>
        <w:rPr>
          <w:rFonts w:ascii="仿宋" w:eastAsia="仿宋_GB2312" w:hAnsi="仿宋"/>
          <w:sz w:val="30"/>
          <w:szCs w:val="30"/>
        </w:rPr>
      </w:pPr>
      <w:r>
        <w:rPr>
          <w:rFonts w:ascii="仿宋" w:eastAsia="仿宋_GB2312" w:hAnsi="仿宋" w:hint="eastAsia"/>
          <w:sz w:val="30"/>
          <w:szCs w:val="30"/>
        </w:rPr>
        <w:lastRenderedPageBreak/>
        <w:t>本次发行的内部决策程序、</w:t>
      </w:r>
      <w:r>
        <w:rPr>
          <w:rFonts w:ascii="仿宋_GB2312" w:eastAsia="仿宋_GB2312" w:hAnsi="仿宋_GB2312" w:cs="仿宋_GB2312" w:hint="eastAsia"/>
          <w:sz w:val="30"/>
          <w:szCs w:val="30"/>
        </w:rPr>
        <w:t>中国证监会同意注册的决定及文号</w:t>
      </w:r>
      <w:r>
        <w:rPr>
          <w:rFonts w:ascii="仿宋" w:eastAsia="仿宋_GB2312" w:hAnsi="仿宋" w:hint="eastAsia"/>
          <w:sz w:val="30"/>
          <w:szCs w:val="30"/>
        </w:rPr>
        <w:t>；</w:t>
      </w:r>
    </w:p>
    <w:p w:rsidR="00000000" w:rsidRDefault="006D5DEA">
      <w:pPr>
        <w:numPr>
          <w:ilvl w:val="1"/>
          <w:numId w:val="1"/>
        </w:numPr>
        <w:tabs>
          <w:tab w:val="clear" w:pos="1400"/>
          <w:tab w:val="left" w:pos="1080"/>
        </w:tabs>
        <w:adjustRightInd w:val="0"/>
        <w:snapToGrid w:val="0"/>
        <w:spacing w:line="560" w:lineRule="exact"/>
        <w:ind w:left="0" w:firstLine="540"/>
        <w:rPr>
          <w:rFonts w:ascii="仿宋" w:eastAsia="仿宋_GB2312" w:hAnsi="仿宋"/>
          <w:sz w:val="30"/>
          <w:szCs w:val="30"/>
        </w:rPr>
      </w:pPr>
      <w:r>
        <w:rPr>
          <w:rFonts w:ascii="仿宋" w:eastAsia="仿宋_GB2312" w:hAnsi="仿宋" w:hint="eastAsia"/>
          <w:sz w:val="30"/>
          <w:szCs w:val="30"/>
        </w:rPr>
        <w:t>本次发行情况，包括发行股票的种类、数量、价格、募集资金金额、发行费用、保荐机构等；</w:t>
      </w:r>
    </w:p>
    <w:p w:rsidR="00000000" w:rsidRDefault="006D5DEA">
      <w:pPr>
        <w:numPr>
          <w:ilvl w:val="1"/>
          <w:numId w:val="1"/>
        </w:numPr>
        <w:tabs>
          <w:tab w:val="clear" w:pos="1400"/>
          <w:tab w:val="left" w:pos="1080"/>
        </w:tabs>
        <w:adjustRightInd w:val="0"/>
        <w:snapToGrid w:val="0"/>
        <w:spacing w:line="560" w:lineRule="exact"/>
        <w:ind w:left="0" w:firstLine="540"/>
        <w:rPr>
          <w:rFonts w:ascii="仿宋" w:eastAsia="仿宋_GB2312" w:hAnsi="仿宋"/>
          <w:sz w:val="30"/>
          <w:szCs w:val="30"/>
        </w:rPr>
      </w:pPr>
      <w:r>
        <w:rPr>
          <w:rFonts w:ascii="仿宋" w:eastAsia="仿宋_GB2312" w:hAnsi="仿宋" w:hint="eastAsia"/>
          <w:sz w:val="30"/>
          <w:szCs w:val="30"/>
        </w:rPr>
        <w:t>募集资金验资和股份登记情况，注册会计师出具的专项验资报告的结论性意见；</w:t>
      </w:r>
    </w:p>
    <w:p w:rsidR="00000000" w:rsidRDefault="006D5DEA">
      <w:pPr>
        <w:numPr>
          <w:ilvl w:val="1"/>
          <w:numId w:val="1"/>
        </w:numPr>
        <w:tabs>
          <w:tab w:val="clear" w:pos="1400"/>
          <w:tab w:val="left" w:pos="1080"/>
        </w:tabs>
        <w:adjustRightInd w:val="0"/>
        <w:snapToGrid w:val="0"/>
        <w:spacing w:line="560" w:lineRule="exact"/>
        <w:ind w:left="0" w:firstLine="540"/>
        <w:rPr>
          <w:rFonts w:ascii="仿宋" w:eastAsia="仿宋_GB2312" w:hAnsi="仿宋"/>
          <w:sz w:val="30"/>
          <w:szCs w:val="30"/>
        </w:rPr>
      </w:pPr>
      <w:r>
        <w:rPr>
          <w:rFonts w:ascii="仿宋" w:eastAsia="仿宋_GB2312" w:hAnsi="仿宋" w:hint="eastAsia"/>
          <w:sz w:val="30"/>
          <w:szCs w:val="30"/>
        </w:rPr>
        <w:t>资产过户情况（涉及资产认购）；</w:t>
      </w:r>
    </w:p>
    <w:p w:rsidR="00000000" w:rsidRDefault="006D5DEA">
      <w:pPr>
        <w:numPr>
          <w:ilvl w:val="1"/>
          <w:numId w:val="1"/>
        </w:numPr>
        <w:tabs>
          <w:tab w:val="clear" w:pos="1400"/>
          <w:tab w:val="left" w:pos="1080"/>
        </w:tabs>
        <w:adjustRightInd w:val="0"/>
        <w:snapToGrid w:val="0"/>
        <w:spacing w:line="560" w:lineRule="exact"/>
        <w:ind w:left="0" w:firstLine="540"/>
        <w:rPr>
          <w:rFonts w:ascii="仿宋" w:eastAsia="仿宋_GB2312" w:hAnsi="仿宋"/>
          <w:sz w:val="30"/>
          <w:szCs w:val="30"/>
        </w:rPr>
      </w:pPr>
      <w:r>
        <w:rPr>
          <w:rFonts w:ascii="仿宋" w:eastAsia="仿宋_GB2312" w:hAnsi="仿宋" w:hint="eastAsia"/>
          <w:sz w:val="30"/>
          <w:szCs w:val="30"/>
        </w:rPr>
        <w:t>保荐人和律师事务所关于本次向特定对象发行过程和认购对象合规性的结论意见。</w:t>
      </w:r>
    </w:p>
    <w:p w:rsidR="00000000" w:rsidRDefault="006D5DEA">
      <w:pPr>
        <w:adjustRightInd w:val="0"/>
        <w:snapToGrid w:val="0"/>
        <w:spacing w:line="560" w:lineRule="exact"/>
        <w:ind w:firstLineChars="200" w:firstLine="600"/>
        <w:rPr>
          <w:rFonts w:ascii="黑体" w:eastAsia="黑体" w:hAnsi="黑体"/>
          <w:sz w:val="30"/>
          <w:szCs w:val="30"/>
        </w:rPr>
      </w:pPr>
    </w:p>
    <w:p w:rsidR="00000000" w:rsidRDefault="006D5DEA">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二、发行结果及对象简介</w:t>
      </w:r>
    </w:p>
    <w:p w:rsidR="00000000" w:rsidRDefault="006D5DEA">
      <w:pPr>
        <w:numPr>
          <w:ilvl w:val="0"/>
          <w:numId w:val="2"/>
        </w:numPr>
        <w:tabs>
          <w:tab w:val="clear" w:pos="980"/>
        </w:tabs>
        <w:adjustRightInd w:val="0"/>
        <w:snapToGrid w:val="0"/>
        <w:spacing w:line="560" w:lineRule="exact"/>
        <w:ind w:left="0" w:firstLine="540"/>
        <w:rPr>
          <w:rFonts w:ascii="仿宋" w:eastAsia="仿宋_GB2312" w:hAnsi="仿宋"/>
          <w:sz w:val="30"/>
          <w:szCs w:val="30"/>
        </w:rPr>
      </w:pPr>
      <w:r>
        <w:rPr>
          <w:rFonts w:ascii="仿宋" w:eastAsia="仿宋_GB2312" w:hAnsi="仿宋" w:hint="eastAsia"/>
          <w:sz w:val="30"/>
          <w:szCs w:val="30"/>
        </w:rPr>
        <w:t>发行结果，包括本次股票发</w:t>
      </w:r>
      <w:r>
        <w:rPr>
          <w:rFonts w:ascii="仿宋" w:eastAsia="仿宋_GB2312" w:hAnsi="仿宋" w:hint="eastAsia"/>
          <w:sz w:val="30"/>
          <w:szCs w:val="30"/>
        </w:rPr>
        <w:t>行的对象、各机构认购的数量、认购股份的限售期、认购股份预计上市时间等。</w:t>
      </w:r>
    </w:p>
    <w:p w:rsidR="00000000" w:rsidRDefault="006D5DEA">
      <w:pPr>
        <w:numPr>
          <w:ilvl w:val="0"/>
          <w:numId w:val="2"/>
        </w:numPr>
        <w:tabs>
          <w:tab w:val="clear" w:pos="980"/>
        </w:tabs>
        <w:adjustRightInd w:val="0"/>
        <w:snapToGrid w:val="0"/>
        <w:spacing w:line="560" w:lineRule="exact"/>
        <w:ind w:left="0" w:firstLine="540"/>
        <w:rPr>
          <w:rFonts w:ascii="仿宋" w:eastAsia="仿宋_GB2312" w:hAnsi="仿宋"/>
          <w:sz w:val="30"/>
          <w:szCs w:val="30"/>
        </w:rPr>
      </w:pPr>
      <w:r>
        <w:rPr>
          <w:rFonts w:ascii="仿宋" w:eastAsia="仿宋_GB2312" w:hAnsi="仿宋" w:hint="eastAsia"/>
          <w:sz w:val="30"/>
          <w:szCs w:val="30"/>
        </w:rPr>
        <w:t>发行对象情况，包括发行对象的名称、注册地址、注册资本、法定代表人、经营范围、是否与公司存在关联关系、业务联系等。</w:t>
      </w:r>
    </w:p>
    <w:p w:rsidR="00000000" w:rsidRDefault="006D5DEA">
      <w:pPr>
        <w:adjustRightInd w:val="0"/>
        <w:snapToGrid w:val="0"/>
        <w:spacing w:line="560" w:lineRule="exact"/>
        <w:ind w:left="540"/>
        <w:rPr>
          <w:rFonts w:ascii="仿宋" w:eastAsia="仿宋_GB2312" w:hAnsi="仿宋" w:hint="eastAsia"/>
          <w:sz w:val="30"/>
          <w:szCs w:val="30"/>
        </w:rPr>
      </w:pPr>
    </w:p>
    <w:p w:rsidR="00000000" w:rsidRDefault="006D5DEA">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三、本次发行前后公司前</w:t>
      </w:r>
      <w:r>
        <w:rPr>
          <w:rFonts w:ascii="黑体" w:eastAsia="黑体" w:hAnsi="黑体" w:hint="eastAsia"/>
          <w:sz w:val="30"/>
          <w:szCs w:val="30"/>
        </w:rPr>
        <w:t>10</w:t>
      </w:r>
      <w:r>
        <w:rPr>
          <w:rFonts w:ascii="黑体" w:eastAsia="黑体" w:hAnsi="黑体" w:hint="eastAsia"/>
          <w:sz w:val="30"/>
          <w:szCs w:val="30"/>
        </w:rPr>
        <w:t>名股东、相关股东变化</w:t>
      </w:r>
    </w:p>
    <w:p w:rsidR="00000000" w:rsidRDefault="006D5DEA">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（一）本次发行前后公司前</w:t>
      </w:r>
      <w:r>
        <w:rPr>
          <w:rFonts w:ascii="仿宋" w:eastAsia="仿宋_GB2312" w:hAnsi="仿宋" w:hint="eastAsia"/>
          <w:sz w:val="30"/>
          <w:szCs w:val="30"/>
        </w:rPr>
        <w:t>10</w:t>
      </w:r>
      <w:r>
        <w:rPr>
          <w:rFonts w:ascii="仿宋" w:eastAsia="仿宋_GB2312" w:hAnsi="仿宋" w:hint="eastAsia"/>
          <w:sz w:val="30"/>
          <w:szCs w:val="30"/>
        </w:rPr>
        <w:t>名股东</w:t>
      </w:r>
      <w:r>
        <w:rPr>
          <w:rFonts w:ascii="仿宋" w:eastAsia="仿宋_GB2312" w:hAnsi="仿宋"/>
          <w:sz w:val="30"/>
          <w:szCs w:val="30"/>
        </w:rPr>
        <w:t>持股数量</w:t>
      </w:r>
      <w:r>
        <w:rPr>
          <w:rFonts w:ascii="仿宋" w:eastAsia="仿宋_GB2312" w:hAnsi="仿宋" w:hint="eastAsia"/>
          <w:sz w:val="30"/>
          <w:szCs w:val="30"/>
        </w:rPr>
        <w:t>和</w:t>
      </w:r>
      <w:r>
        <w:rPr>
          <w:rFonts w:ascii="仿宋" w:eastAsia="仿宋_GB2312" w:hAnsi="仿宋"/>
          <w:sz w:val="30"/>
          <w:szCs w:val="30"/>
        </w:rPr>
        <w:t>持股比例</w:t>
      </w:r>
      <w:r>
        <w:rPr>
          <w:rFonts w:ascii="仿宋" w:eastAsia="仿宋_GB2312" w:hAnsi="仿宋" w:hint="eastAsia"/>
          <w:sz w:val="30"/>
          <w:szCs w:val="30"/>
        </w:rPr>
        <w:t>变动</w:t>
      </w:r>
      <w:r>
        <w:rPr>
          <w:rFonts w:ascii="仿宋" w:eastAsia="仿宋_GB2312" w:hAnsi="仿宋"/>
          <w:sz w:val="30"/>
          <w:szCs w:val="30"/>
        </w:rPr>
        <w:t>情况</w:t>
      </w:r>
      <w:r>
        <w:rPr>
          <w:rFonts w:ascii="仿宋" w:eastAsia="仿宋_GB2312" w:hAnsi="仿宋" w:hint="eastAsia"/>
          <w:sz w:val="30"/>
          <w:szCs w:val="30"/>
        </w:rPr>
        <w:t>。说明本次发行是否导致公司控制权的变化。</w:t>
      </w:r>
    </w:p>
    <w:p w:rsidR="00000000" w:rsidRDefault="006D5DEA">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（二）本次发行前后公司相关股东持股变化（如适用）</w:t>
      </w:r>
    </w:p>
    <w:p w:rsidR="00000000" w:rsidRDefault="006D5DEA">
      <w:pPr>
        <w:adjustRightInd w:val="0"/>
        <w:snapToGrid w:val="0"/>
        <w:spacing w:line="560" w:lineRule="exact"/>
        <w:ind w:firstLineChars="200" w:firstLine="600"/>
        <w:rPr>
          <w:rFonts w:ascii="仿宋" w:eastAsia="仿宋_GB2312" w:hAnsi="仿宋"/>
          <w:bCs/>
          <w:sz w:val="30"/>
          <w:szCs w:val="30"/>
        </w:rPr>
      </w:pPr>
      <w:r>
        <w:rPr>
          <w:rFonts w:eastAsia="仿宋_GB2312" w:hint="eastAsia"/>
          <w:color w:val="000000"/>
          <w:sz w:val="30"/>
          <w:szCs w:val="30"/>
        </w:rPr>
        <w:t>上市公司股本变动，可能导致股东及其一致行动人拥有权益的股份比例触及或者跨越</w:t>
      </w:r>
      <w:r>
        <w:rPr>
          <w:rFonts w:eastAsia="仿宋_GB2312"/>
          <w:color w:val="000000"/>
          <w:sz w:val="30"/>
          <w:szCs w:val="30"/>
        </w:rPr>
        <w:t>5%</w:t>
      </w:r>
      <w:r>
        <w:rPr>
          <w:rFonts w:eastAsia="仿宋_GB2312" w:hint="eastAsia"/>
          <w:color w:val="000000"/>
          <w:sz w:val="30"/>
          <w:szCs w:val="30"/>
        </w:rPr>
        <w:t>及</w:t>
      </w:r>
      <w:r>
        <w:rPr>
          <w:rFonts w:eastAsia="仿宋_GB2312"/>
          <w:color w:val="000000"/>
          <w:sz w:val="30"/>
          <w:szCs w:val="30"/>
        </w:rPr>
        <w:t>5%</w:t>
      </w:r>
      <w:r>
        <w:rPr>
          <w:rFonts w:eastAsia="仿宋_GB2312" w:hint="eastAsia"/>
          <w:color w:val="000000"/>
          <w:sz w:val="30"/>
          <w:szCs w:val="30"/>
        </w:rPr>
        <w:t>的整数倍，或者导致持股</w:t>
      </w:r>
      <w:r>
        <w:rPr>
          <w:rFonts w:eastAsia="仿宋_GB2312"/>
          <w:color w:val="000000"/>
          <w:sz w:val="30"/>
          <w:szCs w:val="30"/>
        </w:rPr>
        <w:t>5%</w:t>
      </w:r>
      <w:r>
        <w:rPr>
          <w:rFonts w:eastAsia="仿宋_GB2312" w:hint="eastAsia"/>
          <w:color w:val="000000"/>
          <w:sz w:val="30"/>
          <w:szCs w:val="30"/>
        </w:rPr>
        <w:t>以上的股东及其</w:t>
      </w:r>
      <w:r>
        <w:rPr>
          <w:rFonts w:eastAsia="仿宋_GB2312" w:hint="eastAsia"/>
          <w:color w:val="000000"/>
          <w:sz w:val="30"/>
          <w:szCs w:val="30"/>
        </w:rPr>
        <w:t>一致行动人拥有权益的股份比例触及</w:t>
      </w:r>
      <w:r>
        <w:rPr>
          <w:rFonts w:eastAsia="仿宋_GB2312"/>
          <w:color w:val="000000"/>
          <w:sz w:val="30"/>
          <w:szCs w:val="30"/>
        </w:rPr>
        <w:t>1%</w:t>
      </w:r>
      <w:r>
        <w:rPr>
          <w:rFonts w:eastAsia="仿宋_GB2312" w:hint="eastAsia"/>
          <w:color w:val="000000"/>
          <w:sz w:val="30"/>
          <w:szCs w:val="30"/>
        </w:rPr>
        <w:t>的整数</w:t>
      </w:r>
      <w:r>
        <w:rPr>
          <w:rFonts w:eastAsia="仿宋_GB2312" w:hint="eastAsia"/>
          <w:color w:val="000000"/>
          <w:sz w:val="30"/>
          <w:szCs w:val="30"/>
        </w:rPr>
        <w:lastRenderedPageBreak/>
        <w:t>倍。存在前述情况，公司应当</w:t>
      </w:r>
      <w:r>
        <w:rPr>
          <w:rFonts w:ascii="仿宋" w:eastAsia="仿宋_GB2312" w:hAnsi="仿宋" w:hint="eastAsia"/>
          <w:bCs/>
          <w:sz w:val="30"/>
          <w:szCs w:val="30"/>
        </w:rPr>
        <w:t>列示发行前后，上述股东及其一致行动人的</w:t>
      </w:r>
      <w:r>
        <w:rPr>
          <w:rFonts w:ascii="仿宋" w:eastAsia="仿宋_GB2312" w:hAnsi="仿宋" w:hint="eastAsia"/>
          <w:sz w:val="30"/>
          <w:szCs w:val="30"/>
        </w:rPr>
        <w:t>持股数量和持股比例变动</w:t>
      </w:r>
      <w:r>
        <w:rPr>
          <w:rFonts w:ascii="仿宋" w:eastAsia="仿宋_GB2312" w:hAnsi="仿宋" w:hint="eastAsia"/>
          <w:bCs/>
          <w:sz w:val="30"/>
          <w:szCs w:val="30"/>
        </w:rPr>
        <w:t>情况。</w:t>
      </w:r>
    </w:p>
    <w:tbl>
      <w:tblP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tblPr>
      <w:tblGrid>
        <w:gridCol w:w="2830"/>
        <w:gridCol w:w="1418"/>
        <w:gridCol w:w="1417"/>
        <w:gridCol w:w="1248"/>
        <w:gridCol w:w="1403"/>
      </w:tblGrid>
      <w:tr w:rsidR="00000000">
        <w:tc>
          <w:tcPr>
            <w:tcW w:w="2830"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仿宋"/>
                <w:szCs w:val="21"/>
              </w:rPr>
            </w:pPr>
            <w:bookmarkStart w:id="3" w:name="_Hlk189844299"/>
            <w:bookmarkStart w:id="4" w:name="_Hlk189846806"/>
            <w:bookmarkStart w:id="5" w:name="OLE_LINK4"/>
            <w:r>
              <w:rPr>
                <w:rFonts w:ascii="仿宋_GB2312" w:eastAsia="仿宋_GB2312" w:hAnsi="仿宋" w:hint="eastAsia"/>
                <w:szCs w:val="21"/>
              </w:rPr>
              <w:t>股东名称</w:t>
            </w:r>
          </w:p>
        </w:tc>
        <w:tc>
          <w:tcPr>
            <w:tcW w:w="1418"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r>
              <w:rPr>
                <w:rFonts w:ascii="仿宋_GB2312" w:eastAsia="仿宋_GB2312" w:hAnsi="楷体" w:cs="楷体" w:hint="eastAsia"/>
                <w:szCs w:val="21"/>
              </w:rPr>
              <w:t>变动前持股数量（股）</w:t>
            </w:r>
          </w:p>
        </w:tc>
        <w:tc>
          <w:tcPr>
            <w:tcW w:w="1417"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r>
              <w:rPr>
                <w:rFonts w:ascii="仿宋_GB2312" w:eastAsia="仿宋_GB2312" w:hAnsi="楷体" w:cs="楷体" w:hint="eastAsia"/>
                <w:szCs w:val="21"/>
              </w:rPr>
              <w:t>变动前持股比例（</w:t>
            </w:r>
            <w:r>
              <w:rPr>
                <w:rFonts w:ascii="仿宋_GB2312" w:eastAsia="仿宋_GB2312" w:hAnsi="楷体" w:cs="楷体" w:hint="eastAsia"/>
                <w:szCs w:val="21"/>
              </w:rPr>
              <w:t>%</w:t>
            </w:r>
            <w:r>
              <w:rPr>
                <w:rFonts w:ascii="仿宋_GB2312" w:eastAsia="仿宋_GB2312" w:hAnsi="楷体" w:cs="楷体" w:hint="eastAsia"/>
                <w:szCs w:val="21"/>
              </w:rPr>
              <w:t>）</w:t>
            </w:r>
          </w:p>
        </w:tc>
        <w:tc>
          <w:tcPr>
            <w:tcW w:w="1248" w:type="dxa"/>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r>
              <w:rPr>
                <w:rFonts w:ascii="仿宋_GB2312" w:eastAsia="仿宋_GB2312" w:hAnsi="楷体" w:cs="楷体" w:hint="eastAsia"/>
                <w:szCs w:val="21"/>
              </w:rPr>
              <w:t>变动后持股数量（股）</w:t>
            </w:r>
          </w:p>
        </w:tc>
        <w:tc>
          <w:tcPr>
            <w:tcW w:w="0" w:type="auto"/>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r>
              <w:rPr>
                <w:rFonts w:ascii="仿宋_GB2312" w:eastAsia="仿宋_GB2312" w:hAnsi="楷体" w:cs="楷体" w:hint="eastAsia"/>
                <w:szCs w:val="21"/>
              </w:rPr>
              <w:t>变动后持股比例（</w:t>
            </w:r>
            <w:r>
              <w:rPr>
                <w:rFonts w:ascii="仿宋_GB2312" w:eastAsia="仿宋_GB2312" w:hAnsi="楷体" w:cs="楷体" w:hint="eastAsia"/>
                <w:szCs w:val="21"/>
              </w:rPr>
              <w:t>%</w:t>
            </w:r>
            <w:r>
              <w:rPr>
                <w:rFonts w:ascii="仿宋_GB2312" w:eastAsia="仿宋_GB2312" w:hAnsi="楷体" w:cs="楷体" w:hint="eastAsia"/>
                <w:szCs w:val="21"/>
              </w:rPr>
              <w:t>）</w:t>
            </w:r>
          </w:p>
        </w:tc>
      </w:tr>
      <w:bookmarkEnd w:id="3"/>
      <w:tr w:rsidR="00000000">
        <w:tc>
          <w:tcPr>
            <w:tcW w:w="2830"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rPr>
                <w:rFonts w:ascii="仿宋_GB2312" w:eastAsia="仿宋_GB2312" w:hAnsi="楷体" w:cs="楷体"/>
                <w:szCs w:val="21"/>
              </w:rPr>
            </w:pPr>
            <w:r>
              <w:rPr>
                <w:rFonts w:ascii="仿宋_GB2312" w:eastAsia="仿宋_GB2312" w:hAnsi="楷体" w:cs="楷体" w:hint="eastAsia"/>
                <w:szCs w:val="21"/>
              </w:rPr>
              <w:t>股东</w:t>
            </w:r>
            <w:r>
              <w:rPr>
                <w:rFonts w:ascii="仿宋_GB2312" w:eastAsia="仿宋_GB2312" w:hAnsi="楷体" w:cs="楷体" w:hint="eastAsia"/>
                <w:szCs w:val="21"/>
              </w:rPr>
              <w:t>A</w:t>
            </w:r>
            <w:r>
              <w:rPr>
                <w:rFonts w:ascii="仿宋_GB2312" w:eastAsia="仿宋_GB2312" w:hAnsi="楷体" w:cs="楷体" w:hint="eastAsia"/>
                <w:szCs w:val="21"/>
              </w:rPr>
              <w:t>及其</w:t>
            </w:r>
            <w:bookmarkStart w:id="6" w:name="OLE_LINK3"/>
            <w:r>
              <w:rPr>
                <w:rFonts w:ascii="仿宋_GB2312" w:eastAsia="仿宋_GB2312" w:hAnsi="楷体" w:cs="楷体" w:hint="eastAsia"/>
                <w:szCs w:val="21"/>
              </w:rPr>
              <w:t>一致行动人</w:t>
            </w:r>
            <w:bookmarkEnd w:id="6"/>
            <w:r>
              <w:rPr>
                <w:rFonts w:ascii="仿宋_GB2312" w:eastAsia="仿宋_GB2312" w:hAnsi="楷体" w:cs="楷体" w:hint="eastAsia"/>
                <w:szCs w:val="21"/>
              </w:rPr>
              <w:t>（</w:t>
            </w:r>
            <w:bookmarkStart w:id="7" w:name="OLE_LINK1"/>
            <w:r>
              <w:rPr>
                <w:rFonts w:ascii="仿宋_GB2312" w:eastAsia="仿宋_GB2312" w:hAnsi="楷体" w:cs="楷体" w:hint="eastAsia"/>
                <w:szCs w:val="21"/>
              </w:rPr>
              <w:t>合并计算</w:t>
            </w:r>
            <w:bookmarkEnd w:id="7"/>
            <w:r>
              <w:rPr>
                <w:rFonts w:ascii="仿宋_GB2312" w:eastAsia="仿宋_GB2312" w:hAnsi="楷体" w:cs="楷体" w:hint="eastAsia"/>
                <w:szCs w:val="21"/>
              </w:rPr>
              <w:t>）</w:t>
            </w:r>
          </w:p>
        </w:tc>
        <w:tc>
          <w:tcPr>
            <w:tcW w:w="1418"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417"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248" w:type="dxa"/>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c>
          <w:tcPr>
            <w:tcW w:w="0" w:type="auto"/>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r>
      <w:tr w:rsidR="00000000">
        <w:tc>
          <w:tcPr>
            <w:tcW w:w="2830"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rPr>
                <w:rFonts w:ascii="仿宋_GB2312" w:eastAsia="仿宋_GB2312" w:hAnsi="楷体" w:cs="楷体"/>
                <w:szCs w:val="21"/>
              </w:rPr>
            </w:pPr>
            <w:r>
              <w:rPr>
                <w:rFonts w:ascii="仿宋_GB2312" w:eastAsia="仿宋_GB2312" w:hAnsi="楷体" w:cs="楷体" w:hint="eastAsia"/>
                <w:szCs w:val="21"/>
              </w:rPr>
              <w:t>股东</w:t>
            </w:r>
            <w:r>
              <w:rPr>
                <w:rFonts w:ascii="仿宋_GB2312" w:eastAsia="仿宋_GB2312" w:hAnsi="楷体" w:cs="楷体" w:hint="eastAsia"/>
                <w:szCs w:val="21"/>
              </w:rPr>
              <w:t>A</w:t>
            </w:r>
          </w:p>
        </w:tc>
        <w:tc>
          <w:tcPr>
            <w:tcW w:w="1418"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417"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248" w:type="dxa"/>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c>
          <w:tcPr>
            <w:tcW w:w="0" w:type="auto"/>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r>
      <w:tr w:rsidR="00000000">
        <w:tc>
          <w:tcPr>
            <w:tcW w:w="2830"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rPr>
                <w:rFonts w:ascii="仿宋_GB2312" w:eastAsia="仿宋_GB2312" w:hAnsi="楷体" w:cs="楷体"/>
                <w:szCs w:val="21"/>
              </w:rPr>
            </w:pPr>
            <w:bookmarkStart w:id="8" w:name="OLE_LINK2"/>
            <w:r>
              <w:rPr>
                <w:rFonts w:ascii="仿宋_GB2312" w:eastAsia="仿宋_GB2312" w:hAnsi="楷体" w:cs="楷体" w:hint="eastAsia"/>
                <w:szCs w:val="21"/>
              </w:rPr>
              <w:t>一致行动人</w:t>
            </w:r>
            <w:r>
              <w:rPr>
                <w:rFonts w:ascii="仿宋_GB2312" w:eastAsia="仿宋_GB2312" w:hAnsi="楷体" w:cs="楷体" w:hint="eastAsia"/>
                <w:szCs w:val="21"/>
              </w:rPr>
              <w:t>1</w:t>
            </w:r>
            <w:bookmarkEnd w:id="8"/>
          </w:p>
        </w:tc>
        <w:tc>
          <w:tcPr>
            <w:tcW w:w="1418"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417"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248" w:type="dxa"/>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c>
          <w:tcPr>
            <w:tcW w:w="0" w:type="auto"/>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r>
      <w:tr w:rsidR="00000000">
        <w:tc>
          <w:tcPr>
            <w:tcW w:w="2830"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rPr>
                <w:rFonts w:ascii="仿宋_GB2312" w:eastAsia="仿宋_GB2312" w:hAnsi="楷体" w:cs="楷体"/>
                <w:szCs w:val="21"/>
              </w:rPr>
            </w:pPr>
            <w:r>
              <w:rPr>
                <w:rFonts w:ascii="仿宋_GB2312" w:eastAsia="仿宋_GB2312" w:hAnsi="楷体" w:cs="楷体" w:hint="eastAsia"/>
                <w:szCs w:val="21"/>
              </w:rPr>
              <w:t>一致行动人</w:t>
            </w:r>
            <w:r>
              <w:rPr>
                <w:rFonts w:ascii="仿宋_GB2312" w:eastAsia="仿宋_GB2312" w:hAnsi="楷体" w:cs="楷体" w:hint="eastAsia"/>
                <w:szCs w:val="21"/>
              </w:rPr>
              <w:t>2</w:t>
            </w:r>
          </w:p>
        </w:tc>
        <w:tc>
          <w:tcPr>
            <w:tcW w:w="1418"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417"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248" w:type="dxa"/>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c>
          <w:tcPr>
            <w:tcW w:w="0" w:type="auto"/>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r>
      <w:tr w:rsidR="00000000">
        <w:tc>
          <w:tcPr>
            <w:tcW w:w="2830"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rPr>
                <w:rFonts w:ascii="仿宋_GB2312" w:eastAsia="仿宋_GB2312" w:hAnsi="楷体" w:cs="楷体" w:hint="eastAsia"/>
                <w:szCs w:val="21"/>
              </w:rPr>
            </w:pPr>
            <w:r>
              <w:rPr>
                <w:rFonts w:ascii="仿宋_GB2312" w:eastAsia="仿宋_GB2312" w:hAnsi="楷体" w:cs="楷体" w:hint="eastAsia"/>
                <w:szCs w:val="21"/>
              </w:rPr>
              <w:t>股东</w:t>
            </w:r>
            <w:r>
              <w:rPr>
                <w:rFonts w:ascii="仿宋_GB2312" w:eastAsia="仿宋_GB2312" w:hAnsi="楷体" w:cs="楷体" w:hint="eastAsia"/>
                <w:szCs w:val="21"/>
              </w:rPr>
              <w:t>B</w:t>
            </w:r>
          </w:p>
        </w:tc>
        <w:tc>
          <w:tcPr>
            <w:tcW w:w="1418"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417" w:type="dxa"/>
            <w:shd w:val="clear" w:color="auto" w:fill="FFFFFF"/>
            <w:tcMar>
              <w:top w:w="0" w:type="dxa"/>
              <w:left w:w="30" w:type="dxa"/>
              <w:bottom w:w="0" w:type="dxa"/>
              <w:right w:w="30" w:type="dxa"/>
            </w:tcMar>
            <w:vAlign w:val="center"/>
          </w:tcPr>
          <w:p w:rsidR="00000000" w:rsidRDefault="006D5DEA">
            <w:pPr>
              <w:adjustRightInd w:val="0"/>
              <w:snapToGrid w:val="0"/>
              <w:spacing w:line="360" w:lineRule="auto"/>
              <w:jc w:val="center"/>
              <w:rPr>
                <w:rFonts w:ascii="仿宋_GB2312" w:eastAsia="仿宋_GB2312" w:hAnsi="楷体" w:cs="楷体"/>
                <w:szCs w:val="21"/>
              </w:rPr>
            </w:pPr>
          </w:p>
        </w:tc>
        <w:tc>
          <w:tcPr>
            <w:tcW w:w="1248" w:type="dxa"/>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c>
          <w:tcPr>
            <w:tcW w:w="0" w:type="auto"/>
            <w:shd w:val="clear" w:color="auto" w:fill="FFFFFF"/>
          </w:tcPr>
          <w:p w:rsidR="00000000" w:rsidRDefault="006D5DEA">
            <w:pPr>
              <w:adjustRightInd w:val="0"/>
              <w:snapToGrid w:val="0"/>
              <w:spacing w:line="360" w:lineRule="auto"/>
              <w:jc w:val="center"/>
              <w:rPr>
                <w:rFonts w:ascii="仿宋_GB2312" w:eastAsia="仿宋_GB2312" w:hAnsi="楷体" w:cs="楷体"/>
                <w:szCs w:val="21"/>
              </w:rPr>
            </w:pPr>
          </w:p>
        </w:tc>
      </w:tr>
    </w:tbl>
    <w:bookmarkEnd w:id="4"/>
    <w:p w:rsidR="00000000" w:rsidRDefault="006D5DEA">
      <w:pPr>
        <w:widowControl/>
        <w:ind w:firstLineChars="200" w:firstLine="420"/>
        <w:rPr>
          <w:rFonts w:ascii="仿宋_GB2312" w:eastAsia="仿宋_GB2312" w:hAnsi="宋体" w:cs="宋体"/>
          <w:color w:val="000000"/>
          <w:kern w:val="0"/>
          <w:sz w:val="24"/>
        </w:rPr>
      </w:pPr>
      <w:r>
        <w:rPr>
          <w:rFonts w:ascii="仿宋_GB2312" w:eastAsia="仿宋_GB2312" w:hAnsi="楷体" w:cs="楷体" w:hint="eastAsia"/>
        </w:rPr>
        <w:t>（注</w:t>
      </w:r>
      <w:r>
        <w:rPr>
          <w:rFonts w:ascii="仿宋_GB2312" w:eastAsia="仿宋_GB2312" w:hAnsi="楷体" w:cs="楷体" w:hint="eastAsia"/>
        </w:rPr>
        <w:t>1</w:t>
      </w:r>
      <w:r>
        <w:rPr>
          <w:rFonts w:ascii="仿宋_GB2312" w:eastAsia="仿宋_GB2312" w:hAnsi="楷体" w:cs="楷体" w:hint="eastAsia"/>
        </w:rPr>
        <w:t>：股东如有一致行动人参照股东</w:t>
      </w:r>
      <w:r>
        <w:rPr>
          <w:rFonts w:ascii="仿宋_GB2312" w:eastAsia="仿宋_GB2312" w:hAnsi="楷体" w:cs="楷体" w:hint="eastAsia"/>
        </w:rPr>
        <w:t>A</w:t>
      </w:r>
      <w:r>
        <w:rPr>
          <w:rFonts w:ascii="仿宋_GB2312" w:eastAsia="仿宋_GB2312" w:hAnsi="楷体" w:cs="楷体" w:hint="eastAsia"/>
        </w:rPr>
        <w:t>进行披露，先合并计算持股列示，后单独列示；股东如无一致行动人参照股东</w:t>
      </w:r>
      <w:r>
        <w:rPr>
          <w:rFonts w:ascii="仿宋_GB2312" w:eastAsia="仿宋_GB2312" w:hAnsi="楷体" w:cs="楷体" w:hint="eastAsia"/>
        </w:rPr>
        <w:t>B</w:t>
      </w:r>
      <w:r>
        <w:rPr>
          <w:rFonts w:ascii="仿宋_GB2312" w:eastAsia="仿宋_GB2312" w:hAnsi="楷体" w:cs="楷体" w:hint="eastAsia"/>
        </w:rPr>
        <w:t>进行披露</w:t>
      </w:r>
      <w:r>
        <w:rPr>
          <w:rFonts w:ascii="仿宋_GB2312" w:eastAsia="仿宋_GB2312" w:hAnsi="宋体" w:cs="宋体" w:hint="eastAsia"/>
          <w:color w:val="000000"/>
          <w:kern w:val="0"/>
          <w:sz w:val="24"/>
        </w:rPr>
        <w:t>。</w:t>
      </w:r>
    </w:p>
    <w:p w:rsidR="00000000" w:rsidRDefault="006D5DEA">
      <w:pPr>
        <w:widowControl/>
        <w:ind w:firstLineChars="200" w:firstLine="420"/>
        <w:rPr>
          <w:rFonts w:ascii="仿宋_GB2312" w:eastAsia="仿宋_GB2312" w:hAnsi="楷体" w:cs="楷体" w:hint="eastAsia"/>
        </w:rPr>
      </w:pPr>
      <w:r>
        <w:rPr>
          <w:rFonts w:ascii="仿宋_GB2312" w:eastAsia="仿宋_GB2312" w:hAnsi="楷体" w:cs="楷体" w:hint="eastAsia"/>
        </w:rPr>
        <w:t>注</w:t>
      </w:r>
      <w:r>
        <w:rPr>
          <w:rFonts w:ascii="仿宋_GB2312" w:eastAsia="仿宋_GB2312" w:hAnsi="楷体" w:cs="楷体" w:hint="eastAsia"/>
        </w:rPr>
        <w:t>2</w:t>
      </w:r>
      <w:r>
        <w:rPr>
          <w:rFonts w:ascii="仿宋_GB2312" w:eastAsia="仿宋_GB2312" w:hAnsi="楷体" w:cs="楷体" w:hint="eastAsia"/>
        </w:rPr>
        <w:t>：上市公司发生发行股份购买</w:t>
      </w:r>
      <w:r>
        <w:rPr>
          <w:rFonts w:ascii="仿宋_GB2312" w:eastAsia="仿宋_GB2312" w:hAnsi="楷体" w:cs="楷体" w:hint="eastAsia"/>
        </w:rPr>
        <w:t>资产及募集配套资金、向不特定对象募集股份、向原股东配售股份等事项时，在相关公告中参照上表信息增加披露内容。）</w:t>
      </w:r>
    </w:p>
    <w:p w:rsidR="00000000" w:rsidRDefault="006D5DEA">
      <w:pPr>
        <w:widowControl/>
        <w:ind w:firstLineChars="200" w:firstLine="420"/>
        <w:rPr>
          <w:rFonts w:ascii="仿宋_GB2312" w:eastAsia="仿宋_GB2312" w:hAnsi="楷体" w:cs="楷体" w:hint="eastAsia"/>
        </w:rPr>
      </w:pPr>
    </w:p>
    <w:bookmarkEnd w:id="5"/>
    <w:p w:rsidR="00000000" w:rsidRDefault="006D5DEA">
      <w:pPr>
        <w:numPr>
          <w:ilvl w:val="0"/>
          <w:numId w:val="3"/>
        </w:numPr>
        <w:adjustRightInd w:val="0"/>
        <w:snapToGrid w:val="0"/>
        <w:spacing w:line="560" w:lineRule="exact"/>
        <w:ind w:firstLineChars="200" w:firstLine="600"/>
        <w:rPr>
          <w:rFonts w:ascii="黑体" w:eastAsia="黑体" w:hAnsi="黑体" w:hint="eastAsia"/>
          <w:sz w:val="30"/>
          <w:szCs w:val="30"/>
        </w:rPr>
      </w:pPr>
      <w:r>
        <w:rPr>
          <w:rFonts w:ascii="黑体" w:eastAsia="黑体" w:hAnsi="黑体" w:hint="eastAsia"/>
          <w:sz w:val="30"/>
          <w:szCs w:val="30"/>
        </w:rPr>
        <w:t>本次发行前后公司股本结构变动表（如果某行没有数字，公司可予以省略，序号作相应调整）</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13"/>
        <w:gridCol w:w="1489"/>
        <w:gridCol w:w="2126"/>
        <w:gridCol w:w="1560"/>
      </w:tblGrid>
      <w:tr w:rsidR="00000000">
        <w:trPr>
          <w:trHeight w:val="638"/>
        </w:trPr>
        <w:tc>
          <w:tcPr>
            <w:tcW w:w="3013" w:type="dxa"/>
            <w:vAlign w:val="center"/>
          </w:tcPr>
          <w:p w:rsidR="00000000" w:rsidRDefault="006D5DEA">
            <w:pPr>
              <w:widowControl/>
              <w:adjustRightInd w:val="0"/>
              <w:snapToGrid w:val="0"/>
              <w:spacing w:line="360" w:lineRule="auto"/>
              <w:rPr>
                <w:rFonts w:ascii="仿宋_GB2312" w:eastAsia="仿宋_GB2312" w:hAnsi="宋体"/>
                <w:sz w:val="24"/>
                <w:szCs w:val="24"/>
              </w:rPr>
            </w:pPr>
          </w:p>
        </w:tc>
        <w:tc>
          <w:tcPr>
            <w:tcW w:w="1489" w:type="dxa"/>
            <w:vAlign w:val="center"/>
          </w:tcPr>
          <w:p w:rsidR="00000000" w:rsidRDefault="006D5DEA">
            <w:pPr>
              <w:snapToGrid w:val="0"/>
              <w:spacing w:line="360" w:lineRule="auto"/>
              <w:jc w:val="center"/>
              <w:rPr>
                <w:rFonts w:ascii="仿宋_GB2312" w:eastAsia="仿宋_GB2312" w:hAnsi="宋体"/>
                <w:b/>
                <w:kern w:val="0"/>
                <w:sz w:val="24"/>
                <w:szCs w:val="24"/>
              </w:rPr>
            </w:pPr>
            <w:r>
              <w:rPr>
                <w:rFonts w:ascii="仿宋_GB2312" w:eastAsia="仿宋_GB2312" w:hAnsi="宋体" w:hint="eastAsia"/>
                <w:b/>
                <w:kern w:val="0"/>
                <w:sz w:val="24"/>
                <w:szCs w:val="24"/>
              </w:rPr>
              <w:t>变动前</w:t>
            </w:r>
          </w:p>
        </w:tc>
        <w:tc>
          <w:tcPr>
            <w:tcW w:w="2126" w:type="dxa"/>
            <w:vAlign w:val="center"/>
          </w:tcPr>
          <w:p w:rsidR="00000000" w:rsidRDefault="006D5DEA">
            <w:pPr>
              <w:snapToGrid w:val="0"/>
              <w:spacing w:line="360" w:lineRule="auto"/>
              <w:jc w:val="center"/>
              <w:rPr>
                <w:rFonts w:ascii="仿宋_GB2312" w:eastAsia="仿宋_GB2312" w:hAnsi="宋体"/>
                <w:b/>
                <w:kern w:val="0"/>
                <w:sz w:val="24"/>
                <w:szCs w:val="24"/>
              </w:rPr>
            </w:pPr>
            <w:r>
              <w:rPr>
                <w:rFonts w:ascii="仿宋_GB2312" w:eastAsia="仿宋_GB2312" w:hAnsi="宋体" w:hint="eastAsia"/>
                <w:b/>
                <w:kern w:val="0"/>
                <w:sz w:val="24"/>
                <w:szCs w:val="24"/>
              </w:rPr>
              <w:t>变动数</w:t>
            </w:r>
          </w:p>
        </w:tc>
        <w:tc>
          <w:tcPr>
            <w:tcW w:w="1560" w:type="dxa"/>
            <w:vAlign w:val="center"/>
          </w:tcPr>
          <w:p w:rsidR="00000000" w:rsidRDefault="006D5DEA">
            <w:pPr>
              <w:snapToGrid w:val="0"/>
              <w:spacing w:line="360" w:lineRule="auto"/>
              <w:jc w:val="center"/>
              <w:rPr>
                <w:rFonts w:ascii="仿宋_GB2312" w:eastAsia="仿宋_GB2312" w:hAnsi="宋体"/>
                <w:b/>
                <w:kern w:val="0"/>
                <w:sz w:val="24"/>
                <w:szCs w:val="24"/>
              </w:rPr>
            </w:pPr>
            <w:r>
              <w:rPr>
                <w:rFonts w:ascii="仿宋_GB2312" w:eastAsia="仿宋_GB2312" w:hAnsi="宋体" w:hint="eastAsia"/>
                <w:b/>
                <w:kern w:val="0"/>
                <w:sz w:val="24"/>
                <w:szCs w:val="24"/>
              </w:rPr>
              <w:t>变动后</w:t>
            </w:r>
          </w:p>
        </w:tc>
      </w:tr>
      <w:tr w:rsidR="00000000">
        <w:trPr>
          <w:trHeight w:val="317"/>
        </w:trPr>
        <w:tc>
          <w:tcPr>
            <w:tcW w:w="3013" w:type="dxa"/>
          </w:tcPr>
          <w:p w:rsidR="00000000" w:rsidRDefault="006D5DEA">
            <w:pPr>
              <w:spacing w:line="360" w:lineRule="auto"/>
              <w:rPr>
                <w:rFonts w:ascii="仿宋_GB2312" w:eastAsia="仿宋_GB2312" w:hAnsi="宋体"/>
                <w:sz w:val="24"/>
                <w:szCs w:val="24"/>
              </w:rPr>
            </w:pPr>
            <w:r>
              <w:rPr>
                <w:rFonts w:ascii="仿宋_GB2312" w:eastAsia="仿宋_GB2312" w:hAnsi="宋体" w:hint="eastAsia"/>
                <w:sz w:val="24"/>
                <w:szCs w:val="24"/>
              </w:rPr>
              <w:t>有限售条件的流通股</w:t>
            </w:r>
          </w:p>
        </w:tc>
        <w:tc>
          <w:tcPr>
            <w:tcW w:w="1489" w:type="dxa"/>
            <w:vAlign w:val="center"/>
          </w:tcPr>
          <w:p w:rsidR="00000000" w:rsidRDefault="006D5DEA">
            <w:pPr>
              <w:widowControl/>
              <w:adjustRightInd w:val="0"/>
              <w:snapToGrid w:val="0"/>
              <w:spacing w:line="360" w:lineRule="auto"/>
              <w:jc w:val="right"/>
              <w:rPr>
                <w:rFonts w:ascii="仿宋_GB2312" w:eastAsia="仿宋_GB2312" w:hAnsi="宋体"/>
                <w:sz w:val="24"/>
                <w:szCs w:val="24"/>
              </w:rPr>
            </w:pPr>
          </w:p>
        </w:tc>
        <w:tc>
          <w:tcPr>
            <w:tcW w:w="2126" w:type="dxa"/>
          </w:tcPr>
          <w:p w:rsidR="00000000" w:rsidRDefault="006D5DEA">
            <w:pPr>
              <w:widowControl/>
              <w:adjustRightInd w:val="0"/>
              <w:snapToGrid w:val="0"/>
              <w:spacing w:line="360" w:lineRule="auto"/>
              <w:jc w:val="right"/>
              <w:rPr>
                <w:rFonts w:ascii="仿宋_GB2312" w:eastAsia="仿宋_GB2312" w:hAnsi="宋体"/>
                <w:sz w:val="24"/>
                <w:szCs w:val="24"/>
              </w:rPr>
            </w:pPr>
          </w:p>
        </w:tc>
        <w:tc>
          <w:tcPr>
            <w:tcW w:w="1560" w:type="dxa"/>
            <w:vAlign w:val="center"/>
          </w:tcPr>
          <w:p w:rsidR="00000000" w:rsidRDefault="006D5DEA">
            <w:pPr>
              <w:widowControl/>
              <w:adjustRightInd w:val="0"/>
              <w:snapToGrid w:val="0"/>
              <w:spacing w:line="360" w:lineRule="auto"/>
              <w:jc w:val="right"/>
              <w:rPr>
                <w:rFonts w:ascii="仿宋_GB2312" w:eastAsia="仿宋_GB2312" w:hAnsi="宋体"/>
                <w:sz w:val="24"/>
                <w:szCs w:val="24"/>
              </w:rPr>
            </w:pPr>
          </w:p>
        </w:tc>
      </w:tr>
      <w:tr w:rsidR="00000000">
        <w:trPr>
          <w:trHeight w:val="317"/>
        </w:trPr>
        <w:tc>
          <w:tcPr>
            <w:tcW w:w="3013" w:type="dxa"/>
          </w:tcPr>
          <w:p w:rsidR="00000000" w:rsidRDefault="006D5DEA">
            <w:pPr>
              <w:pStyle w:val="a4"/>
              <w:spacing w:line="360" w:lineRule="auto"/>
              <w:rPr>
                <w:rFonts w:ascii="仿宋_GB2312" w:eastAsia="仿宋_GB2312" w:hAnsi="宋体"/>
                <w:sz w:val="24"/>
                <w:szCs w:val="24"/>
              </w:rPr>
            </w:pPr>
            <w:r>
              <w:rPr>
                <w:rFonts w:ascii="仿宋_GB2312" w:eastAsia="仿宋_GB2312" w:hAnsi="宋体" w:hint="eastAsia"/>
                <w:sz w:val="24"/>
                <w:szCs w:val="24"/>
              </w:rPr>
              <w:t>无限售条件的流通股</w:t>
            </w:r>
          </w:p>
        </w:tc>
        <w:tc>
          <w:tcPr>
            <w:tcW w:w="1489" w:type="dxa"/>
            <w:vAlign w:val="center"/>
          </w:tcPr>
          <w:p w:rsidR="00000000" w:rsidRDefault="006D5DEA">
            <w:pPr>
              <w:widowControl/>
              <w:adjustRightInd w:val="0"/>
              <w:snapToGrid w:val="0"/>
              <w:spacing w:line="360" w:lineRule="auto"/>
              <w:jc w:val="right"/>
              <w:rPr>
                <w:rFonts w:ascii="仿宋_GB2312" w:eastAsia="仿宋_GB2312" w:hAnsi="宋体"/>
                <w:sz w:val="24"/>
                <w:szCs w:val="24"/>
              </w:rPr>
            </w:pPr>
          </w:p>
        </w:tc>
        <w:tc>
          <w:tcPr>
            <w:tcW w:w="2126" w:type="dxa"/>
          </w:tcPr>
          <w:p w:rsidR="00000000" w:rsidRDefault="006D5DEA">
            <w:pPr>
              <w:widowControl/>
              <w:adjustRightInd w:val="0"/>
              <w:snapToGrid w:val="0"/>
              <w:spacing w:line="360" w:lineRule="auto"/>
              <w:jc w:val="right"/>
              <w:rPr>
                <w:rFonts w:ascii="仿宋_GB2312" w:eastAsia="仿宋_GB2312" w:hAnsi="宋体"/>
                <w:sz w:val="24"/>
                <w:szCs w:val="24"/>
              </w:rPr>
            </w:pPr>
          </w:p>
        </w:tc>
        <w:tc>
          <w:tcPr>
            <w:tcW w:w="1560" w:type="dxa"/>
            <w:vAlign w:val="center"/>
          </w:tcPr>
          <w:p w:rsidR="00000000" w:rsidRDefault="006D5DEA">
            <w:pPr>
              <w:widowControl/>
              <w:adjustRightInd w:val="0"/>
              <w:snapToGrid w:val="0"/>
              <w:spacing w:line="360" w:lineRule="auto"/>
              <w:jc w:val="right"/>
              <w:rPr>
                <w:rFonts w:ascii="仿宋_GB2312" w:eastAsia="仿宋_GB2312" w:hAnsi="宋体"/>
                <w:sz w:val="24"/>
                <w:szCs w:val="24"/>
              </w:rPr>
            </w:pPr>
          </w:p>
        </w:tc>
      </w:tr>
      <w:tr w:rsidR="00000000">
        <w:trPr>
          <w:trHeight w:val="317"/>
        </w:trPr>
        <w:tc>
          <w:tcPr>
            <w:tcW w:w="3013" w:type="dxa"/>
          </w:tcPr>
          <w:p w:rsidR="00000000" w:rsidRDefault="006D5DEA">
            <w:pPr>
              <w:spacing w:line="360" w:lineRule="auto"/>
              <w:jc w:val="left"/>
              <w:rPr>
                <w:rFonts w:ascii="仿宋_GB2312" w:eastAsia="仿宋_GB2312" w:hAnsi="宋体"/>
                <w:sz w:val="24"/>
                <w:szCs w:val="24"/>
              </w:rPr>
            </w:pPr>
            <w:r>
              <w:rPr>
                <w:rFonts w:ascii="仿宋_GB2312" w:eastAsia="仿宋_GB2312" w:hAnsi="宋体" w:hint="eastAsia"/>
                <w:sz w:val="24"/>
                <w:szCs w:val="24"/>
              </w:rPr>
              <w:t>股份合计</w:t>
            </w:r>
          </w:p>
        </w:tc>
        <w:tc>
          <w:tcPr>
            <w:tcW w:w="1489" w:type="dxa"/>
            <w:vAlign w:val="center"/>
          </w:tcPr>
          <w:p w:rsidR="00000000" w:rsidRDefault="006D5DEA">
            <w:pPr>
              <w:widowControl/>
              <w:adjustRightInd w:val="0"/>
              <w:snapToGrid w:val="0"/>
              <w:spacing w:line="360" w:lineRule="auto"/>
              <w:jc w:val="right"/>
              <w:rPr>
                <w:rFonts w:ascii="仿宋_GB2312" w:eastAsia="仿宋_GB2312" w:hAnsi="宋体"/>
                <w:sz w:val="24"/>
                <w:szCs w:val="24"/>
              </w:rPr>
            </w:pPr>
          </w:p>
        </w:tc>
        <w:tc>
          <w:tcPr>
            <w:tcW w:w="2126" w:type="dxa"/>
          </w:tcPr>
          <w:p w:rsidR="00000000" w:rsidRDefault="006D5DEA">
            <w:pPr>
              <w:widowControl/>
              <w:adjustRightInd w:val="0"/>
              <w:snapToGrid w:val="0"/>
              <w:spacing w:line="360" w:lineRule="auto"/>
              <w:jc w:val="right"/>
              <w:rPr>
                <w:rFonts w:ascii="仿宋_GB2312" w:eastAsia="仿宋_GB2312" w:hAnsi="宋体"/>
                <w:sz w:val="24"/>
                <w:szCs w:val="24"/>
              </w:rPr>
            </w:pPr>
          </w:p>
        </w:tc>
        <w:tc>
          <w:tcPr>
            <w:tcW w:w="1560" w:type="dxa"/>
            <w:vAlign w:val="center"/>
          </w:tcPr>
          <w:p w:rsidR="00000000" w:rsidRDefault="006D5DEA">
            <w:pPr>
              <w:widowControl/>
              <w:adjustRightInd w:val="0"/>
              <w:snapToGrid w:val="0"/>
              <w:spacing w:line="360" w:lineRule="auto"/>
              <w:jc w:val="right"/>
              <w:rPr>
                <w:rFonts w:ascii="仿宋_GB2312" w:eastAsia="仿宋_GB2312" w:hAnsi="宋体"/>
                <w:sz w:val="24"/>
                <w:szCs w:val="24"/>
              </w:rPr>
            </w:pPr>
          </w:p>
        </w:tc>
      </w:tr>
    </w:tbl>
    <w:p w:rsidR="00000000" w:rsidRDefault="006D5DEA">
      <w:pPr>
        <w:adjustRightInd w:val="0"/>
        <w:snapToGrid w:val="0"/>
        <w:spacing w:line="560" w:lineRule="exact"/>
        <w:ind w:firstLineChars="200" w:firstLine="600"/>
        <w:rPr>
          <w:rFonts w:ascii="黑体" w:eastAsia="黑体" w:hAnsi="黑体"/>
          <w:sz w:val="30"/>
          <w:szCs w:val="30"/>
        </w:rPr>
      </w:pPr>
    </w:p>
    <w:p w:rsidR="00000000" w:rsidRDefault="006D5DEA">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五、管理层讨论与分析</w:t>
      </w:r>
    </w:p>
    <w:p w:rsidR="00000000" w:rsidRDefault="006D5DEA">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lastRenderedPageBreak/>
        <w:t>公司管理层就本次发行对公司的影响进行具体的讨论与分析，包括本次发行对公司财务状况、公司治理的影响、募集资金投资项目对公司后续经营的影响等。</w:t>
      </w:r>
    </w:p>
    <w:p w:rsidR="00000000" w:rsidRDefault="006D5DEA">
      <w:pPr>
        <w:adjustRightInd w:val="0"/>
        <w:snapToGrid w:val="0"/>
        <w:spacing w:line="560" w:lineRule="exact"/>
        <w:ind w:firstLineChars="200" w:firstLine="600"/>
        <w:rPr>
          <w:rFonts w:ascii="仿宋" w:eastAsia="仿宋_GB2312" w:hAnsi="仿宋" w:hint="eastAsia"/>
          <w:sz w:val="30"/>
          <w:szCs w:val="30"/>
        </w:rPr>
      </w:pPr>
    </w:p>
    <w:p w:rsidR="00000000" w:rsidRDefault="006D5DEA">
      <w:pPr>
        <w:adjustRightInd w:val="0"/>
        <w:snapToGrid w:val="0"/>
        <w:spacing w:line="560" w:lineRule="exact"/>
        <w:ind w:firstLineChars="200" w:firstLine="600"/>
        <w:rPr>
          <w:rFonts w:ascii="黑体" w:eastAsia="黑体" w:hAnsi="黑体"/>
          <w:sz w:val="30"/>
          <w:szCs w:val="30"/>
        </w:rPr>
      </w:pPr>
      <w:r>
        <w:rPr>
          <w:rFonts w:ascii="黑体" w:eastAsia="黑体" w:hAnsi="黑体" w:hint="eastAsia"/>
          <w:sz w:val="30"/>
          <w:szCs w:val="30"/>
        </w:rPr>
        <w:t>六、为本次向特定对象发行股票出具专业意见的中介机</w:t>
      </w:r>
      <w:r>
        <w:rPr>
          <w:rFonts w:ascii="黑体" w:eastAsia="黑体" w:hAnsi="黑体" w:hint="eastAsia"/>
          <w:sz w:val="30"/>
          <w:szCs w:val="30"/>
        </w:rPr>
        <w:t>构情况</w:t>
      </w:r>
    </w:p>
    <w:p w:rsidR="00000000" w:rsidRDefault="006D5DEA">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包括保荐机构、律师事务所、验资机构的名称、地址、联系人、联系电话等。</w:t>
      </w:r>
    </w:p>
    <w:p w:rsidR="00000000" w:rsidRDefault="006D5DEA">
      <w:pPr>
        <w:tabs>
          <w:tab w:val="left" w:pos="1440"/>
        </w:tabs>
        <w:adjustRightInd w:val="0"/>
        <w:snapToGrid w:val="0"/>
        <w:spacing w:line="560" w:lineRule="exact"/>
        <w:ind w:firstLineChars="200" w:firstLine="600"/>
        <w:rPr>
          <w:rFonts w:ascii="仿宋" w:eastAsia="仿宋_GB2312" w:hAnsi="仿宋" w:hint="eastAsia"/>
          <w:sz w:val="30"/>
          <w:szCs w:val="30"/>
        </w:rPr>
      </w:pPr>
    </w:p>
    <w:p w:rsidR="00000000" w:rsidRDefault="006D5DEA">
      <w:pPr>
        <w:tabs>
          <w:tab w:val="left" w:pos="144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特此公告。</w:t>
      </w:r>
    </w:p>
    <w:p w:rsidR="00000000" w:rsidRDefault="006D5DEA">
      <w:pPr>
        <w:tabs>
          <w:tab w:val="left" w:pos="1440"/>
        </w:tabs>
        <w:adjustRightInd w:val="0"/>
        <w:snapToGrid w:val="0"/>
        <w:spacing w:line="560" w:lineRule="exact"/>
        <w:ind w:firstLineChars="200" w:firstLine="600"/>
        <w:rPr>
          <w:rFonts w:ascii="仿宋" w:eastAsia="仿宋_GB2312" w:hAnsi="仿宋"/>
          <w:sz w:val="30"/>
          <w:szCs w:val="30"/>
        </w:rPr>
      </w:pPr>
    </w:p>
    <w:p w:rsidR="00000000" w:rsidRDefault="006D5DEA">
      <w:pPr>
        <w:adjustRightInd w:val="0"/>
        <w:snapToGrid w:val="0"/>
        <w:spacing w:line="560" w:lineRule="exact"/>
        <w:ind w:firstLineChars="200" w:firstLine="600"/>
        <w:jc w:val="right"/>
        <w:rPr>
          <w:rFonts w:ascii="仿宋" w:eastAsia="仿宋_GB2312" w:hAnsi="仿宋"/>
          <w:sz w:val="30"/>
          <w:szCs w:val="30"/>
        </w:rPr>
      </w:pPr>
      <w:r>
        <w:rPr>
          <w:rFonts w:ascii="仿宋" w:eastAsia="仿宋_GB2312" w:hAnsi="仿宋" w:hint="eastAsia"/>
          <w:sz w:val="30"/>
          <w:szCs w:val="30"/>
        </w:rPr>
        <w:t>XXXX</w:t>
      </w:r>
      <w:r>
        <w:rPr>
          <w:rFonts w:ascii="仿宋" w:eastAsia="仿宋_GB2312" w:hAnsi="仿宋" w:hint="eastAsia"/>
          <w:sz w:val="30"/>
          <w:szCs w:val="30"/>
        </w:rPr>
        <w:t>股份有限公司董事会</w:t>
      </w:r>
    </w:p>
    <w:p w:rsidR="00000000" w:rsidRDefault="006D5DEA">
      <w:pPr>
        <w:adjustRightInd w:val="0"/>
        <w:snapToGrid w:val="0"/>
        <w:spacing w:line="560" w:lineRule="exact"/>
        <w:ind w:firstLineChars="1700" w:firstLine="5100"/>
        <w:jc w:val="right"/>
        <w:rPr>
          <w:rFonts w:ascii="仿宋" w:eastAsia="仿宋_GB2312" w:hAnsi="仿宋"/>
          <w:sz w:val="30"/>
          <w:szCs w:val="30"/>
        </w:rPr>
      </w:pPr>
      <w:r>
        <w:rPr>
          <w:rFonts w:ascii="仿宋" w:eastAsia="仿宋_GB2312" w:hAnsi="仿宋" w:hint="eastAsia"/>
          <w:sz w:val="30"/>
          <w:szCs w:val="30"/>
        </w:rPr>
        <w:t>年</w:t>
      </w:r>
      <w:r>
        <w:rPr>
          <w:rFonts w:ascii="仿宋" w:eastAsia="仿宋_GB2312" w:hAnsi="仿宋" w:hint="eastAsia"/>
          <w:sz w:val="30"/>
          <w:szCs w:val="30"/>
        </w:rPr>
        <w:t xml:space="preserve">  </w:t>
      </w:r>
      <w:r>
        <w:rPr>
          <w:rFonts w:ascii="仿宋" w:eastAsia="仿宋_GB2312" w:hAnsi="仿宋" w:hint="eastAsia"/>
          <w:sz w:val="30"/>
          <w:szCs w:val="30"/>
        </w:rPr>
        <w:t>月</w:t>
      </w:r>
      <w:r>
        <w:rPr>
          <w:rFonts w:ascii="仿宋" w:eastAsia="仿宋_GB2312" w:hAnsi="仿宋" w:hint="eastAsia"/>
          <w:sz w:val="30"/>
          <w:szCs w:val="30"/>
        </w:rPr>
        <w:t xml:space="preserve">  </w:t>
      </w:r>
      <w:r>
        <w:rPr>
          <w:rFonts w:ascii="仿宋" w:eastAsia="仿宋_GB2312" w:hAnsi="仿宋" w:hint="eastAsia"/>
          <w:sz w:val="30"/>
          <w:szCs w:val="30"/>
        </w:rPr>
        <w:t>日</w:t>
      </w:r>
    </w:p>
    <w:p w:rsidR="00000000" w:rsidRDefault="006D5DEA">
      <w:pPr>
        <w:adjustRightInd w:val="0"/>
        <w:snapToGrid w:val="0"/>
        <w:spacing w:line="560" w:lineRule="exact"/>
        <w:rPr>
          <w:rFonts w:ascii="仿宋" w:eastAsia="仿宋_GB2312" w:hAnsi="仿宋" w:hint="eastAsia"/>
          <w:sz w:val="30"/>
          <w:szCs w:val="30"/>
        </w:rPr>
      </w:pPr>
    </w:p>
    <w:p w:rsidR="00000000" w:rsidRDefault="006D5DEA">
      <w:pPr>
        <w:pStyle w:val="ab"/>
        <w:numPr>
          <w:ilvl w:val="0"/>
          <w:numId w:val="4"/>
        </w:numPr>
        <w:autoSpaceDE w:val="0"/>
        <w:autoSpaceDN w:val="0"/>
        <w:adjustRightInd w:val="0"/>
        <w:snapToGrid w:val="0"/>
        <w:spacing w:line="560" w:lineRule="exact"/>
        <w:ind w:firstLineChars="0"/>
        <w:rPr>
          <w:rFonts w:ascii="仿宋_GB2312" w:eastAsia="仿宋_GB2312" w:hAnsi="宋体"/>
          <w:b/>
          <w:color w:val="000000"/>
          <w:sz w:val="30"/>
          <w:szCs w:val="30"/>
        </w:rPr>
      </w:pPr>
      <w:r>
        <w:rPr>
          <w:rFonts w:ascii="仿宋_GB2312" w:eastAsia="仿宋_GB2312" w:hAnsi="宋体" w:hint="eastAsia"/>
          <w:b/>
          <w:color w:val="000000"/>
          <w:sz w:val="30"/>
          <w:szCs w:val="30"/>
        </w:rPr>
        <w:t>上网公告文件</w:t>
      </w:r>
    </w:p>
    <w:p w:rsidR="00000000" w:rsidRDefault="006D5DEA">
      <w:pPr>
        <w:tabs>
          <w:tab w:val="left" w:pos="144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1</w:t>
      </w:r>
      <w:r>
        <w:rPr>
          <w:rFonts w:ascii="仿宋" w:eastAsia="仿宋_GB2312" w:hAnsi="仿宋"/>
          <w:sz w:val="30"/>
          <w:szCs w:val="30"/>
        </w:rPr>
        <w:t>.</w:t>
      </w:r>
      <w:r>
        <w:rPr>
          <w:rFonts w:ascii="仿宋" w:eastAsia="仿宋_GB2312" w:hAnsi="仿宋" w:hint="eastAsia"/>
          <w:sz w:val="30"/>
          <w:szCs w:val="30"/>
        </w:rPr>
        <w:t>会计师事务所出具的验资报告</w:t>
      </w:r>
    </w:p>
    <w:p w:rsidR="00000000" w:rsidRDefault="006D5DEA">
      <w:pPr>
        <w:tabs>
          <w:tab w:val="left" w:pos="1440"/>
        </w:tabs>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2</w:t>
      </w:r>
      <w:r>
        <w:rPr>
          <w:rFonts w:ascii="仿宋" w:eastAsia="仿宋_GB2312" w:hAnsi="仿宋"/>
          <w:sz w:val="30"/>
          <w:szCs w:val="30"/>
        </w:rPr>
        <w:t>.</w:t>
      </w:r>
      <w:r>
        <w:rPr>
          <w:rFonts w:ascii="仿宋" w:eastAsia="仿宋_GB2312" w:hAnsi="仿宋" w:hint="eastAsia"/>
          <w:sz w:val="30"/>
          <w:szCs w:val="30"/>
        </w:rPr>
        <w:t>律师事务所就资产转移手续完成出具的法律意见书（如适用）</w:t>
      </w:r>
    </w:p>
    <w:p w:rsidR="00000000" w:rsidRDefault="006D5DEA">
      <w:pPr>
        <w:tabs>
          <w:tab w:val="left" w:pos="1440"/>
        </w:tabs>
        <w:adjustRightInd w:val="0"/>
        <w:snapToGrid w:val="0"/>
        <w:spacing w:line="560" w:lineRule="exact"/>
        <w:ind w:firstLineChars="200" w:firstLine="600"/>
        <w:rPr>
          <w:rFonts w:ascii="仿宋" w:eastAsia="仿宋_GB2312" w:hAnsi="仿宋" w:hint="eastAsia"/>
          <w:sz w:val="30"/>
          <w:szCs w:val="30"/>
        </w:rPr>
      </w:pPr>
      <w:r>
        <w:rPr>
          <w:rFonts w:ascii="仿宋" w:eastAsia="仿宋_GB2312" w:hAnsi="仿宋" w:hint="eastAsia"/>
          <w:sz w:val="30"/>
          <w:szCs w:val="30"/>
        </w:rPr>
        <w:t>3</w:t>
      </w:r>
      <w:r>
        <w:rPr>
          <w:rFonts w:ascii="仿宋" w:eastAsia="仿宋_GB2312" w:hAnsi="仿宋"/>
          <w:sz w:val="30"/>
          <w:szCs w:val="30"/>
        </w:rPr>
        <w:t>.</w:t>
      </w:r>
      <w:r>
        <w:rPr>
          <w:rFonts w:ascii="仿宋" w:eastAsia="仿宋_GB2312" w:hAnsi="仿宋" w:hint="eastAsia"/>
          <w:sz w:val="30"/>
          <w:szCs w:val="30"/>
        </w:rPr>
        <w:t>中介机构关于本次发行的意见</w:t>
      </w:r>
    </w:p>
    <w:p w:rsidR="00000000" w:rsidRDefault="006D5DEA">
      <w:pPr>
        <w:adjustRightInd w:val="0"/>
        <w:snapToGrid w:val="0"/>
        <w:spacing w:line="560" w:lineRule="exact"/>
        <w:ind w:firstLineChars="1700" w:firstLine="5100"/>
        <w:jc w:val="right"/>
        <w:rPr>
          <w:rFonts w:ascii="仿宋" w:eastAsia="仿宋_GB2312" w:hAnsi="仿宋" w:hint="eastAsia"/>
          <w:sz w:val="30"/>
          <w:szCs w:val="30"/>
        </w:rPr>
      </w:pPr>
    </w:p>
    <w:p w:rsidR="00000000" w:rsidRDefault="006D5DEA">
      <w:pPr>
        <w:pStyle w:val="ab"/>
        <w:numPr>
          <w:ilvl w:val="0"/>
          <w:numId w:val="4"/>
        </w:numPr>
        <w:autoSpaceDE w:val="0"/>
        <w:autoSpaceDN w:val="0"/>
        <w:adjustRightInd w:val="0"/>
        <w:snapToGrid w:val="0"/>
        <w:spacing w:line="560" w:lineRule="exact"/>
        <w:ind w:firstLineChars="0"/>
        <w:rPr>
          <w:rFonts w:ascii="仿宋_GB2312" w:eastAsia="仿宋_GB2312" w:hAnsi="宋体"/>
          <w:b/>
          <w:color w:val="000000"/>
          <w:sz w:val="30"/>
          <w:szCs w:val="30"/>
        </w:rPr>
      </w:pPr>
      <w:r>
        <w:rPr>
          <w:rFonts w:ascii="仿宋_GB2312" w:eastAsia="仿宋_GB2312" w:hAnsi="宋体" w:hint="eastAsia"/>
          <w:b/>
          <w:color w:val="000000"/>
          <w:sz w:val="30"/>
          <w:szCs w:val="30"/>
        </w:rPr>
        <w:t>报备文件</w:t>
      </w:r>
    </w:p>
    <w:p w:rsidR="00000000" w:rsidRDefault="006D5DEA">
      <w:pPr>
        <w:adjustRightInd w:val="0"/>
        <w:snapToGrid w:val="0"/>
        <w:spacing w:line="560" w:lineRule="exact"/>
        <w:ind w:firstLineChars="200" w:firstLine="600"/>
        <w:rPr>
          <w:rFonts w:ascii="仿宋" w:eastAsia="仿宋_GB2312" w:hAnsi="仿宋"/>
          <w:sz w:val="30"/>
          <w:szCs w:val="30"/>
        </w:rPr>
      </w:pPr>
      <w:r>
        <w:rPr>
          <w:rFonts w:ascii="仿宋" w:eastAsia="仿宋_GB2312" w:hAnsi="仿宋" w:hint="eastAsia"/>
          <w:sz w:val="30"/>
          <w:szCs w:val="30"/>
        </w:rPr>
        <w:t>中登上海分公司出具的新增股份登记托管情况的书面证明</w:t>
      </w:r>
    </w:p>
    <w:sectPr w:rsidR="00000000">
      <w:footerReference w:type="even"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6D5DEA">
      <w:r>
        <w:separator/>
      </w:r>
    </w:p>
  </w:endnote>
  <w:endnote w:type="continuationSeparator" w:id="0">
    <w:p w:rsidR="00000000" w:rsidRDefault="006D5DE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D5DEA">
    <w:pPr>
      <w:pStyle w:val="a6"/>
      <w:framePr w:wrap="around" w:vAnchor="text" w:hAnchor="margin" w:xAlign="center" w:y="1"/>
      <w:rPr>
        <w:rStyle w:val="a9"/>
      </w:rPr>
    </w:pPr>
    <w:r>
      <w:fldChar w:fldCharType="begin"/>
    </w:r>
    <w:r>
      <w:rPr>
        <w:rStyle w:val="a9"/>
      </w:rPr>
      <w:instrText xml:space="preserve">PAGE  </w:instrText>
    </w:r>
    <w:r>
      <w:fldChar w:fldCharType="separate"/>
    </w:r>
    <w:r>
      <w:rPr>
        <w:rStyle w:val="a9"/>
        <w:lang w:val="en-US" w:eastAsia="zh-CN"/>
      </w:rPr>
      <w:t>1</w:t>
    </w:r>
    <w:r>
      <w:fldChar w:fldCharType="end"/>
    </w:r>
  </w:p>
  <w:p w:rsidR="00000000" w:rsidRDefault="006D5DEA">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D5DEA">
    <w:pPr>
      <w:pStyle w:val="a6"/>
      <w:framePr w:wrap="around" w:vAnchor="text" w:hAnchor="margin" w:xAlign="center" w:y="1"/>
      <w:rPr>
        <w:rStyle w:val="a9"/>
      </w:rPr>
    </w:pPr>
    <w:r>
      <w:fldChar w:fldCharType="begin"/>
    </w:r>
    <w:r>
      <w:rPr>
        <w:rStyle w:val="a9"/>
      </w:rPr>
      <w:instrText xml:space="preserve">PAGE  </w:instrText>
    </w:r>
    <w:r>
      <w:fldChar w:fldCharType="separate"/>
    </w:r>
    <w:r>
      <w:rPr>
        <w:rStyle w:val="a9"/>
        <w:noProof/>
      </w:rPr>
      <w:t>1</w:t>
    </w:r>
    <w:r>
      <w:fldChar w:fldCharType="end"/>
    </w:r>
  </w:p>
  <w:p w:rsidR="00000000" w:rsidRDefault="006D5DE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6D5DEA">
      <w:r>
        <w:separator/>
      </w:r>
    </w:p>
  </w:footnote>
  <w:footnote w:type="continuationSeparator" w:id="0">
    <w:p w:rsidR="00000000" w:rsidRDefault="006D5D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200CCB"/>
    <w:multiLevelType w:val="multilevel"/>
    <w:tmpl w:val="42200CCB"/>
    <w:lvl w:ilvl="0">
      <w:start w:val="1"/>
      <w:numFmt w:val="chineseCountingThousand"/>
      <w:lvlText w:val="(%1)"/>
      <w:lvlJc w:val="left"/>
      <w:pPr>
        <w:tabs>
          <w:tab w:val="num" w:pos="980"/>
        </w:tabs>
        <w:ind w:left="980" w:hanging="420"/>
      </w:pPr>
    </w:lvl>
    <w:lvl w:ilvl="1">
      <w:start w:val="1"/>
      <w:numFmt w:val="lowerLetter"/>
      <w:lvlText w:val="%2)"/>
      <w:lvlJc w:val="left"/>
      <w:pPr>
        <w:tabs>
          <w:tab w:val="num" w:pos="1400"/>
        </w:tabs>
        <w:ind w:left="1400" w:hanging="420"/>
      </w:pPr>
    </w:lvl>
    <w:lvl w:ilvl="2">
      <w:start w:val="1"/>
      <w:numFmt w:val="lowerRoman"/>
      <w:lvlText w:val="%3."/>
      <w:lvlJc w:val="right"/>
      <w:pPr>
        <w:tabs>
          <w:tab w:val="num" w:pos="1820"/>
        </w:tabs>
        <w:ind w:left="1820" w:hanging="420"/>
      </w:pPr>
    </w:lvl>
    <w:lvl w:ilvl="3">
      <w:start w:val="1"/>
      <w:numFmt w:val="decimal"/>
      <w:lvlText w:val="%4."/>
      <w:lvlJc w:val="left"/>
      <w:pPr>
        <w:tabs>
          <w:tab w:val="num" w:pos="2240"/>
        </w:tabs>
        <w:ind w:left="2240" w:hanging="420"/>
      </w:pPr>
    </w:lvl>
    <w:lvl w:ilvl="4">
      <w:start w:val="1"/>
      <w:numFmt w:val="lowerLetter"/>
      <w:lvlText w:val="%5)"/>
      <w:lvlJc w:val="left"/>
      <w:pPr>
        <w:tabs>
          <w:tab w:val="num" w:pos="2660"/>
        </w:tabs>
        <w:ind w:left="2660" w:hanging="420"/>
      </w:pPr>
    </w:lvl>
    <w:lvl w:ilvl="5">
      <w:start w:val="1"/>
      <w:numFmt w:val="lowerRoman"/>
      <w:lvlText w:val="%6."/>
      <w:lvlJc w:val="right"/>
      <w:pPr>
        <w:tabs>
          <w:tab w:val="num" w:pos="3080"/>
        </w:tabs>
        <w:ind w:left="3080" w:hanging="420"/>
      </w:pPr>
    </w:lvl>
    <w:lvl w:ilvl="6">
      <w:start w:val="1"/>
      <w:numFmt w:val="decimal"/>
      <w:lvlText w:val="%7."/>
      <w:lvlJc w:val="left"/>
      <w:pPr>
        <w:tabs>
          <w:tab w:val="num" w:pos="3500"/>
        </w:tabs>
        <w:ind w:left="3500" w:hanging="420"/>
      </w:pPr>
    </w:lvl>
    <w:lvl w:ilvl="7">
      <w:start w:val="1"/>
      <w:numFmt w:val="lowerLetter"/>
      <w:lvlText w:val="%8)"/>
      <w:lvlJc w:val="left"/>
      <w:pPr>
        <w:tabs>
          <w:tab w:val="num" w:pos="3920"/>
        </w:tabs>
        <w:ind w:left="3920" w:hanging="420"/>
      </w:pPr>
    </w:lvl>
    <w:lvl w:ilvl="8">
      <w:start w:val="1"/>
      <w:numFmt w:val="lowerRoman"/>
      <w:lvlText w:val="%9."/>
      <w:lvlJc w:val="right"/>
      <w:pPr>
        <w:tabs>
          <w:tab w:val="num" w:pos="4340"/>
        </w:tabs>
        <w:ind w:left="4340" w:hanging="420"/>
      </w:pPr>
    </w:lvl>
  </w:abstractNum>
  <w:abstractNum w:abstractNumId="1">
    <w:nsid w:val="52E561F7"/>
    <w:multiLevelType w:val="multilevel"/>
    <w:tmpl w:val="52E561F7"/>
    <w:lvl w:ilvl="0">
      <w:start w:val="1"/>
      <w:numFmt w:val="bullet"/>
      <w:lvlText w:val=""/>
      <w:lvlJc w:val="left"/>
      <w:pPr>
        <w:ind w:left="1022" w:hanging="420"/>
      </w:pPr>
      <w:rPr>
        <w:rFonts w:ascii="Wingdings" w:hAnsi="Wingdings" w:hint="default"/>
      </w:rPr>
    </w:lvl>
    <w:lvl w:ilvl="1">
      <w:start w:val="1"/>
      <w:numFmt w:val="bullet"/>
      <w:lvlText w:val=""/>
      <w:lvlJc w:val="left"/>
      <w:pPr>
        <w:ind w:left="1442" w:hanging="420"/>
      </w:pPr>
      <w:rPr>
        <w:rFonts w:ascii="Wingdings" w:hAnsi="Wingdings" w:hint="default"/>
      </w:rPr>
    </w:lvl>
    <w:lvl w:ilvl="2">
      <w:start w:val="1"/>
      <w:numFmt w:val="bullet"/>
      <w:lvlText w:val=""/>
      <w:lvlJc w:val="left"/>
      <w:pPr>
        <w:ind w:left="1862" w:hanging="420"/>
      </w:pPr>
      <w:rPr>
        <w:rFonts w:ascii="Wingdings" w:hAnsi="Wingdings" w:hint="default"/>
      </w:rPr>
    </w:lvl>
    <w:lvl w:ilvl="3">
      <w:start w:val="1"/>
      <w:numFmt w:val="bullet"/>
      <w:lvlText w:val=""/>
      <w:lvlJc w:val="left"/>
      <w:pPr>
        <w:ind w:left="2282" w:hanging="420"/>
      </w:pPr>
      <w:rPr>
        <w:rFonts w:ascii="Wingdings" w:hAnsi="Wingdings" w:hint="default"/>
      </w:rPr>
    </w:lvl>
    <w:lvl w:ilvl="4">
      <w:start w:val="1"/>
      <w:numFmt w:val="bullet"/>
      <w:lvlText w:val=""/>
      <w:lvlJc w:val="left"/>
      <w:pPr>
        <w:ind w:left="2702" w:hanging="420"/>
      </w:pPr>
      <w:rPr>
        <w:rFonts w:ascii="Wingdings" w:hAnsi="Wingdings" w:hint="default"/>
      </w:rPr>
    </w:lvl>
    <w:lvl w:ilvl="5">
      <w:start w:val="1"/>
      <w:numFmt w:val="bullet"/>
      <w:lvlText w:val=""/>
      <w:lvlJc w:val="left"/>
      <w:pPr>
        <w:ind w:left="3122" w:hanging="420"/>
      </w:pPr>
      <w:rPr>
        <w:rFonts w:ascii="Wingdings" w:hAnsi="Wingdings" w:hint="default"/>
      </w:rPr>
    </w:lvl>
    <w:lvl w:ilvl="6">
      <w:start w:val="1"/>
      <w:numFmt w:val="bullet"/>
      <w:lvlText w:val=""/>
      <w:lvlJc w:val="left"/>
      <w:pPr>
        <w:ind w:left="3542" w:hanging="420"/>
      </w:pPr>
      <w:rPr>
        <w:rFonts w:ascii="Wingdings" w:hAnsi="Wingdings" w:hint="default"/>
      </w:rPr>
    </w:lvl>
    <w:lvl w:ilvl="7">
      <w:start w:val="1"/>
      <w:numFmt w:val="bullet"/>
      <w:lvlText w:val=""/>
      <w:lvlJc w:val="left"/>
      <w:pPr>
        <w:ind w:left="3962" w:hanging="420"/>
      </w:pPr>
      <w:rPr>
        <w:rFonts w:ascii="Wingdings" w:hAnsi="Wingdings" w:hint="default"/>
      </w:rPr>
    </w:lvl>
    <w:lvl w:ilvl="8">
      <w:start w:val="1"/>
      <w:numFmt w:val="bullet"/>
      <w:lvlText w:val=""/>
      <w:lvlJc w:val="left"/>
      <w:pPr>
        <w:ind w:left="4382" w:hanging="420"/>
      </w:pPr>
      <w:rPr>
        <w:rFonts w:ascii="Wingdings" w:hAnsi="Wingdings" w:hint="default"/>
      </w:rPr>
    </w:lvl>
  </w:abstractNum>
  <w:abstractNum w:abstractNumId="2">
    <w:nsid w:val="61BD5E4D"/>
    <w:multiLevelType w:val="multilevel"/>
    <w:tmpl w:val="61BD5E4D"/>
    <w:lvl w:ilvl="0">
      <w:start w:val="1"/>
      <w:numFmt w:val="bullet"/>
      <w:lvlText w:val=""/>
      <w:lvlJc w:val="left"/>
      <w:pPr>
        <w:tabs>
          <w:tab w:val="num" w:pos="980"/>
        </w:tabs>
        <w:ind w:left="980" w:hanging="420"/>
      </w:pPr>
      <w:rPr>
        <w:rFonts w:ascii="Wingdings" w:hAnsi="Wingdings" w:hint="default"/>
      </w:rPr>
    </w:lvl>
    <w:lvl w:ilvl="1">
      <w:start w:val="1"/>
      <w:numFmt w:val="chineseCountingThousand"/>
      <w:lvlText w:val="(%2)"/>
      <w:lvlJc w:val="left"/>
      <w:pPr>
        <w:tabs>
          <w:tab w:val="num" w:pos="1400"/>
        </w:tabs>
        <w:ind w:left="1400" w:hanging="420"/>
      </w:pPr>
      <w:rPr>
        <w:rFonts w:hint="default"/>
      </w:rPr>
    </w:lvl>
    <w:lvl w:ilvl="2">
      <w:start w:val="1"/>
      <w:numFmt w:val="bullet"/>
      <w:lvlText w:val=""/>
      <w:lvlJc w:val="left"/>
      <w:pPr>
        <w:tabs>
          <w:tab w:val="num" w:pos="1820"/>
        </w:tabs>
        <w:ind w:left="1820" w:hanging="420"/>
      </w:pPr>
      <w:rPr>
        <w:rFonts w:ascii="Wingdings" w:hAnsi="Wingdings" w:hint="default"/>
      </w:rPr>
    </w:lvl>
    <w:lvl w:ilvl="3">
      <w:start w:val="1"/>
      <w:numFmt w:val="bullet"/>
      <w:lvlText w:val=""/>
      <w:lvlJc w:val="left"/>
      <w:pPr>
        <w:tabs>
          <w:tab w:val="num" w:pos="2240"/>
        </w:tabs>
        <w:ind w:left="2240" w:hanging="420"/>
      </w:pPr>
      <w:rPr>
        <w:rFonts w:ascii="Wingdings" w:hAnsi="Wingdings" w:hint="default"/>
      </w:rPr>
    </w:lvl>
    <w:lvl w:ilvl="4">
      <w:start w:val="1"/>
      <w:numFmt w:val="bullet"/>
      <w:lvlText w:val=""/>
      <w:lvlJc w:val="left"/>
      <w:pPr>
        <w:tabs>
          <w:tab w:val="num" w:pos="2660"/>
        </w:tabs>
        <w:ind w:left="2660" w:hanging="420"/>
      </w:pPr>
      <w:rPr>
        <w:rFonts w:ascii="Wingdings" w:hAnsi="Wingdings" w:hint="default"/>
      </w:rPr>
    </w:lvl>
    <w:lvl w:ilvl="5">
      <w:start w:val="1"/>
      <w:numFmt w:val="bullet"/>
      <w:lvlText w:val=""/>
      <w:lvlJc w:val="left"/>
      <w:pPr>
        <w:tabs>
          <w:tab w:val="num" w:pos="3080"/>
        </w:tabs>
        <w:ind w:left="3080" w:hanging="420"/>
      </w:pPr>
      <w:rPr>
        <w:rFonts w:ascii="Wingdings" w:hAnsi="Wingdings" w:hint="default"/>
      </w:rPr>
    </w:lvl>
    <w:lvl w:ilvl="6">
      <w:start w:val="1"/>
      <w:numFmt w:val="bullet"/>
      <w:lvlText w:val=""/>
      <w:lvlJc w:val="left"/>
      <w:pPr>
        <w:tabs>
          <w:tab w:val="num" w:pos="3500"/>
        </w:tabs>
        <w:ind w:left="3500" w:hanging="420"/>
      </w:pPr>
      <w:rPr>
        <w:rFonts w:ascii="Wingdings" w:hAnsi="Wingdings" w:hint="default"/>
      </w:rPr>
    </w:lvl>
    <w:lvl w:ilvl="7">
      <w:start w:val="1"/>
      <w:numFmt w:val="bullet"/>
      <w:lvlText w:val=""/>
      <w:lvlJc w:val="left"/>
      <w:pPr>
        <w:tabs>
          <w:tab w:val="num" w:pos="3920"/>
        </w:tabs>
        <w:ind w:left="3920" w:hanging="420"/>
      </w:pPr>
      <w:rPr>
        <w:rFonts w:ascii="Wingdings" w:hAnsi="Wingdings" w:hint="default"/>
      </w:rPr>
    </w:lvl>
    <w:lvl w:ilvl="8">
      <w:start w:val="1"/>
      <w:numFmt w:val="bullet"/>
      <w:lvlText w:val=""/>
      <w:lvlJc w:val="left"/>
      <w:pPr>
        <w:tabs>
          <w:tab w:val="num" w:pos="4340"/>
        </w:tabs>
        <w:ind w:left="4340" w:hanging="420"/>
      </w:pPr>
      <w:rPr>
        <w:rFonts w:ascii="Wingdings" w:hAnsi="Wingdings" w:hint="default"/>
      </w:rPr>
    </w:lvl>
  </w:abstractNum>
  <w:abstractNum w:abstractNumId="3">
    <w:nsid w:val="6C4C1E98"/>
    <w:multiLevelType w:val="singleLevel"/>
    <w:tmpl w:val="6C4C1E98"/>
    <w:lvl w:ilvl="0">
      <w:start w:val="4"/>
      <w:numFmt w:val="chineseCounting"/>
      <w:suff w:val="nothing"/>
      <w:lvlText w:val="%1、"/>
      <w:lvlJc w:val="left"/>
      <w:rPr>
        <w:rFonts w:hint="eastAsia"/>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stylePaneFormatFilter w:val="3F01"/>
  <w:trackRevisions/>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5FB6"/>
    <w:rsid w:val="00012CDE"/>
    <w:rsid w:val="00022BEE"/>
    <w:rsid w:val="00037C94"/>
    <w:rsid w:val="00047F2F"/>
    <w:rsid w:val="00071F8A"/>
    <w:rsid w:val="000F2F71"/>
    <w:rsid w:val="0010319E"/>
    <w:rsid w:val="001269C4"/>
    <w:rsid w:val="001645A4"/>
    <w:rsid w:val="001926F3"/>
    <w:rsid w:val="00195E82"/>
    <w:rsid w:val="001D1287"/>
    <w:rsid w:val="002102A9"/>
    <w:rsid w:val="00267350"/>
    <w:rsid w:val="002816DD"/>
    <w:rsid w:val="002C1C18"/>
    <w:rsid w:val="002C6E9E"/>
    <w:rsid w:val="003408A6"/>
    <w:rsid w:val="003537DD"/>
    <w:rsid w:val="003901F5"/>
    <w:rsid w:val="00422635"/>
    <w:rsid w:val="00430F2D"/>
    <w:rsid w:val="0046345E"/>
    <w:rsid w:val="0048474E"/>
    <w:rsid w:val="004A73D3"/>
    <w:rsid w:val="0050379E"/>
    <w:rsid w:val="005638BF"/>
    <w:rsid w:val="00573E48"/>
    <w:rsid w:val="005A77C6"/>
    <w:rsid w:val="005D049B"/>
    <w:rsid w:val="005D5238"/>
    <w:rsid w:val="00602F87"/>
    <w:rsid w:val="0068149A"/>
    <w:rsid w:val="006D5DEA"/>
    <w:rsid w:val="007179C7"/>
    <w:rsid w:val="007974C3"/>
    <w:rsid w:val="007B716F"/>
    <w:rsid w:val="007E0E40"/>
    <w:rsid w:val="007E1078"/>
    <w:rsid w:val="007F4A58"/>
    <w:rsid w:val="00813253"/>
    <w:rsid w:val="00813973"/>
    <w:rsid w:val="008802AA"/>
    <w:rsid w:val="008C4D43"/>
    <w:rsid w:val="008F4D40"/>
    <w:rsid w:val="00954CC9"/>
    <w:rsid w:val="009908E4"/>
    <w:rsid w:val="009D0739"/>
    <w:rsid w:val="009F5BE6"/>
    <w:rsid w:val="00A84458"/>
    <w:rsid w:val="00A86CBD"/>
    <w:rsid w:val="00A964B4"/>
    <w:rsid w:val="00AC3159"/>
    <w:rsid w:val="00B02A50"/>
    <w:rsid w:val="00B45A61"/>
    <w:rsid w:val="00C361FD"/>
    <w:rsid w:val="00C43422"/>
    <w:rsid w:val="00C63734"/>
    <w:rsid w:val="00C810BA"/>
    <w:rsid w:val="00CB5975"/>
    <w:rsid w:val="00CC5ADC"/>
    <w:rsid w:val="00D5204C"/>
    <w:rsid w:val="00D716A1"/>
    <w:rsid w:val="00D943A0"/>
    <w:rsid w:val="00DC47AF"/>
    <w:rsid w:val="00DD362F"/>
    <w:rsid w:val="00E049E9"/>
    <w:rsid w:val="00E15302"/>
    <w:rsid w:val="00F55D0B"/>
    <w:rsid w:val="00F805CE"/>
    <w:rsid w:val="00FE4CF9"/>
    <w:rsid w:val="00FE5328"/>
    <w:rsid w:val="03B07CA3"/>
    <w:rsid w:val="048329E3"/>
    <w:rsid w:val="06FB05CB"/>
    <w:rsid w:val="187779E9"/>
    <w:rsid w:val="23F03D2F"/>
    <w:rsid w:val="2C6F63F4"/>
    <w:rsid w:val="2DCF50B7"/>
    <w:rsid w:val="30D52D6D"/>
    <w:rsid w:val="47565A99"/>
    <w:rsid w:val="55A82071"/>
    <w:rsid w:val="5B7D2023"/>
    <w:rsid w:val="5F3C9C89"/>
    <w:rsid w:val="5F76317E"/>
    <w:rsid w:val="61781F86"/>
    <w:rsid w:val="65231656"/>
    <w:rsid w:val="65347B92"/>
    <w:rsid w:val="69DA0037"/>
    <w:rsid w:val="6CF503C5"/>
    <w:rsid w:val="777770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lsdException w:name="caption" w:semiHidden="1" w:unhideWhenUsed="1" w:qFormat="1"/>
    <w:lsdException w:name="annotation reference" w:semiHidden="1"/>
    <w:lsdException w:name="Title" w:qFormat="1"/>
    <w:lsdException w:name="Subtitle" w:qFormat="1"/>
    <w:lsdException w:name="Salutation"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uiPriority="99" w:unhideWhenUsed="1"/>
    <w:lsdException w:name="List Paragraph" w:uiPriority="34" w:qFormat="1"/>
    <w:lsdException w:name="Quote" w:uiPriority="99" w:qFormat="1"/>
    <w:lsdException w:name="Intense Quote" w:uiPriority="99"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character" w:default="1" w:styleId="a0">
    <w:name w:val="Default Paragraph Font"/>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rPr>
      <w:rFonts w:eastAsia="宋体"/>
      <w:b/>
      <w:bCs/>
      <w:kern w:val="44"/>
      <w:sz w:val="44"/>
      <w:szCs w:val="44"/>
      <w:lang w:val="en-US" w:eastAsia="zh-CN" w:bidi="ar-SA"/>
    </w:rPr>
  </w:style>
  <w:style w:type="paragraph" w:styleId="a3">
    <w:name w:val="annotation text"/>
    <w:basedOn w:val="a"/>
    <w:semiHidden/>
    <w:pPr>
      <w:jc w:val="left"/>
    </w:pPr>
  </w:style>
  <w:style w:type="paragraph" w:styleId="a4">
    <w:name w:val="Salutation"/>
    <w:basedOn w:val="a"/>
    <w:next w:val="a"/>
    <w:uiPriority w:val="99"/>
    <w:qFormat/>
    <w:rPr>
      <w:szCs w:val="21"/>
    </w:rPr>
  </w:style>
  <w:style w:type="paragraph" w:styleId="a5">
    <w:name w:val="Balloon Text"/>
    <w:basedOn w:val="a"/>
    <w:semiHidden/>
    <w:rPr>
      <w:sz w:val="18"/>
      <w:szCs w:val="18"/>
    </w:rPr>
  </w:style>
  <w:style w:type="paragraph" w:styleId="a6">
    <w:name w:val="footer"/>
    <w:basedOn w:val="a"/>
    <w:pPr>
      <w:tabs>
        <w:tab w:val="center" w:pos="4153"/>
        <w:tab w:val="right" w:pos="8306"/>
      </w:tabs>
      <w:snapToGrid w:val="0"/>
      <w:jc w:val="left"/>
    </w:pPr>
    <w:rPr>
      <w:sz w:val="18"/>
    </w:rPr>
  </w:style>
  <w:style w:type="paragraph" w:styleId="a7">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semiHidden/>
    <w:rPr>
      <w:b/>
      <w:bCs/>
    </w:rPr>
  </w:style>
  <w:style w:type="character" w:styleId="a9">
    <w:name w:val="page number"/>
  </w:style>
  <w:style w:type="character" w:styleId="aa">
    <w:name w:val="annotation reference"/>
    <w:semiHidden/>
    <w:rPr>
      <w:sz w:val="21"/>
      <w:szCs w:val="21"/>
    </w:rPr>
  </w:style>
  <w:style w:type="paragraph" w:styleId="ab">
    <w:name w:val="List Paragraph"/>
    <w:basedOn w:val="a"/>
    <w:uiPriority w:val="34"/>
    <w:qFormat/>
    <w:pPr>
      <w:ind w:firstLineChars="200" w:firstLine="420"/>
    </w:pPr>
    <w:rPr>
      <w:rFonts w:ascii="Calibri" w:hAnsi="Calibri"/>
      <w:szCs w:val="22"/>
    </w:rPr>
  </w:style>
  <w:style w:type="paragraph" w:styleId="ac">
    <w:name w:val="Revision"/>
    <w:uiPriority w:val="99"/>
    <w:unhideWhenUsed/>
    <w:rPr>
      <w:kern w:val="2"/>
      <w:sz w:val="21"/>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Normal.wpt</Template>
  <TotalTime>0</TotalTime>
  <Pages>4</Pages>
  <Words>216</Words>
  <Characters>1235</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whzhou</dc:creator>
  <cp:lastModifiedBy>user</cp:lastModifiedBy>
  <cp:revision>2</cp:revision>
  <dcterms:created xsi:type="dcterms:W3CDTF">2025-11-07T07:08:00Z</dcterms:created>
  <dcterms:modified xsi:type="dcterms:W3CDTF">2025-11-07T07:08:00Z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3AEB13F6FE144573BBDA95BE8BF80C4E_13</vt:lpwstr>
  </property>
</Properties>
</file>