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15105">
      <w:pPr>
        <w:widowControl/>
        <w:shd w:val="clear" w:color="auto" w:fill="FFFFFF"/>
        <w:spacing w:line="560" w:lineRule="exact"/>
        <w:outlineLvl w:val="1"/>
        <w:rPr>
          <w:rFonts w:ascii="Times New Roman" w:hAnsi="Times New Roman" w:eastAsia="黑体" w:cs="Times New Roman"/>
          <w:color w:val="000000"/>
          <w:kern w:val="0"/>
          <w:sz w:val="32"/>
          <w:szCs w:val="32"/>
        </w:rPr>
      </w:pPr>
      <w:bookmarkStart w:id="0" w:name="_GoBack"/>
      <w:r>
        <w:rPr>
          <w:rFonts w:hint="eastAsia" w:ascii="黑体" w:hAnsi="黑体" w:eastAsia="黑体" w:cs="黑体"/>
          <w:sz w:val="32"/>
          <w:szCs w:val="32"/>
        </w:rPr>
        <w:t>附件</w:t>
      </w:r>
      <w:r>
        <w:rPr>
          <w:rFonts w:ascii="Times New Roman" w:hAnsi="Times New Roman" w:eastAsia="仿宋_GB2312" w:cs="Times New Roman"/>
          <w:sz w:val="32"/>
          <w:szCs w:val="32"/>
        </w:rPr>
        <w:t>1-2</w:t>
      </w:r>
    </w:p>
    <w:p w14:paraId="62F15B74">
      <w:pPr>
        <w:spacing w:line="560" w:lineRule="exact"/>
        <w:rPr>
          <w:rFonts w:ascii="Times New Roman" w:hAnsi="Times New Roman" w:eastAsia="仿宋" w:cs="Times New Roman"/>
          <w:color w:val="000000"/>
          <w:sz w:val="32"/>
          <w:szCs w:val="32"/>
        </w:rPr>
      </w:pPr>
    </w:p>
    <w:p w14:paraId="66F81E91">
      <w:pPr>
        <w:snapToGrid w:val="0"/>
        <w:spacing w:line="560" w:lineRule="exact"/>
        <w:jc w:val="center"/>
        <w:rPr>
          <w:rFonts w:hint="eastAsia"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000000"/>
          <w:kern w:val="0"/>
          <w:sz w:val="44"/>
          <w:szCs w:val="44"/>
        </w:rPr>
        <w:t>《上海证券交易所沪股通投资者程序化</w:t>
      </w:r>
    </w:p>
    <w:p w14:paraId="02E1DBF9">
      <w:pPr>
        <w:snapToGrid w:val="0"/>
        <w:spacing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000000"/>
          <w:kern w:val="0"/>
          <w:sz w:val="44"/>
          <w:szCs w:val="44"/>
        </w:rPr>
        <w:t>交易信息报告表》填报说明</w:t>
      </w:r>
    </w:p>
    <w:p w14:paraId="62292178">
      <w:pPr>
        <w:adjustRightInd w:val="0"/>
        <w:spacing w:line="560" w:lineRule="exact"/>
        <w:ind w:firstLine="640" w:firstLineChars="200"/>
        <w:rPr>
          <w:rFonts w:hint="eastAsia" w:ascii="Times New Roman" w:hAnsi="Times New Roman" w:eastAsia="仿宋_GB2312" w:cs="Segoe UI"/>
          <w:color w:val="000000" w:themeColor="text1"/>
          <w:kern w:val="0"/>
          <w:sz w:val="32"/>
          <w:szCs w:val="32"/>
        </w:rPr>
      </w:pPr>
    </w:p>
    <w:p w14:paraId="59EAB01D">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为做好沪股通投资者程序化交易信息报告工作，根据《上海证券交易所证券交易规则适用指引第</w:t>
      </w:r>
      <w:r>
        <w:rPr>
          <w:rFonts w:ascii="Times New Roman" w:hAnsi="Times New Roman" w:eastAsia="仿宋_GB2312" w:cs="Segoe UI"/>
          <w:color w:val="000000" w:themeColor="text1"/>
          <w:kern w:val="0"/>
          <w:sz w:val="32"/>
          <w:szCs w:val="32"/>
        </w:rPr>
        <w:t>2</w:t>
      </w:r>
      <w:r>
        <w:rPr>
          <w:rFonts w:hint="eastAsia" w:ascii="Times New Roman" w:hAnsi="Times New Roman" w:eastAsia="仿宋_GB2312" w:cs="Segoe UI"/>
          <w:color w:val="000000" w:themeColor="text1"/>
          <w:kern w:val="0"/>
          <w:sz w:val="32"/>
          <w:szCs w:val="32"/>
        </w:rPr>
        <w:t>号——沪股通投资者程序化交易报告》（以下简称《指引》）相关规定，现就《上海证券交易所沪股通投资者程序化交易信息报告表》（以下简称《信息报告表》）填报要求说明如下：</w:t>
      </w:r>
    </w:p>
    <w:p w14:paraId="671CE3ED">
      <w:pPr>
        <w:pStyle w:val="14"/>
        <w:numPr>
          <w:ilvl w:val="0"/>
          <w:numId w:val="1"/>
        </w:numPr>
        <w:spacing w:line="560" w:lineRule="exact"/>
        <w:ind w:left="0" w:firstLine="640"/>
        <w:rPr>
          <w:rFonts w:ascii="Times New Roman" w:hAnsi="Times New Roman" w:eastAsia="黑体" w:cs="Times New Roman"/>
          <w:sz w:val="32"/>
          <w:szCs w:val="32"/>
        </w:rPr>
      </w:pPr>
      <w:r>
        <w:rPr>
          <w:rFonts w:hint="eastAsia" w:ascii="Times New Roman" w:hAnsi="Times New Roman" w:eastAsia="黑体" w:cs="Times New Roman"/>
          <w:sz w:val="32"/>
          <w:szCs w:val="32"/>
        </w:rPr>
        <w:t>应当履行程序化交易报告义务的沪股通投资者范围</w:t>
      </w:r>
    </w:p>
    <w:p w14:paraId="262E9F3C">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沪股通投资者在上海证券交易所（以下简称本所）市场的交易符合以下条件之一的，应当履行报告义务：</w:t>
      </w:r>
    </w:p>
    <w:p w14:paraId="2F4E2688">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（一）下单自动化程度高。证券代码、买卖方向、委托数量、委托价格等指令的核心要素以及指令的下达时间均由计算机自动决定的程序化交易投资者。</w:t>
      </w:r>
    </w:p>
    <w:p w14:paraId="1F26D64D">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（二）申报速率快。</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秒钟内</w:t>
      </w:r>
      <w:r>
        <w:rPr>
          <w:rFonts w:ascii="Times New Roman" w:hAnsi="Times New Roman" w:eastAsia="仿宋_GB2312" w:cs="Segoe UI"/>
          <w:color w:val="000000" w:themeColor="text1"/>
          <w:kern w:val="0"/>
          <w:sz w:val="32"/>
          <w:szCs w:val="32"/>
        </w:rPr>
        <w:t>10</w:t>
      </w:r>
      <w:r>
        <w:rPr>
          <w:rFonts w:hint="eastAsia" w:ascii="Times New Roman" w:hAnsi="Times New Roman" w:eastAsia="仿宋_GB2312" w:cs="Segoe UI"/>
          <w:color w:val="000000" w:themeColor="text1"/>
          <w:kern w:val="0"/>
          <w:sz w:val="32"/>
          <w:szCs w:val="32"/>
        </w:rPr>
        <w:t>笔以上申报（含撤单申报），且前述情形在</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天内出现</w:t>
      </w:r>
      <w:r>
        <w:rPr>
          <w:rFonts w:ascii="Times New Roman" w:hAnsi="Times New Roman" w:eastAsia="仿宋_GB2312" w:cs="Segoe UI"/>
          <w:color w:val="000000" w:themeColor="text1"/>
          <w:kern w:val="0"/>
          <w:sz w:val="32"/>
          <w:szCs w:val="32"/>
        </w:rPr>
        <w:t>10</w:t>
      </w:r>
      <w:r>
        <w:rPr>
          <w:rFonts w:hint="eastAsia" w:ascii="Times New Roman" w:hAnsi="Times New Roman" w:eastAsia="仿宋_GB2312" w:cs="Segoe UI"/>
          <w:color w:val="000000" w:themeColor="text1"/>
          <w:kern w:val="0"/>
          <w:sz w:val="32"/>
          <w:szCs w:val="32"/>
        </w:rPr>
        <w:t>次以上的程序化交易投资者。</w:t>
      </w:r>
    </w:p>
    <w:p w14:paraId="2F134BAE">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（三）交易股票只数多、换手率高。最近</w:t>
      </w:r>
      <w:r>
        <w:rPr>
          <w:rFonts w:ascii="Times New Roman" w:hAnsi="Times New Roman" w:eastAsia="仿宋_GB2312" w:cs="Segoe UI"/>
          <w:color w:val="000000" w:themeColor="text1"/>
          <w:kern w:val="0"/>
          <w:sz w:val="32"/>
          <w:szCs w:val="32"/>
        </w:rPr>
        <w:t>30</w:t>
      </w:r>
      <w:r>
        <w:rPr>
          <w:rFonts w:hint="eastAsia" w:ascii="Times New Roman" w:hAnsi="Times New Roman" w:eastAsia="仿宋_GB2312" w:cs="Segoe UI"/>
          <w:color w:val="000000" w:themeColor="text1"/>
          <w:kern w:val="0"/>
          <w:sz w:val="32"/>
          <w:szCs w:val="32"/>
        </w:rPr>
        <w:t>个沪股通交易日日均交易沪市股票不少于</w:t>
      </w:r>
      <w:r>
        <w:rPr>
          <w:rFonts w:ascii="Times New Roman" w:hAnsi="Times New Roman" w:eastAsia="仿宋_GB2312" w:cs="Segoe UI"/>
          <w:color w:val="000000" w:themeColor="text1"/>
          <w:kern w:val="0"/>
          <w:sz w:val="32"/>
          <w:szCs w:val="32"/>
        </w:rPr>
        <w:t>50</w:t>
      </w:r>
      <w:r>
        <w:rPr>
          <w:rFonts w:hint="eastAsia" w:ascii="Times New Roman" w:hAnsi="Times New Roman" w:eastAsia="仿宋_GB2312" w:cs="Segoe UI"/>
          <w:color w:val="000000" w:themeColor="text1"/>
          <w:kern w:val="0"/>
          <w:sz w:val="32"/>
          <w:szCs w:val="32"/>
        </w:rPr>
        <w:t>只，且最近</w:t>
      </w:r>
      <w:r>
        <w:rPr>
          <w:rFonts w:ascii="Times New Roman" w:hAnsi="Times New Roman" w:eastAsia="仿宋_GB2312" w:cs="Segoe UI"/>
          <w:color w:val="000000" w:themeColor="text1"/>
          <w:kern w:val="0"/>
          <w:sz w:val="32"/>
          <w:szCs w:val="32"/>
        </w:rPr>
        <w:t>30</w:t>
      </w:r>
      <w:r>
        <w:rPr>
          <w:rFonts w:hint="eastAsia" w:ascii="Times New Roman" w:hAnsi="Times New Roman" w:eastAsia="仿宋_GB2312" w:cs="Segoe UI"/>
          <w:color w:val="000000" w:themeColor="text1"/>
          <w:kern w:val="0"/>
          <w:sz w:val="32"/>
          <w:szCs w:val="32"/>
        </w:rPr>
        <w:t>个沪股通交易日年化换手率</w:t>
      </w:r>
      <w:r>
        <w:rPr>
          <w:rStyle w:val="11"/>
          <w:rFonts w:hint="eastAsia" w:ascii="Times New Roman" w:hAnsi="Times New Roman" w:eastAsia="仿宋_GB2312" w:cs="Segoe UI"/>
          <w:color w:val="000000" w:themeColor="text1"/>
          <w:kern w:val="0"/>
          <w:sz w:val="32"/>
          <w:szCs w:val="32"/>
        </w:rPr>
        <w:footnoteReference w:id="0"/>
      </w:r>
      <w:r>
        <w:rPr>
          <w:rFonts w:hint="eastAsia" w:ascii="Times New Roman" w:hAnsi="Times New Roman" w:eastAsia="仿宋_GB2312" w:cs="Segoe UI"/>
          <w:color w:val="000000" w:themeColor="text1"/>
          <w:kern w:val="0"/>
          <w:sz w:val="32"/>
          <w:szCs w:val="32"/>
        </w:rPr>
        <w:t>在</w:t>
      </w:r>
      <w:r>
        <w:rPr>
          <w:rFonts w:ascii="Times New Roman" w:hAnsi="Times New Roman" w:eastAsia="仿宋_GB2312" w:cs="Segoe UI"/>
          <w:color w:val="000000" w:themeColor="text1"/>
          <w:kern w:val="0"/>
          <w:sz w:val="32"/>
          <w:szCs w:val="32"/>
        </w:rPr>
        <w:t>30</w:t>
      </w:r>
      <w:r>
        <w:rPr>
          <w:rFonts w:hint="eastAsia" w:ascii="Times New Roman" w:hAnsi="Times New Roman" w:eastAsia="仿宋_GB2312" w:cs="Segoe UI"/>
          <w:color w:val="000000" w:themeColor="text1"/>
          <w:kern w:val="0"/>
          <w:sz w:val="32"/>
          <w:szCs w:val="32"/>
        </w:rPr>
        <w:t>倍以上的程序化交易投资者。</w:t>
      </w:r>
    </w:p>
    <w:p w14:paraId="43E9172A">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（四）使用自主研发或者其他定制软件的程序化交易投资者。</w:t>
      </w:r>
    </w:p>
    <w:p w14:paraId="54C6E8C3">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（五）本所认定的需要报告的其他情形。</w:t>
      </w:r>
    </w:p>
    <w:p w14:paraId="4D8DD509">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使用联交所参与者为客户提供的带有一定自动化功能的客户端软件进行交易，且不符合上述条件的投资者，无需进行报告。</w:t>
      </w:r>
    </w:p>
    <w:p w14:paraId="2A45FCD3">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联交所参与者应当以适当形式告知客户，符合上述条件之一的沪股通投资者应当履行程序化交易报告义务。对于第二项和第三项标准，联交所参与者应当建立监测识别机制，及时发现达到报告要求的客户。联交所参与者如知晓客户存在第一项或者第四项情形的，包括但不限于联交所参与者为个别客户定制交易软件或者与客户共同研发交易软件，为量化客户执行量化交易策略等，应当督促提醒相关客户履行报告义务。</w:t>
      </w:r>
    </w:p>
    <w:p w14:paraId="7F3C379B">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沪股通程序化交易投资者报告单位</w:t>
      </w:r>
    </w:p>
    <w:p w14:paraId="23FB1271">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沪股通程序化交易投资者以北向交易投资者识别码（以下简称账户）为单位进行报告，原则上每个账户报告一条信息。投资者在不同联交所参与者开立多个账户，对于达到相关标准的账户，应当通过对应联交所参与者分别报告。</w:t>
      </w:r>
    </w:p>
    <w:p w14:paraId="71EC7C06">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在多家联交所参与者开立账户（含机构管理人账户、管理人旗下的产品账户）的机构投资者，对于以同一证件号码开立的账户，可以选取一家联交所参与者并按机构维度（同一证件号码下开立的账户合计）填写账户资金信息相关字段（包括账户资金规模、账户资金来源、其他资金来源描述、资金来源占比、杠杆资金规模、杠杆资金来源、其他杠杆资金来源描述、杠杆率）。其以同一证件号码在其他联交所参与者开立的账户，可以不再重复填写上述信息，并在相应字段填写“已在其他联交所参与者报告”，上述字段以外的其他字段仍须按照要求填写。</w:t>
      </w:r>
    </w:p>
    <w:p w14:paraId="39D66457">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存量投资者报告要求</w:t>
      </w:r>
    </w:p>
    <w:p w14:paraId="55886807">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存量投资者是指《指引》施行前一年内开展过程序化交易且达到相关标准，此后仍将持续开展程序化交易的投资者。存量投资者应当在《指引》正式施行后3个月内（</w:t>
      </w:r>
      <w:r>
        <w:rPr>
          <w:rFonts w:ascii="Times New Roman" w:hAnsi="Times New Roman" w:eastAsia="仿宋_GB2312" w:cs="Segoe UI"/>
          <w:color w:val="000000" w:themeColor="text1"/>
          <w:kern w:val="0"/>
          <w:sz w:val="32"/>
          <w:szCs w:val="32"/>
        </w:rPr>
        <w:t>202X</w:t>
      </w:r>
      <w:r>
        <w:rPr>
          <w:rFonts w:hint="eastAsia" w:ascii="Times New Roman" w:hAnsi="Times New Roman" w:eastAsia="仿宋_GB2312" w:cs="Segoe UI"/>
          <w:color w:val="000000" w:themeColor="text1"/>
          <w:kern w:val="0"/>
          <w:sz w:val="32"/>
          <w:szCs w:val="32"/>
        </w:rPr>
        <w:t>年</w:t>
      </w:r>
      <w:r>
        <w:rPr>
          <w:rFonts w:ascii="Times New Roman" w:hAnsi="Times New Roman" w:eastAsia="仿宋_GB2312" w:cs="Segoe UI"/>
          <w:color w:val="000000" w:themeColor="text1"/>
          <w:kern w:val="0"/>
          <w:sz w:val="32"/>
          <w:szCs w:val="32"/>
        </w:rPr>
        <w:t>X</w:t>
      </w:r>
      <w:r>
        <w:rPr>
          <w:rFonts w:hint="eastAsia" w:ascii="Times New Roman" w:hAnsi="Times New Roman" w:eastAsia="仿宋_GB2312" w:cs="Segoe UI"/>
          <w:color w:val="000000" w:themeColor="text1"/>
          <w:kern w:val="0"/>
          <w:sz w:val="32"/>
          <w:szCs w:val="32"/>
        </w:rPr>
        <w:t>月</w:t>
      </w:r>
      <w:r>
        <w:rPr>
          <w:rFonts w:ascii="Times New Roman" w:hAnsi="Times New Roman" w:eastAsia="仿宋_GB2312" w:cs="Segoe UI"/>
          <w:color w:val="000000" w:themeColor="text1"/>
          <w:kern w:val="0"/>
          <w:sz w:val="32"/>
          <w:szCs w:val="32"/>
        </w:rPr>
        <w:t>X</w:t>
      </w:r>
      <w:r>
        <w:rPr>
          <w:rFonts w:hint="eastAsia" w:ascii="Times New Roman" w:hAnsi="Times New Roman" w:eastAsia="仿宋_GB2312" w:cs="Segoe UI"/>
          <w:color w:val="000000" w:themeColor="text1"/>
          <w:kern w:val="0"/>
          <w:sz w:val="32"/>
          <w:szCs w:val="32"/>
        </w:rPr>
        <w:t>日前）完成报告。</w:t>
      </w:r>
    </w:p>
    <w:p w14:paraId="3B83C1AB">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可豁免高频报告信息的主体范围</w:t>
      </w:r>
    </w:p>
    <w:p w14:paraId="500D0ACF">
      <w:pPr>
        <w:pStyle w:val="20"/>
        <w:spacing w:line="560" w:lineRule="exact"/>
        <w:ind w:firstLine="640"/>
        <w:rPr>
          <w:rFonts w:ascii="Times New Roman" w:hAnsi="Times New Roman" w:eastAsia="仿宋_GB2312"/>
          <w:sz w:val="32"/>
          <w:szCs w:val="32"/>
        </w:rPr>
      </w:pPr>
      <w:r>
        <w:rPr>
          <w:rFonts w:hint="eastAsia" w:ascii="Times New Roman" w:hAnsi="Times New Roman" w:eastAsia="仿宋_GB2312" w:cs="Segoe UI"/>
          <w:color w:val="000000" w:themeColor="text1"/>
          <w:kern w:val="0"/>
          <w:sz w:val="32"/>
          <w:szCs w:val="32"/>
        </w:rPr>
        <w:t>《指引》第七条中仅发行公众基金的基金管理人、从事资产管理业务</w:t>
      </w:r>
      <w:r>
        <w:rPr>
          <w:rFonts w:hint="eastAsia" w:ascii="Times New Roman" w:hAnsi="Times New Roman" w:eastAsia="仿宋_GB2312"/>
          <w:sz w:val="32"/>
          <w:szCs w:val="32"/>
        </w:rPr>
        <w:t>且符合相关要求</w:t>
      </w:r>
      <w:r>
        <w:rPr>
          <w:rFonts w:hint="eastAsia" w:ascii="Times New Roman" w:hAnsi="Times New Roman" w:eastAsia="仿宋_GB2312" w:cs="Segoe UI"/>
          <w:color w:val="000000" w:themeColor="text1"/>
          <w:kern w:val="0"/>
          <w:sz w:val="32"/>
          <w:szCs w:val="32"/>
        </w:rPr>
        <w:t>的联交所参与者、具有合格境外投资者资格的沪股通程序化交易投资者以及本所认定的其他投资者为特定目的仅开展拆单交易的，可以豁免报告</w:t>
      </w:r>
      <w:r>
        <w:rPr>
          <w:rFonts w:hint="eastAsia" w:ascii="Times New Roman" w:hAnsi="Times New Roman" w:eastAsia="仿宋_GB2312"/>
          <w:sz w:val="32"/>
          <w:szCs w:val="32"/>
        </w:rPr>
        <w:t>高频交易系统服务器所在地、高频交易系统测试报告和高频交易系统发生故障时的应急方案等信息。</w:t>
      </w:r>
    </w:p>
    <w:p w14:paraId="7A3BE7B2">
      <w:pPr>
        <w:pStyle w:val="2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“公众基金”指获得香港证监会核准向零售投资者发售的基金，从事</w:t>
      </w:r>
      <w:r>
        <w:rPr>
          <w:rFonts w:hint="eastAsia" w:ascii="Times New Roman" w:hAnsi="Times New Roman" w:eastAsia="仿宋_GB2312" w:cs="Segoe UI"/>
          <w:color w:val="000000" w:themeColor="text1"/>
          <w:kern w:val="0"/>
          <w:sz w:val="32"/>
          <w:szCs w:val="32"/>
        </w:rPr>
        <w:t>资产管理业务的联交所参与者需持有香港证监会批准的资产管理业务牌照（类别9）至少5年以上。前述主体报告时需提交其符合豁免要求的相关证明文件并经联交所确认，</w:t>
      </w:r>
      <w:r>
        <w:rPr>
          <w:rFonts w:hint="eastAsia" w:ascii="Times New Roman" w:hAnsi="Times New Roman" w:eastAsia="仿宋_GB2312"/>
          <w:sz w:val="32"/>
          <w:szCs w:val="32"/>
        </w:rPr>
        <w:t>具体可豁免的名单、相关牌照获准日期</w:t>
      </w:r>
      <w:r>
        <w:rPr>
          <w:rFonts w:hint="eastAsia" w:ascii="Times New Roman" w:hAnsi="Times New Roman" w:eastAsia="仿宋_GB2312" w:cs="Segoe UI"/>
          <w:color w:val="000000" w:themeColor="text1"/>
          <w:kern w:val="0"/>
          <w:sz w:val="32"/>
          <w:szCs w:val="32"/>
        </w:rPr>
        <w:t>及其对应账户以</w:t>
      </w:r>
      <w:r>
        <w:rPr>
          <w:rFonts w:hint="eastAsia" w:ascii="Times New Roman" w:hAnsi="Times New Roman" w:eastAsia="仿宋_GB2312"/>
          <w:sz w:val="32"/>
          <w:szCs w:val="32"/>
        </w:rPr>
        <w:t>联交所向本所提供的为准</w:t>
      </w:r>
      <w:r>
        <w:rPr>
          <w:rFonts w:hint="eastAsia" w:ascii="Times New Roman" w:hAnsi="Times New Roman" w:eastAsia="仿宋_GB2312" w:cs="Segoe UI"/>
          <w:color w:val="000000" w:themeColor="text1"/>
          <w:kern w:val="0"/>
          <w:sz w:val="32"/>
          <w:szCs w:val="32"/>
        </w:rPr>
        <w:t>。“</w:t>
      </w:r>
      <w:r>
        <w:rPr>
          <w:rFonts w:hint="eastAsia" w:ascii="Times New Roman" w:hAnsi="Times New Roman" w:eastAsia="仿宋_GB2312"/>
          <w:sz w:val="32"/>
          <w:szCs w:val="32"/>
        </w:rPr>
        <w:t>仅开展拆单交易</w:t>
      </w:r>
      <w:r>
        <w:rPr>
          <w:rFonts w:hint="eastAsia" w:ascii="Times New Roman" w:hAnsi="Times New Roman" w:eastAsia="仿宋_GB2312" w:cs="Segoe UI"/>
          <w:color w:val="000000" w:themeColor="text1"/>
          <w:kern w:val="0"/>
          <w:sz w:val="32"/>
          <w:szCs w:val="32"/>
        </w:rPr>
        <w:t>”</w:t>
      </w:r>
      <w:r>
        <w:rPr>
          <w:rFonts w:hint="eastAsia" w:ascii="Times New Roman" w:hAnsi="Times New Roman" w:eastAsia="仿宋_GB2312"/>
          <w:sz w:val="32"/>
          <w:szCs w:val="32"/>
        </w:rPr>
        <w:t>指除拆单交易外不存在其他程序化交易行为，</w:t>
      </w:r>
      <w:r>
        <w:rPr>
          <w:rFonts w:hint="eastAsia" w:ascii="Times New Roman" w:hAnsi="Times New Roman" w:eastAsia="仿宋_GB2312" w:cs="Segoe UI"/>
          <w:color w:val="000000" w:themeColor="text1"/>
          <w:kern w:val="0"/>
          <w:sz w:val="32"/>
          <w:szCs w:val="32"/>
        </w:rPr>
        <w:t>量化交易不属于仅开展拆单交易的范畴。</w:t>
      </w:r>
    </w:p>
    <w:p w14:paraId="456F9117">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“联交所参与者名称”填报要求</w:t>
      </w:r>
    </w:p>
    <w:p w14:paraId="532B048C">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由上传《信息报告表》的联交所参与者填写公司全称。</w:t>
      </w:r>
    </w:p>
    <w:p w14:paraId="6C18D41C">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“经纪商代码”填报要求</w:t>
      </w:r>
    </w:p>
    <w:p w14:paraId="3D37E998">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由上传《信息报告表》的联交所参与者填写联交所分配的经纪商代码。</w:t>
      </w:r>
    </w:p>
    <w:p w14:paraId="63E44350">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“账户名称”填报要求</w:t>
      </w:r>
    </w:p>
    <w:p w14:paraId="5AD1D070">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填写账户名称的全称，与</w:t>
      </w:r>
      <w:r>
        <w:fldChar w:fldCharType="begin"/>
      </w:r>
      <w:r>
        <w:instrText xml:space="preserve"> HYPERLINK "https://www.hkex.com.hk/-/media/HKEX-Market/Mutual-Market/Stock-Connect/Reference-Materials/Northbound-Investor-ID-Model/BCANCID-Mapping-File-Example-(Version-1,-d-,0).pdf" \t "_blank" </w:instrText>
      </w:r>
      <w:r>
        <w:fldChar w:fldCharType="separate"/>
      </w:r>
      <w:r>
        <w:rPr>
          <w:rFonts w:hint="eastAsia" w:ascii="Times New Roman" w:hAnsi="Times New Roman" w:eastAsia="仿宋_GB2312" w:cs="Segoe UI"/>
          <w:color w:val="000000" w:themeColor="text1"/>
          <w:kern w:val="0"/>
          <w:sz w:val="32"/>
          <w:szCs w:val="32"/>
        </w:rPr>
        <w:t>券商客户编码及客户识别信息配对文件</w:t>
      </w:r>
      <w:r>
        <w:rPr>
          <w:rFonts w:hint="eastAsia" w:ascii="Times New Roman" w:hAnsi="Times New Roman" w:eastAsia="仿宋_GB2312" w:cs="Segoe UI"/>
          <w:color w:val="000000" w:themeColor="text1"/>
          <w:kern w:val="0"/>
          <w:sz w:val="32"/>
          <w:szCs w:val="32"/>
        </w:rPr>
        <w:fldChar w:fldCharType="end"/>
      </w:r>
      <w:r>
        <w:rPr>
          <w:rFonts w:hint="eastAsia" w:ascii="Times New Roman" w:hAnsi="Times New Roman" w:eastAsia="仿宋_GB2312" w:cs="Segoe UI"/>
          <w:color w:val="000000" w:themeColor="text1"/>
          <w:kern w:val="0"/>
          <w:sz w:val="32"/>
          <w:szCs w:val="32"/>
        </w:rPr>
        <w:t>一致。</w:t>
      </w:r>
    </w:p>
    <w:p w14:paraId="40425DC6">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“证件号码”填报要求</w:t>
      </w:r>
    </w:p>
    <w:p w14:paraId="7E1EC4B2">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填写投资者登记券商客户编码时的证件号码，例如机构投资者填写</w:t>
      </w:r>
      <w:r>
        <w:rPr>
          <w:rFonts w:ascii="Times New Roman" w:hAnsi="Times New Roman" w:eastAsia="仿宋_GB2312" w:cs="Segoe UI"/>
          <w:color w:val="000000" w:themeColor="text1"/>
          <w:kern w:val="0"/>
          <w:sz w:val="32"/>
          <w:szCs w:val="32"/>
        </w:rPr>
        <w:t>LEI</w:t>
      </w:r>
      <w:r>
        <w:rPr>
          <w:rFonts w:hint="eastAsia" w:ascii="Times New Roman" w:hAnsi="Times New Roman" w:eastAsia="仿宋_GB2312" w:cs="Segoe UI"/>
          <w:color w:val="000000" w:themeColor="text1"/>
          <w:kern w:val="0"/>
          <w:sz w:val="32"/>
          <w:szCs w:val="32"/>
        </w:rPr>
        <w:t>码。该字段填写相同证件号码的机构账户，可以适用填报说明第二条第二款规定，选取一家联交所参与者集中填报资金信息。</w:t>
      </w:r>
    </w:p>
    <w:p w14:paraId="1BF59C15">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“产品编码”填报要求（选填）</w:t>
      </w:r>
    </w:p>
    <w:p w14:paraId="4460E58F">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如为基金产品账户，可以填写该产品的产品编码。</w:t>
      </w:r>
    </w:p>
    <w:p w14:paraId="57FF1E5F">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“券商客户编码”填报要求</w:t>
      </w:r>
    </w:p>
    <w:p w14:paraId="42D0EFF8">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填写联交所参与者向沪股通程序化交易投资者编派的唯一券商客户编码。</w:t>
      </w:r>
    </w:p>
    <w:p w14:paraId="6DE53F90">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“产品管理机构名称”填报要求</w:t>
      </w:r>
    </w:p>
    <w:p w14:paraId="26088533">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如为产品账户，填写该产品管理机构全称。例如，资管产品账户填写该资管机构全称。</w:t>
      </w:r>
    </w:p>
    <w:p w14:paraId="42975DE0">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“报告类型”填报要求</w:t>
      </w:r>
    </w:p>
    <w:p w14:paraId="4E396BAA">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（一）属于首次报告的，填写“首次”。属于报告信息发生重大变更情形的，填写“变更”。属于重大变更情形中“账户停止进行程序化交易”的，填写“停止使用”。</w:t>
      </w:r>
    </w:p>
    <w:p w14:paraId="5701804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（二）报告类型为“变更”的，在发生变更的栏目填写变更后的信息，未发生变更的栏目填写原信息。</w:t>
      </w:r>
    </w:p>
    <w:p w14:paraId="02CFB5C9">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报告类型为“停止使用”的，填写联交所参与者名称、经纪商代码、账户名称、券商客户编码、报告日期。其中“停止使用”是指该账户“停止使用”报告后不再进行程序化交易。如需重新进行的，应当再次报告，报告方式按照首次报告进行。</w:t>
      </w:r>
    </w:p>
    <w:p w14:paraId="3DB9E905">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重大变更报告填报要求</w:t>
      </w:r>
    </w:p>
    <w:p w14:paraId="082A85C0">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客户报告信息发生重大变更的，应当在变更发生后下一个自然月的前</w:t>
      </w:r>
      <w:r>
        <w:rPr>
          <w:rFonts w:ascii="Times New Roman" w:hAnsi="Times New Roman" w:eastAsia="仿宋_GB2312" w:cs="Segoe UI"/>
          <w:color w:val="000000" w:themeColor="text1"/>
          <w:kern w:val="0"/>
          <w:sz w:val="32"/>
          <w:szCs w:val="32"/>
        </w:rPr>
        <w:t>5</w:t>
      </w:r>
      <w:r>
        <w:rPr>
          <w:rFonts w:hint="eastAsia" w:ascii="Times New Roman" w:hAnsi="Times New Roman" w:eastAsia="仿宋_GB2312" w:cs="Segoe UI"/>
          <w:color w:val="000000" w:themeColor="text1"/>
          <w:kern w:val="0"/>
          <w:sz w:val="32"/>
          <w:szCs w:val="32"/>
        </w:rPr>
        <w:t>个沪股通交易日内向联交所参与者进行报告，联交所参与者应当在收到变更报告之日起</w:t>
      </w:r>
      <w:r>
        <w:rPr>
          <w:rFonts w:ascii="Times New Roman" w:hAnsi="Times New Roman" w:eastAsia="仿宋_GB2312" w:cs="Segoe UI"/>
          <w:color w:val="000000" w:themeColor="text1"/>
          <w:kern w:val="0"/>
          <w:sz w:val="32"/>
          <w:szCs w:val="32"/>
        </w:rPr>
        <w:t>5</w:t>
      </w:r>
      <w:r>
        <w:rPr>
          <w:rFonts w:hint="eastAsia" w:ascii="Times New Roman" w:hAnsi="Times New Roman" w:eastAsia="仿宋_GB2312" w:cs="Segoe UI"/>
          <w:color w:val="000000" w:themeColor="text1"/>
          <w:kern w:val="0"/>
          <w:sz w:val="32"/>
          <w:szCs w:val="32"/>
        </w:rPr>
        <w:t>个沪股通交易日内向联交所证券交易服务公司报告。联交所参与者报告信息发生重大变更的，应当在变更发生后下一个自然月的前</w:t>
      </w:r>
      <w:r>
        <w:rPr>
          <w:rFonts w:ascii="Times New Roman" w:hAnsi="Times New Roman" w:eastAsia="仿宋_GB2312" w:cs="Segoe UI"/>
          <w:color w:val="000000" w:themeColor="text1"/>
          <w:kern w:val="0"/>
          <w:sz w:val="32"/>
          <w:szCs w:val="32"/>
        </w:rPr>
        <w:t>5</w:t>
      </w:r>
      <w:r>
        <w:rPr>
          <w:rFonts w:hint="eastAsia" w:ascii="Times New Roman" w:hAnsi="Times New Roman" w:eastAsia="仿宋_GB2312" w:cs="Segoe UI"/>
          <w:color w:val="000000" w:themeColor="text1"/>
          <w:kern w:val="0"/>
          <w:sz w:val="32"/>
          <w:szCs w:val="32"/>
        </w:rPr>
        <w:t>个沪股通交易日内向联交所证券交易服务公司进行报告。</w:t>
      </w:r>
    </w:p>
    <w:p w14:paraId="65CC2E98">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已报告信息存在下列情形之一的，属于重大变更，应当报告：</w:t>
      </w:r>
    </w:p>
    <w:p w14:paraId="19825060">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（一）账户资金规模增加</w:t>
      </w:r>
      <w:r>
        <w:rPr>
          <w:rFonts w:ascii="Times New Roman" w:hAnsi="Times New Roman" w:eastAsia="仿宋_GB2312" w:cs="Segoe UI"/>
          <w:color w:val="000000" w:themeColor="text1"/>
          <w:kern w:val="0"/>
          <w:sz w:val="32"/>
          <w:szCs w:val="32"/>
        </w:rPr>
        <w:t>5</w:t>
      </w:r>
      <w:r>
        <w:rPr>
          <w:rFonts w:hint="eastAsia" w:ascii="Times New Roman" w:hAnsi="Times New Roman" w:eastAsia="仿宋_GB2312" w:cs="Segoe UI"/>
          <w:color w:val="000000" w:themeColor="text1"/>
          <w:kern w:val="0"/>
          <w:sz w:val="32"/>
          <w:szCs w:val="32"/>
        </w:rPr>
        <w:t>倍以上且资金规模变动</w:t>
      </w:r>
      <w:r>
        <w:rPr>
          <w:rFonts w:ascii="Times New Roman" w:hAnsi="Times New Roman" w:eastAsia="仿宋_GB2312" w:cs="Segoe UI"/>
          <w:color w:val="000000" w:themeColor="text1"/>
          <w:kern w:val="0"/>
          <w:sz w:val="32"/>
          <w:szCs w:val="32"/>
        </w:rPr>
        <w:t>1000</w:t>
      </w:r>
      <w:r>
        <w:rPr>
          <w:rFonts w:hint="eastAsia" w:ascii="Times New Roman" w:hAnsi="Times New Roman" w:eastAsia="仿宋_GB2312" w:cs="Segoe UI"/>
          <w:color w:val="000000" w:themeColor="text1"/>
          <w:kern w:val="0"/>
          <w:sz w:val="32"/>
          <w:szCs w:val="32"/>
        </w:rPr>
        <w:t>万元以上。</w:t>
      </w:r>
    </w:p>
    <w:p w14:paraId="5004FE47">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（二）账户资金规模减少</w:t>
      </w:r>
      <w:r>
        <w:rPr>
          <w:rFonts w:ascii="Times New Roman" w:hAnsi="Times New Roman" w:eastAsia="仿宋_GB2312" w:cs="Segoe UI"/>
          <w:color w:val="000000" w:themeColor="text1"/>
          <w:kern w:val="0"/>
          <w:sz w:val="32"/>
          <w:szCs w:val="32"/>
        </w:rPr>
        <w:t>50%</w:t>
      </w:r>
      <w:r>
        <w:rPr>
          <w:rFonts w:hint="eastAsia" w:ascii="Times New Roman" w:hAnsi="Times New Roman" w:eastAsia="仿宋_GB2312" w:cs="Segoe UI"/>
          <w:color w:val="000000" w:themeColor="text1"/>
          <w:kern w:val="0"/>
          <w:sz w:val="32"/>
          <w:szCs w:val="32"/>
        </w:rPr>
        <w:t>以上且资金规模变动</w:t>
      </w:r>
      <w:r>
        <w:rPr>
          <w:rFonts w:ascii="Times New Roman" w:hAnsi="Times New Roman" w:eastAsia="仿宋_GB2312" w:cs="Segoe UI"/>
          <w:color w:val="000000" w:themeColor="text1"/>
          <w:kern w:val="0"/>
          <w:sz w:val="32"/>
          <w:szCs w:val="32"/>
        </w:rPr>
        <w:t>1000</w:t>
      </w:r>
      <w:r>
        <w:rPr>
          <w:rFonts w:hint="eastAsia" w:ascii="Times New Roman" w:hAnsi="Times New Roman" w:eastAsia="仿宋_GB2312" w:cs="Segoe UI"/>
          <w:color w:val="000000" w:themeColor="text1"/>
          <w:kern w:val="0"/>
          <w:sz w:val="32"/>
          <w:szCs w:val="32"/>
        </w:rPr>
        <w:t>万元以上。</w:t>
      </w:r>
    </w:p>
    <w:p w14:paraId="714115E4">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（三）杠杆资金来源发生变更。</w:t>
      </w:r>
    </w:p>
    <w:p w14:paraId="0E2F6433">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（四）杠杆资金规模变动</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倍以上且规模变动</w:t>
      </w:r>
      <w:r>
        <w:rPr>
          <w:rFonts w:ascii="Times New Roman" w:hAnsi="Times New Roman" w:eastAsia="仿宋_GB2312" w:cs="Segoe UI"/>
          <w:color w:val="000000" w:themeColor="text1"/>
          <w:kern w:val="0"/>
          <w:sz w:val="32"/>
          <w:szCs w:val="32"/>
        </w:rPr>
        <w:t>500</w:t>
      </w:r>
      <w:r>
        <w:rPr>
          <w:rFonts w:hint="eastAsia" w:ascii="Times New Roman" w:hAnsi="Times New Roman" w:eastAsia="仿宋_GB2312" w:cs="Segoe UI"/>
          <w:color w:val="000000" w:themeColor="text1"/>
          <w:kern w:val="0"/>
          <w:sz w:val="32"/>
          <w:szCs w:val="32"/>
        </w:rPr>
        <w:t>万元以上。</w:t>
      </w:r>
    </w:p>
    <w:p w14:paraId="2B4511E0">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（五）账户最高申报速率或账户单日最高申报笔数发生变更。</w:t>
      </w:r>
    </w:p>
    <w:p w14:paraId="70DDFB26">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（六）主策略类型变更。</w:t>
      </w:r>
    </w:p>
    <w:p w14:paraId="0E3CDA96">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（七）程序化交易系统信息发生变更。</w:t>
      </w:r>
    </w:p>
    <w:p w14:paraId="056A5CBB">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（八）账户停止进行程序化交易。</w:t>
      </w:r>
    </w:p>
    <w:p w14:paraId="2E7A8AEF">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sz w:val="32"/>
          <w:szCs w:val="32"/>
        </w:rPr>
        <w:t>仅发行公众基金的基金管理人、</w:t>
      </w:r>
      <w:r>
        <w:rPr>
          <w:rFonts w:hint="eastAsia" w:ascii="Times New Roman" w:hAnsi="Times New Roman" w:eastAsia="仿宋_GB2312" w:cs="Segoe UI"/>
          <w:color w:val="000000" w:themeColor="text1"/>
          <w:kern w:val="0"/>
          <w:sz w:val="32"/>
          <w:szCs w:val="32"/>
        </w:rPr>
        <w:t>从事资产管理业务</w:t>
      </w:r>
      <w:r>
        <w:rPr>
          <w:rFonts w:hint="eastAsia" w:ascii="Times New Roman" w:hAnsi="Times New Roman" w:eastAsia="仿宋_GB2312"/>
          <w:sz w:val="32"/>
          <w:szCs w:val="32"/>
        </w:rPr>
        <w:t>且符合相关要求</w:t>
      </w:r>
      <w:r>
        <w:rPr>
          <w:rFonts w:hint="eastAsia" w:ascii="Times New Roman" w:hAnsi="Times New Roman" w:eastAsia="仿宋_GB2312" w:cs="Segoe UI"/>
          <w:color w:val="000000" w:themeColor="text1"/>
          <w:kern w:val="0"/>
          <w:sz w:val="32"/>
          <w:szCs w:val="32"/>
        </w:rPr>
        <w:t>的联交所参与者、具有合格境外投资者资格的沪股通</w:t>
      </w:r>
      <w:r>
        <w:rPr>
          <w:rFonts w:hint="eastAsia" w:ascii="Times New Roman" w:hAnsi="Times New Roman" w:eastAsia="仿宋_GB2312"/>
          <w:sz w:val="32"/>
          <w:szCs w:val="32"/>
        </w:rPr>
        <w:t>程序化交易</w:t>
      </w:r>
      <w:r>
        <w:rPr>
          <w:rFonts w:hint="eastAsia" w:ascii="Times New Roman" w:hAnsi="Times New Roman" w:eastAsia="仿宋_GB2312" w:cs="Segoe UI"/>
          <w:color w:val="000000" w:themeColor="text1"/>
          <w:kern w:val="0"/>
          <w:sz w:val="32"/>
          <w:szCs w:val="32"/>
        </w:rPr>
        <w:t>投资者以减少大额订单对市场冲击或者保障不同投资组合交易公平性为目的，仅在交易环节按照设定的拆单算法自动执行交易指令的，其报告的账户资金规模、杠杆资金来源、杠杆资金规模发生重大变更时应当在变更发生后下一个季度的</w:t>
      </w:r>
      <w:r>
        <w:rPr>
          <w:rFonts w:hint="eastAsia" w:ascii="Times New Roman" w:hAnsi="Times New Roman" w:eastAsia="仿宋_GB2312" w:cs="Times New Roman"/>
          <w:color w:val="000000" w:themeColor="text1"/>
          <w:kern w:val="0"/>
          <w:sz w:val="32"/>
          <w:szCs w:val="32"/>
        </w:rPr>
        <w:t>前</w:t>
      </w:r>
      <w:r>
        <w:rPr>
          <w:rFonts w:ascii="Times New Roman" w:hAnsi="Times New Roman" w:eastAsia="仿宋_GB2312" w:cs="Times New Roman"/>
          <w:color w:val="000000" w:themeColor="text1"/>
          <w:kern w:val="0"/>
          <w:sz w:val="32"/>
          <w:szCs w:val="32"/>
        </w:rPr>
        <w:t>5</w:t>
      </w:r>
      <w:r>
        <w:rPr>
          <w:rFonts w:hint="eastAsia" w:ascii="Times New Roman" w:hAnsi="Times New Roman" w:eastAsia="仿宋_GB2312" w:cs="Segoe UI"/>
          <w:color w:val="000000" w:themeColor="text1"/>
          <w:kern w:val="0"/>
          <w:sz w:val="32"/>
          <w:szCs w:val="32"/>
        </w:rPr>
        <w:t>个沪股通交易日内进行变更报告。</w:t>
      </w:r>
    </w:p>
    <w:p w14:paraId="1659155C">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“报告日期”填报要求</w:t>
      </w:r>
    </w:p>
    <w:p w14:paraId="480982B7">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联交所参与者客户的报告日期填写联交所参与者客户向联交所参与者报告并经联交所参与者确认无误的日期，联交所参与者的报告日期填写向联交所证券交易服务公司报告的日期。</w:t>
      </w:r>
    </w:p>
    <w:p w14:paraId="7B44007F">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w:t>
      </w:r>
      <w:r>
        <w:rPr>
          <w:rFonts w:hint="eastAsia" w:ascii="Times New Roman" w:hAnsi="Times New Roman" w:eastAsia="黑体"/>
          <w:sz w:val="32"/>
          <w:szCs w:val="32"/>
        </w:rPr>
        <w:t>是否选取一家联交所参与者集中填报资金信息</w:t>
      </w:r>
      <w:r>
        <w:rPr>
          <w:rFonts w:hint="eastAsia" w:ascii="Times New Roman" w:hAnsi="Times New Roman" w:eastAsia="黑体" w:cs="Times New Roman"/>
          <w:sz w:val="32"/>
          <w:szCs w:val="32"/>
        </w:rPr>
        <w:t>”填报要求</w:t>
      </w:r>
    </w:p>
    <w:p w14:paraId="238F750A">
      <w:p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仿宋_GB2312" w:cs="Segoe UI"/>
          <w:color w:val="000000" w:themeColor="text1"/>
          <w:kern w:val="0"/>
          <w:sz w:val="32"/>
          <w:szCs w:val="32"/>
        </w:rPr>
        <w:t>机构投资者以同一证件号码在多家联交所参与者开立账户，选取一家联交所参与者集中填报资金信息相关字段的，填“是”，不适用的填“否”。</w:t>
      </w:r>
    </w:p>
    <w:p w14:paraId="1C03D8FB">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“账户资金规模（人民币，万元）”“账户资金来源”“其他资金来源描述”“资金来源占比”填报要求</w:t>
      </w:r>
    </w:p>
    <w:p w14:paraId="30C23FA2">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账户资金规模填写截至报告日期账户中用于沪市股票、基金市场的资产总额，包括自有资金和杠杆资金，以人民币，万元为单位。对于产品账户，资金规模、来源、占比均按产品维度进行填报。用于交易的资产包括但不限于账户沪市股票、基金持仓金额、账户中的现金、联交所参与人授予客户的交易额度等。</w:t>
      </w:r>
    </w:p>
    <w:p w14:paraId="0919EE2A">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资金来源从下列选项中选择一项或者多项进行填写：（一）自有资金</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（二）募集资金</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（三）杠杆资金</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（四）其他。不同资金来源之间用“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”（英文分号）分隔，例如“自有资金</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杠杆资金”。产品管理机构跟投产品的资金视作募集资金。</w:t>
      </w:r>
    </w:p>
    <w:p w14:paraId="6674818B">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若资金来源包含“其他”，需要在“其他资金来源描述”字段填写资金的具体来源。</w:t>
      </w:r>
    </w:p>
    <w:p w14:paraId="34F60A7C">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Times New Roman"/>
          <w:sz w:val="32"/>
          <w:szCs w:val="32"/>
        </w:rPr>
        <w:t>如为单一资金来源，</w:t>
      </w:r>
      <w:r>
        <w:rPr>
          <w:rFonts w:hint="eastAsia" w:ascii="Times New Roman" w:hAnsi="Times New Roman" w:eastAsia="仿宋_GB2312" w:cs="Segoe UI"/>
          <w:color w:val="000000" w:themeColor="text1"/>
          <w:kern w:val="0"/>
          <w:sz w:val="32"/>
          <w:szCs w:val="32"/>
        </w:rPr>
        <w:t>资金来源占比填写</w:t>
      </w:r>
      <w:r>
        <w:rPr>
          <w:rFonts w:hint="eastAsia" w:ascii="Times New Roman" w:hAnsi="Times New Roman" w:eastAsia="仿宋_GB2312" w:cs="Times New Roman"/>
          <w:sz w:val="32"/>
          <w:szCs w:val="32"/>
        </w:rPr>
        <w:t>“具体资金来源</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”，例如“自有资金</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”；如存在多个资金来源，填写不同资金来源的占比，用“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”（英文分号）分隔，例如“自有资金</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杠杆资金</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w:t>
      </w:r>
    </w:p>
    <w:p w14:paraId="149B1E04">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“杠杆资金规模（人民币，万元）”填报要求</w:t>
      </w:r>
    </w:p>
    <w:p w14:paraId="2808B9DD">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截至报告日期账户中用于沪市股票、基金市场的杠杆资金规模，以人民币，万元为单位。对于产品账户，杠杆资金规模按产品维度进行填报。杠杆资金包括客户通过融资融券、签订场外协议（例如收益互换等场外衍生品）等形式获取的实质性融资。可用于交易的杠杆资金包括但不限于联交所参与人向客户账户提供的现金融资、融券市值、授予客户账户的交易额度等。若无杠杆资金，本字段填写“</w:t>
      </w:r>
      <w:r>
        <w:rPr>
          <w:rFonts w:ascii="Times New Roman" w:hAnsi="Times New Roman" w:eastAsia="仿宋_GB2312" w:cs="Segoe UI"/>
          <w:color w:val="000000" w:themeColor="text1"/>
          <w:kern w:val="0"/>
          <w:sz w:val="32"/>
          <w:szCs w:val="32"/>
        </w:rPr>
        <w:t>0</w:t>
      </w:r>
      <w:r>
        <w:rPr>
          <w:rFonts w:hint="eastAsia" w:ascii="Times New Roman" w:hAnsi="Times New Roman" w:eastAsia="仿宋_GB2312" w:cs="Segoe UI"/>
          <w:color w:val="000000" w:themeColor="text1"/>
          <w:kern w:val="0"/>
          <w:sz w:val="32"/>
          <w:szCs w:val="32"/>
        </w:rPr>
        <w:t>”。</w:t>
      </w:r>
    </w:p>
    <w:p w14:paraId="4C43E209">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“杠杆资金来源”“其他杠杆资金来源描述”填报要求</w:t>
      </w:r>
    </w:p>
    <w:p w14:paraId="0F686FCC">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在下列选项中选择一项或者多项：（一）融资融券</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（二）场外衍生品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（三）其他。不同杠杆资金来源之间用“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”（英文分号）分隔，例如“融资融券</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场外衍生品”。对于产品账户，杠杆资金来源按产品维度进行填报。杠杆资金规模填写“</w:t>
      </w:r>
      <w:r>
        <w:rPr>
          <w:rFonts w:ascii="Times New Roman" w:hAnsi="Times New Roman" w:eastAsia="仿宋_GB2312" w:cs="Segoe UI"/>
          <w:color w:val="000000" w:themeColor="text1"/>
          <w:kern w:val="0"/>
          <w:sz w:val="32"/>
          <w:szCs w:val="32"/>
        </w:rPr>
        <w:t>0</w:t>
      </w:r>
      <w:r>
        <w:rPr>
          <w:rFonts w:hint="eastAsia" w:ascii="Times New Roman" w:hAnsi="Times New Roman" w:eastAsia="仿宋_GB2312" w:cs="Segoe UI"/>
          <w:color w:val="000000" w:themeColor="text1"/>
          <w:kern w:val="0"/>
          <w:sz w:val="32"/>
          <w:szCs w:val="32"/>
        </w:rPr>
        <w:t>”的，本字段可不填。</w:t>
      </w:r>
    </w:p>
    <w:p w14:paraId="69D2AB14">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若杠杆资金来源包含“其他”，需要在“其他杠杆资金来源描述”字段填写杠杆资金的具体来源，如个人借贷等。</w:t>
      </w:r>
    </w:p>
    <w:p w14:paraId="6A928A22">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“杠杆率（</w:t>
      </w:r>
      <w:r>
        <w:rPr>
          <w:rFonts w:ascii="Times New Roman" w:hAnsi="Times New Roman" w:eastAsia="黑体" w:cs="Times New Roman"/>
          <w:sz w:val="32"/>
          <w:szCs w:val="32"/>
        </w:rPr>
        <w:t>%</w:t>
      </w:r>
      <w:r>
        <w:rPr>
          <w:rFonts w:hint="eastAsia" w:ascii="Times New Roman" w:hAnsi="Times New Roman" w:eastAsia="黑体" w:cs="Times New Roman"/>
          <w:sz w:val="32"/>
          <w:szCs w:val="32"/>
        </w:rPr>
        <w:t>）”填报要求</w:t>
      </w:r>
    </w:p>
    <w:p w14:paraId="2E87A01C">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杠杆率填写截至报告日期账户中配置于沪市股票、基金的总资产规模</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净资产规模。例如，无杠杆资金的账户杠杆率为</w:t>
      </w:r>
      <w:r>
        <w:rPr>
          <w:rFonts w:ascii="Times New Roman" w:hAnsi="Times New Roman" w:eastAsia="仿宋_GB2312" w:cs="Segoe UI"/>
          <w:color w:val="000000" w:themeColor="text1"/>
          <w:kern w:val="0"/>
          <w:sz w:val="32"/>
          <w:szCs w:val="32"/>
        </w:rPr>
        <w:t>100%</w:t>
      </w:r>
      <w:r>
        <w:rPr>
          <w:rFonts w:hint="eastAsia" w:ascii="Times New Roman" w:hAnsi="Times New Roman" w:eastAsia="仿宋_GB2312" w:cs="Segoe UI"/>
          <w:color w:val="000000" w:themeColor="text1"/>
          <w:kern w:val="0"/>
          <w:sz w:val="32"/>
          <w:szCs w:val="32"/>
        </w:rPr>
        <w:t>，填写“</w:t>
      </w:r>
      <w:r>
        <w:rPr>
          <w:rFonts w:ascii="Times New Roman" w:hAnsi="Times New Roman" w:eastAsia="仿宋_GB2312" w:cs="Segoe UI"/>
          <w:color w:val="000000" w:themeColor="text1"/>
          <w:kern w:val="0"/>
          <w:sz w:val="32"/>
          <w:szCs w:val="32"/>
        </w:rPr>
        <w:t>100</w:t>
      </w:r>
      <w:r>
        <w:rPr>
          <w:rFonts w:hint="eastAsia" w:ascii="Times New Roman" w:hAnsi="Times New Roman" w:eastAsia="仿宋_GB2312" w:cs="Segoe UI"/>
          <w:color w:val="000000" w:themeColor="text1"/>
          <w:kern w:val="0"/>
          <w:sz w:val="32"/>
          <w:szCs w:val="32"/>
        </w:rPr>
        <w:t>”；杠杆率为</w:t>
      </w:r>
      <w:r>
        <w:rPr>
          <w:rFonts w:ascii="Times New Roman" w:hAnsi="Times New Roman" w:eastAsia="仿宋_GB2312" w:cs="Segoe UI"/>
          <w:color w:val="000000" w:themeColor="text1"/>
          <w:kern w:val="0"/>
          <w:sz w:val="32"/>
          <w:szCs w:val="32"/>
        </w:rPr>
        <w:t>200%</w:t>
      </w:r>
      <w:r>
        <w:rPr>
          <w:rFonts w:hint="eastAsia" w:ascii="Times New Roman" w:hAnsi="Times New Roman" w:eastAsia="仿宋_GB2312" w:cs="Segoe UI"/>
          <w:color w:val="000000" w:themeColor="text1"/>
          <w:kern w:val="0"/>
          <w:sz w:val="32"/>
          <w:szCs w:val="32"/>
        </w:rPr>
        <w:t>的账户填写“</w:t>
      </w:r>
      <w:r>
        <w:rPr>
          <w:rFonts w:ascii="Times New Roman" w:hAnsi="Times New Roman" w:eastAsia="仿宋_GB2312" w:cs="Segoe UI"/>
          <w:color w:val="000000" w:themeColor="text1"/>
          <w:kern w:val="0"/>
          <w:sz w:val="32"/>
          <w:szCs w:val="32"/>
        </w:rPr>
        <w:t>200</w:t>
      </w:r>
      <w:r>
        <w:rPr>
          <w:rFonts w:hint="eastAsia" w:ascii="Times New Roman" w:hAnsi="Times New Roman" w:eastAsia="仿宋_GB2312" w:cs="Segoe UI"/>
          <w:color w:val="000000" w:themeColor="text1"/>
          <w:kern w:val="0"/>
          <w:sz w:val="32"/>
          <w:szCs w:val="32"/>
        </w:rPr>
        <w:t>”。对于产品账户，杠杆率按产品维度进行填报。对于为收益互换等场外衍生品客户提供对冲交易的集合账户，应当按其向所有场外衍生品客户收取的保证金总体比例认定杠杆率。</w:t>
      </w:r>
    </w:p>
    <w:p w14:paraId="2CD78349">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“交易品种”填报要求</w:t>
      </w:r>
    </w:p>
    <w:p w14:paraId="40E0845C">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投资者根据自身交易的证券品种，填写“股票”或者“基金”，可以多选，用“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”（英文分号）分隔，例如“股票;基金”。</w:t>
      </w:r>
    </w:p>
    <w:p w14:paraId="74DA143C">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“是否量化交易”填报要求</w:t>
      </w:r>
    </w:p>
    <w:p w14:paraId="35E06547">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量化交易指通过计算机程序按照设定的策略自动选择特定的证券和时机进行交易，沪股通投资者结合自身交易情况判断是否属于量化交易，属于填“是”，不属于填“否”。</w:t>
      </w:r>
    </w:p>
    <w:p w14:paraId="52F1A675">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属于量化交易的，填写主策略、辅策略类型及策略概述；不属于量化交易的，无需填写主、辅策略，直接填写交易指令执行方式及指令执行方式概述。</w:t>
      </w:r>
    </w:p>
    <w:p w14:paraId="36ECAFA0">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“主策略类型”“其他主策略类型”“主策略概述”“辅策略类型”“其他辅策略类型”“辅策略概述”填报要求</w:t>
      </w:r>
    </w:p>
    <w:p w14:paraId="328ECDF7">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沪股通投资者开展量化交易的，应当填写策略类型。其中，“主策略类型”填写该账户主要使用的交易策略，为必选项，且只能从以下选项中选择</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项；“辅策略类型”非必选项，仅当该账户在主策略外同时使用其他策略开展交易时填写，辅策略类型最多选择</w:t>
      </w:r>
      <w:r>
        <w:rPr>
          <w:rFonts w:ascii="Times New Roman" w:hAnsi="Times New Roman" w:eastAsia="仿宋_GB2312" w:cs="Segoe UI"/>
          <w:color w:val="000000" w:themeColor="text1"/>
          <w:kern w:val="0"/>
          <w:sz w:val="32"/>
          <w:szCs w:val="32"/>
        </w:rPr>
        <w:t>2</w:t>
      </w:r>
      <w:r>
        <w:rPr>
          <w:rFonts w:hint="eastAsia" w:ascii="Times New Roman" w:hAnsi="Times New Roman" w:eastAsia="仿宋_GB2312" w:cs="Segoe UI"/>
          <w:color w:val="000000" w:themeColor="text1"/>
          <w:kern w:val="0"/>
          <w:sz w:val="32"/>
          <w:szCs w:val="32"/>
        </w:rPr>
        <w:t>项，不同辅策略类型用“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w:t>
      </w:r>
    </w:p>
    <w:p w14:paraId="63E57DE2">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（一）指数增强策略。指构建与对标指数具有相似特征的持仓结构，通过主动管理获取相对于指数超额收益的策略。该策略基本不开展对冲交易。</w:t>
      </w:r>
    </w:p>
    <w:p w14:paraId="6A099876">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（二）市场中性策略。指同时构建多头和空头头寸以对冲市场风险的策略。该策略使用股指期货、股指期权等对冲市场风险。</w:t>
      </w:r>
    </w:p>
    <w:p w14:paraId="28180C0A">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（三）多空灵活策略。指根据市场情况灵活调整多头和空头比例的策略。该策略主要根据管理人的自主判断调整对冲方式和对冲头寸，对冲方式包括股指期货、股指期权、融券卖空、场外衍生品等。</w:t>
      </w:r>
    </w:p>
    <w:p w14:paraId="488C9524">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（四）量化多头策略。指通过上市公司财务数据、宏观经济等基本面指标，或者股价波动、成交量、换手率等技术指标，灵活选股并进行投资决策的策略。</w:t>
      </w:r>
    </w:p>
    <w:p w14:paraId="527BD723">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（五）管理期货策略</w:t>
      </w:r>
      <w:r>
        <w:rPr>
          <w:rFonts w:ascii="Times New Roman" w:hAnsi="Times New Roman" w:eastAsia="仿宋_GB2312" w:cs="Segoe UI"/>
          <w:color w:val="000000" w:themeColor="text1"/>
          <w:kern w:val="0"/>
          <w:sz w:val="32"/>
          <w:szCs w:val="32"/>
        </w:rPr>
        <w:t>CTA</w:t>
      </w:r>
      <w:r>
        <w:rPr>
          <w:rFonts w:hint="eastAsia" w:ascii="Times New Roman" w:hAnsi="Times New Roman" w:eastAsia="仿宋_GB2312" w:cs="Segoe UI"/>
          <w:color w:val="000000" w:themeColor="text1"/>
          <w:kern w:val="0"/>
          <w:sz w:val="32"/>
          <w:szCs w:val="32"/>
        </w:rPr>
        <w:t>。指在期货市场使用，依据模型的买卖信号进行投资决策的策略。</w:t>
      </w:r>
    </w:p>
    <w:p w14:paraId="267A4246">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（六）参与新股发行策略。指利用持有股票，参与新股首次公开发行的投资策略。</w:t>
      </w:r>
    </w:p>
    <w:p w14:paraId="676453DE">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（七）量化套利策略。指利用一个或多个市场存在的价格差异，或市场价格与理论价格存在差异获利的策略。</w:t>
      </w:r>
    </w:p>
    <w:p w14:paraId="6C209ABB">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（八）日内回转策略。指在同一个交易日内，对同一标的进行反向交易，获取日内波动价差的策略。</w:t>
      </w:r>
    </w:p>
    <w:p w14:paraId="037937E0">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（九）其他策略。填写“其他”。</w:t>
      </w:r>
    </w:p>
    <w:p w14:paraId="6F7A9D34">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若“主策略类型”或“辅策略类型”包含“其他”，需要在“其他主策略类型”或“其他辅策略类型”字段填写具体的策略名称。</w:t>
      </w:r>
    </w:p>
    <w:p w14:paraId="6D60BB23">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若“主策略类型”或“辅策略类型”已填写，需要在“主策略概述”或“辅策略概述”字段填写所采用策略的主要内容。</w:t>
      </w:r>
    </w:p>
    <w:p w14:paraId="638D65C6">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对于涉及场外收益互换等安排、背后存在多位投资者的券商自营等集合类账户，可以在“主策略类型”字段填写“其他”，并根据实际情况在“其他主策略类型”字段填写“收益互换”，并在“主策略概述”字段就具体策略进行描述。</w:t>
      </w:r>
    </w:p>
    <w:p w14:paraId="4E9768BF">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“期货市场账户名称”填报要求（选填）</w:t>
      </w:r>
    </w:p>
    <w:p w14:paraId="34054570">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可以填写期货（含期权）市场进行对冲的账户名称的全称。涉及多个账户的，用“</w:t>
      </w:r>
      <w:r>
        <w:rPr>
          <w:rFonts w:ascii="Times New Roman" w:hAnsi="Times New Roman" w:eastAsia="仿宋" w:cs="Times New Roman"/>
          <w:sz w:val="32"/>
          <w:szCs w:val="32"/>
        </w:rPr>
        <w:t>;</w:t>
      </w:r>
      <w:r>
        <w:rPr>
          <w:rFonts w:hint="eastAsia" w:ascii="Times New Roman" w:hAnsi="Times New Roman" w:eastAsia="仿宋_GB2312" w:cs="Segoe UI"/>
          <w:color w:val="000000" w:themeColor="text1"/>
          <w:kern w:val="0"/>
          <w:sz w:val="32"/>
          <w:szCs w:val="32"/>
        </w:rPr>
        <w:t>”（英文分号）分隔。</w:t>
      </w:r>
    </w:p>
    <w:p w14:paraId="3136C8EB">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“期货市场账户代码”填报要求（选填）</w:t>
      </w:r>
    </w:p>
    <w:p w14:paraId="52797F72">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可以填写期货（含期权）市场进行对冲的账户代码。涉及多个账户的，用“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w:t>
      </w:r>
    </w:p>
    <w:p w14:paraId="1EBD610E">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“交易指令执行方式”“其他方式描述”“指令执行方式概述”填报要求</w:t>
      </w:r>
    </w:p>
    <w:p w14:paraId="3AC6908A">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在下列选项中选择一项或者多项交易指令的具体执行方式，用“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”（英文分号）分隔，例如“</w:t>
      </w:r>
      <w:r>
        <w:rPr>
          <w:rFonts w:ascii="Times New Roman" w:hAnsi="Times New Roman" w:eastAsia="仿宋_GB2312" w:cs="Segoe UI"/>
          <w:color w:val="000000" w:themeColor="text1"/>
          <w:kern w:val="0"/>
          <w:sz w:val="32"/>
          <w:szCs w:val="32"/>
        </w:rPr>
        <w:t>TWAP;VWAP</w:t>
      </w:r>
      <w:r>
        <w:rPr>
          <w:rFonts w:hint="eastAsia" w:ascii="Times New Roman" w:hAnsi="Times New Roman" w:eastAsia="仿宋_GB2312" w:cs="Segoe UI"/>
          <w:color w:val="000000" w:themeColor="text1"/>
          <w:kern w:val="0"/>
          <w:sz w:val="32"/>
          <w:szCs w:val="32"/>
        </w:rPr>
        <w:t>”：</w:t>
      </w:r>
    </w:p>
    <w:p w14:paraId="4D89FACB">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（一）时间加权平均价格算法（</w:t>
      </w:r>
      <w:r>
        <w:rPr>
          <w:rFonts w:ascii="Times New Roman" w:hAnsi="Times New Roman" w:eastAsia="仿宋_GB2312" w:cs="Segoe UI"/>
          <w:color w:val="000000" w:themeColor="text1"/>
          <w:kern w:val="0"/>
          <w:sz w:val="32"/>
          <w:szCs w:val="32"/>
        </w:rPr>
        <w:t>TWAP</w:t>
      </w:r>
      <w:r>
        <w:rPr>
          <w:rFonts w:hint="eastAsia" w:ascii="Times New Roman" w:hAnsi="Times New Roman" w:eastAsia="仿宋_GB2312" w:cs="Segoe UI"/>
          <w:color w:val="000000" w:themeColor="text1"/>
          <w:kern w:val="0"/>
          <w:sz w:val="32"/>
          <w:szCs w:val="32"/>
        </w:rPr>
        <w:t>）</w:t>
      </w:r>
      <w:r>
        <w:rPr>
          <w:rFonts w:ascii="Times New Roman" w:hAnsi="Times New Roman" w:eastAsia="仿宋_GB2312" w:cs="Segoe UI"/>
          <w:color w:val="000000" w:themeColor="text1"/>
          <w:kern w:val="0"/>
          <w:sz w:val="32"/>
          <w:szCs w:val="32"/>
        </w:rPr>
        <w:t>;</w:t>
      </w:r>
    </w:p>
    <w:p w14:paraId="2E0DF5ED">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（二）成交量加权平均价格算法（</w:t>
      </w:r>
      <w:r>
        <w:rPr>
          <w:rFonts w:ascii="Times New Roman" w:hAnsi="Times New Roman" w:eastAsia="仿宋_GB2312" w:cs="Segoe UI"/>
          <w:color w:val="000000" w:themeColor="text1"/>
          <w:kern w:val="0"/>
          <w:sz w:val="32"/>
          <w:szCs w:val="32"/>
        </w:rPr>
        <w:t>VWAP</w:t>
      </w:r>
      <w:r>
        <w:rPr>
          <w:rFonts w:hint="eastAsia" w:ascii="Times New Roman" w:hAnsi="Times New Roman" w:eastAsia="仿宋_GB2312" w:cs="Segoe UI"/>
          <w:color w:val="000000" w:themeColor="text1"/>
          <w:kern w:val="0"/>
          <w:sz w:val="32"/>
          <w:szCs w:val="32"/>
        </w:rPr>
        <w:t>）</w:t>
      </w:r>
      <w:r>
        <w:rPr>
          <w:rFonts w:ascii="Times New Roman" w:hAnsi="Times New Roman" w:eastAsia="仿宋_GB2312" w:cs="Segoe UI"/>
          <w:color w:val="000000" w:themeColor="text1"/>
          <w:kern w:val="0"/>
          <w:sz w:val="32"/>
          <w:szCs w:val="32"/>
        </w:rPr>
        <w:t>;</w:t>
      </w:r>
    </w:p>
    <w:p w14:paraId="5DD40795">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（三）比例成交算法（</w:t>
      </w:r>
      <w:r>
        <w:rPr>
          <w:rFonts w:ascii="Times New Roman" w:hAnsi="Times New Roman" w:eastAsia="仿宋_GB2312" w:cs="Segoe UI"/>
          <w:color w:val="000000" w:themeColor="text1"/>
          <w:kern w:val="0"/>
          <w:sz w:val="32"/>
          <w:szCs w:val="32"/>
        </w:rPr>
        <w:t>POV</w:t>
      </w:r>
      <w:r>
        <w:rPr>
          <w:rFonts w:hint="eastAsia" w:ascii="Times New Roman" w:hAnsi="Times New Roman" w:eastAsia="仿宋_GB2312" w:cs="Segoe UI"/>
          <w:color w:val="000000" w:themeColor="text1"/>
          <w:kern w:val="0"/>
          <w:sz w:val="32"/>
          <w:szCs w:val="32"/>
        </w:rPr>
        <w:t>）</w:t>
      </w:r>
      <w:r>
        <w:rPr>
          <w:rFonts w:ascii="Times New Roman" w:hAnsi="Times New Roman" w:eastAsia="仿宋_GB2312" w:cs="Segoe UI"/>
          <w:color w:val="000000" w:themeColor="text1"/>
          <w:kern w:val="0"/>
          <w:sz w:val="32"/>
          <w:szCs w:val="32"/>
        </w:rPr>
        <w:t>;</w:t>
      </w:r>
    </w:p>
    <w:p w14:paraId="07366040">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（四）其他策略。填写“其他”。</w:t>
      </w:r>
    </w:p>
    <w:p w14:paraId="1B4255C5">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若“交易指令执行方式”包含“其他”，需要在“其他方式描述”字段填写具体的交易指令执行方式名称。</w:t>
      </w:r>
    </w:p>
    <w:p w14:paraId="5327EF04">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在“指令执行方式概述”字段填写所采用交易指令执行方式的主要内容。</w:t>
      </w:r>
    </w:p>
    <w:p w14:paraId="294712FB">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“账户最高申报速率”填报要求</w:t>
      </w:r>
    </w:p>
    <w:p w14:paraId="318DA267">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投资者已经达到或者根据策略类型和系统情况综合预判可能达到的每秒最高申报速率值所在速率区间，在下列区间选择</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项：</w:t>
      </w:r>
    </w:p>
    <w:p w14:paraId="5FA72470">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w:t>
      </w:r>
      <w:r>
        <w:rPr>
          <w:rFonts w:ascii="Times New Roman" w:hAnsi="Times New Roman" w:eastAsia="仿宋_GB2312" w:cs="Segoe UI"/>
          <w:color w:val="000000" w:themeColor="text1"/>
          <w:kern w:val="0"/>
          <w:sz w:val="32"/>
          <w:szCs w:val="32"/>
        </w:rPr>
        <w:t>500</w:t>
      </w:r>
      <w:r>
        <w:rPr>
          <w:rFonts w:hint="eastAsia" w:ascii="Times New Roman" w:hAnsi="Times New Roman" w:eastAsia="仿宋_GB2312" w:cs="Segoe UI"/>
          <w:color w:val="000000" w:themeColor="text1"/>
          <w:kern w:val="0"/>
          <w:sz w:val="32"/>
          <w:szCs w:val="32"/>
        </w:rPr>
        <w:t>笔及以上</w:t>
      </w:r>
      <w:r>
        <w:rPr>
          <w:rFonts w:ascii="Times New Roman" w:hAnsi="Times New Roman" w:eastAsia="仿宋_GB2312" w:cs="Segoe UI"/>
          <w:color w:val="000000" w:themeColor="text1"/>
          <w:kern w:val="0"/>
          <w:sz w:val="32"/>
          <w:szCs w:val="32"/>
        </w:rPr>
        <w:t>;</w:t>
      </w:r>
    </w:p>
    <w:p w14:paraId="4387612F">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w:t>
      </w:r>
      <w:r>
        <w:rPr>
          <w:rFonts w:ascii="Times New Roman" w:hAnsi="Times New Roman" w:eastAsia="仿宋_GB2312" w:cs="Segoe UI"/>
          <w:color w:val="000000" w:themeColor="text1"/>
          <w:kern w:val="0"/>
          <w:sz w:val="32"/>
          <w:szCs w:val="32"/>
        </w:rPr>
        <w:t>300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499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2B4C5EFF">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w:t>
      </w:r>
      <w:r>
        <w:rPr>
          <w:rFonts w:ascii="Times New Roman" w:hAnsi="Times New Roman" w:eastAsia="仿宋_GB2312" w:cs="Segoe UI"/>
          <w:color w:val="000000" w:themeColor="text1"/>
          <w:kern w:val="0"/>
          <w:sz w:val="32"/>
          <w:szCs w:val="32"/>
        </w:rPr>
        <w:t>100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299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71EAE776">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w:t>
      </w:r>
      <w:r>
        <w:rPr>
          <w:rFonts w:ascii="Times New Roman" w:hAnsi="Times New Roman" w:eastAsia="仿宋_GB2312" w:cs="Segoe UI"/>
          <w:color w:val="000000" w:themeColor="text1"/>
          <w:kern w:val="0"/>
          <w:sz w:val="32"/>
          <w:szCs w:val="32"/>
        </w:rPr>
        <w:t>100</w:t>
      </w:r>
      <w:r>
        <w:rPr>
          <w:rFonts w:hint="eastAsia" w:ascii="Times New Roman" w:hAnsi="Times New Roman" w:eastAsia="仿宋_GB2312" w:cs="Segoe UI"/>
          <w:color w:val="000000" w:themeColor="text1"/>
          <w:kern w:val="0"/>
          <w:sz w:val="32"/>
          <w:szCs w:val="32"/>
        </w:rPr>
        <w:t>笔以下。</w:t>
      </w:r>
    </w:p>
    <w:p w14:paraId="53415403">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如选择第一项或者第二项，则需填写“高频交易系统服务器所在地”，并上传高频交易系统测试报告和高频交易系统发生故障时的应急方案，相关文件命名规则分别为：</w:t>
      </w:r>
    </w:p>
    <w:p w14:paraId="7E6EE730">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“报告日期”</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“经纪商代码”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“券商客户编码”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“系统测试报告”，例如：</w:t>
      </w:r>
      <w:r>
        <w:rPr>
          <w:rFonts w:ascii="Times New Roman" w:hAnsi="Times New Roman" w:eastAsia="仿宋_GB2312" w:cs="Segoe UI"/>
          <w:color w:val="000000" w:themeColor="text1"/>
          <w:kern w:val="0"/>
          <w:sz w:val="32"/>
          <w:szCs w:val="32"/>
        </w:rPr>
        <w:t>202</w:t>
      </w:r>
      <w:r>
        <w:rPr>
          <w:rFonts w:hint="eastAsia" w:ascii="Times New Roman" w:hAnsi="Times New Roman" w:eastAsia="仿宋_GB2312" w:cs="Segoe UI"/>
          <w:color w:val="000000" w:themeColor="text1"/>
          <w:kern w:val="0"/>
          <w:sz w:val="32"/>
          <w:szCs w:val="32"/>
        </w:rPr>
        <w:t>5</w:t>
      </w:r>
      <w:r>
        <w:rPr>
          <w:rFonts w:ascii="Times New Roman" w:hAnsi="Times New Roman" w:eastAsia="仿宋_GB2312" w:cs="Segoe UI"/>
          <w:color w:val="000000" w:themeColor="text1"/>
          <w:kern w:val="0"/>
          <w:sz w:val="32"/>
          <w:szCs w:val="32"/>
        </w:rPr>
        <w:t>1101</w:t>
      </w:r>
      <w:r>
        <w:rPr>
          <w:rFonts w:hint="eastAsia" w:ascii="Times New Roman" w:hAnsi="Times New Roman" w:eastAsia="仿宋_GB2312" w:cs="Segoe UI"/>
          <w:color w:val="000000" w:themeColor="text1"/>
          <w:kern w:val="0"/>
          <w:sz w:val="32"/>
          <w:szCs w:val="32"/>
        </w:rPr>
        <w:t>0</w:t>
      </w:r>
      <w:r>
        <w:rPr>
          <w:rFonts w:ascii="Times New Roman" w:hAnsi="Times New Roman" w:eastAsia="仿宋_GB2312" w:cs="Segoe UI"/>
          <w:color w:val="000000" w:themeColor="text1"/>
          <w:kern w:val="0"/>
          <w:sz w:val="32"/>
          <w:szCs w:val="32"/>
        </w:rPr>
        <w:t>23xx100xxxxxxx</w:t>
      </w:r>
      <w:r>
        <w:rPr>
          <w:rFonts w:hint="eastAsia" w:ascii="Times New Roman" w:hAnsi="Times New Roman" w:eastAsia="仿宋_GB2312" w:cs="Segoe UI"/>
          <w:color w:val="000000" w:themeColor="text1"/>
          <w:kern w:val="0"/>
          <w:sz w:val="32"/>
          <w:szCs w:val="32"/>
        </w:rPr>
        <w:t>系统测试报告；</w:t>
      </w:r>
    </w:p>
    <w:p w14:paraId="27CFC2D9">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“报告日期”</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“经纪商代码”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“券商客户编码”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“故障应急方案”，例如：</w:t>
      </w:r>
      <w:r>
        <w:rPr>
          <w:rFonts w:ascii="Times New Roman" w:hAnsi="Times New Roman" w:eastAsia="仿宋_GB2312" w:cs="Segoe UI"/>
          <w:color w:val="000000" w:themeColor="text1"/>
          <w:kern w:val="0"/>
          <w:sz w:val="32"/>
          <w:szCs w:val="32"/>
        </w:rPr>
        <w:t>202</w:t>
      </w:r>
      <w:r>
        <w:rPr>
          <w:rFonts w:hint="eastAsia" w:ascii="Times New Roman" w:hAnsi="Times New Roman" w:eastAsia="仿宋_GB2312" w:cs="Segoe UI"/>
          <w:color w:val="000000" w:themeColor="text1"/>
          <w:kern w:val="0"/>
          <w:sz w:val="32"/>
          <w:szCs w:val="32"/>
        </w:rPr>
        <w:t>5</w:t>
      </w:r>
      <w:r>
        <w:rPr>
          <w:rFonts w:ascii="Times New Roman" w:hAnsi="Times New Roman" w:eastAsia="仿宋_GB2312" w:cs="Segoe UI"/>
          <w:color w:val="000000" w:themeColor="text1"/>
          <w:kern w:val="0"/>
          <w:sz w:val="32"/>
          <w:szCs w:val="32"/>
        </w:rPr>
        <w:t>1101</w:t>
      </w:r>
      <w:r>
        <w:rPr>
          <w:rFonts w:hint="eastAsia" w:ascii="Times New Roman" w:hAnsi="Times New Roman" w:eastAsia="仿宋_GB2312" w:cs="Segoe UI"/>
          <w:color w:val="000000" w:themeColor="text1"/>
          <w:kern w:val="0"/>
          <w:sz w:val="32"/>
          <w:szCs w:val="32"/>
        </w:rPr>
        <w:t>0</w:t>
      </w:r>
      <w:r>
        <w:rPr>
          <w:rFonts w:ascii="Times New Roman" w:hAnsi="Times New Roman" w:eastAsia="仿宋_GB2312" w:cs="Segoe UI"/>
          <w:color w:val="000000" w:themeColor="text1"/>
          <w:kern w:val="0"/>
          <w:sz w:val="32"/>
          <w:szCs w:val="32"/>
        </w:rPr>
        <w:t>23xx100xxxxxxx</w:t>
      </w:r>
      <w:r>
        <w:rPr>
          <w:rFonts w:hint="eastAsia" w:ascii="Times New Roman" w:hAnsi="Times New Roman" w:eastAsia="仿宋_GB2312" w:cs="Segoe UI"/>
          <w:color w:val="000000" w:themeColor="text1"/>
          <w:kern w:val="0"/>
          <w:sz w:val="32"/>
          <w:szCs w:val="32"/>
        </w:rPr>
        <w:t>故障应急方案。</w:t>
      </w:r>
    </w:p>
    <w:p w14:paraId="55BE7B52">
      <w:pPr>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选择第一项或者第二项的投资者，当高频交易系统发生变更时，需对上述信息进行变更报告，重新填写高频交易系统服务器所在地并上传新的测试报告以及故障应急方案。</w:t>
      </w:r>
    </w:p>
    <w:p w14:paraId="21283953">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黑体" w:hAnsi="黑体" w:eastAsia="黑体" w:cs="黑体"/>
          <w:sz w:val="32"/>
          <w:szCs w:val="32"/>
        </w:rPr>
        <w:t>“账户单日最高申报笔数”</w:t>
      </w:r>
      <w:r>
        <w:rPr>
          <w:rFonts w:hint="eastAsia" w:ascii="Times New Roman" w:hAnsi="Times New Roman" w:eastAsia="黑体" w:cs="Times New Roman"/>
          <w:sz w:val="32"/>
          <w:szCs w:val="32"/>
        </w:rPr>
        <w:t>填报要求</w:t>
      </w:r>
    </w:p>
    <w:p w14:paraId="2148E7D2">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投资者已经达到或者根据策略类型和系统情况综合预判可能达到的单日最高申报笔数所在区间，在下列区间选择</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项：</w:t>
      </w:r>
    </w:p>
    <w:p w14:paraId="35FD8881">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w:t>
      </w:r>
      <w:r>
        <w:rPr>
          <w:rFonts w:ascii="Times New Roman" w:hAnsi="Times New Roman" w:eastAsia="仿宋_GB2312" w:cs="Segoe UI"/>
          <w:color w:val="000000" w:themeColor="text1"/>
          <w:kern w:val="0"/>
          <w:sz w:val="32"/>
          <w:szCs w:val="32"/>
        </w:rPr>
        <w:t>25000</w:t>
      </w:r>
      <w:r>
        <w:rPr>
          <w:rFonts w:hint="eastAsia" w:ascii="Times New Roman" w:hAnsi="Times New Roman" w:eastAsia="仿宋_GB2312" w:cs="Segoe UI"/>
          <w:color w:val="000000" w:themeColor="text1"/>
          <w:kern w:val="0"/>
          <w:sz w:val="32"/>
          <w:szCs w:val="32"/>
        </w:rPr>
        <w:t>笔及以上</w:t>
      </w:r>
      <w:r>
        <w:rPr>
          <w:rFonts w:ascii="Times New Roman" w:hAnsi="Times New Roman" w:eastAsia="仿宋_GB2312" w:cs="Segoe UI"/>
          <w:color w:val="000000" w:themeColor="text1"/>
          <w:kern w:val="0"/>
          <w:sz w:val="32"/>
          <w:szCs w:val="32"/>
        </w:rPr>
        <w:t>;</w:t>
      </w:r>
    </w:p>
    <w:p w14:paraId="0397B854">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w:t>
      </w:r>
      <w:r>
        <w:rPr>
          <w:rFonts w:ascii="Times New Roman" w:hAnsi="Times New Roman" w:eastAsia="仿宋_GB2312" w:cs="Segoe UI"/>
          <w:color w:val="000000" w:themeColor="text1"/>
          <w:kern w:val="0"/>
          <w:sz w:val="32"/>
          <w:szCs w:val="32"/>
        </w:rPr>
        <w:t>20000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24999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5FAFFD9F">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w:t>
      </w:r>
      <w:r>
        <w:rPr>
          <w:rFonts w:ascii="Times New Roman" w:hAnsi="Times New Roman" w:eastAsia="仿宋_GB2312" w:cs="Segoe UI"/>
          <w:color w:val="000000" w:themeColor="text1"/>
          <w:kern w:val="0"/>
          <w:sz w:val="32"/>
          <w:szCs w:val="32"/>
        </w:rPr>
        <w:t>15000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19999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3F5F0C6F">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w:t>
      </w:r>
      <w:r>
        <w:rPr>
          <w:rFonts w:ascii="Times New Roman" w:hAnsi="Times New Roman" w:eastAsia="仿宋_GB2312" w:cs="Segoe UI"/>
          <w:color w:val="000000" w:themeColor="text1"/>
          <w:kern w:val="0"/>
          <w:sz w:val="32"/>
          <w:szCs w:val="32"/>
        </w:rPr>
        <w:t>10000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14999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38B8D861">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（五）</w:t>
      </w:r>
      <w:r>
        <w:rPr>
          <w:rFonts w:ascii="Times New Roman" w:hAnsi="Times New Roman" w:eastAsia="仿宋_GB2312" w:cs="Segoe UI"/>
          <w:color w:val="000000" w:themeColor="text1"/>
          <w:kern w:val="0"/>
          <w:sz w:val="32"/>
          <w:szCs w:val="32"/>
        </w:rPr>
        <w:t>10000</w:t>
      </w:r>
      <w:r>
        <w:rPr>
          <w:rFonts w:hint="eastAsia" w:ascii="Times New Roman" w:hAnsi="Times New Roman" w:eastAsia="仿宋_GB2312" w:cs="Segoe UI"/>
          <w:color w:val="000000" w:themeColor="text1"/>
          <w:kern w:val="0"/>
          <w:sz w:val="32"/>
          <w:szCs w:val="32"/>
        </w:rPr>
        <w:t>笔以下。</w:t>
      </w:r>
    </w:p>
    <w:p w14:paraId="1EF0EDB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如选择第一项或者第二项，则需填写“高频交易系统服务器所在地”，并上传高频交易系统测试报告和高频交易系统发生故障时的应急方案，相关文件命名规则分别为：</w:t>
      </w:r>
    </w:p>
    <w:p w14:paraId="3853E8E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“报告日期”</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“经纪商代码”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“券商客户编码”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“系统测试报告”，例如：</w:t>
      </w:r>
      <w:r>
        <w:rPr>
          <w:rFonts w:ascii="Times New Roman" w:hAnsi="Times New Roman" w:eastAsia="仿宋_GB2312" w:cs="Segoe UI"/>
          <w:color w:val="000000" w:themeColor="text1"/>
          <w:kern w:val="0"/>
          <w:sz w:val="32"/>
          <w:szCs w:val="32"/>
        </w:rPr>
        <w:t>202</w:t>
      </w:r>
      <w:r>
        <w:rPr>
          <w:rFonts w:hint="eastAsia" w:ascii="Times New Roman" w:hAnsi="Times New Roman" w:eastAsia="仿宋_GB2312" w:cs="Segoe UI"/>
          <w:color w:val="000000" w:themeColor="text1"/>
          <w:kern w:val="0"/>
          <w:sz w:val="32"/>
          <w:szCs w:val="32"/>
        </w:rPr>
        <w:t>5</w:t>
      </w:r>
      <w:r>
        <w:rPr>
          <w:rFonts w:ascii="Times New Roman" w:hAnsi="Times New Roman" w:eastAsia="仿宋_GB2312" w:cs="Segoe UI"/>
          <w:color w:val="000000" w:themeColor="text1"/>
          <w:kern w:val="0"/>
          <w:sz w:val="32"/>
          <w:szCs w:val="32"/>
        </w:rPr>
        <w:t>1101</w:t>
      </w:r>
      <w:r>
        <w:rPr>
          <w:rFonts w:hint="eastAsia" w:ascii="Times New Roman" w:hAnsi="Times New Roman" w:eastAsia="仿宋_GB2312" w:cs="Segoe UI"/>
          <w:color w:val="000000" w:themeColor="text1"/>
          <w:kern w:val="0"/>
          <w:sz w:val="32"/>
          <w:szCs w:val="32"/>
        </w:rPr>
        <w:t>0</w:t>
      </w:r>
      <w:r>
        <w:rPr>
          <w:rFonts w:ascii="Times New Roman" w:hAnsi="Times New Roman" w:eastAsia="仿宋_GB2312" w:cs="Segoe UI"/>
          <w:color w:val="000000" w:themeColor="text1"/>
          <w:kern w:val="0"/>
          <w:sz w:val="32"/>
          <w:szCs w:val="32"/>
        </w:rPr>
        <w:t>23xx100xxxxxxx</w:t>
      </w:r>
      <w:r>
        <w:rPr>
          <w:rFonts w:hint="eastAsia" w:ascii="Times New Roman" w:hAnsi="Times New Roman" w:eastAsia="仿宋_GB2312" w:cs="Segoe UI"/>
          <w:color w:val="000000" w:themeColor="text1"/>
          <w:kern w:val="0"/>
          <w:sz w:val="32"/>
          <w:szCs w:val="32"/>
        </w:rPr>
        <w:t>系统测试报告；</w:t>
      </w:r>
    </w:p>
    <w:p w14:paraId="4BC54FFE">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“报告日期”</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“经纪商代码”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“券商客户编码”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“故障应急方案”，例如：</w:t>
      </w:r>
      <w:r>
        <w:rPr>
          <w:rFonts w:ascii="Times New Roman" w:hAnsi="Times New Roman" w:eastAsia="仿宋_GB2312" w:cs="Segoe UI"/>
          <w:color w:val="000000" w:themeColor="text1"/>
          <w:kern w:val="0"/>
          <w:sz w:val="32"/>
          <w:szCs w:val="32"/>
        </w:rPr>
        <w:t>202</w:t>
      </w:r>
      <w:r>
        <w:rPr>
          <w:rFonts w:hint="eastAsia" w:ascii="Times New Roman" w:hAnsi="Times New Roman" w:eastAsia="仿宋_GB2312" w:cs="Segoe UI"/>
          <w:color w:val="000000" w:themeColor="text1"/>
          <w:kern w:val="0"/>
          <w:sz w:val="32"/>
          <w:szCs w:val="32"/>
        </w:rPr>
        <w:t>5</w:t>
      </w:r>
      <w:r>
        <w:rPr>
          <w:rFonts w:ascii="Times New Roman" w:hAnsi="Times New Roman" w:eastAsia="仿宋_GB2312" w:cs="Segoe UI"/>
          <w:color w:val="000000" w:themeColor="text1"/>
          <w:kern w:val="0"/>
          <w:sz w:val="32"/>
          <w:szCs w:val="32"/>
        </w:rPr>
        <w:t>1101</w:t>
      </w:r>
      <w:r>
        <w:rPr>
          <w:rFonts w:hint="eastAsia" w:ascii="Times New Roman" w:hAnsi="Times New Roman" w:eastAsia="仿宋_GB2312" w:cs="Segoe UI"/>
          <w:color w:val="000000" w:themeColor="text1"/>
          <w:kern w:val="0"/>
          <w:sz w:val="32"/>
          <w:szCs w:val="32"/>
        </w:rPr>
        <w:t>0</w:t>
      </w:r>
      <w:r>
        <w:rPr>
          <w:rFonts w:ascii="Times New Roman" w:hAnsi="Times New Roman" w:eastAsia="仿宋_GB2312" w:cs="Segoe UI"/>
          <w:color w:val="000000" w:themeColor="text1"/>
          <w:kern w:val="0"/>
          <w:sz w:val="32"/>
          <w:szCs w:val="32"/>
        </w:rPr>
        <w:t>23xx100xxxxxxx</w:t>
      </w:r>
      <w:r>
        <w:rPr>
          <w:rFonts w:hint="eastAsia" w:ascii="Times New Roman" w:hAnsi="Times New Roman" w:eastAsia="仿宋_GB2312" w:cs="Segoe UI"/>
          <w:color w:val="000000" w:themeColor="text1"/>
          <w:kern w:val="0"/>
          <w:sz w:val="32"/>
          <w:szCs w:val="32"/>
        </w:rPr>
        <w:t>故障应急方案。</w:t>
      </w:r>
    </w:p>
    <w:p w14:paraId="4CF649D5">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仿宋_GB2312" w:hAnsi="仿宋" w:eastAsia="仿宋_GB2312" w:cs="Times New Roman"/>
          <w:sz w:val="32"/>
          <w:szCs w:val="32"/>
        </w:rPr>
        <w:t>选择第一项或者第二项的投资者，当高频交易系统发生变更时，需对上述信息进行变更报告，重新填写高频交易系统服务器所在地并上传新的测试报告以及故障应急方案。</w:t>
      </w:r>
    </w:p>
    <w:p w14:paraId="3401FFB4">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“程序化交易软件名称及版本号”填报要求</w:t>
      </w:r>
    </w:p>
    <w:p w14:paraId="53C0B83C">
      <w:pPr>
        <w:adjustRightInd w:val="0"/>
        <w:spacing w:line="560" w:lineRule="exact"/>
        <w:ind w:firstLine="640" w:firstLineChars="200"/>
        <w:jc w:val="left"/>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填写程序化交易软件全称，涉及多个软件的，用“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w:t>
      </w:r>
    </w:p>
    <w:p w14:paraId="5AB174F6">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“程序化交易软件开发主体”填报要求</w:t>
      </w:r>
    </w:p>
    <w:p w14:paraId="2B3759EB">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填写程序化交易软件开发主体全称，涉及多个主体的，用“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w:t>
      </w:r>
    </w:p>
    <w:p w14:paraId="30E1D04A">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“高频交易系统服务器所在地”填报要求</w:t>
      </w:r>
    </w:p>
    <w:p w14:paraId="570B25D4">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填报的“账户最高申报速率”区间在每秒</w:t>
      </w:r>
      <w:r>
        <w:rPr>
          <w:rFonts w:ascii="Times New Roman" w:hAnsi="Times New Roman" w:eastAsia="仿宋_GB2312" w:cs="Segoe UI"/>
          <w:color w:val="000000" w:themeColor="text1"/>
          <w:kern w:val="0"/>
          <w:sz w:val="32"/>
          <w:szCs w:val="32"/>
        </w:rPr>
        <w:t>300</w:t>
      </w:r>
      <w:r>
        <w:rPr>
          <w:rFonts w:hint="eastAsia" w:ascii="Times New Roman" w:hAnsi="Times New Roman" w:eastAsia="仿宋_GB2312" w:cs="Segoe UI"/>
          <w:color w:val="000000" w:themeColor="text1"/>
          <w:kern w:val="0"/>
          <w:sz w:val="32"/>
          <w:szCs w:val="32"/>
        </w:rPr>
        <w:t>笔以上，或者填报的“账户单日最高申报笔数”区间在</w:t>
      </w:r>
      <w:r>
        <w:rPr>
          <w:rFonts w:ascii="Times New Roman" w:hAnsi="Times New Roman" w:eastAsia="仿宋_GB2312" w:cs="Segoe UI"/>
          <w:color w:val="000000" w:themeColor="text1"/>
          <w:kern w:val="0"/>
          <w:sz w:val="32"/>
          <w:szCs w:val="32"/>
        </w:rPr>
        <w:t>20000</w:t>
      </w:r>
      <w:r>
        <w:rPr>
          <w:rFonts w:hint="eastAsia" w:ascii="Times New Roman" w:hAnsi="Times New Roman" w:eastAsia="仿宋_GB2312" w:cs="Segoe UI"/>
          <w:color w:val="000000" w:themeColor="text1"/>
          <w:kern w:val="0"/>
          <w:sz w:val="32"/>
          <w:szCs w:val="32"/>
        </w:rPr>
        <w:t>笔以上，且不符合有关豁免要求的，须填写高频交易系统服务器所在地的具体地址。</w:t>
      </w:r>
    </w:p>
    <w:p w14:paraId="5D8FC7E9">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“联交所参与者联络人”填报要求（选填）</w:t>
      </w:r>
    </w:p>
    <w:p w14:paraId="2414573E">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可以填写联交所参与者中负责填写、上传、维护《信息报告表》的负责人及其联系方式。</w:t>
      </w:r>
    </w:p>
    <w:p w14:paraId="31747107">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“投资者相关业务负责人”填报要求（选填）</w:t>
      </w:r>
    </w:p>
    <w:p w14:paraId="1674495C">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（一）联交所参与者客户。如为个人客户，可以填写本人及其联系方式；如为机构客户，可以填写机构程序化交易相关业务负责人及其联系方式。</w:t>
      </w:r>
    </w:p>
    <w:p w14:paraId="63BF9EBF">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（二）从事自营或者资产管理等业务的联交所参与者。可以填写联交所参与者程序化交易相关业务负责人及其联系方式。</w:t>
      </w:r>
    </w:p>
    <w:p w14:paraId="39F3A47F">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“是否上传测试报告及应急方案”填报要求</w:t>
      </w:r>
    </w:p>
    <w:p w14:paraId="508AF5F5">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根据《指引》第七条要求上传了高频交易系统测试报告以及高频交易系统发生故障时的应急方案的，填“是”；不适用的填“否”。</w:t>
      </w:r>
    </w:p>
    <w:p w14:paraId="6C1CB6B3">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“合格境外投资者编码”填报要求</w:t>
      </w:r>
    </w:p>
    <w:p w14:paraId="20CDE4AA">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具有合格境外投资者资格的沪股通</w:t>
      </w:r>
      <w:r>
        <w:rPr>
          <w:rFonts w:hint="eastAsia" w:ascii="Times New Roman" w:hAnsi="Times New Roman" w:eastAsia="仿宋_GB2312"/>
          <w:sz w:val="32"/>
          <w:szCs w:val="32"/>
        </w:rPr>
        <w:t>程序化交易</w:t>
      </w:r>
      <w:r>
        <w:rPr>
          <w:rFonts w:hint="eastAsia" w:ascii="Times New Roman" w:hAnsi="Times New Roman" w:eastAsia="仿宋_GB2312" w:cs="Segoe UI"/>
          <w:color w:val="000000" w:themeColor="text1"/>
          <w:kern w:val="0"/>
          <w:sz w:val="32"/>
          <w:szCs w:val="32"/>
        </w:rPr>
        <w:t>投资者以减少大额订单对市场冲击或者保障不同投资组合交易公平性为目的，仅在交易环节按照设定的拆单算法自动执行交易指令，填报的“账户最高申报速率”区间在每秒</w:t>
      </w:r>
      <w:r>
        <w:rPr>
          <w:rFonts w:ascii="Times New Roman" w:hAnsi="Times New Roman" w:eastAsia="仿宋_GB2312" w:cs="Segoe UI"/>
          <w:color w:val="000000" w:themeColor="text1"/>
          <w:kern w:val="0"/>
          <w:sz w:val="32"/>
          <w:szCs w:val="32"/>
        </w:rPr>
        <w:t>300</w:t>
      </w:r>
      <w:r>
        <w:rPr>
          <w:rFonts w:hint="eastAsia" w:ascii="Times New Roman" w:hAnsi="Times New Roman" w:eastAsia="仿宋_GB2312" w:cs="Segoe UI"/>
          <w:color w:val="000000" w:themeColor="text1"/>
          <w:kern w:val="0"/>
          <w:sz w:val="32"/>
          <w:szCs w:val="32"/>
        </w:rPr>
        <w:t>笔以上，或者填报的“账户单日最高申报笔数”区间在</w:t>
      </w:r>
      <w:r>
        <w:rPr>
          <w:rFonts w:ascii="Times New Roman" w:hAnsi="Times New Roman" w:eastAsia="仿宋_GB2312" w:cs="Segoe UI"/>
          <w:color w:val="000000" w:themeColor="text1"/>
          <w:kern w:val="0"/>
          <w:sz w:val="32"/>
          <w:szCs w:val="32"/>
        </w:rPr>
        <w:t>20000</w:t>
      </w:r>
      <w:r>
        <w:rPr>
          <w:rFonts w:hint="eastAsia" w:ascii="Times New Roman" w:hAnsi="Times New Roman" w:eastAsia="仿宋_GB2312" w:cs="Segoe UI"/>
          <w:color w:val="000000" w:themeColor="text1"/>
          <w:kern w:val="0"/>
          <w:sz w:val="32"/>
          <w:szCs w:val="32"/>
        </w:rPr>
        <w:t>笔以上，可以不额外报告程序化交易报告系统服务器所在地、系统测试报告与应急方案，但须在该字段填写中国证监会分配的合格境外投资者编码。</w:t>
      </w:r>
    </w:p>
    <w:p w14:paraId="37C9ABF9">
      <w:pPr>
        <w:adjustRightInd w:val="0"/>
        <w:spacing w:line="560" w:lineRule="exact"/>
        <w:ind w:firstLine="0" w:firstLineChars="0"/>
        <w:rPr>
          <w:rFonts w:ascii="Times New Roman" w:hAnsi="Times New Roman" w:eastAsia="黑体" w:cs="Times New Roman"/>
          <w:color w:val="auto"/>
          <w:kern w:val="2"/>
          <w:sz w:val="32"/>
          <w:szCs w:val="32"/>
        </w:rPr>
      </w:pPr>
    </w:p>
    <w:bookmarkEnd w:id="0"/>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00500000000000000"/>
    <w:charset w:val="86"/>
    <w:family w:val="modern"/>
    <w:pitch w:val="default"/>
    <w:sig w:usb0="A00002BF" w:usb1="5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Segoe UI">
    <w:altName w:val="Arial"/>
    <w:panose1 w:val="020B0502040204020203"/>
    <w:charset w:val="00"/>
    <w:family w:val="swiss"/>
    <w:pitch w:val="default"/>
    <w:sig w:usb0="00000000" w:usb1="00000000"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349785"/>
    </w:sdtPr>
    <w:sdtContent>
      <w:p w14:paraId="13F37335">
        <w:pPr>
          <w:pStyle w:val="4"/>
          <w:jc w:val="center"/>
        </w:pP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lang w:val="zh-CN"/>
          </w:rPr>
          <w:t>6</w:t>
        </w:r>
        <w:r>
          <w:rPr>
            <w:rFonts w:hint="eastAsia" w:ascii="仿宋_GB2312" w:eastAsia="仿宋_GB2312"/>
            <w:sz w:val="30"/>
            <w:szCs w:val="30"/>
          </w:rPr>
          <w:fldChar w:fldCharType="end"/>
        </w:r>
      </w:p>
    </w:sdtContent>
  </w:sdt>
  <w:p w14:paraId="698D0E2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24BBE19">
      <w:pPr>
        <w:pStyle w:val="6"/>
      </w:pPr>
      <w:r>
        <w:rPr>
          <w:rStyle w:val="11"/>
        </w:rPr>
        <w:footnoteRef/>
      </w:r>
      <w:r>
        <w:rPr>
          <w:rFonts w:hint="eastAsia"/>
        </w:rPr>
        <w:t>年化换手率=该账户（最近30个沪股通交易日沪市日均交易金额）/（最近30个沪股通交易日沪市日均持仓金额）×当年沪股通交易日天数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945DD"/>
    <w:multiLevelType w:val="multilevel"/>
    <w:tmpl w:val="66E945DD"/>
    <w:lvl w:ilvl="0" w:tentative="0">
      <w:start w:val="1"/>
      <w:numFmt w:val="chineseCountingThousand"/>
      <w:lvlText w:val="%1、"/>
      <w:lvlJc w:val="left"/>
      <w:pPr>
        <w:ind w:left="2280" w:hanging="720"/>
      </w:pPr>
      <w:rPr>
        <w:rFonts w:hint="default"/>
      </w:rPr>
    </w:lvl>
    <w:lvl w:ilvl="1" w:tentative="0">
      <w:start w:val="1"/>
      <w:numFmt w:val="lowerLetter"/>
      <w:lvlText w:val="%2)"/>
      <w:lvlJc w:val="left"/>
      <w:pPr>
        <w:ind w:left="-505" w:hanging="420"/>
      </w:pPr>
    </w:lvl>
    <w:lvl w:ilvl="2" w:tentative="0">
      <w:start w:val="1"/>
      <w:numFmt w:val="lowerRoman"/>
      <w:lvlText w:val="%3."/>
      <w:lvlJc w:val="right"/>
      <w:pPr>
        <w:ind w:left="-85" w:hanging="420"/>
      </w:pPr>
    </w:lvl>
    <w:lvl w:ilvl="3" w:tentative="0">
      <w:start w:val="1"/>
      <w:numFmt w:val="decimal"/>
      <w:lvlText w:val="%4."/>
      <w:lvlJc w:val="left"/>
      <w:pPr>
        <w:ind w:left="335" w:hanging="420"/>
      </w:pPr>
    </w:lvl>
    <w:lvl w:ilvl="4" w:tentative="0">
      <w:start w:val="1"/>
      <w:numFmt w:val="lowerLetter"/>
      <w:lvlText w:val="%5)"/>
      <w:lvlJc w:val="left"/>
      <w:pPr>
        <w:ind w:left="755" w:hanging="420"/>
      </w:pPr>
    </w:lvl>
    <w:lvl w:ilvl="5" w:tentative="0">
      <w:start w:val="1"/>
      <w:numFmt w:val="lowerRoman"/>
      <w:lvlText w:val="%6."/>
      <w:lvlJc w:val="right"/>
      <w:pPr>
        <w:ind w:left="1175" w:hanging="420"/>
      </w:pPr>
    </w:lvl>
    <w:lvl w:ilvl="6" w:tentative="0">
      <w:start w:val="1"/>
      <w:numFmt w:val="decimal"/>
      <w:lvlText w:val="%7."/>
      <w:lvlJc w:val="left"/>
      <w:pPr>
        <w:ind w:left="1595" w:hanging="420"/>
      </w:pPr>
    </w:lvl>
    <w:lvl w:ilvl="7" w:tentative="0">
      <w:start w:val="1"/>
      <w:numFmt w:val="lowerLetter"/>
      <w:lvlText w:val="%8)"/>
      <w:lvlJc w:val="left"/>
      <w:pPr>
        <w:ind w:left="2015" w:hanging="420"/>
      </w:pPr>
    </w:lvl>
    <w:lvl w:ilvl="8" w:tentative="0">
      <w:start w:val="1"/>
      <w:numFmt w:val="lowerRoman"/>
      <w:lvlText w:val="%9."/>
      <w:lvlJc w:val="right"/>
      <w:pPr>
        <w:ind w:left="24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nforcement="0"/>
  <w:defaultTabStop w:val="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1E4F66E3"/>
    <w:rsid w:val="00002E6F"/>
    <w:rsid w:val="0000548F"/>
    <w:rsid w:val="000056B1"/>
    <w:rsid w:val="00007886"/>
    <w:rsid w:val="0000798A"/>
    <w:rsid w:val="000118B6"/>
    <w:rsid w:val="00011A7A"/>
    <w:rsid w:val="00011E75"/>
    <w:rsid w:val="000136DB"/>
    <w:rsid w:val="00015008"/>
    <w:rsid w:val="000165EA"/>
    <w:rsid w:val="00023629"/>
    <w:rsid w:val="00023A31"/>
    <w:rsid w:val="00025917"/>
    <w:rsid w:val="00033B04"/>
    <w:rsid w:val="00037E5F"/>
    <w:rsid w:val="00055BA3"/>
    <w:rsid w:val="00056C67"/>
    <w:rsid w:val="000612F2"/>
    <w:rsid w:val="00061899"/>
    <w:rsid w:val="00061AC5"/>
    <w:rsid w:val="00061BEF"/>
    <w:rsid w:val="00067276"/>
    <w:rsid w:val="00067724"/>
    <w:rsid w:val="00070623"/>
    <w:rsid w:val="000709EB"/>
    <w:rsid w:val="00072ACC"/>
    <w:rsid w:val="0007448F"/>
    <w:rsid w:val="00084187"/>
    <w:rsid w:val="000844BD"/>
    <w:rsid w:val="0008600B"/>
    <w:rsid w:val="000870D1"/>
    <w:rsid w:val="000A0516"/>
    <w:rsid w:val="000A18B3"/>
    <w:rsid w:val="000A3568"/>
    <w:rsid w:val="000B350C"/>
    <w:rsid w:val="000B3600"/>
    <w:rsid w:val="000B3C76"/>
    <w:rsid w:val="000B5AC2"/>
    <w:rsid w:val="000C223C"/>
    <w:rsid w:val="000C7D47"/>
    <w:rsid w:val="000D3564"/>
    <w:rsid w:val="000D7607"/>
    <w:rsid w:val="000E0C97"/>
    <w:rsid w:val="000E20DF"/>
    <w:rsid w:val="000E261B"/>
    <w:rsid w:val="000E319A"/>
    <w:rsid w:val="000E741D"/>
    <w:rsid w:val="000F13ED"/>
    <w:rsid w:val="000F1E8F"/>
    <w:rsid w:val="00102B40"/>
    <w:rsid w:val="00104627"/>
    <w:rsid w:val="00104E7A"/>
    <w:rsid w:val="001053DD"/>
    <w:rsid w:val="001109CF"/>
    <w:rsid w:val="00110E0A"/>
    <w:rsid w:val="00111E24"/>
    <w:rsid w:val="00121D75"/>
    <w:rsid w:val="00122BC9"/>
    <w:rsid w:val="0012414E"/>
    <w:rsid w:val="00127226"/>
    <w:rsid w:val="00132FB7"/>
    <w:rsid w:val="0013514D"/>
    <w:rsid w:val="00135AF0"/>
    <w:rsid w:val="00145507"/>
    <w:rsid w:val="001461A8"/>
    <w:rsid w:val="00152301"/>
    <w:rsid w:val="00154647"/>
    <w:rsid w:val="001561E3"/>
    <w:rsid w:val="00156527"/>
    <w:rsid w:val="00163C2E"/>
    <w:rsid w:val="0016426F"/>
    <w:rsid w:val="00173FD3"/>
    <w:rsid w:val="00175334"/>
    <w:rsid w:val="001756BB"/>
    <w:rsid w:val="00180E14"/>
    <w:rsid w:val="00185B2A"/>
    <w:rsid w:val="001906BC"/>
    <w:rsid w:val="001912BC"/>
    <w:rsid w:val="001923FC"/>
    <w:rsid w:val="001947E7"/>
    <w:rsid w:val="001A0901"/>
    <w:rsid w:val="001A09BE"/>
    <w:rsid w:val="001A6945"/>
    <w:rsid w:val="001B22D0"/>
    <w:rsid w:val="001B64BD"/>
    <w:rsid w:val="001B73DA"/>
    <w:rsid w:val="001C0B64"/>
    <w:rsid w:val="001C1900"/>
    <w:rsid w:val="001C1A58"/>
    <w:rsid w:val="001C3BC8"/>
    <w:rsid w:val="001C758E"/>
    <w:rsid w:val="001D050B"/>
    <w:rsid w:val="001D6A35"/>
    <w:rsid w:val="001D7294"/>
    <w:rsid w:val="001E5911"/>
    <w:rsid w:val="001F1303"/>
    <w:rsid w:val="001F1DD6"/>
    <w:rsid w:val="001F250B"/>
    <w:rsid w:val="001F6128"/>
    <w:rsid w:val="002031F0"/>
    <w:rsid w:val="00203CC9"/>
    <w:rsid w:val="00205797"/>
    <w:rsid w:val="00207764"/>
    <w:rsid w:val="00207C7C"/>
    <w:rsid w:val="002109DB"/>
    <w:rsid w:val="00211E8F"/>
    <w:rsid w:val="00216E23"/>
    <w:rsid w:val="002174E4"/>
    <w:rsid w:val="00221004"/>
    <w:rsid w:val="002211AB"/>
    <w:rsid w:val="00221D96"/>
    <w:rsid w:val="0022499B"/>
    <w:rsid w:val="002249EE"/>
    <w:rsid w:val="00226A4D"/>
    <w:rsid w:val="00227857"/>
    <w:rsid w:val="0023329E"/>
    <w:rsid w:val="0023692A"/>
    <w:rsid w:val="002403C1"/>
    <w:rsid w:val="00242230"/>
    <w:rsid w:val="0024586D"/>
    <w:rsid w:val="002500DA"/>
    <w:rsid w:val="00252F74"/>
    <w:rsid w:val="00253C37"/>
    <w:rsid w:val="0025574F"/>
    <w:rsid w:val="00255D8F"/>
    <w:rsid w:val="002563D5"/>
    <w:rsid w:val="00256E69"/>
    <w:rsid w:val="002575EB"/>
    <w:rsid w:val="00257925"/>
    <w:rsid w:val="00257EAC"/>
    <w:rsid w:val="00265B18"/>
    <w:rsid w:val="00265B77"/>
    <w:rsid w:val="002723D5"/>
    <w:rsid w:val="0027271F"/>
    <w:rsid w:val="00272C97"/>
    <w:rsid w:val="0027507F"/>
    <w:rsid w:val="00276052"/>
    <w:rsid w:val="0028096F"/>
    <w:rsid w:val="00281ECB"/>
    <w:rsid w:val="002850F1"/>
    <w:rsid w:val="0028754C"/>
    <w:rsid w:val="002933EA"/>
    <w:rsid w:val="002938B3"/>
    <w:rsid w:val="002A1186"/>
    <w:rsid w:val="002A532D"/>
    <w:rsid w:val="002A7339"/>
    <w:rsid w:val="002A7ADD"/>
    <w:rsid w:val="002A7BEB"/>
    <w:rsid w:val="002B1209"/>
    <w:rsid w:val="002B1312"/>
    <w:rsid w:val="002B2125"/>
    <w:rsid w:val="002B2A22"/>
    <w:rsid w:val="002B2C13"/>
    <w:rsid w:val="002B44C8"/>
    <w:rsid w:val="002B44E9"/>
    <w:rsid w:val="002B4E3C"/>
    <w:rsid w:val="002B6B46"/>
    <w:rsid w:val="002B7F4F"/>
    <w:rsid w:val="002D004D"/>
    <w:rsid w:val="002D214C"/>
    <w:rsid w:val="002D30D7"/>
    <w:rsid w:val="002D392F"/>
    <w:rsid w:val="002D4325"/>
    <w:rsid w:val="002D67BE"/>
    <w:rsid w:val="002D705A"/>
    <w:rsid w:val="002D7F4C"/>
    <w:rsid w:val="002E0F81"/>
    <w:rsid w:val="002E10B0"/>
    <w:rsid w:val="002E2AFB"/>
    <w:rsid w:val="002E3915"/>
    <w:rsid w:val="002E6234"/>
    <w:rsid w:val="002E71B5"/>
    <w:rsid w:val="002F2C6B"/>
    <w:rsid w:val="002F3738"/>
    <w:rsid w:val="002F5AA9"/>
    <w:rsid w:val="00304227"/>
    <w:rsid w:val="00307188"/>
    <w:rsid w:val="0032419B"/>
    <w:rsid w:val="003260E3"/>
    <w:rsid w:val="00331DB2"/>
    <w:rsid w:val="003338EF"/>
    <w:rsid w:val="00334180"/>
    <w:rsid w:val="00336FE8"/>
    <w:rsid w:val="00337328"/>
    <w:rsid w:val="00343077"/>
    <w:rsid w:val="00343C29"/>
    <w:rsid w:val="00345FF8"/>
    <w:rsid w:val="003519E8"/>
    <w:rsid w:val="00353B92"/>
    <w:rsid w:val="00353E28"/>
    <w:rsid w:val="00354627"/>
    <w:rsid w:val="00354DD7"/>
    <w:rsid w:val="00356549"/>
    <w:rsid w:val="0036501F"/>
    <w:rsid w:val="00366EBB"/>
    <w:rsid w:val="00370A48"/>
    <w:rsid w:val="00370E3E"/>
    <w:rsid w:val="003825D9"/>
    <w:rsid w:val="003831BC"/>
    <w:rsid w:val="00383EA0"/>
    <w:rsid w:val="00384BB5"/>
    <w:rsid w:val="0038542E"/>
    <w:rsid w:val="003865EC"/>
    <w:rsid w:val="00386667"/>
    <w:rsid w:val="003906C3"/>
    <w:rsid w:val="00390D4D"/>
    <w:rsid w:val="00392F9A"/>
    <w:rsid w:val="0039506E"/>
    <w:rsid w:val="003951C5"/>
    <w:rsid w:val="003A0C3D"/>
    <w:rsid w:val="003A0C59"/>
    <w:rsid w:val="003A4059"/>
    <w:rsid w:val="003A4B3F"/>
    <w:rsid w:val="003B00C0"/>
    <w:rsid w:val="003B70EE"/>
    <w:rsid w:val="003C0C11"/>
    <w:rsid w:val="003C2DF6"/>
    <w:rsid w:val="003C6EED"/>
    <w:rsid w:val="003C7C51"/>
    <w:rsid w:val="003D2EE0"/>
    <w:rsid w:val="003D30FD"/>
    <w:rsid w:val="003D3589"/>
    <w:rsid w:val="003D35DD"/>
    <w:rsid w:val="003D496F"/>
    <w:rsid w:val="003D5F19"/>
    <w:rsid w:val="003E1FB8"/>
    <w:rsid w:val="003E672A"/>
    <w:rsid w:val="003F0E3F"/>
    <w:rsid w:val="003F3098"/>
    <w:rsid w:val="003F31EC"/>
    <w:rsid w:val="004002B8"/>
    <w:rsid w:val="004038C6"/>
    <w:rsid w:val="00406A90"/>
    <w:rsid w:val="00411B0B"/>
    <w:rsid w:val="00413F0C"/>
    <w:rsid w:val="0041404E"/>
    <w:rsid w:val="00415DAE"/>
    <w:rsid w:val="004216B1"/>
    <w:rsid w:val="004234F3"/>
    <w:rsid w:val="00423F36"/>
    <w:rsid w:val="00424339"/>
    <w:rsid w:val="00424454"/>
    <w:rsid w:val="00426089"/>
    <w:rsid w:val="0042777C"/>
    <w:rsid w:val="004327BB"/>
    <w:rsid w:val="004331B8"/>
    <w:rsid w:val="00433223"/>
    <w:rsid w:val="00434206"/>
    <w:rsid w:val="004415FE"/>
    <w:rsid w:val="004421BD"/>
    <w:rsid w:val="0044238A"/>
    <w:rsid w:val="00445591"/>
    <w:rsid w:val="00446512"/>
    <w:rsid w:val="00446A1B"/>
    <w:rsid w:val="004476EC"/>
    <w:rsid w:val="004478F4"/>
    <w:rsid w:val="00450A0E"/>
    <w:rsid w:val="00451859"/>
    <w:rsid w:val="00452C83"/>
    <w:rsid w:val="0045357A"/>
    <w:rsid w:val="00455B6B"/>
    <w:rsid w:val="00455DFB"/>
    <w:rsid w:val="00456B36"/>
    <w:rsid w:val="00457367"/>
    <w:rsid w:val="004628F7"/>
    <w:rsid w:val="00464C0A"/>
    <w:rsid w:val="00465E04"/>
    <w:rsid w:val="00466FB2"/>
    <w:rsid w:val="00471DF7"/>
    <w:rsid w:val="00477747"/>
    <w:rsid w:val="0048219F"/>
    <w:rsid w:val="00483D29"/>
    <w:rsid w:val="00484024"/>
    <w:rsid w:val="00484899"/>
    <w:rsid w:val="00484F6A"/>
    <w:rsid w:val="00490D38"/>
    <w:rsid w:val="00491AAF"/>
    <w:rsid w:val="004921D3"/>
    <w:rsid w:val="00497431"/>
    <w:rsid w:val="004A11CC"/>
    <w:rsid w:val="004A72D8"/>
    <w:rsid w:val="004B0054"/>
    <w:rsid w:val="004B489E"/>
    <w:rsid w:val="004B499C"/>
    <w:rsid w:val="004B6702"/>
    <w:rsid w:val="004C06DB"/>
    <w:rsid w:val="004C1056"/>
    <w:rsid w:val="004C7B0D"/>
    <w:rsid w:val="004D082E"/>
    <w:rsid w:val="004D3766"/>
    <w:rsid w:val="004D399F"/>
    <w:rsid w:val="004E0603"/>
    <w:rsid w:val="004E265A"/>
    <w:rsid w:val="004E311A"/>
    <w:rsid w:val="004F00B6"/>
    <w:rsid w:val="004F0AA9"/>
    <w:rsid w:val="004F46BE"/>
    <w:rsid w:val="004F4A57"/>
    <w:rsid w:val="00501EF0"/>
    <w:rsid w:val="00503B85"/>
    <w:rsid w:val="00507695"/>
    <w:rsid w:val="005105E0"/>
    <w:rsid w:val="005107D3"/>
    <w:rsid w:val="00511D2F"/>
    <w:rsid w:val="00511DA1"/>
    <w:rsid w:val="0051618C"/>
    <w:rsid w:val="005216FB"/>
    <w:rsid w:val="00533304"/>
    <w:rsid w:val="005351D5"/>
    <w:rsid w:val="00536462"/>
    <w:rsid w:val="00537437"/>
    <w:rsid w:val="00540D71"/>
    <w:rsid w:val="00541C5E"/>
    <w:rsid w:val="00542F45"/>
    <w:rsid w:val="00545135"/>
    <w:rsid w:val="00546C3D"/>
    <w:rsid w:val="005529F7"/>
    <w:rsid w:val="00555962"/>
    <w:rsid w:val="00557684"/>
    <w:rsid w:val="005609E6"/>
    <w:rsid w:val="005626DA"/>
    <w:rsid w:val="00563BE6"/>
    <w:rsid w:val="00564FBD"/>
    <w:rsid w:val="00565AA6"/>
    <w:rsid w:val="00566871"/>
    <w:rsid w:val="0057048A"/>
    <w:rsid w:val="00574A3B"/>
    <w:rsid w:val="005754FE"/>
    <w:rsid w:val="005763AE"/>
    <w:rsid w:val="00580DB6"/>
    <w:rsid w:val="005853AD"/>
    <w:rsid w:val="00590F71"/>
    <w:rsid w:val="00595C41"/>
    <w:rsid w:val="005A0B8E"/>
    <w:rsid w:val="005A17A2"/>
    <w:rsid w:val="005A5F4B"/>
    <w:rsid w:val="005B1C42"/>
    <w:rsid w:val="005B4CE5"/>
    <w:rsid w:val="005B57BB"/>
    <w:rsid w:val="005B63B4"/>
    <w:rsid w:val="005D0EAC"/>
    <w:rsid w:val="005D1866"/>
    <w:rsid w:val="005D1CC2"/>
    <w:rsid w:val="005D1F52"/>
    <w:rsid w:val="005D23C7"/>
    <w:rsid w:val="005D24CC"/>
    <w:rsid w:val="005D7C55"/>
    <w:rsid w:val="005E482F"/>
    <w:rsid w:val="005E6B23"/>
    <w:rsid w:val="005F19F6"/>
    <w:rsid w:val="005F53BF"/>
    <w:rsid w:val="0060240D"/>
    <w:rsid w:val="00603DAF"/>
    <w:rsid w:val="006055F8"/>
    <w:rsid w:val="0060607B"/>
    <w:rsid w:val="00610C28"/>
    <w:rsid w:val="0061101F"/>
    <w:rsid w:val="0061393D"/>
    <w:rsid w:val="00615CD2"/>
    <w:rsid w:val="00620065"/>
    <w:rsid w:val="00620A2D"/>
    <w:rsid w:val="00624108"/>
    <w:rsid w:val="006251D2"/>
    <w:rsid w:val="006301B3"/>
    <w:rsid w:val="00631FA2"/>
    <w:rsid w:val="00636317"/>
    <w:rsid w:val="006409F7"/>
    <w:rsid w:val="00641AA0"/>
    <w:rsid w:val="0064417D"/>
    <w:rsid w:val="00646CC7"/>
    <w:rsid w:val="00654272"/>
    <w:rsid w:val="00656B38"/>
    <w:rsid w:val="00656F12"/>
    <w:rsid w:val="00662056"/>
    <w:rsid w:val="00662E6C"/>
    <w:rsid w:val="00662FFC"/>
    <w:rsid w:val="00663653"/>
    <w:rsid w:val="0066733C"/>
    <w:rsid w:val="00667374"/>
    <w:rsid w:val="00670BC4"/>
    <w:rsid w:val="00671491"/>
    <w:rsid w:val="0067279B"/>
    <w:rsid w:val="0067626A"/>
    <w:rsid w:val="00676D81"/>
    <w:rsid w:val="006774A6"/>
    <w:rsid w:val="00681118"/>
    <w:rsid w:val="00681A88"/>
    <w:rsid w:val="00684546"/>
    <w:rsid w:val="0068548B"/>
    <w:rsid w:val="006872F1"/>
    <w:rsid w:val="006905C7"/>
    <w:rsid w:val="00690838"/>
    <w:rsid w:val="006936D0"/>
    <w:rsid w:val="006951FE"/>
    <w:rsid w:val="006A10A3"/>
    <w:rsid w:val="006A2782"/>
    <w:rsid w:val="006A5F03"/>
    <w:rsid w:val="006A641D"/>
    <w:rsid w:val="006B3CDF"/>
    <w:rsid w:val="006B785F"/>
    <w:rsid w:val="006C5480"/>
    <w:rsid w:val="006D158E"/>
    <w:rsid w:val="006D3882"/>
    <w:rsid w:val="006D3C77"/>
    <w:rsid w:val="006D666C"/>
    <w:rsid w:val="006D7646"/>
    <w:rsid w:val="006E38EF"/>
    <w:rsid w:val="006E60EC"/>
    <w:rsid w:val="006E70BE"/>
    <w:rsid w:val="006F23B0"/>
    <w:rsid w:val="006F3C2E"/>
    <w:rsid w:val="006F6AC1"/>
    <w:rsid w:val="006F6B7D"/>
    <w:rsid w:val="006F7D8B"/>
    <w:rsid w:val="0070003C"/>
    <w:rsid w:val="00705069"/>
    <w:rsid w:val="00706AFC"/>
    <w:rsid w:val="00706E0C"/>
    <w:rsid w:val="00713087"/>
    <w:rsid w:val="00715CC0"/>
    <w:rsid w:val="00716051"/>
    <w:rsid w:val="00717917"/>
    <w:rsid w:val="007225F7"/>
    <w:rsid w:val="00723B5E"/>
    <w:rsid w:val="00730427"/>
    <w:rsid w:val="00736432"/>
    <w:rsid w:val="00737873"/>
    <w:rsid w:val="007472C6"/>
    <w:rsid w:val="007521B4"/>
    <w:rsid w:val="00753BA1"/>
    <w:rsid w:val="00761FF2"/>
    <w:rsid w:val="00770E99"/>
    <w:rsid w:val="00771A66"/>
    <w:rsid w:val="00772C41"/>
    <w:rsid w:val="00782C1B"/>
    <w:rsid w:val="007A08CC"/>
    <w:rsid w:val="007A257C"/>
    <w:rsid w:val="007A2870"/>
    <w:rsid w:val="007A3EED"/>
    <w:rsid w:val="007A7911"/>
    <w:rsid w:val="007B068C"/>
    <w:rsid w:val="007B13A2"/>
    <w:rsid w:val="007B42A5"/>
    <w:rsid w:val="007B7186"/>
    <w:rsid w:val="007C1448"/>
    <w:rsid w:val="007C25A7"/>
    <w:rsid w:val="007C30F3"/>
    <w:rsid w:val="007C6D95"/>
    <w:rsid w:val="007C7030"/>
    <w:rsid w:val="007D00D6"/>
    <w:rsid w:val="007D30E2"/>
    <w:rsid w:val="007D3662"/>
    <w:rsid w:val="007D6E6B"/>
    <w:rsid w:val="007E3AF2"/>
    <w:rsid w:val="007E46C1"/>
    <w:rsid w:val="007E4EC9"/>
    <w:rsid w:val="007E5DFB"/>
    <w:rsid w:val="00800A3B"/>
    <w:rsid w:val="0080491D"/>
    <w:rsid w:val="00805A27"/>
    <w:rsid w:val="00806B69"/>
    <w:rsid w:val="00810AF6"/>
    <w:rsid w:val="008132FF"/>
    <w:rsid w:val="00813E62"/>
    <w:rsid w:val="008147E5"/>
    <w:rsid w:val="00815AA0"/>
    <w:rsid w:val="0082018B"/>
    <w:rsid w:val="008205FF"/>
    <w:rsid w:val="00827CD5"/>
    <w:rsid w:val="00832DB0"/>
    <w:rsid w:val="00840C72"/>
    <w:rsid w:val="00847FC9"/>
    <w:rsid w:val="0085035B"/>
    <w:rsid w:val="00852F35"/>
    <w:rsid w:val="00852FF2"/>
    <w:rsid w:val="008562A9"/>
    <w:rsid w:val="00861B4A"/>
    <w:rsid w:val="00873959"/>
    <w:rsid w:val="00876538"/>
    <w:rsid w:val="00880411"/>
    <w:rsid w:val="00880B09"/>
    <w:rsid w:val="008817EC"/>
    <w:rsid w:val="00882D96"/>
    <w:rsid w:val="0088303F"/>
    <w:rsid w:val="008838B3"/>
    <w:rsid w:val="00883BF7"/>
    <w:rsid w:val="00885622"/>
    <w:rsid w:val="00887482"/>
    <w:rsid w:val="008965D6"/>
    <w:rsid w:val="0089710E"/>
    <w:rsid w:val="008A25AB"/>
    <w:rsid w:val="008A470B"/>
    <w:rsid w:val="008A4974"/>
    <w:rsid w:val="008B0656"/>
    <w:rsid w:val="008B10A6"/>
    <w:rsid w:val="008B4BC6"/>
    <w:rsid w:val="008C102C"/>
    <w:rsid w:val="008C305D"/>
    <w:rsid w:val="008C34C8"/>
    <w:rsid w:val="008C716F"/>
    <w:rsid w:val="008D03BE"/>
    <w:rsid w:val="008D13D5"/>
    <w:rsid w:val="008D5EA9"/>
    <w:rsid w:val="008D6234"/>
    <w:rsid w:val="008D6E67"/>
    <w:rsid w:val="008E0AF9"/>
    <w:rsid w:val="008E6665"/>
    <w:rsid w:val="008F0C54"/>
    <w:rsid w:val="009001DD"/>
    <w:rsid w:val="00900FA4"/>
    <w:rsid w:val="009018F3"/>
    <w:rsid w:val="0090281A"/>
    <w:rsid w:val="00903950"/>
    <w:rsid w:val="00904543"/>
    <w:rsid w:val="00907136"/>
    <w:rsid w:val="00910384"/>
    <w:rsid w:val="00913A69"/>
    <w:rsid w:val="009143B8"/>
    <w:rsid w:val="009150FB"/>
    <w:rsid w:val="00916DAB"/>
    <w:rsid w:val="009177AF"/>
    <w:rsid w:val="0092000F"/>
    <w:rsid w:val="009240C4"/>
    <w:rsid w:val="009255E3"/>
    <w:rsid w:val="0092724E"/>
    <w:rsid w:val="009307CD"/>
    <w:rsid w:val="00931BCF"/>
    <w:rsid w:val="00933B77"/>
    <w:rsid w:val="0093509E"/>
    <w:rsid w:val="00935AA2"/>
    <w:rsid w:val="0093693B"/>
    <w:rsid w:val="00937E86"/>
    <w:rsid w:val="00942A75"/>
    <w:rsid w:val="009431D8"/>
    <w:rsid w:val="009436E6"/>
    <w:rsid w:val="0094592D"/>
    <w:rsid w:val="00947031"/>
    <w:rsid w:val="009502F3"/>
    <w:rsid w:val="00952B2D"/>
    <w:rsid w:val="00956287"/>
    <w:rsid w:val="009565DF"/>
    <w:rsid w:val="0096005E"/>
    <w:rsid w:val="00963A76"/>
    <w:rsid w:val="0096716E"/>
    <w:rsid w:val="00970F64"/>
    <w:rsid w:val="00971126"/>
    <w:rsid w:val="00972CF3"/>
    <w:rsid w:val="00976729"/>
    <w:rsid w:val="00977CDF"/>
    <w:rsid w:val="00980023"/>
    <w:rsid w:val="009837D0"/>
    <w:rsid w:val="00983B2B"/>
    <w:rsid w:val="00983ED0"/>
    <w:rsid w:val="00985883"/>
    <w:rsid w:val="0098766E"/>
    <w:rsid w:val="00990D1C"/>
    <w:rsid w:val="0099174C"/>
    <w:rsid w:val="00992ABA"/>
    <w:rsid w:val="0099485E"/>
    <w:rsid w:val="009976CB"/>
    <w:rsid w:val="009A06A4"/>
    <w:rsid w:val="009A0B05"/>
    <w:rsid w:val="009A61E9"/>
    <w:rsid w:val="009B14C5"/>
    <w:rsid w:val="009B40DD"/>
    <w:rsid w:val="009B4D06"/>
    <w:rsid w:val="009C21E1"/>
    <w:rsid w:val="009C22B5"/>
    <w:rsid w:val="009C30E1"/>
    <w:rsid w:val="009C36D5"/>
    <w:rsid w:val="009C36ED"/>
    <w:rsid w:val="009C3F18"/>
    <w:rsid w:val="009D2352"/>
    <w:rsid w:val="009D23BE"/>
    <w:rsid w:val="009D43C4"/>
    <w:rsid w:val="009D456B"/>
    <w:rsid w:val="009D783E"/>
    <w:rsid w:val="009D7EA7"/>
    <w:rsid w:val="009E22F0"/>
    <w:rsid w:val="009E4998"/>
    <w:rsid w:val="009E4E86"/>
    <w:rsid w:val="009E56C8"/>
    <w:rsid w:val="009E617F"/>
    <w:rsid w:val="009F2D7D"/>
    <w:rsid w:val="009F72BA"/>
    <w:rsid w:val="00A00866"/>
    <w:rsid w:val="00A035A1"/>
    <w:rsid w:val="00A041DB"/>
    <w:rsid w:val="00A06B3B"/>
    <w:rsid w:val="00A073CC"/>
    <w:rsid w:val="00A1030D"/>
    <w:rsid w:val="00A15E65"/>
    <w:rsid w:val="00A262D1"/>
    <w:rsid w:val="00A32A02"/>
    <w:rsid w:val="00A37B02"/>
    <w:rsid w:val="00A43319"/>
    <w:rsid w:val="00A44031"/>
    <w:rsid w:val="00A46523"/>
    <w:rsid w:val="00A545A3"/>
    <w:rsid w:val="00A54C2A"/>
    <w:rsid w:val="00A609F9"/>
    <w:rsid w:val="00A64E02"/>
    <w:rsid w:val="00A6532A"/>
    <w:rsid w:val="00A65B8D"/>
    <w:rsid w:val="00A662E3"/>
    <w:rsid w:val="00A67D59"/>
    <w:rsid w:val="00A732E4"/>
    <w:rsid w:val="00A74F61"/>
    <w:rsid w:val="00A75546"/>
    <w:rsid w:val="00A83009"/>
    <w:rsid w:val="00A83940"/>
    <w:rsid w:val="00A84890"/>
    <w:rsid w:val="00A8541E"/>
    <w:rsid w:val="00A85B4D"/>
    <w:rsid w:val="00A85FB9"/>
    <w:rsid w:val="00A86996"/>
    <w:rsid w:val="00A917AE"/>
    <w:rsid w:val="00A9217A"/>
    <w:rsid w:val="00A932B5"/>
    <w:rsid w:val="00A95F08"/>
    <w:rsid w:val="00A971EB"/>
    <w:rsid w:val="00AA1ACE"/>
    <w:rsid w:val="00AA202B"/>
    <w:rsid w:val="00AA56DF"/>
    <w:rsid w:val="00AA5C44"/>
    <w:rsid w:val="00AA6C57"/>
    <w:rsid w:val="00AA7A35"/>
    <w:rsid w:val="00AB1295"/>
    <w:rsid w:val="00AB12E3"/>
    <w:rsid w:val="00AB194E"/>
    <w:rsid w:val="00AB5444"/>
    <w:rsid w:val="00AC326D"/>
    <w:rsid w:val="00AC64D7"/>
    <w:rsid w:val="00AC7682"/>
    <w:rsid w:val="00AC76CB"/>
    <w:rsid w:val="00AD26B7"/>
    <w:rsid w:val="00AD395C"/>
    <w:rsid w:val="00AD4141"/>
    <w:rsid w:val="00AD54F5"/>
    <w:rsid w:val="00AD6015"/>
    <w:rsid w:val="00AE16DC"/>
    <w:rsid w:val="00AE1E17"/>
    <w:rsid w:val="00AE27A8"/>
    <w:rsid w:val="00AE6020"/>
    <w:rsid w:val="00AF11AC"/>
    <w:rsid w:val="00B002A0"/>
    <w:rsid w:val="00B00FEC"/>
    <w:rsid w:val="00B02BD3"/>
    <w:rsid w:val="00B05DD5"/>
    <w:rsid w:val="00B061DA"/>
    <w:rsid w:val="00B10FDF"/>
    <w:rsid w:val="00B11FCB"/>
    <w:rsid w:val="00B12DA7"/>
    <w:rsid w:val="00B137A8"/>
    <w:rsid w:val="00B20EA2"/>
    <w:rsid w:val="00B2362C"/>
    <w:rsid w:val="00B23BBF"/>
    <w:rsid w:val="00B24C3C"/>
    <w:rsid w:val="00B25DA0"/>
    <w:rsid w:val="00B266A3"/>
    <w:rsid w:val="00B33C78"/>
    <w:rsid w:val="00B3404A"/>
    <w:rsid w:val="00B342F0"/>
    <w:rsid w:val="00B3643F"/>
    <w:rsid w:val="00B37569"/>
    <w:rsid w:val="00B42AC1"/>
    <w:rsid w:val="00B4581D"/>
    <w:rsid w:val="00B55771"/>
    <w:rsid w:val="00B57AAA"/>
    <w:rsid w:val="00B614D5"/>
    <w:rsid w:val="00B62056"/>
    <w:rsid w:val="00B6308D"/>
    <w:rsid w:val="00B638C9"/>
    <w:rsid w:val="00B64588"/>
    <w:rsid w:val="00B66B6C"/>
    <w:rsid w:val="00B66F02"/>
    <w:rsid w:val="00B6717A"/>
    <w:rsid w:val="00B7017E"/>
    <w:rsid w:val="00B76BB6"/>
    <w:rsid w:val="00B76FE7"/>
    <w:rsid w:val="00B805A0"/>
    <w:rsid w:val="00B85448"/>
    <w:rsid w:val="00B877C8"/>
    <w:rsid w:val="00B901BC"/>
    <w:rsid w:val="00B93435"/>
    <w:rsid w:val="00BA0F46"/>
    <w:rsid w:val="00BA44C9"/>
    <w:rsid w:val="00BA491A"/>
    <w:rsid w:val="00BA6358"/>
    <w:rsid w:val="00BA6C1D"/>
    <w:rsid w:val="00BA7840"/>
    <w:rsid w:val="00BA7D9B"/>
    <w:rsid w:val="00BA7E2B"/>
    <w:rsid w:val="00BB23C0"/>
    <w:rsid w:val="00BC0C6E"/>
    <w:rsid w:val="00BC4632"/>
    <w:rsid w:val="00BC7B2E"/>
    <w:rsid w:val="00BC7E38"/>
    <w:rsid w:val="00BD7323"/>
    <w:rsid w:val="00BD7B8D"/>
    <w:rsid w:val="00BE00BE"/>
    <w:rsid w:val="00BE1C50"/>
    <w:rsid w:val="00BE3D4F"/>
    <w:rsid w:val="00BE5066"/>
    <w:rsid w:val="00BF0DF4"/>
    <w:rsid w:val="00BF262E"/>
    <w:rsid w:val="00BF4754"/>
    <w:rsid w:val="00BF6AEC"/>
    <w:rsid w:val="00C01C10"/>
    <w:rsid w:val="00C021E3"/>
    <w:rsid w:val="00C0260B"/>
    <w:rsid w:val="00C059B1"/>
    <w:rsid w:val="00C067BE"/>
    <w:rsid w:val="00C10598"/>
    <w:rsid w:val="00C11CED"/>
    <w:rsid w:val="00C12E97"/>
    <w:rsid w:val="00C16E45"/>
    <w:rsid w:val="00C22FA7"/>
    <w:rsid w:val="00C2337B"/>
    <w:rsid w:val="00C23F85"/>
    <w:rsid w:val="00C24891"/>
    <w:rsid w:val="00C3464F"/>
    <w:rsid w:val="00C3469A"/>
    <w:rsid w:val="00C43B5F"/>
    <w:rsid w:val="00C4664F"/>
    <w:rsid w:val="00C4710F"/>
    <w:rsid w:val="00C57E67"/>
    <w:rsid w:val="00C610F5"/>
    <w:rsid w:val="00C6309D"/>
    <w:rsid w:val="00C673D7"/>
    <w:rsid w:val="00C70BE5"/>
    <w:rsid w:val="00C72E16"/>
    <w:rsid w:val="00C80B23"/>
    <w:rsid w:val="00C84807"/>
    <w:rsid w:val="00C8755B"/>
    <w:rsid w:val="00C90082"/>
    <w:rsid w:val="00C9281A"/>
    <w:rsid w:val="00CA1476"/>
    <w:rsid w:val="00CA3867"/>
    <w:rsid w:val="00CA6332"/>
    <w:rsid w:val="00CA6723"/>
    <w:rsid w:val="00CA69E5"/>
    <w:rsid w:val="00CA783C"/>
    <w:rsid w:val="00CB1AD6"/>
    <w:rsid w:val="00CB2B74"/>
    <w:rsid w:val="00CB3CD7"/>
    <w:rsid w:val="00CB44BC"/>
    <w:rsid w:val="00CB5FBB"/>
    <w:rsid w:val="00CB6995"/>
    <w:rsid w:val="00CB6F86"/>
    <w:rsid w:val="00CB7545"/>
    <w:rsid w:val="00CC5AE3"/>
    <w:rsid w:val="00CD4B90"/>
    <w:rsid w:val="00CD7786"/>
    <w:rsid w:val="00CE2283"/>
    <w:rsid w:val="00CF2430"/>
    <w:rsid w:val="00CF5919"/>
    <w:rsid w:val="00CF769C"/>
    <w:rsid w:val="00D0015F"/>
    <w:rsid w:val="00D06389"/>
    <w:rsid w:val="00D075D2"/>
    <w:rsid w:val="00D07B1B"/>
    <w:rsid w:val="00D07B71"/>
    <w:rsid w:val="00D11D86"/>
    <w:rsid w:val="00D15638"/>
    <w:rsid w:val="00D15822"/>
    <w:rsid w:val="00D15DD0"/>
    <w:rsid w:val="00D20223"/>
    <w:rsid w:val="00D20D4E"/>
    <w:rsid w:val="00D21A06"/>
    <w:rsid w:val="00D21AE8"/>
    <w:rsid w:val="00D21F60"/>
    <w:rsid w:val="00D235FB"/>
    <w:rsid w:val="00D31776"/>
    <w:rsid w:val="00D31916"/>
    <w:rsid w:val="00D32A4C"/>
    <w:rsid w:val="00D33AE3"/>
    <w:rsid w:val="00D345A7"/>
    <w:rsid w:val="00D354E9"/>
    <w:rsid w:val="00D374A9"/>
    <w:rsid w:val="00D414F9"/>
    <w:rsid w:val="00D47761"/>
    <w:rsid w:val="00D47F65"/>
    <w:rsid w:val="00D518FA"/>
    <w:rsid w:val="00D51D90"/>
    <w:rsid w:val="00D537F5"/>
    <w:rsid w:val="00D53CE7"/>
    <w:rsid w:val="00D61DB4"/>
    <w:rsid w:val="00D620AD"/>
    <w:rsid w:val="00D64A19"/>
    <w:rsid w:val="00D64B11"/>
    <w:rsid w:val="00D6627B"/>
    <w:rsid w:val="00D66945"/>
    <w:rsid w:val="00D73D47"/>
    <w:rsid w:val="00D7618E"/>
    <w:rsid w:val="00D815C5"/>
    <w:rsid w:val="00D83B59"/>
    <w:rsid w:val="00D87335"/>
    <w:rsid w:val="00D91B6D"/>
    <w:rsid w:val="00D95C78"/>
    <w:rsid w:val="00D96D44"/>
    <w:rsid w:val="00D97041"/>
    <w:rsid w:val="00DA05A1"/>
    <w:rsid w:val="00DA155D"/>
    <w:rsid w:val="00DA6C21"/>
    <w:rsid w:val="00DB29AD"/>
    <w:rsid w:val="00DB2D2B"/>
    <w:rsid w:val="00DC32CE"/>
    <w:rsid w:val="00DC5C65"/>
    <w:rsid w:val="00DD3448"/>
    <w:rsid w:val="00DD50BE"/>
    <w:rsid w:val="00DD6275"/>
    <w:rsid w:val="00DE0393"/>
    <w:rsid w:val="00DE2C03"/>
    <w:rsid w:val="00DE339F"/>
    <w:rsid w:val="00DE69A6"/>
    <w:rsid w:val="00DE7AC0"/>
    <w:rsid w:val="00E046A0"/>
    <w:rsid w:val="00E049B8"/>
    <w:rsid w:val="00E064EC"/>
    <w:rsid w:val="00E0776C"/>
    <w:rsid w:val="00E16436"/>
    <w:rsid w:val="00E16ED5"/>
    <w:rsid w:val="00E1769E"/>
    <w:rsid w:val="00E26172"/>
    <w:rsid w:val="00E26FB1"/>
    <w:rsid w:val="00E31BF6"/>
    <w:rsid w:val="00E322AF"/>
    <w:rsid w:val="00E32CB4"/>
    <w:rsid w:val="00E32CC5"/>
    <w:rsid w:val="00E332A7"/>
    <w:rsid w:val="00E375A2"/>
    <w:rsid w:val="00E43DF9"/>
    <w:rsid w:val="00E448F9"/>
    <w:rsid w:val="00E44F24"/>
    <w:rsid w:val="00E456D6"/>
    <w:rsid w:val="00E47C49"/>
    <w:rsid w:val="00E537C9"/>
    <w:rsid w:val="00E55725"/>
    <w:rsid w:val="00E5642F"/>
    <w:rsid w:val="00E56E4E"/>
    <w:rsid w:val="00E60F59"/>
    <w:rsid w:val="00E67BC2"/>
    <w:rsid w:val="00E70EF8"/>
    <w:rsid w:val="00E74B6C"/>
    <w:rsid w:val="00E75D5B"/>
    <w:rsid w:val="00E8037C"/>
    <w:rsid w:val="00E83DE6"/>
    <w:rsid w:val="00E91ECD"/>
    <w:rsid w:val="00EA0582"/>
    <w:rsid w:val="00EA51F5"/>
    <w:rsid w:val="00EB2194"/>
    <w:rsid w:val="00EB2903"/>
    <w:rsid w:val="00EB4869"/>
    <w:rsid w:val="00EB7FE0"/>
    <w:rsid w:val="00EC0A99"/>
    <w:rsid w:val="00EC3046"/>
    <w:rsid w:val="00EE12B2"/>
    <w:rsid w:val="00EE202C"/>
    <w:rsid w:val="00EE245F"/>
    <w:rsid w:val="00EE27AA"/>
    <w:rsid w:val="00EE50A5"/>
    <w:rsid w:val="00EE5E41"/>
    <w:rsid w:val="00EE6490"/>
    <w:rsid w:val="00EE6D04"/>
    <w:rsid w:val="00EE7072"/>
    <w:rsid w:val="00EF34D2"/>
    <w:rsid w:val="00EF36FA"/>
    <w:rsid w:val="00EF6366"/>
    <w:rsid w:val="00F00EFB"/>
    <w:rsid w:val="00F021E7"/>
    <w:rsid w:val="00F066DE"/>
    <w:rsid w:val="00F12E3B"/>
    <w:rsid w:val="00F141D8"/>
    <w:rsid w:val="00F151C1"/>
    <w:rsid w:val="00F23426"/>
    <w:rsid w:val="00F2646A"/>
    <w:rsid w:val="00F27FAF"/>
    <w:rsid w:val="00F30D07"/>
    <w:rsid w:val="00F33970"/>
    <w:rsid w:val="00F34902"/>
    <w:rsid w:val="00F3664D"/>
    <w:rsid w:val="00F36D1E"/>
    <w:rsid w:val="00F43085"/>
    <w:rsid w:val="00F43D49"/>
    <w:rsid w:val="00F44667"/>
    <w:rsid w:val="00F45CA9"/>
    <w:rsid w:val="00F5202D"/>
    <w:rsid w:val="00F6069E"/>
    <w:rsid w:val="00F621CD"/>
    <w:rsid w:val="00F661C3"/>
    <w:rsid w:val="00F74C98"/>
    <w:rsid w:val="00F7538B"/>
    <w:rsid w:val="00F75C11"/>
    <w:rsid w:val="00F76977"/>
    <w:rsid w:val="00F80582"/>
    <w:rsid w:val="00F81209"/>
    <w:rsid w:val="00F905BE"/>
    <w:rsid w:val="00F95232"/>
    <w:rsid w:val="00F9548C"/>
    <w:rsid w:val="00F9680C"/>
    <w:rsid w:val="00FA59B5"/>
    <w:rsid w:val="00FA6098"/>
    <w:rsid w:val="00FB1E31"/>
    <w:rsid w:val="00FB35C1"/>
    <w:rsid w:val="00FB4B9D"/>
    <w:rsid w:val="00FB5345"/>
    <w:rsid w:val="00FB5ABD"/>
    <w:rsid w:val="00FB648E"/>
    <w:rsid w:val="00FB7210"/>
    <w:rsid w:val="00FC263D"/>
    <w:rsid w:val="00FC26B2"/>
    <w:rsid w:val="00FC7763"/>
    <w:rsid w:val="00FD02B3"/>
    <w:rsid w:val="00FD3F5C"/>
    <w:rsid w:val="00FD4750"/>
    <w:rsid w:val="00FE2B38"/>
    <w:rsid w:val="00FE3D55"/>
    <w:rsid w:val="00FE643D"/>
    <w:rsid w:val="00FF1756"/>
    <w:rsid w:val="00FF2DC3"/>
    <w:rsid w:val="00FF5561"/>
    <w:rsid w:val="00FF692A"/>
    <w:rsid w:val="00FF6DFB"/>
    <w:rsid w:val="01021A7C"/>
    <w:rsid w:val="010F16E0"/>
    <w:rsid w:val="011133E7"/>
    <w:rsid w:val="011315B3"/>
    <w:rsid w:val="01140ED1"/>
    <w:rsid w:val="0125695B"/>
    <w:rsid w:val="012E77B2"/>
    <w:rsid w:val="01387B9E"/>
    <w:rsid w:val="013F5A7E"/>
    <w:rsid w:val="014B6799"/>
    <w:rsid w:val="015566D4"/>
    <w:rsid w:val="015C24C8"/>
    <w:rsid w:val="01633A7A"/>
    <w:rsid w:val="016C137D"/>
    <w:rsid w:val="016C2FF4"/>
    <w:rsid w:val="017A081D"/>
    <w:rsid w:val="017C5C71"/>
    <w:rsid w:val="01863940"/>
    <w:rsid w:val="01956CC4"/>
    <w:rsid w:val="019A200C"/>
    <w:rsid w:val="019D285D"/>
    <w:rsid w:val="01A27951"/>
    <w:rsid w:val="01A81C04"/>
    <w:rsid w:val="01A87BEA"/>
    <w:rsid w:val="01B145C3"/>
    <w:rsid w:val="01C45F33"/>
    <w:rsid w:val="01CC2F07"/>
    <w:rsid w:val="01CE57FB"/>
    <w:rsid w:val="01D31FF9"/>
    <w:rsid w:val="01D44E4A"/>
    <w:rsid w:val="01D660E6"/>
    <w:rsid w:val="01E11A22"/>
    <w:rsid w:val="01ED4183"/>
    <w:rsid w:val="01F562EC"/>
    <w:rsid w:val="01F86E30"/>
    <w:rsid w:val="01FC29AD"/>
    <w:rsid w:val="020B55CD"/>
    <w:rsid w:val="020F4CB4"/>
    <w:rsid w:val="0222455B"/>
    <w:rsid w:val="022A619B"/>
    <w:rsid w:val="022C0212"/>
    <w:rsid w:val="024C4ADC"/>
    <w:rsid w:val="0253308C"/>
    <w:rsid w:val="025728C9"/>
    <w:rsid w:val="02681775"/>
    <w:rsid w:val="02697ED3"/>
    <w:rsid w:val="026B305F"/>
    <w:rsid w:val="026F5833"/>
    <w:rsid w:val="028379DD"/>
    <w:rsid w:val="028A636F"/>
    <w:rsid w:val="02970256"/>
    <w:rsid w:val="02A23D19"/>
    <w:rsid w:val="02A6310E"/>
    <w:rsid w:val="02AB5DFA"/>
    <w:rsid w:val="02D424E5"/>
    <w:rsid w:val="02DF46EC"/>
    <w:rsid w:val="02F00058"/>
    <w:rsid w:val="02F23EC2"/>
    <w:rsid w:val="02F94E29"/>
    <w:rsid w:val="030D5096"/>
    <w:rsid w:val="03206800"/>
    <w:rsid w:val="0321323F"/>
    <w:rsid w:val="032264B3"/>
    <w:rsid w:val="03474DCD"/>
    <w:rsid w:val="036B511E"/>
    <w:rsid w:val="03781141"/>
    <w:rsid w:val="038D0500"/>
    <w:rsid w:val="03AD7E0B"/>
    <w:rsid w:val="03BF3A0C"/>
    <w:rsid w:val="03CA0534"/>
    <w:rsid w:val="03DE1D98"/>
    <w:rsid w:val="03ED3572"/>
    <w:rsid w:val="03F34640"/>
    <w:rsid w:val="0406179B"/>
    <w:rsid w:val="04215089"/>
    <w:rsid w:val="043B3247"/>
    <w:rsid w:val="043D588D"/>
    <w:rsid w:val="04487D5E"/>
    <w:rsid w:val="045032EC"/>
    <w:rsid w:val="0455035C"/>
    <w:rsid w:val="045503D1"/>
    <w:rsid w:val="046C73A2"/>
    <w:rsid w:val="04782244"/>
    <w:rsid w:val="047A7E6A"/>
    <w:rsid w:val="047F3F73"/>
    <w:rsid w:val="048221BD"/>
    <w:rsid w:val="048341A8"/>
    <w:rsid w:val="04842849"/>
    <w:rsid w:val="04876293"/>
    <w:rsid w:val="048B1624"/>
    <w:rsid w:val="04925DBB"/>
    <w:rsid w:val="049820E6"/>
    <w:rsid w:val="04A66C14"/>
    <w:rsid w:val="04A92E5B"/>
    <w:rsid w:val="04C77858"/>
    <w:rsid w:val="04DB0E73"/>
    <w:rsid w:val="04DD63E6"/>
    <w:rsid w:val="04DF1135"/>
    <w:rsid w:val="04E83242"/>
    <w:rsid w:val="05004250"/>
    <w:rsid w:val="050064F3"/>
    <w:rsid w:val="0502228B"/>
    <w:rsid w:val="0503226C"/>
    <w:rsid w:val="0539099D"/>
    <w:rsid w:val="05407F7E"/>
    <w:rsid w:val="05434691"/>
    <w:rsid w:val="054642F5"/>
    <w:rsid w:val="05535CF8"/>
    <w:rsid w:val="0557346A"/>
    <w:rsid w:val="05597808"/>
    <w:rsid w:val="056B2A45"/>
    <w:rsid w:val="056F2B31"/>
    <w:rsid w:val="05781D55"/>
    <w:rsid w:val="057B796F"/>
    <w:rsid w:val="05897DEE"/>
    <w:rsid w:val="05936E2B"/>
    <w:rsid w:val="05976EE0"/>
    <w:rsid w:val="05AD1971"/>
    <w:rsid w:val="05B565DE"/>
    <w:rsid w:val="05BB1591"/>
    <w:rsid w:val="05BF0212"/>
    <w:rsid w:val="05C719EB"/>
    <w:rsid w:val="05C848D7"/>
    <w:rsid w:val="05D23F5E"/>
    <w:rsid w:val="05D27275"/>
    <w:rsid w:val="05DA1EF6"/>
    <w:rsid w:val="05EA3E4E"/>
    <w:rsid w:val="05EE4CB1"/>
    <w:rsid w:val="05F5780F"/>
    <w:rsid w:val="061F6F2A"/>
    <w:rsid w:val="062C0664"/>
    <w:rsid w:val="063053B7"/>
    <w:rsid w:val="06321B78"/>
    <w:rsid w:val="06356665"/>
    <w:rsid w:val="06365B1B"/>
    <w:rsid w:val="063D292F"/>
    <w:rsid w:val="06402120"/>
    <w:rsid w:val="064C5FC8"/>
    <w:rsid w:val="06586172"/>
    <w:rsid w:val="067647D2"/>
    <w:rsid w:val="067705EE"/>
    <w:rsid w:val="067F2383"/>
    <w:rsid w:val="06950AAD"/>
    <w:rsid w:val="06991737"/>
    <w:rsid w:val="069D5E0B"/>
    <w:rsid w:val="06A24BBD"/>
    <w:rsid w:val="06A314FF"/>
    <w:rsid w:val="06B835A6"/>
    <w:rsid w:val="06BA7D29"/>
    <w:rsid w:val="06BC087A"/>
    <w:rsid w:val="06C85D7A"/>
    <w:rsid w:val="06E61691"/>
    <w:rsid w:val="06E75383"/>
    <w:rsid w:val="06F1011A"/>
    <w:rsid w:val="06F50B64"/>
    <w:rsid w:val="06F65C96"/>
    <w:rsid w:val="06FE043A"/>
    <w:rsid w:val="070665F4"/>
    <w:rsid w:val="070D12D9"/>
    <w:rsid w:val="07124BE5"/>
    <w:rsid w:val="07136608"/>
    <w:rsid w:val="072F2158"/>
    <w:rsid w:val="07363F10"/>
    <w:rsid w:val="073C4B4E"/>
    <w:rsid w:val="07481D1E"/>
    <w:rsid w:val="074A0229"/>
    <w:rsid w:val="07553A22"/>
    <w:rsid w:val="07703BAC"/>
    <w:rsid w:val="077B0533"/>
    <w:rsid w:val="077B7E15"/>
    <w:rsid w:val="07924246"/>
    <w:rsid w:val="07CC192C"/>
    <w:rsid w:val="07CE6F08"/>
    <w:rsid w:val="07E11A9A"/>
    <w:rsid w:val="07EA56FA"/>
    <w:rsid w:val="07FD67AF"/>
    <w:rsid w:val="07FE4A58"/>
    <w:rsid w:val="08000755"/>
    <w:rsid w:val="080049B2"/>
    <w:rsid w:val="081318F4"/>
    <w:rsid w:val="08236797"/>
    <w:rsid w:val="08291A01"/>
    <w:rsid w:val="082D1A95"/>
    <w:rsid w:val="08421CFD"/>
    <w:rsid w:val="084336CC"/>
    <w:rsid w:val="084605B5"/>
    <w:rsid w:val="085F3DEC"/>
    <w:rsid w:val="08674F98"/>
    <w:rsid w:val="087D29A1"/>
    <w:rsid w:val="08A1770A"/>
    <w:rsid w:val="08A804EA"/>
    <w:rsid w:val="08B15568"/>
    <w:rsid w:val="08B63543"/>
    <w:rsid w:val="08BB2D12"/>
    <w:rsid w:val="08C30DC7"/>
    <w:rsid w:val="08C824E0"/>
    <w:rsid w:val="08CB40F1"/>
    <w:rsid w:val="08CE62F2"/>
    <w:rsid w:val="08E53915"/>
    <w:rsid w:val="08E87FD4"/>
    <w:rsid w:val="08EE7575"/>
    <w:rsid w:val="08FD6DB4"/>
    <w:rsid w:val="09066FCB"/>
    <w:rsid w:val="09097642"/>
    <w:rsid w:val="090F78A9"/>
    <w:rsid w:val="09195EC7"/>
    <w:rsid w:val="09287EBF"/>
    <w:rsid w:val="095533BB"/>
    <w:rsid w:val="095A6A5D"/>
    <w:rsid w:val="095E2901"/>
    <w:rsid w:val="09614B94"/>
    <w:rsid w:val="096C3B64"/>
    <w:rsid w:val="09734CC9"/>
    <w:rsid w:val="097838D7"/>
    <w:rsid w:val="09882703"/>
    <w:rsid w:val="09960FF2"/>
    <w:rsid w:val="0998711F"/>
    <w:rsid w:val="09A60211"/>
    <w:rsid w:val="09D23104"/>
    <w:rsid w:val="09D90B6C"/>
    <w:rsid w:val="09F1259E"/>
    <w:rsid w:val="09F27C8D"/>
    <w:rsid w:val="0A086715"/>
    <w:rsid w:val="0A0C4770"/>
    <w:rsid w:val="0A1666AF"/>
    <w:rsid w:val="0A1C2728"/>
    <w:rsid w:val="0A1F3228"/>
    <w:rsid w:val="0A3564C4"/>
    <w:rsid w:val="0A460D2D"/>
    <w:rsid w:val="0A4D56C8"/>
    <w:rsid w:val="0A636CC9"/>
    <w:rsid w:val="0A6B0C6E"/>
    <w:rsid w:val="0A8A507B"/>
    <w:rsid w:val="0A936512"/>
    <w:rsid w:val="0A993ADA"/>
    <w:rsid w:val="0AA673C9"/>
    <w:rsid w:val="0ABE718F"/>
    <w:rsid w:val="0AC32BFF"/>
    <w:rsid w:val="0AC975E7"/>
    <w:rsid w:val="0ACA3C9A"/>
    <w:rsid w:val="0AD678AD"/>
    <w:rsid w:val="0ADB6F7F"/>
    <w:rsid w:val="0ADD577D"/>
    <w:rsid w:val="0ADE037A"/>
    <w:rsid w:val="0ADF2643"/>
    <w:rsid w:val="0AE409C4"/>
    <w:rsid w:val="0AE705E9"/>
    <w:rsid w:val="0AEB63B4"/>
    <w:rsid w:val="0AF62AD6"/>
    <w:rsid w:val="0AF63812"/>
    <w:rsid w:val="0B032A96"/>
    <w:rsid w:val="0B144E8E"/>
    <w:rsid w:val="0B154915"/>
    <w:rsid w:val="0B2800CC"/>
    <w:rsid w:val="0B29421D"/>
    <w:rsid w:val="0B31740F"/>
    <w:rsid w:val="0B34080C"/>
    <w:rsid w:val="0B397920"/>
    <w:rsid w:val="0B3B7150"/>
    <w:rsid w:val="0B3C394F"/>
    <w:rsid w:val="0B4743B9"/>
    <w:rsid w:val="0B5E3B5E"/>
    <w:rsid w:val="0B697BEB"/>
    <w:rsid w:val="0B7B01EE"/>
    <w:rsid w:val="0B8E17FF"/>
    <w:rsid w:val="0B921908"/>
    <w:rsid w:val="0B9F39B3"/>
    <w:rsid w:val="0BA02084"/>
    <w:rsid w:val="0BA24256"/>
    <w:rsid w:val="0BB56EFF"/>
    <w:rsid w:val="0BB66BBF"/>
    <w:rsid w:val="0BBE5F01"/>
    <w:rsid w:val="0BC079DE"/>
    <w:rsid w:val="0BC966D1"/>
    <w:rsid w:val="0BCB5A5E"/>
    <w:rsid w:val="0BCC4F7D"/>
    <w:rsid w:val="0BCF1E44"/>
    <w:rsid w:val="0BD12C41"/>
    <w:rsid w:val="0BDA2CFB"/>
    <w:rsid w:val="0BE63ECA"/>
    <w:rsid w:val="0BF96DCB"/>
    <w:rsid w:val="0C062956"/>
    <w:rsid w:val="0C0B6F9A"/>
    <w:rsid w:val="0C1836E0"/>
    <w:rsid w:val="0C2F70E4"/>
    <w:rsid w:val="0C361D34"/>
    <w:rsid w:val="0C4C34E8"/>
    <w:rsid w:val="0C567465"/>
    <w:rsid w:val="0C5B30F4"/>
    <w:rsid w:val="0C613717"/>
    <w:rsid w:val="0C916259"/>
    <w:rsid w:val="0CA568DD"/>
    <w:rsid w:val="0CAD568A"/>
    <w:rsid w:val="0CAE54B4"/>
    <w:rsid w:val="0CAE588D"/>
    <w:rsid w:val="0CB204F1"/>
    <w:rsid w:val="0CB46AB5"/>
    <w:rsid w:val="0CBC093E"/>
    <w:rsid w:val="0CCD7C01"/>
    <w:rsid w:val="0CD418C9"/>
    <w:rsid w:val="0CD81391"/>
    <w:rsid w:val="0CFA6B2A"/>
    <w:rsid w:val="0D02201B"/>
    <w:rsid w:val="0D0306A4"/>
    <w:rsid w:val="0D113E1E"/>
    <w:rsid w:val="0D162FFC"/>
    <w:rsid w:val="0D240154"/>
    <w:rsid w:val="0D274D1C"/>
    <w:rsid w:val="0D36689A"/>
    <w:rsid w:val="0D4B3B4B"/>
    <w:rsid w:val="0D5F396C"/>
    <w:rsid w:val="0D8701BC"/>
    <w:rsid w:val="0D901BE6"/>
    <w:rsid w:val="0DA24D05"/>
    <w:rsid w:val="0DAA3CB1"/>
    <w:rsid w:val="0DAD0B56"/>
    <w:rsid w:val="0DC709EE"/>
    <w:rsid w:val="0DDB701D"/>
    <w:rsid w:val="0DE81385"/>
    <w:rsid w:val="0DEB44F5"/>
    <w:rsid w:val="0DEB7A2D"/>
    <w:rsid w:val="0DF33113"/>
    <w:rsid w:val="0DF521DB"/>
    <w:rsid w:val="0E09162F"/>
    <w:rsid w:val="0E177460"/>
    <w:rsid w:val="0E195C86"/>
    <w:rsid w:val="0E1A075E"/>
    <w:rsid w:val="0E2201C6"/>
    <w:rsid w:val="0E2E3F34"/>
    <w:rsid w:val="0E330997"/>
    <w:rsid w:val="0E5F4E4A"/>
    <w:rsid w:val="0E622222"/>
    <w:rsid w:val="0E8B7730"/>
    <w:rsid w:val="0E9431C7"/>
    <w:rsid w:val="0EA335C7"/>
    <w:rsid w:val="0EB23700"/>
    <w:rsid w:val="0EB71C83"/>
    <w:rsid w:val="0EC61CED"/>
    <w:rsid w:val="0ECD6C05"/>
    <w:rsid w:val="0ECD7918"/>
    <w:rsid w:val="0EDF0271"/>
    <w:rsid w:val="0EE91A06"/>
    <w:rsid w:val="0F005893"/>
    <w:rsid w:val="0F090B29"/>
    <w:rsid w:val="0F1A1E30"/>
    <w:rsid w:val="0F251587"/>
    <w:rsid w:val="0F2F1247"/>
    <w:rsid w:val="0F35543C"/>
    <w:rsid w:val="0F396BBC"/>
    <w:rsid w:val="0F452D6F"/>
    <w:rsid w:val="0F476ADB"/>
    <w:rsid w:val="0F4E5575"/>
    <w:rsid w:val="0F546F77"/>
    <w:rsid w:val="0F60561D"/>
    <w:rsid w:val="0F7429D3"/>
    <w:rsid w:val="0F833AA2"/>
    <w:rsid w:val="0F835E1E"/>
    <w:rsid w:val="0F8D3B3B"/>
    <w:rsid w:val="0F8F077B"/>
    <w:rsid w:val="0F9910EA"/>
    <w:rsid w:val="0F9A0D31"/>
    <w:rsid w:val="0FA17CB8"/>
    <w:rsid w:val="0FA3133F"/>
    <w:rsid w:val="0FB62540"/>
    <w:rsid w:val="0FC45881"/>
    <w:rsid w:val="10013894"/>
    <w:rsid w:val="10042EA8"/>
    <w:rsid w:val="10084704"/>
    <w:rsid w:val="101131FF"/>
    <w:rsid w:val="101272C3"/>
    <w:rsid w:val="101538F1"/>
    <w:rsid w:val="10187D71"/>
    <w:rsid w:val="10252DFA"/>
    <w:rsid w:val="102623FD"/>
    <w:rsid w:val="10285168"/>
    <w:rsid w:val="10666706"/>
    <w:rsid w:val="107F1B48"/>
    <w:rsid w:val="10813104"/>
    <w:rsid w:val="10997F59"/>
    <w:rsid w:val="109C163D"/>
    <w:rsid w:val="10C6558C"/>
    <w:rsid w:val="10D841F1"/>
    <w:rsid w:val="10EC4541"/>
    <w:rsid w:val="110968C7"/>
    <w:rsid w:val="1128343A"/>
    <w:rsid w:val="11293033"/>
    <w:rsid w:val="11471DD6"/>
    <w:rsid w:val="114B53CF"/>
    <w:rsid w:val="116E4AB2"/>
    <w:rsid w:val="117E3453"/>
    <w:rsid w:val="11845CDA"/>
    <w:rsid w:val="11845D82"/>
    <w:rsid w:val="118B696D"/>
    <w:rsid w:val="119313B9"/>
    <w:rsid w:val="119A636D"/>
    <w:rsid w:val="119D4C97"/>
    <w:rsid w:val="11AA1248"/>
    <w:rsid w:val="11B45759"/>
    <w:rsid w:val="11CC181F"/>
    <w:rsid w:val="11CD110D"/>
    <w:rsid w:val="11D167EF"/>
    <w:rsid w:val="11D64DBB"/>
    <w:rsid w:val="11EE6FCA"/>
    <w:rsid w:val="11F07DEE"/>
    <w:rsid w:val="11FD1D68"/>
    <w:rsid w:val="11FD2AA7"/>
    <w:rsid w:val="120C450B"/>
    <w:rsid w:val="120F66F6"/>
    <w:rsid w:val="121F7517"/>
    <w:rsid w:val="122F543E"/>
    <w:rsid w:val="12372A7C"/>
    <w:rsid w:val="123E7C57"/>
    <w:rsid w:val="12435A60"/>
    <w:rsid w:val="126A52FC"/>
    <w:rsid w:val="12705573"/>
    <w:rsid w:val="12710A26"/>
    <w:rsid w:val="127332D0"/>
    <w:rsid w:val="12780C96"/>
    <w:rsid w:val="127E40D7"/>
    <w:rsid w:val="127F238A"/>
    <w:rsid w:val="127F7B80"/>
    <w:rsid w:val="129B0AC0"/>
    <w:rsid w:val="12A301B2"/>
    <w:rsid w:val="12A32883"/>
    <w:rsid w:val="12A36054"/>
    <w:rsid w:val="12A60E90"/>
    <w:rsid w:val="12B3383F"/>
    <w:rsid w:val="12CF07AE"/>
    <w:rsid w:val="12D2739D"/>
    <w:rsid w:val="12D37629"/>
    <w:rsid w:val="12DB19CE"/>
    <w:rsid w:val="12DF1A9D"/>
    <w:rsid w:val="12E225AD"/>
    <w:rsid w:val="12F109DB"/>
    <w:rsid w:val="12FC5F8A"/>
    <w:rsid w:val="12FF2437"/>
    <w:rsid w:val="1301226D"/>
    <w:rsid w:val="13177893"/>
    <w:rsid w:val="13215662"/>
    <w:rsid w:val="13311078"/>
    <w:rsid w:val="1331751C"/>
    <w:rsid w:val="133A0CDB"/>
    <w:rsid w:val="133C5B3A"/>
    <w:rsid w:val="133C780A"/>
    <w:rsid w:val="13400B33"/>
    <w:rsid w:val="13437066"/>
    <w:rsid w:val="1348338D"/>
    <w:rsid w:val="134D58AE"/>
    <w:rsid w:val="135143C1"/>
    <w:rsid w:val="135366E8"/>
    <w:rsid w:val="135838A0"/>
    <w:rsid w:val="1361199B"/>
    <w:rsid w:val="136803F3"/>
    <w:rsid w:val="13685D0C"/>
    <w:rsid w:val="136B0F70"/>
    <w:rsid w:val="1382179E"/>
    <w:rsid w:val="13831755"/>
    <w:rsid w:val="13837E37"/>
    <w:rsid w:val="13845838"/>
    <w:rsid w:val="13943534"/>
    <w:rsid w:val="13A94ADE"/>
    <w:rsid w:val="13AD2D19"/>
    <w:rsid w:val="13AE079C"/>
    <w:rsid w:val="13B8740A"/>
    <w:rsid w:val="13C33C5D"/>
    <w:rsid w:val="13C7450B"/>
    <w:rsid w:val="13CE7580"/>
    <w:rsid w:val="13D4348E"/>
    <w:rsid w:val="13DA306B"/>
    <w:rsid w:val="13DD1997"/>
    <w:rsid w:val="13E10611"/>
    <w:rsid w:val="13E959D7"/>
    <w:rsid w:val="13EB72AD"/>
    <w:rsid w:val="13F66FD8"/>
    <w:rsid w:val="13FF33D5"/>
    <w:rsid w:val="14006276"/>
    <w:rsid w:val="14177F81"/>
    <w:rsid w:val="141D5B1B"/>
    <w:rsid w:val="142178E1"/>
    <w:rsid w:val="142A70D1"/>
    <w:rsid w:val="142B00F0"/>
    <w:rsid w:val="144F0448"/>
    <w:rsid w:val="14574018"/>
    <w:rsid w:val="145B634E"/>
    <w:rsid w:val="146E374A"/>
    <w:rsid w:val="146F0677"/>
    <w:rsid w:val="14785B67"/>
    <w:rsid w:val="14800371"/>
    <w:rsid w:val="148065D0"/>
    <w:rsid w:val="14887036"/>
    <w:rsid w:val="1489055B"/>
    <w:rsid w:val="149443BA"/>
    <w:rsid w:val="1497120B"/>
    <w:rsid w:val="14990327"/>
    <w:rsid w:val="149976C7"/>
    <w:rsid w:val="14B70FCA"/>
    <w:rsid w:val="14C17EC2"/>
    <w:rsid w:val="14C3062C"/>
    <w:rsid w:val="14CC040A"/>
    <w:rsid w:val="14E57918"/>
    <w:rsid w:val="14EB1D07"/>
    <w:rsid w:val="14EC608C"/>
    <w:rsid w:val="150C5D62"/>
    <w:rsid w:val="151D3E64"/>
    <w:rsid w:val="152242C3"/>
    <w:rsid w:val="152E7346"/>
    <w:rsid w:val="152F6E8F"/>
    <w:rsid w:val="1532709F"/>
    <w:rsid w:val="15370A63"/>
    <w:rsid w:val="153C14DA"/>
    <w:rsid w:val="153C26FD"/>
    <w:rsid w:val="153E0550"/>
    <w:rsid w:val="1541305C"/>
    <w:rsid w:val="155A1438"/>
    <w:rsid w:val="15943E56"/>
    <w:rsid w:val="1599235A"/>
    <w:rsid w:val="159B0387"/>
    <w:rsid w:val="15A0102C"/>
    <w:rsid w:val="15A830C3"/>
    <w:rsid w:val="15A86E48"/>
    <w:rsid w:val="15AA706A"/>
    <w:rsid w:val="15B12F03"/>
    <w:rsid w:val="15BC6590"/>
    <w:rsid w:val="15D43D78"/>
    <w:rsid w:val="15E6753F"/>
    <w:rsid w:val="160728C9"/>
    <w:rsid w:val="16117BAB"/>
    <w:rsid w:val="1615258B"/>
    <w:rsid w:val="16255CF3"/>
    <w:rsid w:val="16274F99"/>
    <w:rsid w:val="165C5DAE"/>
    <w:rsid w:val="166B61D7"/>
    <w:rsid w:val="166D2389"/>
    <w:rsid w:val="169269DB"/>
    <w:rsid w:val="16B0795B"/>
    <w:rsid w:val="16B751A2"/>
    <w:rsid w:val="16B84A32"/>
    <w:rsid w:val="16D50B90"/>
    <w:rsid w:val="16D53B7D"/>
    <w:rsid w:val="16DF799E"/>
    <w:rsid w:val="16E320B7"/>
    <w:rsid w:val="16EF0A7E"/>
    <w:rsid w:val="170F3212"/>
    <w:rsid w:val="17121808"/>
    <w:rsid w:val="171474D5"/>
    <w:rsid w:val="17197FAE"/>
    <w:rsid w:val="17246AE9"/>
    <w:rsid w:val="172B2B5A"/>
    <w:rsid w:val="17331F9A"/>
    <w:rsid w:val="173954C9"/>
    <w:rsid w:val="173C7AD2"/>
    <w:rsid w:val="1743437E"/>
    <w:rsid w:val="174C7EDB"/>
    <w:rsid w:val="174D52A1"/>
    <w:rsid w:val="174F7AAE"/>
    <w:rsid w:val="17536077"/>
    <w:rsid w:val="17674494"/>
    <w:rsid w:val="1771712F"/>
    <w:rsid w:val="177829D7"/>
    <w:rsid w:val="177926BF"/>
    <w:rsid w:val="17873620"/>
    <w:rsid w:val="178F73E5"/>
    <w:rsid w:val="17A54014"/>
    <w:rsid w:val="17AB1051"/>
    <w:rsid w:val="17AC4B57"/>
    <w:rsid w:val="17AD3984"/>
    <w:rsid w:val="17BF5A35"/>
    <w:rsid w:val="17D32EFC"/>
    <w:rsid w:val="17DA5531"/>
    <w:rsid w:val="17DE3D1F"/>
    <w:rsid w:val="17E05362"/>
    <w:rsid w:val="17EF4FD6"/>
    <w:rsid w:val="18030B03"/>
    <w:rsid w:val="181D6D44"/>
    <w:rsid w:val="18295CC7"/>
    <w:rsid w:val="182A1CFA"/>
    <w:rsid w:val="182E5AAF"/>
    <w:rsid w:val="18491DE0"/>
    <w:rsid w:val="184B165C"/>
    <w:rsid w:val="18564732"/>
    <w:rsid w:val="185C7572"/>
    <w:rsid w:val="185F4874"/>
    <w:rsid w:val="186A5149"/>
    <w:rsid w:val="186A549B"/>
    <w:rsid w:val="18786261"/>
    <w:rsid w:val="187C54BC"/>
    <w:rsid w:val="188133A1"/>
    <w:rsid w:val="188942E1"/>
    <w:rsid w:val="18A42526"/>
    <w:rsid w:val="18AA237A"/>
    <w:rsid w:val="18AD4099"/>
    <w:rsid w:val="18B11B0F"/>
    <w:rsid w:val="18B1710C"/>
    <w:rsid w:val="18B320BF"/>
    <w:rsid w:val="18BF09AE"/>
    <w:rsid w:val="18C25B2F"/>
    <w:rsid w:val="18D436E7"/>
    <w:rsid w:val="18D469D6"/>
    <w:rsid w:val="18DA46FC"/>
    <w:rsid w:val="18DA4D77"/>
    <w:rsid w:val="18DE1B1D"/>
    <w:rsid w:val="18E17FFB"/>
    <w:rsid w:val="18E21E34"/>
    <w:rsid w:val="18EC6E2A"/>
    <w:rsid w:val="18F0786C"/>
    <w:rsid w:val="19105C81"/>
    <w:rsid w:val="191967C7"/>
    <w:rsid w:val="19217258"/>
    <w:rsid w:val="192859B6"/>
    <w:rsid w:val="19337BD6"/>
    <w:rsid w:val="194B2D45"/>
    <w:rsid w:val="194D376A"/>
    <w:rsid w:val="194E461B"/>
    <w:rsid w:val="194E577E"/>
    <w:rsid w:val="19515021"/>
    <w:rsid w:val="1956371F"/>
    <w:rsid w:val="1958703A"/>
    <w:rsid w:val="19594FD4"/>
    <w:rsid w:val="195F3839"/>
    <w:rsid w:val="197A1331"/>
    <w:rsid w:val="19810FDA"/>
    <w:rsid w:val="199443FA"/>
    <w:rsid w:val="199626DD"/>
    <w:rsid w:val="19992C68"/>
    <w:rsid w:val="199C4FD1"/>
    <w:rsid w:val="19A974A5"/>
    <w:rsid w:val="19B02AAB"/>
    <w:rsid w:val="19B1474A"/>
    <w:rsid w:val="19B8195A"/>
    <w:rsid w:val="19B94ABE"/>
    <w:rsid w:val="19C302FF"/>
    <w:rsid w:val="19C70891"/>
    <w:rsid w:val="19C74A3C"/>
    <w:rsid w:val="19C74CF0"/>
    <w:rsid w:val="19CF58C2"/>
    <w:rsid w:val="19D21B6F"/>
    <w:rsid w:val="19D37D8F"/>
    <w:rsid w:val="19D50BB9"/>
    <w:rsid w:val="19DA1E4E"/>
    <w:rsid w:val="19DC418A"/>
    <w:rsid w:val="19DF6CC5"/>
    <w:rsid w:val="19E8349A"/>
    <w:rsid w:val="19EA3151"/>
    <w:rsid w:val="19EF1DC0"/>
    <w:rsid w:val="19F03427"/>
    <w:rsid w:val="19F74A00"/>
    <w:rsid w:val="1A006304"/>
    <w:rsid w:val="1A1E1374"/>
    <w:rsid w:val="1A292036"/>
    <w:rsid w:val="1A2F5C12"/>
    <w:rsid w:val="1A417F76"/>
    <w:rsid w:val="1A465B69"/>
    <w:rsid w:val="1A4D3A18"/>
    <w:rsid w:val="1A524C39"/>
    <w:rsid w:val="1A587568"/>
    <w:rsid w:val="1A5A28B1"/>
    <w:rsid w:val="1A5D14DC"/>
    <w:rsid w:val="1A6F459C"/>
    <w:rsid w:val="1A6F6C10"/>
    <w:rsid w:val="1A720004"/>
    <w:rsid w:val="1A7943E3"/>
    <w:rsid w:val="1A8829BB"/>
    <w:rsid w:val="1A883C9A"/>
    <w:rsid w:val="1A970FF6"/>
    <w:rsid w:val="1A986DC4"/>
    <w:rsid w:val="1AA66A43"/>
    <w:rsid w:val="1AAC54F0"/>
    <w:rsid w:val="1AB05B58"/>
    <w:rsid w:val="1AD82970"/>
    <w:rsid w:val="1ADF16CF"/>
    <w:rsid w:val="1AE46DFD"/>
    <w:rsid w:val="1AE723FD"/>
    <w:rsid w:val="1AFD7E9F"/>
    <w:rsid w:val="1B064753"/>
    <w:rsid w:val="1B134AFE"/>
    <w:rsid w:val="1B230D56"/>
    <w:rsid w:val="1B2A69EA"/>
    <w:rsid w:val="1B2C27C8"/>
    <w:rsid w:val="1B3E1753"/>
    <w:rsid w:val="1B4001AB"/>
    <w:rsid w:val="1B415865"/>
    <w:rsid w:val="1B445323"/>
    <w:rsid w:val="1B7327E7"/>
    <w:rsid w:val="1B884AF0"/>
    <w:rsid w:val="1B8C2A85"/>
    <w:rsid w:val="1B8F1858"/>
    <w:rsid w:val="1B8F669D"/>
    <w:rsid w:val="1B9C34F7"/>
    <w:rsid w:val="1BA05414"/>
    <w:rsid w:val="1BAF46AE"/>
    <w:rsid w:val="1BB14765"/>
    <w:rsid w:val="1BBA35DC"/>
    <w:rsid w:val="1BCD392B"/>
    <w:rsid w:val="1BD16BD5"/>
    <w:rsid w:val="1BD50D4A"/>
    <w:rsid w:val="1BE7715F"/>
    <w:rsid w:val="1BEC260F"/>
    <w:rsid w:val="1BF51E78"/>
    <w:rsid w:val="1C0742B3"/>
    <w:rsid w:val="1C165CB6"/>
    <w:rsid w:val="1C195900"/>
    <w:rsid w:val="1C1A41CE"/>
    <w:rsid w:val="1C20459F"/>
    <w:rsid w:val="1C400F98"/>
    <w:rsid w:val="1C440000"/>
    <w:rsid w:val="1C5135DA"/>
    <w:rsid w:val="1C6A0614"/>
    <w:rsid w:val="1C711814"/>
    <w:rsid w:val="1C731608"/>
    <w:rsid w:val="1C74669C"/>
    <w:rsid w:val="1C7C1025"/>
    <w:rsid w:val="1C853D4D"/>
    <w:rsid w:val="1C857E76"/>
    <w:rsid w:val="1C940CBE"/>
    <w:rsid w:val="1C9D42D7"/>
    <w:rsid w:val="1CA016D4"/>
    <w:rsid w:val="1CAC7FEF"/>
    <w:rsid w:val="1CC07078"/>
    <w:rsid w:val="1CCC4C96"/>
    <w:rsid w:val="1CD3517C"/>
    <w:rsid w:val="1CDA1C43"/>
    <w:rsid w:val="1CE1231B"/>
    <w:rsid w:val="1CFC1E0B"/>
    <w:rsid w:val="1CFD183A"/>
    <w:rsid w:val="1D001E97"/>
    <w:rsid w:val="1D084089"/>
    <w:rsid w:val="1D103545"/>
    <w:rsid w:val="1D12737A"/>
    <w:rsid w:val="1D134DA8"/>
    <w:rsid w:val="1D18112C"/>
    <w:rsid w:val="1D1F4404"/>
    <w:rsid w:val="1D221C90"/>
    <w:rsid w:val="1D254BC5"/>
    <w:rsid w:val="1D325A1A"/>
    <w:rsid w:val="1D354621"/>
    <w:rsid w:val="1D5464A1"/>
    <w:rsid w:val="1D552E20"/>
    <w:rsid w:val="1D630E42"/>
    <w:rsid w:val="1D676BBC"/>
    <w:rsid w:val="1D7A61AF"/>
    <w:rsid w:val="1D7B652A"/>
    <w:rsid w:val="1D8026C9"/>
    <w:rsid w:val="1D8518C0"/>
    <w:rsid w:val="1D8C0C03"/>
    <w:rsid w:val="1D8E5DE3"/>
    <w:rsid w:val="1D984FB5"/>
    <w:rsid w:val="1D9E3CB7"/>
    <w:rsid w:val="1D9E6D53"/>
    <w:rsid w:val="1DAA22C8"/>
    <w:rsid w:val="1DB407EB"/>
    <w:rsid w:val="1DB86927"/>
    <w:rsid w:val="1DC272E5"/>
    <w:rsid w:val="1DD23A0D"/>
    <w:rsid w:val="1DD469BC"/>
    <w:rsid w:val="1DD64DD9"/>
    <w:rsid w:val="1DD7198F"/>
    <w:rsid w:val="1DDA3CE1"/>
    <w:rsid w:val="1DDE62B5"/>
    <w:rsid w:val="1DDF42B4"/>
    <w:rsid w:val="1DF81719"/>
    <w:rsid w:val="1E0857F6"/>
    <w:rsid w:val="1E163F44"/>
    <w:rsid w:val="1E167E33"/>
    <w:rsid w:val="1E1C1FA4"/>
    <w:rsid w:val="1E280FDE"/>
    <w:rsid w:val="1E2A2A7B"/>
    <w:rsid w:val="1E443895"/>
    <w:rsid w:val="1E494E40"/>
    <w:rsid w:val="1E4E4AD2"/>
    <w:rsid w:val="1E4F66E3"/>
    <w:rsid w:val="1E531264"/>
    <w:rsid w:val="1E61377A"/>
    <w:rsid w:val="1E6C2BF0"/>
    <w:rsid w:val="1E931062"/>
    <w:rsid w:val="1E966CB4"/>
    <w:rsid w:val="1EAF2CA7"/>
    <w:rsid w:val="1EB1146E"/>
    <w:rsid w:val="1EC1182E"/>
    <w:rsid w:val="1EC17D44"/>
    <w:rsid w:val="1EC750FD"/>
    <w:rsid w:val="1ECD1A5B"/>
    <w:rsid w:val="1ECF6FE0"/>
    <w:rsid w:val="1ED84719"/>
    <w:rsid w:val="1EDA4637"/>
    <w:rsid w:val="1EDC2724"/>
    <w:rsid w:val="1EEA1A94"/>
    <w:rsid w:val="1EED4A87"/>
    <w:rsid w:val="1EF447A5"/>
    <w:rsid w:val="1EF50F4F"/>
    <w:rsid w:val="1EFF6990"/>
    <w:rsid w:val="1F097AE9"/>
    <w:rsid w:val="1F0A4B7D"/>
    <w:rsid w:val="1F0A5946"/>
    <w:rsid w:val="1F0B0F57"/>
    <w:rsid w:val="1F0E2749"/>
    <w:rsid w:val="1F0E2804"/>
    <w:rsid w:val="1F141A0D"/>
    <w:rsid w:val="1F247095"/>
    <w:rsid w:val="1F3E3485"/>
    <w:rsid w:val="1F765CAA"/>
    <w:rsid w:val="1F8E5703"/>
    <w:rsid w:val="1F9B1554"/>
    <w:rsid w:val="1F9C412B"/>
    <w:rsid w:val="1FA7254A"/>
    <w:rsid w:val="1FAA4673"/>
    <w:rsid w:val="1FAA729A"/>
    <w:rsid w:val="1FBE067A"/>
    <w:rsid w:val="1FBE229A"/>
    <w:rsid w:val="1FC31AD2"/>
    <w:rsid w:val="1FE80222"/>
    <w:rsid w:val="1FF225EE"/>
    <w:rsid w:val="1FF320FF"/>
    <w:rsid w:val="1FF57EB3"/>
    <w:rsid w:val="1FF762D2"/>
    <w:rsid w:val="202163C3"/>
    <w:rsid w:val="20265E4D"/>
    <w:rsid w:val="20267B8A"/>
    <w:rsid w:val="20297CE1"/>
    <w:rsid w:val="2036670C"/>
    <w:rsid w:val="203E0ADE"/>
    <w:rsid w:val="204B2CDD"/>
    <w:rsid w:val="204C571D"/>
    <w:rsid w:val="204E6C37"/>
    <w:rsid w:val="20573CE6"/>
    <w:rsid w:val="206A4D9C"/>
    <w:rsid w:val="20710327"/>
    <w:rsid w:val="20764004"/>
    <w:rsid w:val="208112DD"/>
    <w:rsid w:val="208B211C"/>
    <w:rsid w:val="209B4232"/>
    <w:rsid w:val="20A35858"/>
    <w:rsid w:val="20A3600A"/>
    <w:rsid w:val="20A75A9B"/>
    <w:rsid w:val="20B96CBF"/>
    <w:rsid w:val="20BC135D"/>
    <w:rsid w:val="20CB32F8"/>
    <w:rsid w:val="20DB77E9"/>
    <w:rsid w:val="20EC4E2B"/>
    <w:rsid w:val="20F22B72"/>
    <w:rsid w:val="20F65E37"/>
    <w:rsid w:val="20F94EF0"/>
    <w:rsid w:val="20FC47A4"/>
    <w:rsid w:val="21065B67"/>
    <w:rsid w:val="21095B33"/>
    <w:rsid w:val="21143C67"/>
    <w:rsid w:val="21173A8A"/>
    <w:rsid w:val="212C125B"/>
    <w:rsid w:val="212D12C3"/>
    <w:rsid w:val="213A4B14"/>
    <w:rsid w:val="213A7032"/>
    <w:rsid w:val="21432D7D"/>
    <w:rsid w:val="215A6EFB"/>
    <w:rsid w:val="215F25F4"/>
    <w:rsid w:val="21906D98"/>
    <w:rsid w:val="21987463"/>
    <w:rsid w:val="219B25B4"/>
    <w:rsid w:val="21A8149F"/>
    <w:rsid w:val="21CB173D"/>
    <w:rsid w:val="21D834AB"/>
    <w:rsid w:val="21DA4C3D"/>
    <w:rsid w:val="21DD7E06"/>
    <w:rsid w:val="21E31338"/>
    <w:rsid w:val="21E33E85"/>
    <w:rsid w:val="21EF368A"/>
    <w:rsid w:val="22090AB5"/>
    <w:rsid w:val="22153697"/>
    <w:rsid w:val="221A46AF"/>
    <w:rsid w:val="22244FDA"/>
    <w:rsid w:val="2238510F"/>
    <w:rsid w:val="2241070E"/>
    <w:rsid w:val="224126BD"/>
    <w:rsid w:val="22412F5F"/>
    <w:rsid w:val="22457231"/>
    <w:rsid w:val="224B7F3C"/>
    <w:rsid w:val="224E7008"/>
    <w:rsid w:val="22566C7A"/>
    <w:rsid w:val="22567B69"/>
    <w:rsid w:val="225A050E"/>
    <w:rsid w:val="226D74CF"/>
    <w:rsid w:val="22783407"/>
    <w:rsid w:val="22835D57"/>
    <w:rsid w:val="2284580F"/>
    <w:rsid w:val="228979B5"/>
    <w:rsid w:val="228E561D"/>
    <w:rsid w:val="229050FF"/>
    <w:rsid w:val="229F71E6"/>
    <w:rsid w:val="22A92FA5"/>
    <w:rsid w:val="22AE2F32"/>
    <w:rsid w:val="22B04B0F"/>
    <w:rsid w:val="22BA604B"/>
    <w:rsid w:val="22C157B7"/>
    <w:rsid w:val="22D722CF"/>
    <w:rsid w:val="22E43F48"/>
    <w:rsid w:val="22ED7601"/>
    <w:rsid w:val="22FD6ACA"/>
    <w:rsid w:val="23076A63"/>
    <w:rsid w:val="230808A0"/>
    <w:rsid w:val="230D7600"/>
    <w:rsid w:val="23132955"/>
    <w:rsid w:val="231E1A19"/>
    <w:rsid w:val="23204A53"/>
    <w:rsid w:val="232C19D0"/>
    <w:rsid w:val="232D5F23"/>
    <w:rsid w:val="23313726"/>
    <w:rsid w:val="23370F99"/>
    <w:rsid w:val="23430F34"/>
    <w:rsid w:val="2344363E"/>
    <w:rsid w:val="23462BEE"/>
    <w:rsid w:val="23465788"/>
    <w:rsid w:val="2357432A"/>
    <w:rsid w:val="236613C3"/>
    <w:rsid w:val="237E4F49"/>
    <w:rsid w:val="238C2B29"/>
    <w:rsid w:val="2393171F"/>
    <w:rsid w:val="23960C32"/>
    <w:rsid w:val="23A07577"/>
    <w:rsid w:val="23A75266"/>
    <w:rsid w:val="23AF2B0E"/>
    <w:rsid w:val="23B136E6"/>
    <w:rsid w:val="23B16BDC"/>
    <w:rsid w:val="23B42B77"/>
    <w:rsid w:val="23C0411B"/>
    <w:rsid w:val="23CC33D3"/>
    <w:rsid w:val="23D2017B"/>
    <w:rsid w:val="23D21544"/>
    <w:rsid w:val="23D71585"/>
    <w:rsid w:val="23DD3CDB"/>
    <w:rsid w:val="23EE065A"/>
    <w:rsid w:val="24017673"/>
    <w:rsid w:val="240D27AC"/>
    <w:rsid w:val="242D4D2F"/>
    <w:rsid w:val="243E351A"/>
    <w:rsid w:val="24437F84"/>
    <w:rsid w:val="244D6120"/>
    <w:rsid w:val="244E79DE"/>
    <w:rsid w:val="24525907"/>
    <w:rsid w:val="24531805"/>
    <w:rsid w:val="245347C5"/>
    <w:rsid w:val="246054E4"/>
    <w:rsid w:val="24871ED8"/>
    <w:rsid w:val="248F1F7C"/>
    <w:rsid w:val="249513A4"/>
    <w:rsid w:val="249C796A"/>
    <w:rsid w:val="24A22B07"/>
    <w:rsid w:val="24A703CB"/>
    <w:rsid w:val="24AB7799"/>
    <w:rsid w:val="24B248EE"/>
    <w:rsid w:val="24B85289"/>
    <w:rsid w:val="24DB7C1D"/>
    <w:rsid w:val="24DF405E"/>
    <w:rsid w:val="24E67F9F"/>
    <w:rsid w:val="24EE0B48"/>
    <w:rsid w:val="25014BE1"/>
    <w:rsid w:val="25077917"/>
    <w:rsid w:val="250C5958"/>
    <w:rsid w:val="25145F5B"/>
    <w:rsid w:val="25195657"/>
    <w:rsid w:val="251D1F77"/>
    <w:rsid w:val="25315F7E"/>
    <w:rsid w:val="254773BD"/>
    <w:rsid w:val="255626D2"/>
    <w:rsid w:val="25617353"/>
    <w:rsid w:val="257416C8"/>
    <w:rsid w:val="257B4770"/>
    <w:rsid w:val="25826A16"/>
    <w:rsid w:val="25840DF0"/>
    <w:rsid w:val="258A055C"/>
    <w:rsid w:val="258C7AA0"/>
    <w:rsid w:val="25AE760A"/>
    <w:rsid w:val="25B00ABD"/>
    <w:rsid w:val="25BA14E0"/>
    <w:rsid w:val="25BD1A5C"/>
    <w:rsid w:val="25BE2500"/>
    <w:rsid w:val="25BF2703"/>
    <w:rsid w:val="25C05B97"/>
    <w:rsid w:val="25DF22BB"/>
    <w:rsid w:val="25DF341F"/>
    <w:rsid w:val="25E23245"/>
    <w:rsid w:val="25E233BD"/>
    <w:rsid w:val="25E92A64"/>
    <w:rsid w:val="260F2D7C"/>
    <w:rsid w:val="26177539"/>
    <w:rsid w:val="26181A86"/>
    <w:rsid w:val="262731E6"/>
    <w:rsid w:val="26307BCF"/>
    <w:rsid w:val="263255D8"/>
    <w:rsid w:val="263441DF"/>
    <w:rsid w:val="265C094A"/>
    <w:rsid w:val="265C19DB"/>
    <w:rsid w:val="265D4201"/>
    <w:rsid w:val="266D406B"/>
    <w:rsid w:val="26742E87"/>
    <w:rsid w:val="26773E88"/>
    <w:rsid w:val="267805EA"/>
    <w:rsid w:val="268C439E"/>
    <w:rsid w:val="26A479C1"/>
    <w:rsid w:val="26A71E4D"/>
    <w:rsid w:val="26A93324"/>
    <w:rsid w:val="26B02637"/>
    <w:rsid w:val="26B214BB"/>
    <w:rsid w:val="26B31B4C"/>
    <w:rsid w:val="26B7483A"/>
    <w:rsid w:val="26D26839"/>
    <w:rsid w:val="26D26AB2"/>
    <w:rsid w:val="26D417F2"/>
    <w:rsid w:val="26DC7D79"/>
    <w:rsid w:val="26E24D05"/>
    <w:rsid w:val="26E53414"/>
    <w:rsid w:val="26FD6784"/>
    <w:rsid w:val="270279D1"/>
    <w:rsid w:val="270D29E9"/>
    <w:rsid w:val="27174146"/>
    <w:rsid w:val="271C6BBD"/>
    <w:rsid w:val="27355D13"/>
    <w:rsid w:val="273E1636"/>
    <w:rsid w:val="2753292D"/>
    <w:rsid w:val="276331FD"/>
    <w:rsid w:val="27715C84"/>
    <w:rsid w:val="27722AF2"/>
    <w:rsid w:val="27727480"/>
    <w:rsid w:val="277916EA"/>
    <w:rsid w:val="27904708"/>
    <w:rsid w:val="2796511E"/>
    <w:rsid w:val="27A60485"/>
    <w:rsid w:val="27A61444"/>
    <w:rsid w:val="27B9147E"/>
    <w:rsid w:val="27BA20B0"/>
    <w:rsid w:val="27C2379D"/>
    <w:rsid w:val="27C4401E"/>
    <w:rsid w:val="27C627DA"/>
    <w:rsid w:val="27D82D1C"/>
    <w:rsid w:val="27D92940"/>
    <w:rsid w:val="27E31E20"/>
    <w:rsid w:val="27EE4D05"/>
    <w:rsid w:val="27F319B5"/>
    <w:rsid w:val="27FB33FC"/>
    <w:rsid w:val="27FE2746"/>
    <w:rsid w:val="28010C6F"/>
    <w:rsid w:val="280174EF"/>
    <w:rsid w:val="280809FF"/>
    <w:rsid w:val="280E5773"/>
    <w:rsid w:val="280F0907"/>
    <w:rsid w:val="28215496"/>
    <w:rsid w:val="282C60E8"/>
    <w:rsid w:val="282F4F5A"/>
    <w:rsid w:val="28353557"/>
    <w:rsid w:val="28362EC4"/>
    <w:rsid w:val="283807C3"/>
    <w:rsid w:val="283D0CDF"/>
    <w:rsid w:val="28443D9D"/>
    <w:rsid w:val="28446E37"/>
    <w:rsid w:val="28541C4D"/>
    <w:rsid w:val="28544867"/>
    <w:rsid w:val="285B5A31"/>
    <w:rsid w:val="28630654"/>
    <w:rsid w:val="2869312B"/>
    <w:rsid w:val="2872252B"/>
    <w:rsid w:val="28737DCA"/>
    <w:rsid w:val="287422F6"/>
    <w:rsid w:val="287A2C7E"/>
    <w:rsid w:val="2880327C"/>
    <w:rsid w:val="28A8066E"/>
    <w:rsid w:val="28AE509F"/>
    <w:rsid w:val="28B9763F"/>
    <w:rsid w:val="28C72796"/>
    <w:rsid w:val="28C909C4"/>
    <w:rsid w:val="28D565F6"/>
    <w:rsid w:val="28D66F7A"/>
    <w:rsid w:val="28D7766A"/>
    <w:rsid w:val="28E41215"/>
    <w:rsid w:val="28EA733F"/>
    <w:rsid w:val="28ED6B03"/>
    <w:rsid w:val="29063B06"/>
    <w:rsid w:val="291702C8"/>
    <w:rsid w:val="291849DE"/>
    <w:rsid w:val="29226B7B"/>
    <w:rsid w:val="292641EF"/>
    <w:rsid w:val="292C180F"/>
    <w:rsid w:val="29317B31"/>
    <w:rsid w:val="29330CCC"/>
    <w:rsid w:val="293351AE"/>
    <w:rsid w:val="29374854"/>
    <w:rsid w:val="293C3AA1"/>
    <w:rsid w:val="29480D6F"/>
    <w:rsid w:val="294B1893"/>
    <w:rsid w:val="29526C4E"/>
    <w:rsid w:val="29584957"/>
    <w:rsid w:val="29586FD9"/>
    <w:rsid w:val="296005F3"/>
    <w:rsid w:val="29662B97"/>
    <w:rsid w:val="296F4F4F"/>
    <w:rsid w:val="297E70AD"/>
    <w:rsid w:val="2990389F"/>
    <w:rsid w:val="299218CE"/>
    <w:rsid w:val="299734C6"/>
    <w:rsid w:val="299B285F"/>
    <w:rsid w:val="29A65660"/>
    <w:rsid w:val="29A90D98"/>
    <w:rsid w:val="29C30062"/>
    <w:rsid w:val="29C63584"/>
    <w:rsid w:val="29D20BF1"/>
    <w:rsid w:val="29D85B0F"/>
    <w:rsid w:val="29DE24B2"/>
    <w:rsid w:val="29E0600B"/>
    <w:rsid w:val="2A0E6E2B"/>
    <w:rsid w:val="2A0F29F5"/>
    <w:rsid w:val="2A1260B4"/>
    <w:rsid w:val="2A152C88"/>
    <w:rsid w:val="2A1A3AF3"/>
    <w:rsid w:val="2A3E3C03"/>
    <w:rsid w:val="2A3E740D"/>
    <w:rsid w:val="2A4A1B39"/>
    <w:rsid w:val="2A4B2F54"/>
    <w:rsid w:val="2A4C2B68"/>
    <w:rsid w:val="2A4F4827"/>
    <w:rsid w:val="2A576585"/>
    <w:rsid w:val="2A595460"/>
    <w:rsid w:val="2A633CFE"/>
    <w:rsid w:val="2A6835A4"/>
    <w:rsid w:val="2A6E168A"/>
    <w:rsid w:val="2A74420D"/>
    <w:rsid w:val="2A7A1D06"/>
    <w:rsid w:val="2A977948"/>
    <w:rsid w:val="2A9A73A9"/>
    <w:rsid w:val="2A9E63F1"/>
    <w:rsid w:val="2AA83125"/>
    <w:rsid w:val="2AB84FC5"/>
    <w:rsid w:val="2AD40751"/>
    <w:rsid w:val="2ADD550E"/>
    <w:rsid w:val="2AE101C1"/>
    <w:rsid w:val="2AE127DA"/>
    <w:rsid w:val="2AF57BC1"/>
    <w:rsid w:val="2B0017E9"/>
    <w:rsid w:val="2B0C17DB"/>
    <w:rsid w:val="2B0C4D23"/>
    <w:rsid w:val="2B301C41"/>
    <w:rsid w:val="2B384DE3"/>
    <w:rsid w:val="2B5745CE"/>
    <w:rsid w:val="2B6535B1"/>
    <w:rsid w:val="2B7F4CA2"/>
    <w:rsid w:val="2B864E81"/>
    <w:rsid w:val="2B964B77"/>
    <w:rsid w:val="2B994929"/>
    <w:rsid w:val="2BA0192F"/>
    <w:rsid w:val="2BB242EF"/>
    <w:rsid w:val="2BB3325D"/>
    <w:rsid w:val="2BBC5205"/>
    <w:rsid w:val="2BBE02CD"/>
    <w:rsid w:val="2BCA58D3"/>
    <w:rsid w:val="2BDE2693"/>
    <w:rsid w:val="2BE31E27"/>
    <w:rsid w:val="2BE41D9F"/>
    <w:rsid w:val="2BE46FE1"/>
    <w:rsid w:val="2BE94518"/>
    <w:rsid w:val="2BEB1103"/>
    <w:rsid w:val="2BF67FF7"/>
    <w:rsid w:val="2BFB3D30"/>
    <w:rsid w:val="2C0B4AAA"/>
    <w:rsid w:val="2C0C2373"/>
    <w:rsid w:val="2C23369B"/>
    <w:rsid w:val="2C2D0578"/>
    <w:rsid w:val="2C331221"/>
    <w:rsid w:val="2C4431AC"/>
    <w:rsid w:val="2C5A31C9"/>
    <w:rsid w:val="2C5B0988"/>
    <w:rsid w:val="2C5D019D"/>
    <w:rsid w:val="2C5F4709"/>
    <w:rsid w:val="2C665D8A"/>
    <w:rsid w:val="2C6B0E8D"/>
    <w:rsid w:val="2C770268"/>
    <w:rsid w:val="2C810382"/>
    <w:rsid w:val="2C9647C8"/>
    <w:rsid w:val="2CB024FC"/>
    <w:rsid w:val="2CBA7517"/>
    <w:rsid w:val="2CBE15A0"/>
    <w:rsid w:val="2CC64C82"/>
    <w:rsid w:val="2CC83D5B"/>
    <w:rsid w:val="2CDE1033"/>
    <w:rsid w:val="2CE940ED"/>
    <w:rsid w:val="2CF30EB5"/>
    <w:rsid w:val="2CF5288F"/>
    <w:rsid w:val="2CF9077D"/>
    <w:rsid w:val="2D0E1F9C"/>
    <w:rsid w:val="2D2A1088"/>
    <w:rsid w:val="2D2D7196"/>
    <w:rsid w:val="2D2E7119"/>
    <w:rsid w:val="2D3C1952"/>
    <w:rsid w:val="2D474982"/>
    <w:rsid w:val="2D5B7C29"/>
    <w:rsid w:val="2D631F2E"/>
    <w:rsid w:val="2D684934"/>
    <w:rsid w:val="2D6E207D"/>
    <w:rsid w:val="2D751B66"/>
    <w:rsid w:val="2D8461E5"/>
    <w:rsid w:val="2D857FD9"/>
    <w:rsid w:val="2D9D20A6"/>
    <w:rsid w:val="2DB7373A"/>
    <w:rsid w:val="2DBB1D23"/>
    <w:rsid w:val="2DCA66E1"/>
    <w:rsid w:val="2DD1580F"/>
    <w:rsid w:val="2DD308ED"/>
    <w:rsid w:val="2DDF3A12"/>
    <w:rsid w:val="2DE22D1E"/>
    <w:rsid w:val="2DE47444"/>
    <w:rsid w:val="2DE51BB0"/>
    <w:rsid w:val="2DEC100D"/>
    <w:rsid w:val="2DF407F2"/>
    <w:rsid w:val="2DF41BE5"/>
    <w:rsid w:val="2DF44566"/>
    <w:rsid w:val="2DF55AE6"/>
    <w:rsid w:val="2DF65F61"/>
    <w:rsid w:val="2DF90666"/>
    <w:rsid w:val="2E037A84"/>
    <w:rsid w:val="2E083097"/>
    <w:rsid w:val="2E112F5F"/>
    <w:rsid w:val="2E1378F5"/>
    <w:rsid w:val="2E186CD8"/>
    <w:rsid w:val="2E272718"/>
    <w:rsid w:val="2E2D41B8"/>
    <w:rsid w:val="2E32038F"/>
    <w:rsid w:val="2E384C25"/>
    <w:rsid w:val="2E517C98"/>
    <w:rsid w:val="2E6A34CD"/>
    <w:rsid w:val="2E756A3F"/>
    <w:rsid w:val="2E7C57A1"/>
    <w:rsid w:val="2E8671E7"/>
    <w:rsid w:val="2E873092"/>
    <w:rsid w:val="2E8D16F2"/>
    <w:rsid w:val="2E947E04"/>
    <w:rsid w:val="2EA27309"/>
    <w:rsid w:val="2EA975A8"/>
    <w:rsid w:val="2EAB38D7"/>
    <w:rsid w:val="2EB04F86"/>
    <w:rsid w:val="2EBA36D8"/>
    <w:rsid w:val="2EC02195"/>
    <w:rsid w:val="2ECE79F8"/>
    <w:rsid w:val="2ED70B13"/>
    <w:rsid w:val="2EE45D81"/>
    <w:rsid w:val="2EEB392C"/>
    <w:rsid w:val="2EF14504"/>
    <w:rsid w:val="2F055F19"/>
    <w:rsid w:val="2F227ECD"/>
    <w:rsid w:val="2F2511A7"/>
    <w:rsid w:val="2F2577F8"/>
    <w:rsid w:val="2F27076E"/>
    <w:rsid w:val="2F2E4873"/>
    <w:rsid w:val="2F357427"/>
    <w:rsid w:val="2F4013F0"/>
    <w:rsid w:val="2F4729F1"/>
    <w:rsid w:val="2F474066"/>
    <w:rsid w:val="2F552491"/>
    <w:rsid w:val="2F6435AC"/>
    <w:rsid w:val="2F654DEF"/>
    <w:rsid w:val="2F720F32"/>
    <w:rsid w:val="2F957B99"/>
    <w:rsid w:val="2F972BF8"/>
    <w:rsid w:val="2F9D6A1A"/>
    <w:rsid w:val="2FA85EB8"/>
    <w:rsid w:val="2FB05F5C"/>
    <w:rsid w:val="2FB706AE"/>
    <w:rsid w:val="2FC4016F"/>
    <w:rsid w:val="2FD14C8D"/>
    <w:rsid w:val="2FE75D41"/>
    <w:rsid w:val="2FFB575F"/>
    <w:rsid w:val="30006105"/>
    <w:rsid w:val="3009272B"/>
    <w:rsid w:val="301674FE"/>
    <w:rsid w:val="301D3F8F"/>
    <w:rsid w:val="302033F2"/>
    <w:rsid w:val="30380542"/>
    <w:rsid w:val="3054745D"/>
    <w:rsid w:val="30560624"/>
    <w:rsid w:val="30582755"/>
    <w:rsid w:val="305E0562"/>
    <w:rsid w:val="305E7DEE"/>
    <w:rsid w:val="306F6218"/>
    <w:rsid w:val="30760EB3"/>
    <w:rsid w:val="307934C5"/>
    <w:rsid w:val="307F6709"/>
    <w:rsid w:val="308602C2"/>
    <w:rsid w:val="30A7EA25"/>
    <w:rsid w:val="30BD5554"/>
    <w:rsid w:val="30BE410E"/>
    <w:rsid w:val="30D65935"/>
    <w:rsid w:val="30EB09AA"/>
    <w:rsid w:val="30ED0A72"/>
    <w:rsid w:val="30FA2300"/>
    <w:rsid w:val="30FB4672"/>
    <w:rsid w:val="30FC75DA"/>
    <w:rsid w:val="311611FB"/>
    <w:rsid w:val="311B5BCF"/>
    <w:rsid w:val="311B6D42"/>
    <w:rsid w:val="31306233"/>
    <w:rsid w:val="313E5E45"/>
    <w:rsid w:val="314127C6"/>
    <w:rsid w:val="31493F4F"/>
    <w:rsid w:val="315A7DAE"/>
    <w:rsid w:val="3160686F"/>
    <w:rsid w:val="317B5A84"/>
    <w:rsid w:val="318255C5"/>
    <w:rsid w:val="318377A1"/>
    <w:rsid w:val="318A6363"/>
    <w:rsid w:val="31957314"/>
    <w:rsid w:val="31A36FD6"/>
    <w:rsid w:val="31A92868"/>
    <w:rsid w:val="31BB3351"/>
    <w:rsid w:val="31C4688A"/>
    <w:rsid w:val="31C55F3D"/>
    <w:rsid w:val="31C83D72"/>
    <w:rsid w:val="31CF45E7"/>
    <w:rsid w:val="31DD4A16"/>
    <w:rsid w:val="31E524AC"/>
    <w:rsid w:val="31F61754"/>
    <w:rsid w:val="31FD16A5"/>
    <w:rsid w:val="320169D2"/>
    <w:rsid w:val="32071CB1"/>
    <w:rsid w:val="320C0EF0"/>
    <w:rsid w:val="32210ADB"/>
    <w:rsid w:val="32366580"/>
    <w:rsid w:val="32371176"/>
    <w:rsid w:val="326C13FF"/>
    <w:rsid w:val="32771DB9"/>
    <w:rsid w:val="32A74657"/>
    <w:rsid w:val="32B62BA1"/>
    <w:rsid w:val="32C62F6B"/>
    <w:rsid w:val="32CE0633"/>
    <w:rsid w:val="32D22147"/>
    <w:rsid w:val="32DF3EC7"/>
    <w:rsid w:val="32FA74AB"/>
    <w:rsid w:val="330823A5"/>
    <w:rsid w:val="33230761"/>
    <w:rsid w:val="33316D62"/>
    <w:rsid w:val="333A7A25"/>
    <w:rsid w:val="333F0A90"/>
    <w:rsid w:val="334E2C22"/>
    <w:rsid w:val="33513B0E"/>
    <w:rsid w:val="33544980"/>
    <w:rsid w:val="33815824"/>
    <w:rsid w:val="33A76AD6"/>
    <w:rsid w:val="33CD6AB4"/>
    <w:rsid w:val="33D119AC"/>
    <w:rsid w:val="33D46001"/>
    <w:rsid w:val="33D801D7"/>
    <w:rsid w:val="33E34E83"/>
    <w:rsid w:val="340F7454"/>
    <w:rsid w:val="34292D48"/>
    <w:rsid w:val="342C5067"/>
    <w:rsid w:val="343014B1"/>
    <w:rsid w:val="344219A0"/>
    <w:rsid w:val="344F1921"/>
    <w:rsid w:val="34595E0B"/>
    <w:rsid w:val="3467454E"/>
    <w:rsid w:val="347B1EFC"/>
    <w:rsid w:val="348C0BF5"/>
    <w:rsid w:val="34915D4E"/>
    <w:rsid w:val="34927AE2"/>
    <w:rsid w:val="34966A3A"/>
    <w:rsid w:val="349B1488"/>
    <w:rsid w:val="34A22BFB"/>
    <w:rsid w:val="34A30D2B"/>
    <w:rsid w:val="34A6199E"/>
    <w:rsid w:val="34B41B13"/>
    <w:rsid w:val="34B8040E"/>
    <w:rsid w:val="34BA02E2"/>
    <w:rsid w:val="34BF5142"/>
    <w:rsid w:val="34C77627"/>
    <w:rsid w:val="34D065EA"/>
    <w:rsid w:val="34ED095C"/>
    <w:rsid w:val="34FC3E52"/>
    <w:rsid w:val="350209E6"/>
    <w:rsid w:val="351B5346"/>
    <w:rsid w:val="351F0964"/>
    <w:rsid w:val="35265BD4"/>
    <w:rsid w:val="35403B94"/>
    <w:rsid w:val="35484CB1"/>
    <w:rsid w:val="355405EB"/>
    <w:rsid w:val="356C3EE7"/>
    <w:rsid w:val="35734CA9"/>
    <w:rsid w:val="357514F4"/>
    <w:rsid w:val="357B0FAA"/>
    <w:rsid w:val="357D1167"/>
    <w:rsid w:val="357D3407"/>
    <w:rsid w:val="358B3B9C"/>
    <w:rsid w:val="359532C3"/>
    <w:rsid w:val="35A93BCD"/>
    <w:rsid w:val="35B959A2"/>
    <w:rsid w:val="35CB3748"/>
    <w:rsid w:val="35F46ED0"/>
    <w:rsid w:val="360B0483"/>
    <w:rsid w:val="360F5F6F"/>
    <w:rsid w:val="36113F25"/>
    <w:rsid w:val="361C29F7"/>
    <w:rsid w:val="361C5804"/>
    <w:rsid w:val="362204DA"/>
    <w:rsid w:val="362F240E"/>
    <w:rsid w:val="363764D6"/>
    <w:rsid w:val="36386011"/>
    <w:rsid w:val="364F78B2"/>
    <w:rsid w:val="36577BF2"/>
    <w:rsid w:val="36586913"/>
    <w:rsid w:val="365E5B19"/>
    <w:rsid w:val="3664074D"/>
    <w:rsid w:val="36910B0F"/>
    <w:rsid w:val="36B2407B"/>
    <w:rsid w:val="36B25E5C"/>
    <w:rsid w:val="36BB7A85"/>
    <w:rsid w:val="36C07D58"/>
    <w:rsid w:val="36C141DC"/>
    <w:rsid w:val="36D608C2"/>
    <w:rsid w:val="36DE12C0"/>
    <w:rsid w:val="36E146BE"/>
    <w:rsid w:val="36EE7BCE"/>
    <w:rsid w:val="36FD4842"/>
    <w:rsid w:val="371A4784"/>
    <w:rsid w:val="37256853"/>
    <w:rsid w:val="372F016A"/>
    <w:rsid w:val="374227FF"/>
    <w:rsid w:val="374245C3"/>
    <w:rsid w:val="37510ADF"/>
    <w:rsid w:val="37565BD9"/>
    <w:rsid w:val="376131E9"/>
    <w:rsid w:val="376477AF"/>
    <w:rsid w:val="377134C2"/>
    <w:rsid w:val="37727210"/>
    <w:rsid w:val="37823CA6"/>
    <w:rsid w:val="37946822"/>
    <w:rsid w:val="379627CB"/>
    <w:rsid w:val="379F7FF3"/>
    <w:rsid w:val="37C24E39"/>
    <w:rsid w:val="37CB45DC"/>
    <w:rsid w:val="37CE33DF"/>
    <w:rsid w:val="37D35919"/>
    <w:rsid w:val="37DA5FB5"/>
    <w:rsid w:val="37DC7725"/>
    <w:rsid w:val="37E07B50"/>
    <w:rsid w:val="37FC2CBE"/>
    <w:rsid w:val="37FF3D1A"/>
    <w:rsid w:val="37FF5142"/>
    <w:rsid w:val="380C172E"/>
    <w:rsid w:val="380D2DB6"/>
    <w:rsid w:val="38141709"/>
    <w:rsid w:val="38187501"/>
    <w:rsid w:val="3841537D"/>
    <w:rsid w:val="38494181"/>
    <w:rsid w:val="384B5BF2"/>
    <w:rsid w:val="3852200E"/>
    <w:rsid w:val="38552D06"/>
    <w:rsid w:val="38677D33"/>
    <w:rsid w:val="38681707"/>
    <w:rsid w:val="386F7895"/>
    <w:rsid w:val="387D3E6B"/>
    <w:rsid w:val="388A488E"/>
    <w:rsid w:val="388D1D58"/>
    <w:rsid w:val="388F3A3A"/>
    <w:rsid w:val="38961ECC"/>
    <w:rsid w:val="38A83D78"/>
    <w:rsid w:val="38A95DB7"/>
    <w:rsid w:val="38B132DF"/>
    <w:rsid w:val="38BB4C66"/>
    <w:rsid w:val="38BF6CB4"/>
    <w:rsid w:val="38CF6E29"/>
    <w:rsid w:val="38D23A12"/>
    <w:rsid w:val="38D65BED"/>
    <w:rsid w:val="38EC1152"/>
    <w:rsid w:val="38F50B6C"/>
    <w:rsid w:val="39081517"/>
    <w:rsid w:val="390F723B"/>
    <w:rsid w:val="39163C5A"/>
    <w:rsid w:val="394C683B"/>
    <w:rsid w:val="394D0E5D"/>
    <w:rsid w:val="394E47BF"/>
    <w:rsid w:val="395A10DD"/>
    <w:rsid w:val="39654049"/>
    <w:rsid w:val="39660851"/>
    <w:rsid w:val="396E120D"/>
    <w:rsid w:val="396F0DDD"/>
    <w:rsid w:val="397C6E98"/>
    <w:rsid w:val="3986044F"/>
    <w:rsid w:val="3987025A"/>
    <w:rsid w:val="398761CA"/>
    <w:rsid w:val="3996770C"/>
    <w:rsid w:val="399C7E82"/>
    <w:rsid w:val="39A2529D"/>
    <w:rsid w:val="39B8019F"/>
    <w:rsid w:val="39C15AC5"/>
    <w:rsid w:val="39CE0399"/>
    <w:rsid w:val="39D43953"/>
    <w:rsid w:val="39EB7C43"/>
    <w:rsid w:val="39FA1D64"/>
    <w:rsid w:val="39FD606D"/>
    <w:rsid w:val="3A0454AF"/>
    <w:rsid w:val="3A066CB6"/>
    <w:rsid w:val="3A08550B"/>
    <w:rsid w:val="3A127AB4"/>
    <w:rsid w:val="3A291D38"/>
    <w:rsid w:val="3A2B51DD"/>
    <w:rsid w:val="3A40349A"/>
    <w:rsid w:val="3A4071B8"/>
    <w:rsid w:val="3A457AE5"/>
    <w:rsid w:val="3A4929A4"/>
    <w:rsid w:val="3A601E5E"/>
    <w:rsid w:val="3A6D074D"/>
    <w:rsid w:val="3A763CF9"/>
    <w:rsid w:val="3A804230"/>
    <w:rsid w:val="3AA86F4B"/>
    <w:rsid w:val="3AC003A8"/>
    <w:rsid w:val="3AC64D5C"/>
    <w:rsid w:val="3ACF0FA0"/>
    <w:rsid w:val="3AE77164"/>
    <w:rsid w:val="3AFA707F"/>
    <w:rsid w:val="3B002460"/>
    <w:rsid w:val="3B020FDD"/>
    <w:rsid w:val="3B044549"/>
    <w:rsid w:val="3B0D37E6"/>
    <w:rsid w:val="3B120EAB"/>
    <w:rsid w:val="3B147723"/>
    <w:rsid w:val="3B170779"/>
    <w:rsid w:val="3B1C4AD1"/>
    <w:rsid w:val="3B1C7FDD"/>
    <w:rsid w:val="3B276DE4"/>
    <w:rsid w:val="3B322295"/>
    <w:rsid w:val="3B3D7F2D"/>
    <w:rsid w:val="3B4D0673"/>
    <w:rsid w:val="3B60205E"/>
    <w:rsid w:val="3B606E65"/>
    <w:rsid w:val="3B6E4358"/>
    <w:rsid w:val="3B6F7B50"/>
    <w:rsid w:val="3B7903B3"/>
    <w:rsid w:val="3B7F7071"/>
    <w:rsid w:val="3B860E36"/>
    <w:rsid w:val="3BA0661D"/>
    <w:rsid w:val="3BA72912"/>
    <w:rsid w:val="3BB2715D"/>
    <w:rsid w:val="3BC13712"/>
    <w:rsid w:val="3BE046D9"/>
    <w:rsid w:val="3BE56F18"/>
    <w:rsid w:val="3BEC147B"/>
    <w:rsid w:val="3BEE0602"/>
    <w:rsid w:val="3BFA347B"/>
    <w:rsid w:val="3C0871E4"/>
    <w:rsid w:val="3C1439EE"/>
    <w:rsid w:val="3C1B48BD"/>
    <w:rsid w:val="3C2310E0"/>
    <w:rsid w:val="3C234AB0"/>
    <w:rsid w:val="3C261ED6"/>
    <w:rsid w:val="3C2A290E"/>
    <w:rsid w:val="3C3120B2"/>
    <w:rsid w:val="3C345A9D"/>
    <w:rsid w:val="3C363B5C"/>
    <w:rsid w:val="3C445C75"/>
    <w:rsid w:val="3C4650D5"/>
    <w:rsid w:val="3C485156"/>
    <w:rsid w:val="3C497BBF"/>
    <w:rsid w:val="3C521504"/>
    <w:rsid w:val="3C56033B"/>
    <w:rsid w:val="3C680D1E"/>
    <w:rsid w:val="3C6910DB"/>
    <w:rsid w:val="3C6A76A1"/>
    <w:rsid w:val="3C7F0A6D"/>
    <w:rsid w:val="3C7F445E"/>
    <w:rsid w:val="3C874C6E"/>
    <w:rsid w:val="3C991F49"/>
    <w:rsid w:val="3CB10617"/>
    <w:rsid w:val="3CC9262D"/>
    <w:rsid w:val="3CD617D8"/>
    <w:rsid w:val="3CE87F44"/>
    <w:rsid w:val="3CF34F4C"/>
    <w:rsid w:val="3CFC1927"/>
    <w:rsid w:val="3D05562A"/>
    <w:rsid w:val="3D0D5AD9"/>
    <w:rsid w:val="3D134E7C"/>
    <w:rsid w:val="3D1F0825"/>
    <w:rsid w:val="3D2021EA"/>
    <w:rsid w:val="3D2628FB"/>
    <w:rsid w:val="3D280A47"/>
    <w:rsid w:val="3D294B48"/>
    <w:rsid w:val="3D326595"/>
    <w:rsid w:val="3D334E64"/>
    <w:rsid w:val="3D3503B7"/>
    <w:rsid w:val="3D4916BE"/>
    <w:rsid w:val="3D525C77"/>
    <w:rsid w:val="3D5B32B7"/>
    <w:rsid w:val="3D5D5B07"/>
    <w:rsid w:val="3D5E0B41"/>
    <w:rsid w:val="3D613E12"/>
    <w:rsid w:val="3D640E87"/>
    <w:rsid w:val="3D6E22F3"/>
    <w:rsid w:val="3D86373F"/>
    <w:rsid w:val="3D8F04B6"/>
    <w:rsid w:val="3DB06D4A"/>
    <w:rsid w:val="3DB5471A"/>
    <w:rsid w:val="3DB71D63"/>
    <w:rsid w:val="3DC6331F"/>
    <w:rsid w:val="3DCB26F5"/>
    <w:rsid w:val="3DCF5E03"/>
    <w:rsid w:val="3DE335FB"/>
    <w:rsid w:val="3DE86614"/>
    <w:rsid w:val="3DF26331"/>
    <w:rsid w:val="3E000A51"/>
    <w:rsid w:val="3E0B38CD"/>
    <w:rsid w:val="3E162D73"/>
    <w:rsid w:val="3E2D46E8"/>
    <w:rsid w:val="3E3F3A4E"/>
    <w:rsid w:val="3E48544D"/>
    <w:rsid w:val="3E4C4BD8"/>
    <w:rsid w:val="3E51649D"/>
    <w:rsid w:val="3E517019"/>
    <w:rsid w:val="3E562B37"/>
    <w:rsid w:val="3E58506F"/>
    <w:rsid w:val="3E5A09AC"/>
    <w:rsid w:val="3E635543"/>
    <w:rsid w:val="3E760834"/>
    <w:rsid w:val="3E7E0C2E"/>
    <w:rsid w:val="3E7F799F"/>
    <w:rsid w:val="3E8615CC"/>
    <w:rsid w:val="3E867D63"/>
    <w:rsid w:val="3E8A0E1D"/>
    <w:rsid w:val="3E970E55"/>
    <w:rsid w:val="3E9B568B"/>
    <w:rsid w:val="3E9F7D92"/>
    <w:rsid w:val="3EA70087"/>
    <w:rsid w:val="3EB0183E"/>
    <w:rsid w:val="3EB3598F"/>
    <w:rsid w:val="3EC16C2F"/>
    <w:rsid w:val="3EC35920"/>
    <w:rsid w:val="3EDB7159"/>
    <w:rsid w:val="3EE2593F"/>
    <w:rsid w:val="3EF61878"/>
    <w:rsid w:val="3EF958C4"/>
    <w:rsid w:val="3EFC09A7"/>
    <w:rsid w:val="3F224BC5"/>
    <w:rsid w:val="3F382FA2"/>
    <w:rsid w:val="3F565FDA"/>
    <w:rsid w:val="3F5C31E4"/>
    <w:rsid w:val="3F5F1760"/>
    <w:rsid w:val="3F610C9E"/>
    <w:rsid w:val="3F644D3B"/>
    <w:rsid w:val="3F652BAD"/>
    <w:rsid w:val="3F694158"/>
    <w:rsid w:val="3F6D7C79"/>
    <w:rsid w:val="3F774EFF"/>
    <w:rsid w:val="3F7E16E1"/>
    <w:rsid w:val="3F8318DA"/>
    <w:rsid w:val="3F84629C"/>
    <w:rsid w:val="3F893809"/>
    <w:rsid w:val="3F8D332F"/>
    <w:rsid w:val="3F9758C2"/>
    <w:rsid w:val="3F982FD9"/>
    <w:rsid w:val="3F9E32D4"/>
    <w:rsid w:val="3FA77CCC"/>
    <w:rsid w:val="3FAA797D"/>
    <w:rsid w:val="3FAF221D"/>
    <w:rsid w:val="3FC75E62"/>
    <w:rsid w:val="3FCA6BF3"/>
    <w:rsid w:val="3FD02D80"/>
    <w:rsid w:val="3FE06888"/>
    <w:rsid w:val="3FED6028"/>
    <w:rsid w:val="3FF13447"/>
    <w:rsid w:val="3FF575A6"/>
    <w:rsid w:val="40002803"/>
    <w:rsid w:val="400440D2"/>
    <w:rsid w:val="40130013"/>
    <w:rsid w:val="402301A3"/>
    <w:rsid w:val="40367CD5"/>
    <w:rsid w:val="403814E5"/>
    <w:rsid w:val="4042229D"/>
    <w:rsid w:val="405E5AF5"/>
    <w:rsid w:val="40620E21"/>
    <w:rsid w:val="40631675"/>
    <w:rsid w:val="4068214E"/>
    <w:rsid w:val="407265EF"/>
    <w:rsid w:val="40846C82"/>
    <w:rsid w:val="40856081"/>
    <w:rsid w:val="40897239"/>
    <w:rsid w:val="409C2011"/>
    <w:rsid w:val="40A44B6B"/>
    <w:rsid w:val="40A55360"/>
    <w:rsid w:val="40AB729F"/>
    <w:rsid w:val="40AD4DA8"/>
    <w:rsid w:val="40AF226C"/>
    <w:rsid w:val="40B736BE"/>
    <w:rsid w:val="40D00656"/>
    <w:rsid w:val="40D864ED"/>
    <w:rsid w:val="40E17B9E"/>
    <w:rsid w:val="40EE33CB"/>
    <w:rsid w:val="40F657E9"/>
    <w:rsid w:val="40FB4FBD"/>
    <w:rsid w:val="410558B3"/>
    <w:rsid w:val="410A610F"/>
    <w:rsid w:val="410F71E9"/>
    <w:rsid w:val="411F32EC"/>
    <w:rsid w:val="41260654"/>
    <w:rsid w:val="413C09A7"/>
    <w:rsid w:val="414B5A76"/>
    <w:rsid w:val="41520665"/>
    <w:rsid w:val="4158477B"/>
    <w:rsid w:val="415E3BA9"/>
    <w:rsid w:val="41630F80"/>
    <w:rsid w:val="416C3385"/>
    <w:rsid w:val="417013E1"/>
    <w:rsid w:val="41786D5D"/>
    <w:rsid w:val="418866D5"/>
    <w:rsid w:val="418A69AD"/>
    <w:rsid w:val="418C223D"/>
    <w:rsid w:val="41962307"/>
    <w:rsid w:val="41A22704"/>
    <w:rsid w:val="41A84B61"/>
    <w:rsid w:val="41BA2DCC"/>
    <w:rsid w:val="41BB3A40"/>
    <w:rsid w:val="41CA08D0"/>
    <w:rsid w:val="41CD2CBB"/>
    <w:rsid w:val="41DC359E"/>
    <w:rsid w:val="41E22B26"/>
    <w:rsid w:val="41E27229"/>
    <w:rsid w:val="420E1739"/>
    <w:rsid w:val="421E70E5"/>
    <w:rsid w:val="42256DAC"/>
    <w:rsid w:val="424720C7"/>
    <w:rsid w:val="424E194C"/>
    <w:rsid w:val="42524955"/>
    <w:rsid w:val="425855F0"/>
    <w:rsid w:val="42733671"/>
    <w:rsid w:val="42733A2D"/>
    <w:rsid w:val="427940BA"/>
    <w:rsid w:val="42864ED0"/>
    <w:rsid w:val="429F7F21"/>
    <w:rsid w:val="42AA3C33"/>
    <w:rsid w:val="42B37818"/>
    <w:rsid w:val="42B73E3A"/>
    <w:rsid w:val="42BD7D7F"/>
    <w:rsid w:val="42BE4616"/>
    <w:rsid w:val="42EA5361"/>
    <w:rsid w:val="42EC0330"/>
    <w:rsid w:val="42F40072"/>
    <w:rsid w:val="42F74E63"/>
    <w:rsid w:val="43052DC4"/>
    <w:rsid w:val="43071E1D"/>
    <w:rsid w:val="430E06B1"/>
    <w:rsid w:val="43143C1C"/>
    <w:rsid w:val="431F7D22"/>
    <w:rsid w:val="43262F64"/>
    <w:rsid w:val="432F5B96"/>
    <w:rsid w:val="43334E39"/>
    <w:rsid w:val="43362E9D"/>
    <w:rsid w:val="433F54ED"/>
    <w:rsid w:val="434923EC"/>
    <w:rsid w:val="434D34C3"/>
    <w:rsid w:val="434D79F9"/>
    <w:rsid w:val="43631F4A"/>
    <w:rsid w:val="43671058"/>
    <w:rsid w:val="43760272"/>
    <w:rsid w:val="437D21D6"/>
    <w:rsid w:val="438D22E7"/>
    <w:rsid w:val="43B5453E"/>
    <w:rsid w:val="43B549F8"/>
    <w:rsid w:val="43B9094F"/>
    <w:rsid w:val="43C32726"/>
    <w:rsid w:val="43CF7E18"/>
    <w:rsid w:val="43E303F7"/>
    <w:rsid w:val="4408344A"/>
    <w:rsid w:val="440A34F4"/>
    <w:rsid w:val="441F46A9"/>
    <w:rsid w:val="441F4B83"/>
    <w:rsid w:val="442D6659"/>
    <w:rsid w:val="444B5DDD"/>
    <w:rsid w:val="44631579"/>
    <w:rsid w:val="446517E8"/>
    <w:rsid w:val="4465266C"/>
    <w:rsid w:val="44695502"/>
    <w:rsid w:val="44741E6C"/>
    <w:rsid w:val="44757B04"/>
    <w:rsid w:val="448816AA"/>
    <w:rsid w:val="448A593F"/>
    <w:rsid w:val="448C4EB9"/>
    <w:rsid w:val="44980690"/>
    <w:rsid w:val="44994CCD"/>
    <w:rsid w:val="44A817E2"/>
    <w:rsid w:val="44A877AA"/>
    <w:rsid w:val="44D56FC1"/>
    <w:rsid w:val="44DC4037"/>
    <w:rsid w:val="44E00055"/>
    <w:rsid w:val="44E36F28"/>
    <w:rsid w:val="44EF2940"/>
    <w:rsid w:val="44FB34FD"/>
    <w:rsid w:val="450449BA"/>
    <w:rsid w:val="45054EB0"/>
    <w:rsid w:val="451D7980"/>
    <w:rsid w:val="45280833"/>
    <w:rsid w:val="45331EB6"/>
    <w:rsid w:val="453B5D97"/>
    <w:rsid w:val="453C3A22"/>
    <w:rsid w:val="454F67EE"/>
    <w:rsid w:val="45530041"/>
    <w:rsid w:val="45571748"/>
    <w:rsid w:val="45771CA9"/>
    <w:rsid w:val="458463DE"/>
    <w:rsid w:val="45957718"/>
    <w:rsid w:val="45A41887"/>
    <w:rsid w:val="45A91DAB"/>
    <w:rsid w:val="45B15FA2"/>
    <w:rsid w:val="45B901DC"/>
    <w:rsid w:val="45C66517"/>
    <w:rsid w:val="45D9195E"/>
    <w:rsid w:val="45E27CD2"/>
    <w:rsid w:val="45F05C9D"/>
    <w:rsid w:val="45F33876"/>
    <w:rsid w:val="45F62535"/>
    <w:rsid w:val="45F942E7"/>
    <w:rsid w:val="46002027"/>
    <w:rsid w:val="46070BCA"/>
    <w:rsid w:val="460B427B"/>
    <w:rsid w:val="460E59B3"/>
    <w:rsid w:val="46151983"/>
    <w:rsid w:val="46161AB6"/>
    <w:rsid w:val="461B52DB"/>
    <w:rsid w:val="461E7EC2"/>
    <w:rsid w:val="461F5F1A"/>
    <w:rsid w:val="46216D4E"/>
    <w:rsid w:val="462452B2"/>
    <w:rsid w:val="462B0A86"/>
    <w:rsid w:val="462D42B1"/>
    <w:rsid w:val="463432CC"/>
    <w:rsid w:val="46483AEF"/>
    <w:rsid w:val="465A4BFD"/>
    <w:rsid w:val="465C7A7F"/>
    <w:rsid w:val="465D0833"/>
    <w:rsid w:val="46710DD1"/>
    <w:rsid w:val="46793339"/>
    <w:rsid w:val="46806F4C"/>
    <w:rsid w:val="46A570DF"/>
    <w:rsid w:val="46AB7199"/>
    <w:rsid w:val="46B2280C"/>
    <w:rsid w:val="46B37F76"/>
    <w:rsid w:val="46B576A8"/>
    <w:rsid w:val="46C5717F"/>
    <w:rsid w:val="46C576FD"/>
    <w:rsid w:val="46C77BCB"/>
    <w:rsid w:val="46CE6C21"/>
    <w:rsid w:val="46D60443"/>
    <w:rsid w:val="46DC0DD9"/>
    <w:rsid w:val="46E73F95"/>
    <w:rsid w:val="46E768EB"/>
    <w:rsid w:val="46EA10AC"/>
    <w:rsid w:val="46F4119A"/>
    <w:rsid w:val="46F70279"/>
    <w:rsid w:val="47095698"/>
    <w:rsid w:val="47097243"/>
    <w:rsid w:val="47117CAF"/>
    <w:rsid w:val="47250625"/>
    <w:rsid w:val="47281C37"/>
    <w:rsid w:val="472D7E03"/>
    <w:rsid w:val="472E7D4B"/>
    <w:rsid w:val="473334FE"/>
    <w:rsid w:val="47407647"/>
    <w:rsid w:val="474C2156"/>
    <w:rsid w:val="47522319"/>
    <w:rsid w:val="47546A8B"/>
    <w:rsid w:val="476D79CD"/>
    <w:rsid w:val="47792857"/>
    <w:rsid w:val="477C710F"/>
    <w:rsid w:val="478F1F32"/>
    <w:rsid w:val="479C447B"/>
    <w:rsid w:val="47AE4558"/>
    <w:rsid w:val="47C81F15"/>
    <w:rsid w:val="47D6356C"/>
    <w:rsid w:val="47DD4EBC"/>
    <w:rsid w:val="47DE70CD"/>
    <w:rsid w:val="47DF0B0B"/>
    <w:rsid w:val="47DF565C"/>
    <w:rsid w:val="47E10964"/>
    <w:rsid w:val="47F359B8"/>
    <w:rsid w:val="47FC4BC1"/>
    <w:rsid w:val="48023EDC"/>
    <w:rsid w:val="48031B33"/>
    <w:rsid w:val="48032CD0"/>
    <w:rsid w:val="480349E2"/>
    <w:rsid w:val="480C6EBE"/>
    <w:rsid w:val="48155FD8"/>
    <w:rsid w:val="482D7515"/>
    <w:rsid w:val="48354F4C"/>
    <w:rsid w:val="4843617B"/>
    <w:rsid w:val="4858223C"/>
    <w:rsid w:val="485A07A5"/>
    <w:rsid w:val="485C5066"/>
    <w:rsid w:val="48607783"/>
    <w:rsid w:val="48757FAF"/>
    <w:rsid w:val="48766BCD"/>
    <w:rsid w:val="488C3DA6"/>
    <w:rsid w:val="48947BBF"/>
    <w:rsid w:val="48B6604A"/>
    <w:rsid w:val="48C41156"/>
    <w:rsid w:val="48CE6B08"/>
    <w:rsid w:val="48D33DF1"/>
    <w:rsid w:val="48DA0AE3"/>
    <w:rsid w:val="49010F69"/>
    <w:rsid w:val="49013DE4"/>
    <w:rsid w:val="49016AA4"/>
    <w:rsid w:val="490B0089"/>
    <w:rsid w:val="490B33A7"/>
    <w:rsid w:val="49154D87"/>
    <w:rsid w:val="491613E0"/>
    <w:rsid w:val="49206AFF"/>
    <w:rsid w:val="49276BD6"/>
    <w:rsid w:val="492F107C"/>
    <w:rsid w:val="493236ED"/>
    <w:rsid w:val="4937005B"/>
    <w:rsid w:val="49482C99"/>
    <w:rsid w:val="49574141"/>
    <w:rsid w:val="49604AA0"/>
    <w:rsid w:val="4969465C"/>
    <w:rsid w:val="496D6AF5"/>
    <w:rsid w:val="497C44FF"/>
    <w:rsid w:val="4988372F"/>
    <w:rsid w:val="498D16A2"/>
    <w:rsid w:val="498F386C"/>
    <w:rsid w:val="49915E34"/>
    <w:rsid w:val="499C13A3"/>
    <w:rsid w:val="499C7CBF"/>
    <w:rsid w:val="499D64AD"/>
    <w:rsid w:val="499E5F03"/>
    <w:rsid w:val="499F3B0E"/>
    <w:rsid w:val="49AE073C"/>
    <w:rsid w:val="49AE4419"/>
    <w:rsid w:val="49B4753D"/>
    <w:rsid w:val="49C4768D"/>
    <w:rsid w:val="49D17965"/>
    <w:rsid w:val="49DF6EFC"/>
    <w:rsid w:val="49E8727B"/>
    <w:rsid w:val="49F63FC8"/>
    <w:rsid w:val="49FB3E09"/>
    <w:rsid w:val="49FB4D87"/>
    <w:rsid w:val="49FC04FA"/>
    <w:rsid w:val="4A0B7563"/>
    <w:rsid w:val="4A141AA0"/>
    <w:rsid w:val="4A1D3C83"/>
    <w:rsid w:val="4A2321EC"/>
    <w:rsid w:val="4A3526E9"/>
    <w:rsid w:val="4A486633"/>
    <w:rsid w:val="4A4A723F"/>
    <w:rsid w:val="4A68466E"/>
    <w:rsid w:val="4A6C790F"/>
    <w:rsid w:val="4A712B4E"/>
    <w:rsid w:val="4A8212E4"/>
    <w:rsid w:val="4A8E4B51"/>
    <w:rsid w:val="4A8F6517"/>
    <w:rsid w:val="4A9357F4"/>
    <w:rsid w:val="4A98714B"/>
    <w:rsid w:val="4A997921"/>
    <w:rsid w:val="4AA51058"/>
    <w:rsid w:val="4AA553BB"/>
    <w:rsid w:val="4AC155CA"/>
    <w:rsid w:val="4AC92919"/>
    <w:rsid w:val="4ACB7F6A"/>
    <w:rsid w:val="4AD418B4"/>
    <w:rsid w:val="4AE0506D"/>
    <w:rsid w:val="4AE134CC"/>
    <w:rsid w:val="4AE47AE0"/>
    <w:rsid w:val="4AE5532E"/>
    <w:rsid w:val="4AF61787"/>
    <w:rsid w:val="4AF855A9"/>
    <w:rsid w:val="4B043050"/>
    <w:rsid w:val="4B0607E9"/>
    <w:rsid w:val="4B0B7813"/>
    <w:rsid w:val="4B0C6A35"/>
    <w:rsid w:val="4B132231"/>
    <w:rsid w:val="4B18354F"/>
    <w:rsid w:val="4B22723E"/>
    <w:rsid w:val="4B240165"/>
    <w:rsid w:val="4B297E16"/>
    <w:rsid w:val="4B2C0A7F"/>
    <w:rsid w:val="4B2D359C"/>
    <w:rsid w:val="4B3F7A62"/>
    <w:rsid w:val="4B46355D"/>
    <w:rsid w:val="4B54347A"/>
    <w:rsid w:val="4B546616"/>
    <w:rsid w:val="4B5B3FDB"/>
    <w:rsid w:val="4B6D0414"/>
    <w:rsid w:val="4B845185"/>
    <w:rsid w:val="4B875DCE"/>
    <w:rsid w:val="4B9551E9"/>
    <w:rsid w:val="4B9C4E5F"/>
    <w:rsid w:val="4BA20331"/>
    <w:rsid w:val="4BB358C4"/>
    <w:rsid w:val="4BBE2533"/>
    <w:rsid w:val="4BCA6644"/>
    <w:rsid w:val="4BE27960"/>
    <w:rsid w:val="4BE31374"/>
    <w:rsid w:val="4BE57B9C"/>
    <w:rsid w:val="4BF52682"/>
    <w:rsid w:val="4BF64A74"/>
    <w:rsid w:val="4C0058EE"/>
    <w:rsid w:val="4C055D83"/>
    <w:rsid w:val="4C0865EE"/>
    <w:rsid w:val="4C102A9C"/>
    <w:rsid w:val="4C130222"/>
    <w:rsid w:val="4C1F124A"/>
    <w:rsid w:val="4C2D0490"/>
    <w:rsid w:val="4C396470"/>
    <w:rsid w:val="4C474ECA"/>
    <w:rsid w:val="4C4920FB"/>
    <w:rsid w:val="4C5105EB"/>
    <w:rsid w:val="4C5F16BE"/>
    <w:rsid w:val="4C687EAA"/>
    <w:rsid w:val="4C7174C3"/>
    <w:rsid w:val="4C8D6038"/>
    <w:rsid w:val="4C8F1F82"/>
    <w:rsid w:val="4C9E18FF"/>
    <w:rsid w:val="4CA06CDA"/>
    <w:rsid w:val="4CAA7073"/>
    <w:rsid w:val="4CAF3527"/>
    <w:rsid w:val="4CB12706"/>
    <w:rsid w:val="4CCA4F02"/>
    <w:rsid w:val="4CCE61BD"/>
    <w:rsid w:val="4CD45BD1"/>
    <w:rsid w:val="4CDE53D6"/>
    <w:rsid w:val="4CE12058"/>
    <w:rsid w:val="4CE34EDD"/>
    <w:rsid w:val="4CE365FF"/>
    <w:rsid w:val="4CE953B9"/>
    <w:rsid w:val="4CEB55EC"/>
    <w:rsid w:val="4CF35D63"/>
    <w:rsid w:val="4D1819F9"/>
    <w:rsid w:val="4D214D24"/>
    <w:rsid w:val="4D370486"/>
    <w:rsid w:val="4D3D68B9"/>
    <w:rsid w:val="4D514848"/>
    <w:rsid w:val="4D5B2CC7"/>
    <w:rsid w:val="4D5C4CB1"/>
    <w:rsid w:val="4D5E7AE3"/>
    <w:rsid w:val="4D692318"/>
    <w:rsid w:val="4D6D179E"/>
    <w:rsid w:val="4D743731"/>
    <w:rsid w:val="4D7E1FFA"/>
    <w:rsid w:val="4D7E489E"/>
    <w:rsid w:val="4D8735E0"/>
    <w:rsid w:val="4D8B2E60"/>
    <w:rsid w:val="4D8E7744"/>
    <w:rsid w:val="4DA06D40"/>
    <w:rsid w:val="4DA12970"/>
    <w:rsid w:val="4DA45D14"/>
    <w:rsid w:val="4DA64724"/>
    <w:rsid w:val="4DAA1DCB"/>
    <w:rsid w:val="4DAF35EC"/>
    <w:rsid w:val="4DB81DEF"/>
    <w:rsid w:val="4DBB7454"/>
    <w:rsid w:val="4DC70F5F"/>
    <w:rsid w:val="4DC961A3"/>
    <w:rsid w:val="4DD7299D"/>
    <w:rsid w:val="4DD93BA0"/>
    <w:rsid w:val="4DE65F87"/>
    <w:rsid w:val="4DF158D4"/>
    <w:rsid w:val="4E01534F"/>
    <w:rsid w:val="4E0A0262"/>
    <w:rsid w:val="4E1230C4"/>
    <w:rsid w:val="4E144E39"/>
    <w:rsid w:val="4E160E27"/>
    <w:rsid w:val="4E1E5B3F"/>
    <w:rsid w:val="4E1F21DD"/>
    <w:rsid w:val="4E295FC3"/>
    <w:rsid w:val="4E331578"/>
    <w:rsid w:val="4E3A71DA"/>
    <w:rsid w:val="4E3C487D"/>
    <w:rsid w:val="4E536126"/>
    <w:rsid w:val="4E547076"/>
    <w:rsid w:val="4E55421D"/>
    <w:rsid w:val="4E564268"/>
    <w:rsid w:val="4E564A28"/>
    <w:rsid w:val="4E5D3851"/>
    <w:rsid w:val="4E615901"/>
    <w:rsid w:val="4E6D1C6D"/>
    <w:rsid w:val="4E7238CB"/>
    <w:rsid w:val="4E7479F6"/>
    <w:rsid w:val="4E7A7948"/>
    <w:rsid w:val="4E7E5188"/>
    <w:rsid w:val="4E851CB8"/>
    <w:rsid w:val="4E99491C"/>
    <w:rsid w:val="4EA920C9"/>
    <w:rsid w:val="4EAB2C30"/>
    <w:rsid w:val="4EAC00DD"/>
    <w:rsid w:val="4EAC6CE6"/>
    <w:rsid w:val="4EB757DB"/>
    <w:rsid w:val="4EBA59E2"/>
    <w:rsid w:val="4EC60C01"/>
    <w:rsid w:val="4EC62B7E"/>
    <w:rsid w:val="4EC83BFC"/>
    <w:rsid w:val="4EF26A27"/>
    <w:rsid w:val="4EFA6F12"/>
    <w:rsid w:val="4EFF3ED6"/>
    <w:rsid w:val="4F130AF5"/>
    <w:rsid w:val="4F17684D"/>
    <w:rsid w:val="4F1F00B3"/>
    <w:rsid w:val="4F3B2E7E"/>
    <w:rsid w:val="4F402A3F"/>
    <w:rsid w:val="4F4063D6"/>
    <w:rsid w:val="4F5F769F"/>
    <w:rsid w:val="4F663673"/>
    <w:rsid w:val="4F7130B5"/>
    <w:rsid w:val="4F7A7FC5"/>
    <w:rsid w:val="4F7F4D34"/>
    <w:rsid w:val="4F8F322D"/>
    <w:rsid w:val="4F9D41A2"/>
    <w:rsid w:val="4FA666E6"/>
    <w:rsid w:val="4FAD601D"/>
    <w:rsid w:val="4FB13EBE"/>
    <w:rsid w:val="4FC33800"/>
    <w:rsid w:val="4FC80C0C"/>
    <w:rsid w:val="4FDA63EA"/>
    <w:rsid w:val="4FEC5FA9"/>
    <w:rsid w:val="4FF0075C"/>
    <w:rsid w:val="4FF0609A"/>
    <w:rsid w:val="4FF1762C"/>
    <w:rsid w:val="4FF55B52"/>
    <w:rsid w:val="4FF70325"/>
    <w:rsid w:val="50033ECB"/>
    <w:rsid w:val="500F2D45"/>
    <w:rsid w:val="50231AA3"/>
    <w:rsid w:val="502D6C1A"/>
    <w:rsid w:val="50317B50"/>
    <w:rsid w:val="5039519D"/>
    <w:rsid w:val="503B5FBC"/>
    <w:rsid w:val="50457A9E"/>
    <w:rsid w:val="50601744"/>
    <w:rsid w:val="507828A8"/>
    <w:rsid w:val="50894334"/>
    <w:rsid w:val="508B34B0"/>
    <w:rsid w:val="50980CCD"/>
    <w:rsid w:val="509918B7"/>
    <w:rsid w:val="50A4481F"/>
    <w:rsid w:val="50A667D3"/>
    <w:rsid w:val="50AC1AFA"/>
    <w:rsid w:val="50AC7149"/>
    <w:rsid w:val="50B37ED5"/>
    <w:rsid w:val="50B872E4"/>
    <w:rsid w:val="50BE3AA6"/>
    <w:rsid w:val="50BF10D0"/>
    <w:rsid w:val="50D41212"/>
    <w:rsid w:val="50E27B5A"/>
    <w:rsid w:val="50EA1EE8"/>
    <w:rsid w:val="50EE2F1D"/>
    <w:rsid w:val="50F45F39"/>
    <w:rsid w:val="50F635BD"/>
    <w:rsid w:val="51021B0E"/>
    <w:rsid w:val="51027E56"/>
    <w:rsid w:val="51114E6E"/>
    <w:rsid w:val="511B725C"/>
    <w:rsid w:val="512148C6"/>
    <w:rsid w:val="5126751B"/>
    <w:rsid w:val="512A7704"/>
    <w:rsid w:val="513D5174"/>
    <w:rsid w:val="514412C7"/>
    <w:rsid w:val="514558A6"/>
    <w:rsid w:val="5152387D"/>
    <w:rsid w:val="516F7C09"/>
    <w:rsid w:val="51733E84"/>
    <w:rsid w:val="51834002"/>
    <w:rsid w:val="5183593F"/>
    <w:rsid w:val="519C77D6"/>
    <w:rsid w:val="51BD7D02"/>
    <w:rsid w:val="51BE627E"/>
    <w:rsid w:val="51C327E6"/>
    <w:rsid w:val="51CE1579"/>
    <w:rsid w:val="51D03EC6"/>
    <w:rsid w:val="51D71DEE"/>
    <w:rsid w:val="51DD1601"/>
    <w:rsid w:val="51E62521"/>
    <w:rsid w:val="51E71C28"/>
    <w:rsid w:val="51F274B9"/>
    <w:rsid w:val="51F44914"/>
    <w:rsid w:val="520D1BAD"/>
    <w:rsid w:val="52253E7B"/>
    <w:rsid w:val="522C2D09"/>
    <w:rsid w:val="523E1C46"/>
    <w:rsid w:val="52401D8C"/>
    <w:rsid w:val="524F1023"/>
    <w:rsid w:val="5258216D"/>
    <w:rsid w:val="526A7120"/>
    <w:rsid w:val="526C0292"/>
    <w:rsid w:val="52771CD8"/>
    <w:rsid w:val="527E2F2B"/>
    <w:rsid w:val="5282170B"/>
    <w:rsid w:val="52895483"/>
    <w:rsid w:val="5293720A"/>
    <w:rsid w:val="52997881"/>
    <w:rsid w:val="52A232BE"/>
    <w:rsid w:val="52A35FB1"/>
    <w:rsid w:val="52A65C6D"/>
    <w:rsid w:val="52BA31D4"/>
    <w:rsid w:val="52BB45BD"/>
    <w:rsid w:val="52BC011E"/>
    <w:rsid w:val="52D645AE"/>
    <w:rsid w:val="52E01264"/>
    <w:rsid w:val="52EE6AE4"/>
    <w:rsid w:val="52F031CC"/>
    <w:rsid w:val="53054766"/>
    <w:rsid w:val="53071951"/>
    <w:rsid w:val="530C33F5"/>
    <w:rsid w:val="531256EC"/>
    <w:rsid w:val="531E2A0C"/>
    <w:rsid w:val="53214398"/>
    <w:rsid w:val="532829AE"/>
    <w:rsid w:val="532C61F6"/>
    <w:rsid w:val="533A14EF"/>
    <w:rsid w:val="533F0707"/>
    <w:rsid w:val="53447B97"/>
    <w:rsid w:val="53451CC7"/>
    <w:rsid w:val="53485512"/>
    <w:rsid w:val="535A716D"/>
    <w:rsid w:val="5364769E"/>
    <w:rsid w:val="53650163"/>
    <w:rsid w:val="537E789A"/>
    <w:rsid w:val="53890AB7"/>
    <w:rsid w:val="53934B40"/>
    <w:rsid w:val="53A8452C"/>
    <w:rsid w:val="53AB2911"/>
    <w:rsid w:val="53B3467F"/>
    <w:rsid w:val="53B558A2"/>
    <w:rsid w:val="53BF52F0"/>
    <w:rsid w:val="53C648CA"/>
    <w:rsid w:val="53CE666C"/>
    <w:rsid w:val="53D6233D"/>
    <w:rsid w:val="54033973"/>
    <w:rsid w:val="54192F38"/>
    <w:rsid w:val="541E7A8A"/>
    <w:rsid w:val="54217C0A"/>
    <w:rsid w:val="54225744"/>
    <w:rsid w:val="544E2FF9"/>
    <w:rsid w:val="545A5D98"/>
    <w:rsid w:val="546015DD"/>
    <w:rsid w:val="546865F2"/>
    <w:rsid w:val="546F396E"/>
    <w:rsid w:val="54771930"/>
    <w:rsid w:val="547A7B5D"/>
    <w:rsid w:val="547E77A8"/>
    <w:rsid w:val="54845A45"/>
    <w:rsid w:val="54845ED4"/>
    <w:rsid w:val="549A63DC"/>
    <w:rsid w:val="549F138E"/>
    <w:rsid w:val="54A07DB4"/>
    <w:rsid w:val="54AD681F"/>
    <w:rsid w:val="54B1017D"/>
    <w:rsid w:val="54C4462A"/>
    <w:rsid w:val="54CA128B"/>
    <w:rsid w:val="54DD3175"/>
    <w:rsid w:val="54E046B7"/>
    <w:rsid w:val="54E30B81"/>
    <w:rsid w:val="54E46FD3"/>
    <w:rsid w:val="54FA587E"/>
    <w:rsid w:val="54FC4B50"/>
    <w:rsid w:val="54FE62BE"/>
    <w:rsid w:val="55081178"/>
    <w:rsid w:val="550C2209"/>
    <w:rsid w:val="55254EC0"/>
    <w:rsid w:val="552E0F3D"/>
    <w:rsid w:val="55355DC5"/>
    <w:rsid w:val="553D5553"/>
    <w:rsid w:val="554D6C95"/>
    <w:rsid w:val="557437CC"/>
    <w:rsid w:val="55801B11"/>
    <w:rsid w:val="55827980"/>
    <w:rsid w:val="559111AD"/>
    <w:rsid w:val="559D3928"/>
    <w:rsid w:val="55A8175D"/>
    <w:rsid w:val="55AD2660"/>
    <w:rsid w:val="55B03537"/>
    <w:rsid w:val="55CC338F"/>
    <w:rsid w:val="55CF4820"/>
    <w:rsid w:val="55D34FB5"/>
    <w:rsid w:val="55DB798F"/>
    <w:rsid w:val="55EC398C"/>
    <w:rsid w:val="55ED64F1"/>
    <w:rsid w:val="56133F53"/>
    <w:rsid w:val="5624349E"/>
    <w:rsid w:val="562F49C0"/>
    <w:rsid w:val="56370901"/>
    <w:rsid w:val="56385A7B"/>
    <w:rsid w:val="563F6255"/>
    <w:rsid w:val="56495E59"/>
    <w:rsid w:val="564966D0"/>
    <w:rsid w:val="564B4550"/>
    <w:rsid w:val="56592C5A"/>
    <w:rsid w:val="56670959"/>
    <w:rsid w:val="5677228F"/>
    <w:rsid w:val="56832172"/>
    <w:rsid w:val="568C4FD7"/>
    <w:rsid w:val="56A15B98"/>
    <w:rsid w:val="56A44AB6"/>
    <w:rsid w:val="56AB22C4"/>
    <w:rsid w:val="56B13AAC"/>
    <w:rsid w:val="56BC3F2A"/>
    <w:rsid w:val="56C14B2C"/>
    <w:rsid w:val="56C33E56"/>
    <w:rsid w:val="56E139D1"/>
    <w:rsid w:val="56E242B6"/>
    <w:rsid w:val="56E65AD8"/>
    <w:rsid w:val="56E967F4"/>
    <w:rsid w:val="56F32617"/>
    <w:rsid w:val="56F4591F"/>
    <w:rsid w:val="56F567E9"/>
    <w:rsid w:val="56F84C94"/>
    <w:rsid w:val="56FB5669"/>
    <w:rsid w:val="57000B49"/>
    <w:rsid w:val="57186F6D"/>
    <w:rsid w:val="571C12F4"/>
    <w:rsid w:val="5726160E"/>
    <w:rsid w:val="5733412E"/>
    <w:rsid w:val="57347DD9"/>
    <w:rsid w:val="573A3FA1"/>
    <w:rsid w:val="57400E05"/>
    <w:rsid w:val="57622ABA"/>
    <w:rsid w:val="57676A8C"/>
    <w:rsid w:val="57710630"/>
    <w:rsid w:val="57717DC3"/>
    <w:rsid w:val="57793047"/>
    <w:rsid w:val="579F569F"/>
    <w:rsid w:val="57A01D91"/>
    <w:rsid w:val="57A268C8"/>
    <w:rsid w:val="57AC628F"/>
    <w:rsid w:val="57B303E4"/>
    <w:rsid w:val="57B318F2"/>
    <w:rsid w:val="57C212D5"/>
    <w:rsid w:val="57C4251E"/>
    <w:rsid w:val="57C83CA1"/>
    <w:rsid w:val="57CC0E7E"/>
    <w:rsid w:val="57CE1325"/>
    <w:rsid w:val="57E86FA8"/>
    <w:rsid w:val="57EF4F11"/>
    <w:rsid w:val="57FA4C3A"/>
    <w:rsid w:val="57FB9F08"/>
    <w:rsid w:val="580654E7"/>
    <w:rsid w:val="58132B4F"/>
    <w:rsid w:val="58190FF1"/>
    <w:rsid w:val="5819399F"/>
    <w:rsid w:val="582E203B"/>
    <w:rsid w:val="58307086"/>
    <w:rsid w:val="58384657"/>
    <w:rsid w:val="58465E83"/>
    <w:rsid w:val="586835C3"/>
    <w:rsid w:val="58697661"/>
    <w:rsid w:val="587178ED"/>
    <w:rsid w:val="58823DBF"/>
    <w:rsid w:val="588972B9"/>
    <w:rsid w:val="588B508B"/>
    <w:rsid w:val="589D51F2"/>
    <w:rsid w:val="58AB190D"/>
    <w:rsid w:val="58B76FB6"/>
    <w:rsid w:val="58B91CB0"/>
    <w:rsid w:val="58B94D9E"/>
    <w:rsid w:val="58C02066"/>
    <w:rsid w:val="58CA3C6B"/>
    <w:rsid w:val="58D77397"/>
    <w:rsid w:val="58E555E7"/>
    <w:rsid w:val="58E92600"/>
    <w:rsid w:val="58F411B9"/>
    <w:rsid w:val="58FA790B"/>
    <w:rsid w:val="59032404"/>
    <w:rsid w:val="590F5749"/>
    <w:rsid w:val="5927244E"/>
    <w:rsid w:val="593D2908"/>
    <w:rsid w:val="594B499D"/>
    <w:rsid w:val="594E3E49"/>
    <w:rsid w:val="59550BBB"/>
    <w:rsid w:val="596A3EAF"/>
    <w:rsid w:val="596E716F"/>
    <w:rsid w:val="596F45EB"/>
    <w:rsid w:val="5979613B"/>
    <w:rsid w:val="597972A8"/>
    <w:rsid w:val="597A1445"/>
    <w:rsid w:val="597E4684"/>
    <w:rsid w:val="59861060"/>
    <w:rsid w:val="59900138"/>
    <w:rsid w:val="59925CDD"/>
    <w:rsid w:val="599C4415"/>
    <w:rsid w:val="59A524B4"/>
    <w:rsid w:val="59B01469"/>
    <w:rsid w:val="59B10699"/>
    <w:rsid w:val="59B41C98"/>
    <w:rsid w:val="59B92F6D"/>
    <w:rsid w:val="59BA069A"/>
    <w:rsid w:val="59D2687A"/>
    <w:rsid w:val="59DC7744"/>
    <w:rsid w:val="5A0D6DEC"/>
    <w:rsid w:val="5A14438F"/>
    <w:rsid w:val="5A1C2631"/>
    <w:rsid w:val="5A2721FC"/>
    <w:rsid w:val="5A283277"/>
    <w:rsid w:val="5A39501D"/>
    <w:rsid w:val="5A3D423B"/>
    <w:rsid w:val="5A444A30"/>
    <w:rsid w:val="5A5C49F1"/>
    <w:rsid w:val="5A6310A4"/>
    <w:rsid w:val="5A77546B"/>
    <w:rsid w:val="5A783DA4"/>
    <w:rsid w:val="5A7F65C9"/>
    <w:rsid w:val="5A82165D"/>
    <w:rsid w:val="5A852DFD"/>
    <w:rsid w:val="5A967862"/>
    <w:rsid w:val="5AA262CE"/>
    <w:rsid w:val="5AB776DD"/>
    <w:rsid w:val="5ABA3781"/>
    <w:rsid w:val="5AC416BC"/>
    <w:rsid w:val="5ACC634B"/>
    <w:rsid w:val="5ADA16AC"/>
    <w:rsid w:val="5AE64397"/>
    <w:rsid w:val="5AED4B8C"/>
    <w:rsid w:val="5AF61243"/>
    <w:rsid w:val="5B0335BE"/>
    <w:rsid w:val="5B042E49"/>
    <w:rsid w:val="5B0A0089"/>
    <w:rsid w:val="5B0A69D5"/>
    <w:rsid w:val="5B104B98"/>
    <w:rsid w:val="5B1B73FE"/>
    <w:rsid w:val="5B204353"/>
    <w:rsid w:val="5B283A09"/>
    <w:rsid w:val="5B3A7C5A"/>
    <w:rsid w:val="5B400B7A"/>
    <w:rsid w:val="5B4A6C31"/>
    <w:rsid w:val="5B581703"/>
    <w:rsid w:val="5B5D5F0E"/>
    <w:rsid w:val="5B6E67C7"/>
    <w:rsid w:val="5B706D00"/>
    <w:rsid w:val="5B7A5F92"/>
    <w:rsid w:val="5B7D049D"/>
    <w:rsid w:val="5B7F0EFF"/>
    <w:rsid w:val="5B8148C4"/>
    <w:rsid w:val="5B9D66C1"/>
    <w:rsid w:val="5BA552EA"/>
    <w:rsid w:val="5BB40070"/>
    <w:rsid w:val="5BC2447D"/>
    <w:rsid w:val="5BC46EC3"/>
    <w:rsid w:val="5BC64CE6"/>
    <w:rsid w:val="5BC85417"/>
    <w:rsid w:val="5BCA3D92"/>
    <w:rsid w:val="5BD50FCB"/>
    <w:rsid w:val="5BED50BB"/>
    <w:rsid w:val="5C092EEE"/>
    <w:rsid w:val="5C122BF8"/>
    <w:rsid w:val="5C152E75"/>
    <w:rsid w:val="5C163264"/>
    <w:rsid w:val="5C250652"/>
    <w:rsid w:val="5C311436"/>
    <w:rsid w:val="5C351D79"/>
    <w:rsid w:val="5C3F7E3E"/>
    <w:rsid w:val="5C4E6C58"/>
    <w:rsid w:val="5C5A2200"/>
    <w:rsid w:val="5C5C45BC"/>
    <w:rsid w:val="5C6B55A0"/>
    <w:rsid w:val="5C703EE3"/>
    <w:rsid w:val="5C9002AB"/>
    <w:rsid w:val="5CA157BD"/>
    <w:rsid w:val="5CB53B51"/>
    <w:rsid w:val="5CB572B3"/>
    <w:rsid w:val="5CB673B8"/>
    <w:rsid w:val="5CC9594C"/>
    <w:rsid w:val="5CD42FE6"/>
    <w:rsid w:val="5CD46626"/>
    <w:rsid w:val="5CDE5095"/>
    <w:rsid w:val="5D017978"/>
    <w:rsid w:val="5D0A72F8"/>
    <w:rsid w:val="5D112F8F"/>
    <w:rsid w:val="5D1D7266"/>
    <w:rsid w:val="5D2841B8"/>
    <w:rsid w:val="5D2B42F6"/>
    <w:rsid w:val="5D372062"/>
    <w:rsid w:val="5D3E3B5D"/>
    <w:rsid w:val="5D482238"/>
    <w:rsid w:val="5D57321B"/>
    <w:rsid w:val="5D69406E"/>
    <w:rsid w:val="5D8A07FE"/>
    <w:rsid w:val="5D8D52D6"/>
    <w:rsid w:val="5D965E08"/>
    <w:rsid w:val="5DDA07C0"/>
    <w:rsid w:val="5DE53207"/>
    <w:rsid w:val="5DEF2054"/>
    <w:rsid w:val="5DF43A1D"/>
    <w:rsid w:val="5DF976B2"/>
    <w:rsid w:val="5E051C1C"/>
    <w:rsid w:val="5E2E09CB"/>
    <w:rsid w:val="5E2E1F7E"/>
    <w:rsid w:val="5E3A7C37"/>
    <w:rsid w:val="5E423561"/>
    <w:rsid w:val="5E442D1E"/>
    <w:rsid w:val="5E4469EE"/>
    <w:rsid w:val="5E455F5E"/>
    <w:rsid w:val="5E46728A"/>
    <w:rsid w:val="5E4A657F"/>
    <w:rsid w:val="5E500E26"/>
    <w:rsid w:val="5E535A7A"/>
    <w:rsid w:val="5E5814B3"/>
    <w:rsid w:val="5E697CDD"/>
    <w:rsid w:val="5E8D6830"/>
    <w:rsid w:val="5E8D7005"/>
    <w:rsid w:val="5E9C17B2"/>
    <w:rsid w:val="5E9D4418"/>
    <w:rsid w:val="5EA666AD"/>
    <w:rsid w:val="5EAE2A24"/>
    <w:rsid w:val="5EC67C69"/>
    <w:rsid w:val="5EC816A7"/>
    <w:rsid w:val="5EEC1946"/>
    <w:rsid w:val="5EF46521"/>
    <w:rsid w:val="5EF814C4"/>
    <w:rsid w:val="5F047920"/>
    <w:rsid w:val="5F0D0127"/>
    <w:rsid w:val="5F110CE4"/>
    <w:rsid w:val="5F237A88"/>
    <w:rsid w:val="5F286847"/>
    <w:rsid w:val="5F2F3EB1"/>
    <w:rsid w:val="5F302956"/>
    <w:rsid w:val="5F303E0E"/>
    <w:rsid w:val="5F351EE6"/>
    <w:rsid w:val="5F376DAA"/>
    <w:rsid w:val="5F4B2CA9"/>
    <w:rsid w:val="5F555427"/>
    <w:rsid w:val="5F563A4D"/>
    <w:rsid w:val="5F605C90"/>
    <w:rsid w:val="5F643616"/>
    <w:rsid w:val="5F745763"/>
    <w:rsid w:val="5F827362"/>
    <w:rsid w:val="5F842D1A"/>
    <w:rsid w:val="5FA47144"/>
    <w:rsid w:val="5FA5656C"/>
    <w:rsid w:val="5FA8308D"/>
    <w:rsid w:val="5FB05E1B"/>
    <w:rsid w:val="5FBA6F64"/>
    <w:rsid w:val="5FBB1AAF"/>
    <w:rsid w:val="5FC12F22"/>
    <w:rsid w:val="5FC41A6F"/>
    <w:rsid w:val="5FC60BC1"/>
    <w:rsid w:val="5FC90004"/>
    <w:rsid w:val="5FD83BA0"/>
    <w:rsid w:val="5FDE7631"/>
    <w:rsid w:val="5FDF13F2"/>
    <w:rsid w:val="5FF35E9A"/>
    <w:rsid w:val="60172A92"/>
    <w:rsid w:val="60227D21"/>
    <w:rsid w:val="602A291E"/>
    <w:rsid w:val="60493266"/>
    <w:rsid w:val="6049518D"/>
    <w:rsid w:val="60555C19"/>
    <w:rsid w:val="60595E67"/>
    <w:rsid w:val="605B6751"/>
    <w:rsid w:val="6064577F"/>
    <w:rsid w:val="60671478"/>
    <w:rsid w:val="60702073"/>
    <w:rsid w:val="60731738"/>
    <w:rsid w:val="60733A45"/>
    <w:rsid w:val="607C14FC"/>
    <w:rsid w:val="608512C5"/>
    <w:rsid w:val="6096296F"/>
    <w:rsid w:val="60B63743"/>
    <w:rsid w:val="60BC6D26"/>
    <w:rsid w:val="60D434BB"/>
    <w:rsid w:val="60FE0790"/>
    <w:rsid w:val="6116228C"/>
    <w:rsid w:val="61191B3C"/>
    <w:rsid w:val="61294860"/>
    <w:rsid w:val="612C52BF"/>
    <w:rsid w:val="613929ED"/>
    <w:rsid w:val="614D539A"/>
    <w:rsid w:val="6158636D"/>
    <w:rsid w:val="615A2970"/>
    <w:rsid w:val="61620A60"/>
    <w:rsid w:val="61665270"/>
    <w:rsid w:val="61805E56"/>
    <w:rsid w:val="61AD361F"/>
    <w:rsid w:val="61BF2A1A"/>
    <w:rsid w:val="61CA2F59"/>
    <w:rsid w:val="61CD60F7"/>
    <w:rsid w:val="61DB5DEF"/>
    <w:rsid w:val="61E7422C"/>
    <w:rsid w:val="61EA2E9F"/>
    <w:rsid w:val="61F51032"/>
    <w:rsid w:val="62032FFD"/>
    <w:rsid w:val="6223456A"/>
    <w:rsid w:val="62245B65"/>
    <w:rsid w:val="62304AFD"/>
    <w:rsid w:val="62362AB8"/>
    <w:rsid w:val="623663C3"/>
    <w:rsid w:val="62377ED2"/>
    <w:rsid w:val="624438F2"/>
    <w:rsid w:val="62475F27"/>
    <w:rsid w:val="62480425"/>
    <w:rsid w:val="62480BE2"/>
    <w:rsid w:val="62530673"/>
    <w:rsid w:val="62606873"/>
    <w:rsid w:val="626121B9"/>
    <w:rsid w:val="6265125D"/>
    <w:rsid w:val="626926BD"/>
    <w:rsid w:val="626A1661"/>
    <w:rsid w:val="626D24BF"/>
    <w:rsid w:val="62792710"/>
    <w:rsid w:val="627F3283"/>
    <w:rsid w:val="62842388"/>
    <w:rsid w:val="628D7885"/>
    <w:rsid w:val="62905FF2"/>
    <w:rsid w:val="62940955"/>
    <w:rsid w:val="629A4C0C"/>
    <w:rsid w:val="62A34CB1"/>
    <w:rsid w:val="62B57D04"/>
    <w:rsid w:val="62C13705"/>
    <w:rsid w:val="62C23C69"/>
    <w:rsid w:val="62CB747E"/>
    <w:rsid w:val="62D45B16"/>
    <w:rsid w:val="63176315"/>
    <w:rsid w:val="633D1F65"/>
    <w:rsid w:val="635475DC"/>
    <w:rsid w:val="63547DBA"/>
    <w:rsid w:val="63646CC9"/>
    <w:rsid w:val="636E0EF3"/>
    <w:rsid w:val="637C5C2F"/>
    <w:rsid w:val="637C6585"/>
    <w:rsid w:val="63B21308"/>
    <w:rsid w:val="63C139BB"/>
    <w:rsid w:val="63D17030"/>
    <w:rsid w:val="63E6351A"/>
    <w:rsid w:val="63EB2757"/>
    <w:rsid w:val="63F2717A"/>
    <w:rsid w:val="63F37742"/>
    <w:rsid w:val="63F46203"/>
    <w:rsid w:val="64064461"/>
    <w:rsid w:val="64066223"/>
    <w:rsid w:val="640D68AB"/>
    <w:rsid w:val="6411097F"/>
    <w:rsid w:val="64274DD3"/>
    <w:rsid w:val="642A2FD0"/>
    <w:rsid w:val="642F5A6D"/>
    <w:rsid w:val="643E1BDF"/>
    <w:rsid w:val="6440546D"/>
    <w:rsid w:val="64421276"/>
    <w:rsid w:val="6442187E"/>
    <w:rsid w:val="644457C1"/>
    <w:rsid w:val="644F21ED"/>
    <w:rsid w:val="645345FB"/>
    <w:rsid w:val="6456038C"/>
    <w:rsid w:val="64633B8B"/>
    <w:rsid w:val="647420E9"/>
    <w:rsid w:val="647E26B2"/>
    <w:rsid w:val="64821AC2"/>
    <w:rsid w:val="648807B9"/>
    <w:rsid w:val="648E09F5"/>
    <w:rsid w:val="64A11ACA"/>
    <w:rsid w:val="64A35717"/>
    <w:rsid w:val="64AD3841"/>
    <w:rsid w:val="64AE53C9"/>
    <w:rsid w:val="64C3743B"/>
    <w:rsid w:val="64CA0FCD"/>
    <w:rsid w:val="64CB52FD"/>
    <w:rsid w:val="64CF0341"/>
    <w:rsid w:val="64D07E19"/>
    <w:rsid w:val="64E447C8"/>
    <w:rsid w:val="64E503CC"/>
    <w:rsid w:val="64EB14BF"/>
    <w:rsid w:val="64ED195D"/>
    <w:rsid w:val="64F13349"/>
    <w:rsid w:val="65194423"/>
    <w:rsid w:val="65212FED"/>
    <w:rsid w:val="65287B49"/>
    <w:rsid w:val="652B351A"/>
    <w:rsid w:val="653C7D4B"/>
    <w:rsid w:val="653D5BCA"/>
    <w:rsid w:val="654B7ADB"/>
    <w:rsid w:val="65567D04"/>
    <w:rsid w:val="655F070F"/>
    <w:rsid w:val="65636005"/>
    <w:rsid w:val="656F6870"/>
    <w:rsid w:val="65773401"/>
    <w:rsid w:val="658C01EC"/>
    <w:rsid w:val="65912CA4"/>
    <w:rsid w:val="659448CB"/>
    <w:rsid w:val="65962DA2"/>
    <w:rsid w:val="65B335A5"/>
    <w:rsid w:val="65CC0905"/>
    <w:rsid w:val="65D50AE1"/>
    <w:rsid w:val="65DF23C8"/>
    <w:rsid w:val="65EA645E"/>
    <w:rsid w:val="65F329CC"/>
    <w:rsid w:val="65F97393"/>
    <w:rsid w:val="65FC1323"/>
    <w:rsid w:val="660E6181"/>
    <w:rsid w:val="66220153"/>
    <w:rsid w:val="663569FB"/>
    <w:rsid w:val="663608A3"/>
    <w:rsid w:val="663B03E1"/>
    <w:rsid w:val="66415BCD"/>
    <w:rsid w:val="664C6BEC"/>
    <w:rsid w:val="66551604"/>
    <w:rsid w:val="66591699"/>
    <w:rsid w:val="6660539C"/>
    <w:rsid w:val="667B4057"/>
    <w:rsid w:val="668D5CEA"/>
    <w:rsid w:val="669278F4"/>
    <w:rsid w:val="669D6A52"/>
    <w:rsid w:val="669E6B5A"/>
    <w:rsid w:val="66A26D15"/>
    <w:rsid w:val="66B51CF0"/>
    <w:rsid w:val="66BC1150"/>
    <w:rsid w:val="66BF0AF8"/>
    <w:rsid w:val="66CA22A3"/>
    <w:rsid w:val="66D81409"/>
    <w:rsid w:val="66DA0CE6"/>
    <w:rsid w:val="66E10866"/>
    <w:rsid w:val="66ED06BB"/>
    <w:rsid w:val="66EF1BAC"/>
    <w:rsid w:val="66F20D3A"/>
    <w:rsid w:val="66F260AF"/>
    <w:rsid w:val="66F806F4"/>
    <w:rsid w:val="670B2F14"/>
    <w:rsid w:val="6710069B"/>
    <w:rsid w:val="671853A3"/>
    <w:rsid w:val="672D2E73"/>
    <w:rsid w:val="672E40BB"/>
    <w:rsid w:val="674378C8"/>
    <w:rsid w:val="67564AE0"/>
    <w:rsid w:val="676B360F"/>
    <w:rsid w:val="676F44B1"/>
    <w:rsid w:val="6772572A"/>
    <w:rsid w:val="678118C7"/>
    <w:rsid w:val="6790665C"/>
    <w:rsid w:val="679C0528"/>
    <w:rsid w:val="67A41671"/>
    <w:rsid w:val="67AF7FDA"/>
    <w:rsid w:val="67B747E5"/>
    <w:rsid w:val="67B75ECB"/>
    <w:rsid w:val="67D30B54"/>
    <w:rsid w:val="67DD1751"/>
    <w:rsid w:val="67E17BB2"/>
    <w:rsid w:val="67F06198"/>
    <w:rsid w:val="67FE4072"/>
    <w:rsid w:val="68066A6A"/>
    <w:rsid w:val="682654E3"/>
    <w:rsid w:val="682846C6"/>
    <w:rsid w:val="682D7C45"/>
    <w:rsid w:val="68357373"/>
    <w:rsid w:val="6841379C"/>
    <w:rsid w:val="684B596F"/>
    <w:rsid w:val="68554EA1"/>
    <w:rsid w:val="68577508"/>
    <w:rsid w:val="685E3FD4"/>
    <w:rsid w:val="68676559"/>
    <w:rsid w:val="686C717B"/>
    <w:rsid w:val="686F5564"/>
    <w:rsid w:val="68756556"/>
    <w:rsid w:val="687F52C4"/>
    <w:rsid w:val="688542E0"/>
    <w:rsid w:val="688A1DEE"/>
    <w:rsid w:val="688C44B6"/>
    <w:rsid w:val="68932E21"/>
    <w:rsid w:val="68976EED"/>
    <w:rsid w:val="689D6C9B"/>
    <w:rsid w:val="68A92B34"/>
    <w:rsid w:val="68B207F0"/>
    <w:rsid w:val="68B37FF6"/>
    <w:rsid w:val="68BB65B0"/>
    <w:rsid w:val="68C90335"/>
    <w:rsid w:val="68D023BD"/>
    <w:rsid w:val="68DD4976"/>
    <w:rsid w:val="68E95455"/>
    <w:rsid w:val="68EB6282"/>
    <w:rsid w:val="68F339FD"/>
    <w:rsid w:val="68FD442D"/>
    <w:rsid w:val="690325F2"/>
    <w:rsid w:val="690444D8"/>
    <w:rsid w:val="69127CF0"/>
    <w:rsid w:val="69152E65"/>
    <w:rsid w:val="69237F2C"/>
    <w:rsid w:val="69292919"/>
    <w:rsid w:val="692C46DA"/>
    <w:rsid w:val="692E51FC"/>
    <w:rsid w:val="6934308B"/>
    <w:rsid w:val="693B2B40"/>
    <w:rsid w:val="6951227E"/>
    <w:rsid w:val="696348AA"/>
    <w:rsid w:val="697303A7"/>
    <w:rsid w:val="697C5B8C"/>
    <w:rsid w:val="697E56F7"/>
    <w:rsid w:val="698838DF"/>
    <w:rsid w:val="698F0FB5"/>
    <w:rsid w:val="699B52B3"/>
    <w:rsid w:val="699C15ED"/>
    <w:rsid w:val="69A82B44"/>
    <w:rsid w:val="69BB51B2"/>
    <w:rsid w:val="69CA229D"/>
    <w:rsid w:val="69CF0A6B"/>
    <w:rsid w:val="69D74767"/>
    <w:rsid w:val="69DF2E96"/>
    <w:rsid w:val="69E64B27"/>
    <w:rsid w:val="69ED7804"/>
    <w:rsid w:val="69F37BBC"/>
    <w:rsid w:val="69F44B02"/>
    <w:rsid w:val="69F568CB"/>
    <w:rsid w:val="69FC2319"/>
    <w:rsid w:val="69FF7533"/>
    <w:rsid w:val="6A12362B"/>
    <w:rsid w:val="6A1C0D3E"/>
    <w:rsid w:val="6A35443E"/>
    <w:rsid w:val="6A3B132D"/>
    <w:rsid w:val="6A4E5EA0"/>
    <w:rsid w:val="6A574E1E"/>
    <w:rsid w:val="6A5C703D"/>
    <w:rsid w:val="6A664C18"/>
    <w:rsid w:val="6A67058A"/>
    <w:rsid w:val="6A754707"/>
    <w:rsid w:val="6A8A4923"/>
    <w:rsid w:val="6A9768DF"/>
    <w:rsid w:val="6AA7195D"/>
    <w:rsid w:val="6AAA5ABD"/>
    <w:rsid w:val="6AB57943"/>
    <w:rsid w:val="6ADA3014"/>
    <w:rsid w:val="6ADC29CC"/>
    <w:rsid w:val="6AEA36A7"/>
    <w:rsid w:val="6AF1303A"/>
    <w:rsid w:val="6AF45FE1"/>
    <w:rsid w:val="6AF904D1"/>
    <w:rsid w:val="6B04013A"/>
    <w:rsid w:val="6B111887"/>
    <w:rsid w:val="6B2861CA"/>
    <w:rsid w:val="6B452654"/>
    <w:rsid w:val="6B483CC9"/>
    <w:rsid w:val="6B485EFA"/>
    <w:rsid w:val="6B531909"/>
    <w:rsid w:val="6B5457DD"/>
    <w:rsid w:val="6B564447"/>
    <w:rsid w:val="6B631ED7"/>
    <w:rsid w:val="6B6A1D32"/>
    <w:rsid w:val="6B8918A3"/>
    <w:rsid w:val="6B8D1D0C"/>
    <w:rsid w:val="6B8D5EC8"/>
    <w:rsid w:val="6B9556B6"/>
    <w:rsid w:val="6B961786"/>
    <w:rsid w:val="6B9D452B"/>
    <w:rsid w:val="6B9E0916"/>
    <w:rsid w:val="6BC506C9"/>
    <w:rsid w:val="6BCD18C8"/>
    <w:rsid w:val="6BD33887"/>
    <w:rsid w:val="6BDB3D53"/>
    <w:rsid w:val="6BEF3C0B"/>
    <w:rsid w:val="6BF051B8"/>
    <w:rsid w:val="6BF73222"/>
    <w:rsid w:val="6BF84C0E"/>
    <w:rsid w:val="6BFA6C91"/>
    <w:rsid w:val="6BFD4D76"/>
    <w:rsid w:val="6C2C21EE"/>
    <w:rsid w:val="6C2C7E3F"/>
    <w:rsid w:val="6C317DBA"/>
    <w:rsid w:val="6C3B12CD"/>
    <w:rsid w:val="6C3B632D"/>
    <w:rsid w:val="6C3C46E8"/>
    <w:rsid w:val="6C412AE4"/>
    <w:rsid w:val="6C746FB0"/>
    <w:rsid w:val="6C776B16"/>
    <w:rsid w:val="6C8C5FED"/>
    <w:rsid w:val="6C8F3205"/>
    <w:rsid w:val="6C9409CF"/>
    <w:rsid w:val="6C947576"/>
    <w:rsid w:val="6CA44FA0"/>
    <w:rsid w:val="6CB4730D"/>
    <w:rsid w:val="6CC20C54"/>
    <w:rsid w:val="6CCB1384"/>
    <w:rsid w:val="6CD77060"/>
    <w:rsid w:val="6CD94B61"/>
    <w:rsid w:val="6CE64F8C"/>
    <w:rsid w:val="6CF32CFF"/>
    <w:rsid w:val="6CF646F0"/>
    <w:rsid w:val="6CF92354"/>
    <w:rsid w:val="6D03293B"/>
    <w:rsid w:val="6D0F1F59"/>
    <w:rsid w:val="6D1E2241"/>
    <w:rsid w:val="6D2175E2"/>
    <w:rsid w:val="6D220218"/>
    <w:rsid w:val="6D291A74"/>
    <w:rsid w:val="6D293FE9"/>
    <w:rsid w:val="6D2C4CE7"/>
    <w:rsid w:val="6D2F3184"/>
    <w:rsid w:val="6D312DBA"/>
    <w:rsid w:val="6D315410"/>
    <w:rsid w:val="6D3E2E39"/>
    <w:rsid w:val="6D5E45B1"/>
    <w:rsid w:val="6D5F25F6"/>
    <w:rsid w:val="6D794A84"/>
    <w:rsid w:val="6D8075BA"/>
    <w:rsid w:val="6D825888"/>
    <w:rsid w:val="6D83288C"/>
    <w:rsid w:val="6D840201"/>
    <w:rsid w:val="6D890891"/>
    <w:rsid w:val="6D9B5BB0"/>
    <w:rsid w:val="6DA3444C"/>
    <w:rsid w:val="6DA43107"/>
    <w:rsid w:val="6DA83C77"/>
    <w:rsid w:val="6DAD18CB"/>
    <w:rsid w:val="6DB5664F"/>
    <w:rsid w:val="6DB86500"/>
    <w:rsid w:val="6DB9000D"/>
    <w:rsid w:val="6DBC61E9"/>
    <w:rsid w:val="6DE237BA"/>
    <w:rsid w:val="6DE65BB2"/>
    <w:rsid w:val="6E1D14DB"/>
    <w:rsid w:val="6E27158D"/>
    <w:rsid w:val="6E28696A"/>
    <w:rsid w:val="6E290865"/>
    <w:rsid w:val="6E2C35FE"/>
    <w:rsid w:val="6E2D6E99"/>
    <w:rsid w:val="6E2E3568"/>
    <w:rsid w:val="6E2E4104"/>
    <w:rsid w:val="6E2E57A5"/>
    <w:rsid w:val="6E2F442B"/>
    <w:rsid w:val="6E497AB5"/>
    <w:rsid w:val="6E5D3AC4"/>
    <w:rsid w:val="6E5E379B"/>
    <w:rsid w:val="6E623FCC"/>
    <w:rsid w:val="6E7230C1"/>
    <w:rsid w:val="6E7450FB"/>
    <w:rsid w:val="6E7539D1"/>
    <w:rsid w:val="6E786638"/>
    <w:rsid w:val="6E861D37"/>
    <w:rsid w:val="6E9A7FCA"/>
    <w:rsid w:val="6EA64D8A"/>
    <w:rsid w:val="6EB16283"/>
    <w:rsid w:val="6ECB6E52"/>
    <w:rsid w:val="6ECD6CC5"/>
    <w:rsid w:val="6ED167FF"/>
    <w:rsid w:val="6ED4790B"/>
    <w:rsid w:val="6EF2343D"/>
    <w:rsid w:val="6F0B6160"/>
    <w:rsid w:val="6F0D1E65"/>
    <w:rsid w:val="6F116DE4"/>
    <w:rsid w:val="6F133CCF"/>
    <w:rsid w:val="6F19534F"/>
    <w:rsid w:val="6F1A1315"/>
    <w:rsid w:val="6F2946F8"/>
    <w:rsid w:val="6F2C4461"/>
    <w:rsid w:val="6F364BE8"/>
    <w:rsid w:val="6F364D23"/>
    <w:rsid w:val="6F3F2BE5"/>
    <w:rsid w:val="6F412200"/>
    <w:rsid w:val="6F552874"/>
    <w:rsid w:val="6F666163"/>
    <w:rsid w:val="6F7A47CC"/>
    <w:rsid w:val="6F8D7129"/>
    <w:rsid w:val="6F8F6211"/>
    <w:rsid w:val="6FA32792"/>
    <w:rsid w:val="6FA33B25"/>
    <w:rsid w:val="6FA44FBB"/>
    <w:rsid w:val="6FA87BC8"/>
    <w:rsid w:val="6FAE69DB"/>
    <w:rsid w:val="6FB23B62"/>
    <w:rsid w:val="6FB90FCA"/>
    <w:rsid w:val="6FC0214B"/>
    <w:rsid w:val="6FCC4934"/>
    <w:rsid w:val="6FD92EDE"/>
    <w:rsid w:val="6FE547A3"/>
    <w:rsid w:val="6FEF10E1"/>
    <w:rsid w:val="6FF27A48"/>
    <w:rsid w:val="6FF91E13"/>
    <w:rsid w:val="700F0D93"/>
    <w:rsid w:val="70112876"/>
    <w:rsid w:val="70252958"/>
    <w:rsid w:val="70323D08"/>
    <w:rsid w:val="70327F37"/>
    <w:rsid w:val="7039164F"/>
    <w:rsid w:val="704002C6"/>
    <w:rsid w:val="7045556C"/>
    <w:rsid w:val="7051783F"/>
    <w:rsid w:val="705515B1"/>
    <w:rsid w:val="705A69FA"/>
    <w:rsid w:val="705B70C8"/>
    <w:rsid w:val="70717BDD"/>
    <w:rsid w:val="7079684C"/>
    <w:rsid w:val="70833F51"/>
    <w:rsid w:val="70A101AC"/>
    <w:rsid w:val="70A8421D"/>
    <w:rsid w:val="70A86CE5"/>
    <w:rsid w:val="70B0207B"/>
    <w:rsid w:val="70C53678"/>
    <w:rsid w:val="70CB66AE"/>
    <w:rsid w:val="70D0474E"/>
    <w:rsid w:val="70E837C1"/>
    <w:rsid w:val="70F86B0F"/>
    <w:rsid w:val="70FF5871"/>
    <w:rsid w:val="71032AD4"/>
    <w:rsid w:val="710F4B0A"/>
    <w:rsid w:val="711000AA"/>
    <w:rsid w:val="71155D40"/>
    <w:rsid w:val="711A4B29"/>
    <w:rsid w:val="711E44AD"/>
    <w:rsid w:val="712A764E"/>
    <w:rsid w:val="7133360F"/>
    <w:rsid w:val="713D2C3F"/>
    <w:rsid w:val="71426530"/>
    <w:rsid w:val="716430CB"/>
    <w:rsid w:val="71647177"/>
    <w:rsid w:val="71680A10"/>
    <w:rsid w:val="71695CB2"/>
    <w:rsid w:val="71725154"/>
    <w:rsid w:val="7174458C"/>
    <w:rsid w:val="718205D4"/>
    <w:rsid w:val="7182278E"/>
    <w:rsid w:val="718527AB"/>
    <w:rsid w:val="71992C99"/>
    <w:rsid w:val="71A72421"/>
    <w:rsid w:val="71A9786F"/>
    <w:rsid w:val="71AD0349"/>
    <w:rsid w:val="71B83718"/>
    <w:rsid w:val="71B85814"/>
    <w:rsid w:val="71BC2242"/>
    <w:rsid w:val="71BC5EC5"/>
    <w:rsid w:val="71BD1BE9"/>
    <w:rsid w:val="71BE54B7"/>
    <w:rsid w:val="71C0244A"/>
    <w:rsid w:val="71C922A8"/>
    <w:rsid w:val="71C9735C"/>
    <w:rsid w:val="71D40A6D"/>
    <w:rsid w:val="71E37EF9"/>
    <w:rsid w:val="71ED1149"/>
    <w:rsid w:val="71F54276"/>
    <w:rsid w:val="71F71439"/>
    <w:rsid w:val="71FF1E43"/>
    <w:rsid w:val="7210224B"/>
    <w:rsid w:val="722D7690"/>
    <w:rsid w:val="72425CF0"/>
    <w:rsid w:val="724C7965"/>
    <w:rsid w:val="724D0295"/>
    <w:rsid w:val="72501450"/>
    <w:rsid w:val="725C6BDF"/>
    <w:rsid w:val="72735D13"/>
    <w:rsid w:val="728607E4"/>
    <w:rsid w:val="728C14DC"/>
    <w:rsid w:val="728C255D"/>
    <w:rsid w:val="72951675"/>
    <w:rsid w:val="72A262BB"/>
    <w:rsid w:val="72A2630F"/>
    <w:rsid w:val="72A32196"/>
    <w:rsid w:val="72C62374"/>
    <w:rsid w:val="72E30CF0"/>
    <w:rsid w:val="72FD2377"/>
    <w:rsid w:val="730607B8"/>
    <w:rsid w:val="73177BB7"/>
    <w:rsid w:val="731D5FD6"/>
    <w:rsid w:val="732D6B5F"/>
    <w:rsid w:val="732E55CD"/>
    <w:rsid w:val="73397E68"/>
    <w:rsid w:val="734218F9"/>
    <w:rsid w:val="73651C11"/>
    <w:rsid w:val="73705B31"/>
    <w:rsid w:val="73871901"/>
    <w:rsid w:val="738A1F3E"/>
    <w:rsid w:val="738C37DE"/>
    <w:rsid w:val="738F2609"/>
    <w:rsid w:val="73922EFB"/>
    <w:rsid w:val="73AE1852"/>
    <w:rsid w:val="73AE77C1"/>
    <w:rsid w:val="73C33B3E"/>
    <w:rsid w:val="73C36C94"/>
    <w:rsid w:val="73CC47DB"/>
    <w:rsid w:val="73D93E1E"/>
    <w:rsid w:val="73E74EC6"/>
    <w:rsid w:val="73F90924"/>
    <w:rsid w:val="73FD0AD4"/>
    <w:rsid w:val="73FF61D9"/>
    <w:rsid w:val="740157D6"/>
    <w:rsid w:val="7409735D"/>
    <w:rsid w:val="74244B12"/>
    <w:rsid w:val="742E6C99"/>
    <w:rsid w:val="74307531"/>
    <w:rsid w:val="7439182A"/>
    <w:rsid w:val="74425E2D"/>
    <w:rsid w:val="744D39B6"/>
    <w:rsid w:val="7452616E"/>
    <w:rsid w:val="74537660"/>
    <w:rsid w:val="746548D0"/>
    <w:rsid w:val="746F41FB"/>
    <w:rsid w:val="748F2C35"/>
    <w:rsid w:val="74950518"/>
    <w:rsid w:val="749E5665"/>
    <w:rsid w:val="74A2621B"/>
    <w:rsid w:val="74A62769"/>
    <w:rsid w:val="74B66C3F"/>
    <w:rsid w:val="74BF268F"/>
    <w:rsid w:val="74C95904"/>
    <w:rsid w:val="74D30662"/>
    <w:rsid w:val="74DA0233"/>
    <w:rsid w:val="74DB20A6"/>
    <w:rsid w:val="74E07849"/>
    <w:rsid w:val="74E34277"/>
    <w:rsid w:val="74ED0854"/>
    <w:rsid w:val="74F70BDE"/>
    <w:rsid w:val="74F74E7A"/>
    <w:rsid w:val="75042C73"/>
    <w:rsid w:val="750876B5"/>
    <w:rsid w:val="75142FDB"/>
    <w:rsid w:val="75201B7E"/>
    <w:rsid w:val="7522356B"/>
    <w:rsid w:val="75285356"/>
    <w:rsid w:val="7529044E"/>
    <w:rsid w:val="752A3FCB"/>
    <w:rsid w:val="75443B85"/>
    <w:rsid w:val="754608E5"/>
    <w:rsid w:val="75563FDF"/>
    <w:rsid w:val="75A47877"/>
    <w:rsid w:val="75A60E5C"/>
    <w:rsid w:val="75AD36E1"/>
    <w:rsid w:val="75B05241"/>
    <w:rsid w:val="75B206A7"/>
    <w:rsid w:val="75BD7720"/>
    <w:rsid w:val="75D04A5E"/>
    <w:rsid w:val="75D53109"/>
    <w:rsid w:val="75E34E1A"/>
    <w:rsid w:val="75E72A13"/>
    <w:rsid w:val="75EF4E36"/>
    <w:rsid w:val="75F86515"/>
    <w:rsid w:val="760C78DD"/>
    <w:rsid w:val="7621637A"/>
    <w:rsid w:val="7633291A"/>
    <w:rsid w:val="763942D8"/>
    <w:rsid w:val="763D2DD2"/>
    <w:rsid w:val="76413997"/>
    <w:rsid w:val="765A314E"/>
    <w:rsid w:val="76621108"/>
    <w:rsid w:val="76647F37"/>
    <w:rsid w:val="766952F5"/>
    <w:rsid w:val="766A2CE4"/>
    <w:rsid w:val="7671673A"/>
    <w:rsid w:val="7683787E"/>
    <w:rsid w:val="768430AE"/>
    <w:rsid w:val="769049C2"/>
    <w:rsid w:val="76971B55"/>
    <w:rsid w:val="76A036C6"/>
    <w:rsid w:val="76AD08AF"/>
    <w:rsid w:val="76AD20D2"/>
    <w:rsid w:val="76AE66D6"/>
    <w:rsid w:val="76BF700D"/>
    <w:rsid w:val="76CC690F"/>
    <w:rsid w:val="76E77F57"/>
    <w:rsid w:val="76EF5340"/>
    <w:rsid w:val="76FB36D4"/>
    <w:rsid w:val="77030CB3"/>
    <w:rsid w:val="77120E42"/>
    <w:rsid w:val="77147A86"/>
    <w:rsid w:val="771A54B0"/>
    <w:rsid w:val="771B5361"/>
    <w:rsid w:val="77246B96"/>
    <w:rsid w:val="773227EB"/>
    <w:rsid w:val="773F32F5"/>
    <w:rsid w:val="774341AD"/>
    <w:rsid w:val="77591709"/>
    <w:rsid w:val="77667CDA"/>
    <w:rsid w:val="77737E6D"/>
    <w:rsid w:val="778066EC"/>
    <w:rsid w:val="778220C4"/>
    <w:rsid w:val="7797383D"/>
    <w:rsid w:val="77977C88"/>
    <w:rsid w:val="779E1C5F"/>
    <w:rsid w:val="77A957D3"/>
    <w:rsid w:val="77A97A51"/>
    <w:rsid w:val="77AE29A1"/>
    <w:rsid w:val="77C01575"/>
    <w:rsid w:val="77D30E3C"/>
    <w:rsid w:val="77E04E67"/>
    <w:rsid w:val="77EB7586"/>
    <w:rsid w:val="77FA2C10"/>
    <w:rsid w:val="77FD6148"/>
    <w:rsid w:val="78173858"/>
    <w:rsid w:val="781D5DBF"/>
    <w:rsid w:val="7823681C"/>
    <w:rsid w:val="782E6B25"/>
    <w:rsid w:val="78353ABC"/>
    <w:rsid w:val="78423247"/>
    <w:rsid w:val="78445A77"/>
    <w:rsid w:val="78596A85"/>
    <w:rsid w:val="786940DB"/>
    <w:rsid w:val="786C2082"/>
    <w:rsid w:val="7875315F"/>
    <w:rsid w:val="7881070E"/>
    <w:rsid w:val="788A5A95"/>
    <w:rsid w:val="78922A9A"/>
    <w:rsid w:val="78A60A42"/>
    <w:rsid w:val="78B8066B"/>
    <w:rsid w:val="78BE4470"/>
    <w:rsid w:val="78C65F17"/>
    <w:rsid w:val="78D17B75"/>
    <w:rsid w:val="78DB6993"/>
    <w:rsid w:val="78E2152A"/>
    <w:rsid w:val="78EB1DC1"/>
    <w:rsid w:val="78EB40F9"/>
    <w:rsid w:val="78FA5B77"/>
    <w:rsid w:val="79033A30"/>
    <w:rsid w:val="79085DEB"/>
    <w:rsid w:val="790C7048"/>
    <w:rsid w:val="791D1414"/>
    <w:rsid w:val="792141B8"/>
    <w:rsid w:val="79250863"/>
    <w:rsid w:val="793EBFB4"/>
    <w:rsid w:val="79434B7F"/>
    <w:rsid w:val="79495A12"/>
    <w:rsid w:val="79533EDA"/>
    <w:rsid w:val="796204BB"/>
    <w:rsid w:val="79680706"/>
    <w:rsid w:val="796C6CB9"/>
    <w:rsid w:val="79781F95"/>
    <w:rsid w:val="797B1F6B"/>
    <w:rsid w:val="798346C0"/>
    <w:rsid w:val="798C2539"/>
    <w:rsid w:val="799319CD"/>
    <w:rsid w:val="799774A6"/>
    <w:rsid w:val="79A5099C"/>
    <w:rsid w:val="79B16054"/>
    <w:rsid w:val="79B6606C"/>
    <w:rsid w:val="79BA7861"/>
    <w:rsid w:val="79BF4E7C"/>
    <w:rsid w:val="79CC0F76"/>
    <w:rsid w:val="79D419C1"/>
    <w:rsid w:val="79DD24A9"/>
    <w:rsid w:val="79E43D39"/>
    <w:rsid w:val="79E93871"/>
    <w:rsid w:val="79EF5850"/>
    <w:rsid w:val="79F80819"/>
    <w:rsid w:val="79FB4A4F"/>
    <w:rsid w:val="7A067331"/>
    <w:rsid w:val="7A0742BD"/>
    <w:rsid w:val="7A086E9E"/>
    <w:rsid w:val="7A096371"/>
    <w:rsid w:val="7A235E7F"/>
    <w:rsid w:val="7A2A120B"/>
    <w:rsid w:val="7A371528"/>
    <w:rsid w:val="7A3A39A8"/>
    <w:rsid w:val="7A3F5A58"/>
    <w:rsid w:val="7A41250B"/>
    <w:rsid w:val="7A5C4F3D"/>
    <w:rsid w:val="7A6D6C32"/>
    <w:rsid w:val="7A71541C"/>
    <w:rsid w:val="7A756C48"/>
    <w:rsid w:val="7A837814"/>
    <w:rsid w:val="7A8414B2"/>
    <w:rsid w:val="7A93713B"/>
    <w:rsid w:val="7A946819"/>
    <w:rsid w:val="7A946A16"/>
    <w:rsid w:val="7A994A56"/>
    <w:rsid w:val="7A9F3BF0"/>
    <w:rsid w:val="7AC70D71"/>
    <w:rsid w:val="7ACC1231"/>
    <w:rsid w:val="7AD35DE5"/>
    <w:rsid w:val="7AD70CBA"/>
    <w:rsid w:val="7ADF4457"/>
    <w:rsid w:val="7AE44749"/>
    <w:rsid w:val="7AEA51C4"/>
    <w:rsid w:val="7B051137"/>
    <w:rsid w:val="7B2B11F9"/>
    <w:rsid w:val="7B4100F2"/>
    <w:rsid w:val="7B42401F"/>
    <w:rsid w:val="7B490703"/>
    <w:rsid w:val="7B562138"/>
    <w:rsid w:val="7B594D8C"/>
    <w:rsid w:val="7B6B535B"/>
    <w:rsid w:val="7B754B06"/>
    <w:rsid w:val="7B782B65"/>
    <w:rsid w:val="7B792524"/>
    <w:rsid w:val="7B850E02"/>
    <w:rsid w:val="7B880ADA"/>
    <w:rsid w:val="7B8D5FBC"/>
    <w:rsid w:val="7B963801"/>
    <w:rsid w:val="7BA2366F"/>
    <w:rsid w:val="7BB45460"/>
    <w:rsid w:val="7BC31122"/>
    <w:rsid w:val="7BC87A29"/>
    <w:rsid w:val="7BDB9A18"/>
    <w:rsid w:val="7BDF525B"/>
    <w:rsid w:val="7BE1128A"/>
    <w:rsid w:val="7BE737AD"/>
    <w:rsid w:val="7BED673C"/>
    <w:rsid w:val="7BF05877"/>
    <w:rsid w:val="7BF07CCC"/>
    <w:rsid w:val="7BF22456"/>
    <w:rsid w:val="7C0C4257"/>
    <w:rsid w:val="7C102825"/>
    <w:rsid w:val="7C11434E"/>
    <w:rsid w:val="7C282F2F"/>
    <w:rsid w:val="7C3E7FB5"/>
    <w:rsid w:val="7C4065D8"/>
    <w:rsid w:val="7C4A39A0"/>
    <w:rsid w:val="7C5A0C55"/>
    <w:rsid w:val="7C5A27D4"/>
    <w:rsid w:val="7C654634"/>
    <w:rsid w:val="7C6A6F51"/>
    <w:rsid w:val="7C6F5482"/>
    <w:rsid w:val="7C8E1047"/>
    <w:rsid w:val="7C8F2044"/>
    <w:rsid w:val="7C923676"/>
    <w:rsid w:val="7CA146E1"/>
    <w:rsid w:val="7CA464B2"/>
    <w:rsid w:val="7CB3271D"/>
    <w:rsid w:val="7CC72FD6"/>
    <w:rsid w:val="7CCE7CCF"/>
    <w:rsid w:val="7CD622AF"/>
    <w:rsid w:val="7CD63EAD"/>
    <w:rsid w:val="7CDD0CD8"/>
    <w:rsid w:val="7CE21017"/>
    <w:rsid w:val="7CE4091A"/>
    <w:rsid w:val="7CE610CD"/>
    <w:rsid w:val="7CEC18FC"/>
    <w:rsid w:val="7CF01788"/>
    <w:rsid w:val="7CF13DF1"/>
    <w:rsid w:val="7D0454A0"/>
    <w:rsid w:val="7D46618B"/>
    <w:rsid w:val="7D4B41B2"/>
    <w:rsid w:val="7D506DF5"/>
    <w:rsid w:val="7D6A6C8F"/>
    <w:rsid w:val="7D7A46E8"/>
    <w:rsid w:val="7D8D63C2"/>
    <w:rsid w:val="7D9B3C84"/>
    <w:rsid w:val="7DAC7EC2"/>
    <w:rsid w:val="7DB94EFE"/>
    <w:rsid w:val="7DC64F2F"/>
    <w:rsid w:val="7DD918AC"/>
    <w:rsid w:val="7DEC056D"/>
    <w:rsid w:val="7DF0638D"/>
    <w:rsid w:val="7DF9001F"/>
    <w:rsid w:val="7DFA492C"/>
    <w:rsid w:val="7DFFBC66"/>
    <w:rsid w:val="7E060FB1"/>
    <w:rsid w:val="7E0E625A"/>
    <w:rsid w:val="7E123CCB"/>
    <w:rsid w:val="7E271B71"/>
    <w:rsid w:val="7E2B0469"/>
    <w:rsid w:val="7E3722DF"/>
    <w:rsid w:val="7E381AB2"/>
    <w:rsid w:val="7E3A1427"/>
    <w:rsid w:val="7E4B17F2"/>
    <w:rsid w:val="7E542EDD"/>
    <w:rsid w:val="7E5E252A"/>
    <w:rsid w:val="7E712F39"/>
    <w:rsid w:val="7E7654CD"/>
    <w:rsid w:val="7E841721"/>
    <w:rsid w:val="7E9053FC"/>
    <w:rsid w:val="7E917543"/>
    <w:rsid w:val="7E9A0057"/>
    <w:rsid w:val="7E9A2DA3"/>
    <w:rsid w:val="7E9A6B43"/>
    <w:rsid w:val="7EAA4B68"/>
    <w:rsid w:val="7EAC6A1C"/>
    <w:rsid w:val="7EC02832"/>
    <w:rsid w:val="7EC601DC"/>
    <w:rsid w:val="7ECD25B7"/>
    <w:rsid w:val="7ECE77AD"/>
    <w:rsid w:val="7ECE7CF2"/>
    <w:rsid w:val="7EDC7D5F"/>
    <w:rsid w:val="7EE10D0F"/>
    <w:rsid w:val="7EEB5ABE"/>
    <w:rsid w:val="7EF20336"/>
    <w:rsid w:val="7EF529E1"/>
    <w:rsid w:val="7EF85D70"/>
    <w:rsid w:val="7EFC0A5D"/>
    <w:rsid w:val="7F033B98"/>
    <w:rsid w:val="7F072658"/>
    <w:rsid w:val="7F0B2BD7"/>
    <w:rsid w:val="7F1466CB"/>
    <w:rsid w:val="7F3652D1"/>
    <w:rsid w:val="7F4C006D"/>
    <w:rsid w:val="7F4E7F0F"/>
    <w:rsid w:val="7F507D93"/>
    <w:rsid w:val="7F5A5867"/>
    <w:rsid w:val="7F6B6794"/>
    <w:rsid w:val="7F893E66"/>
    <w:rsid w:val="7F8B6D1E"/>
    <w:rsid w:val="7F9F559F"/>
    <w:rsid w:val="7FAC55CF"/>
    <w:rsid w:val="7FB47975"/>
    <w:rsid w:val="7FC55867"/>
    <w:rsid w:val="7FCE1187"/>
    <w:rsid w:val="7FD66A78"/>
    <w:rsid w:val="7FDC2DDB"/>
    <w:rsid w:val="7FE77D50"/>
    <w:rsid w:val="7FEC1729"/>
    <w:rsid w:val="7FF00CC1"/>
    <w:rsid w:val="7FF20DA7"/>
    <w:rsid w:val="7FFB3939"/>
    <w:rsid w:val="7FFE730F"/>
    <w:rsid w:val="AF2B271C"/>
    <w:rsid w:val="BBB740EB"/>
    <w:rsid w:val="BF877BE0"/>
    <w:rsid w:val="BFAB8D99"/>
    <w:rsid w:val="BFD7B64E"/>
    <w:rsid w:val="D1D46CCA"/>
    <w:rsid w:val="D8EF5DDF"/>
    <w:rsid w:val="DCDE4F50"/>
    <w:rsid w:val="DFDB507D"/>
    <w:rsid w:val="EBD74510"/>
    <w:rsid w:val="EE8B473F"/>
    <w:rsid w:val="F3DFCC5F"/>
    <w:rsid w:val="FABFA61A"/>
    <w:rsid w:val="FF0EB37C"/>
    <w:rsid w:val="FFEB0D9B"/>
    <w:rsid w:val="FFF9D6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6"/>
    <w:qFormat/>
    <w:uiPriority w:val="0"/>
    <w:pPr>
      <w:snapToGrid w:val="0"/>
      <w:jc w:val="left"/>
    </w:pPr>
    <w:rPr>
      <w:sz w:val="18"/>
      <w:szCs w:val="18"/>
    </w:rPr>
  </w:style>
  <w:style w:type="paragraph" w:styleId="7">
    <w:name w:val="annotation subject"/>
    <w:basedOn w:val="2"/>
    <w:next w:val="2"/>
    <w:link w:val="18"/>
    <w:qFormat/>
    <w:uiPriority w:val="0"/>
    <w:rPr>
      <w:b/>
      <w:bCs/>
    </w:rPr>
  </w:style>
  <w:style w:type="character" w:styleId="10">
    <w:name w:val="annotation reference"/>
    <w:basedOn w:val="9"/>
    <w:qFormat/>
    <w:uiPriority w:val="99"/>
    <w:rPr>
      <w:sz w:val="21"/>
      <w:szCs w:val="21"/>
    </w:rPr>
  </w:style>
  <w:style w:type="character" w:styleId="11">
    <w:name w:val="footnote reference"/>
    <w:basedOn w:val="9"/>
    <w:qFormat/>
    <w:uiPriority w:val="0"/>
    <w:rPr>
      <w:vertAlign w:val="superscript"/>
    </w:r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99"/>
    <w:rPr>
      <w:rFonts w:asciiTheme="minorHAnsi" w:hAnsiTheme="minorHAnsi" w:eastAsiaTheme="minorEastAsia" w:cstheme="minorBidi"/>
      <w:kern w:val="2"/>
      <w:sz w:val="18"/>
      <w:szCs w:val="22"/>
    </w:rPr>
  </w:style>
  <w:style w:type="paragraph" w:styleId="14">
    <w:name w:val="List Paragraph"/>
    <w:basedOn w:val="1"/>
    <w:unhideWhenUsed/>
    <w:qFormat/>
    <w:uiPriority w:val="99"/>
    <w:pPr>
      <w:ind w:firstLine="420" w:firstLineChars="200"/>
    </w:p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脚注文本 Char"/>
    <w:basedOn w:val="9"/>
    <w:link w:val="6"/>
    <w:qFormat/>
    <w:uiPriority w:val="0"/>
    <w:rPr>
      <w:rFonts w:asciiTheme="minorHAnsi" w:hAnsiTheme="minorHAnsi" w:eastAsiaTheme="minorEastAsia" w:cstheme="minorBidi"/>
      <w:kern w:val="2"/>
      <w:sz w:val="18"/>
      <w:szCs w:val="18"/>
    </w:rPr>
  </w:style>
  <w:style w:type="character" w:customStyle="1" w:styleId="17">
    <w:name w:val="批注文字 Char"/>
    <w:basedOn w:val="9"/>
    <w:link w:val="2"/>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qFormat/>
    <w:uiPriority w:val="0"/>
    <w:rPr>
      <w:b/>
      <w:bCs/>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列出段落2"/>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50198812-655B-4D47-883B-12023F2831FA}">
  <ds:schemaRefs/>
</ds:datastoreItem>
</file>

<file path=docProps/app.xml><?xml version="1.0" encoding="utf-8"?>
<Properties xmlns="http://schemas.openxmlformats.org/officeDocument/2006/extended-properties" xmlns:vt="http://schemas.openxmlformats.org/officeDocument/2006/docPropsVTypes">
  <Company>Hewlett-Packard Company</Company>
  <Pages>14</Pages>
  <Words>1105</Words>
  <Characters>6299</Characters>
  <Lines>52</Lines>
  <Paragraphs>14</Paragraphs>
  <TotalTime>183</TotalTime>
  <ScaleCrop>false</ScaleCrop>
  <LinksUpToDate>false</LinksUpToDate>
  <CharactersWithSpaces>7390</CharactersWithSpaces>
  <Application>WPS Office WWO_wpscloud_20250224104646-d85e36bc1d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2025-03-30T08:51:00Z</dcterms:created>
  <dc:creator>周莹盈</dc:creator>
  <cp:lastModifiedBy>朱一鸣(拟稿)</cp:lastModifiedBy>
  <cp:lastPrinted>2024-07-19T17:59:00Z</cp:lastPrinted>
  <dcterms:modified xsi:type="dcterms:W3CDTF">2025-04-03T16:17:21Z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ContentTypeId">
    <vt:lpwstr>0x010100277BE70400348A4D8EEC7D959D14FCE9</vt:lpwstr>
  </property>
  <property fmtid="{D5CDD505-2E9C-101B-9397-08002B2CF9AE}" pid="4" name="ICV">
    <vt:lpwstr>78F603F627B6DE6A1144EE670BC26DC1_43</vt:lpwstr>
  </property>
</Properties>
</file>