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黑体"/>
          <w:color w:val="000000"/>
          <w:kern w:val="0"/>
          <w:sz w:val="32"/>
          <w:szCs w:val="32"/>
          <w:lang w:val="en-US" w:eastAsia="zh-CN"/>
        </w:rPr>
      </w:pPr>
      <w:r>
        <w:rPr>
          <w:rFonts w:hint="eastAsia" w:ascii="Times New Roman" w:hAnsi="Times New Roman" w:eastAsia="黑体"/>
          <w:color w:val="000000"/>
          <w:kern w:val="0"/>
          <w:sz w:val="32"/>
          <w:szCs w:val="32"/>
        </w:rPr>
        <w:t>附件1</w:t>
      </w:r>
    </w:p>
    <w:p>
      <w:pPr>
        <w:pStyle w:val="2"/>
        <w:rPr>
          <w:rFonts w:ascii="Times New Roman" w:hAnsi="Times New Roman"/>
          <w:sz w:val="32"/>
        </w:rPr>
      </w:pPr>
    </w:p>
    <w:p>
      <w:pPr>
        <w:spacing w:line="560" w:lineRule="exact"/>
        <w:jc w:val="center"/>
        <w:rPr>
          <w:rFonts w:ascii="Times New Roman" w:hAnsi="Times New Roman" w:eastAsia="方正大标宋简体" w:cs="Times New Roman"/>
          <w:bCs/>
          <w:sz w:val="44"/>
          <w:szCs w:val="32"/>
        </w:rPr>
      </w:pPr>
      <w:r>
        <w:rPr>
          <w:rFonts w:ascii="Times New Roman" w:hAnsi="Times New Roman" w:eastAsia="方正大标宋简体" w:cs="Times New Roman"/>
          <w:bCs/>
          <w:sz w:val="44"/>
          <w:szCs w:val="32"/>
        </w:rPr>
        <w:t>上海证券交易所科创板上市公司自律监管指引第5号——科创成长层</w:t>
      </w:r>
    </w:p>
    <w:p>
      <w:pPr>
        <w:spacing w:line="560" w:lineRule="exact"/>
        <w:jc w:val="center"/>
        <w:rPr>
          <w:rFonts w:ascii="Times New Roman" w:hAnsi="Times New Roman" w:eastAsia="楷体_GB2312"/>
          <w:sz w:val="32"/>
        </w:rPr>
      </w:pPr>
      <w:r>
        <w:rPr>
          <w:rFonts w:hint="eastAsia" w:ascii="Times New Roman" w:hAnsi="Times New Roman" w:eastAsia="楷体_GB2312"/>
          <w:sz w:val="32"/>
        </w:rPr>
        <w:t>（征求意见稿）</w:t>
      </w:r>
    </w:p>
    <w:p>
      <w:pPr>
        <w:spacing w:line="560" w:lineRule="exact"/>
        <w:rPr>
          <w:rFonts w:ascii="Times New Roman" w:hAnsi="Times New Roman"/>
        </w:rPr>
      </w:pPr>
    </w:p>
    <w:p>
      <w:pPr>
        <w:widowControl/>
        <w:shd w:val="clear" w:color="auto" w:fill="FFFFFF"/>
        <w:spacing w:line="560" w:lineRule="exact"/>
        <w:ind w:firstLine="640" w:firstLineChars="200"/>
        <w:rPr>
          <w:rFonts w:ascii="Times New Roman" w:hAnsi="Times New Roman" w:eastAsia="仿宋_GB2312"/>
          <w:b/>
          <w:sz w:val="32"/>
          <w:szCs w:val="32"/>
        </w:rPr>
      </w:pPr>
      <w:r>
        <w:rPr>
          <w:rFonts w:hint="eastAsia" w:ascii="Times New Roman" w:hAnsi="Times New Roman" w:eastAsia="黑体" w:cs="黑体"/>
          <w:bCs/>
          <w:sz w:val="32"/>
          <w:szCs w:val="32"/>
        </w:rPr>
        <w:t>第一条</w:t>
      </w:r>
      <w:r>
        <w:rPr>
          <w:rFonts w:hint="eastAsia" w:ascii="Times New Roman" w:hAnsi="Times New Roman" w:eastAsia="仿宋_GB2312"/>
          <w:b/>
          <w:sz w:val="32"/>
          <w:szCs w:val="32"/>
        </w:rPr>
        <w:t xml:space="preserve"> </w:t>
      </w:r>
      <w:r>
        <w:rPr>
          <w:rFonts w:hint="eastAsia" w:ascii="Times New Roman" w:hAnsi="Times New Roman" w:eastAsia="仿宋_GB2312"/>
          <w:b/>
          <w:sz w:val="32"/>
          <w:szCs w:val="32"/>
          <w:lang w:val="en-US" w:eastAsia="zh-CN"/>
        </w:rPr>
        <w:t>【</w:t>
      </w:r>
      <w:r>
        <w:rPr>
          <w:rFonts w:hint="eastAsia" w:ascii="Times New Roman" w:hAnsi="Times New Roman" w:eastAsia="华文楷体" w:cs="Times New Roman"/>
          <w:b w:val="0"/>
          <w:color w:val="000000" w:themeColor="text1"/>
          <w:sz w:val="32"/>
          <w:szCs w:val="32"/>
          <w:highlight w:val="none"/>
          <w14:textFill>
            <w14:solidFill>
              <w14:schemeClr w14:val="tx1"/>
            </w14:solidFill>
          </w14:textFill>
        </w:rPr>
        <w:t>制定依据</w:t>
      </w:r>
      <w:r>
        <w:rPr>
          <w:rFonts w:hint="eastAsia" w:ascii="Times New Roman" w:hAnsi="Times New Roman" w:eastAsia="仿宋_GB2312"/>
          <w:b/>
          <w:sz w:val="32"/>
          <w:szCs w:val="32"/>
          <w:lang w:val="en-US" w:eastAsia="zh-CN"/>
        </w:rPr>
        <w:t>】</w:t>
      </w:r>
      <w:r>
        <w:rPr>
          <w:rFonts w:hint="eastAsia" w:ascii="Times New Roman" w:hAnsi="Times New Roman" w:eastAsia="仿宋_GB2312"/>
          <w:color w:val="000000"/>
          <w:kern w:val="0"/>
          <w:sz w:val="32"/>
          <w:szCs w:val="32"/>
        </w:rPr>
        <w:t>为了规范科创板科创成长层上市公司日常监管</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保护投资者合法权益，更好服务科技创新和新质生产力发展，根据《中国证监会关于在科创板设置科创成长层 增强制度包容性适应性的意见》《上海证券交易所科创板股票上市规则》（以下简称《科创板上市规则》）、《上海证券交易所交易规则》等规定，制定本指引。</w:t>
      </w:r>
    </w:p>
    <w:p>
      <w:pPr>
        <w:widowControl/>
        <w:shd w:val="clear" w:color="auto" w:fill="FFFFFF"/>
        <w:spacing w:line="560" w:lineRule="exact"/>
        <w:ind w:firstLine="640" w:firstLineChars="200"/>
        <w:rPr>
          <w:rFonts w:ascii="Times New Roman" w:hAnsi="Times New Roman" w:eastAsia="仿宋_GB2312"/>
          <w:bCs/>
          <w:sz w:val="32"/>
          <w:szCs w:val="32"/>
        </w:rPr>
      </w:pPr>
      <w:r>
        <w:rPr>
          <w:rFonts w:hint="eastAsia" w:ascii="Times New Roman" w:hAnsi="Times New Roman" w:eastAsia="黑体" w:cs="黑体"/>
          <w:bCs/>
          <w:sz w:val="32"/>
          <w:szCs w:val="32"/>
        </w:rPr>
        <w:t>第二条</w:t>
      </w:r>
      <w:r>
        <w:rPr>
          <w:rFonts w:hint="eastAsia" w:ascii="Times New Roman" w:hAnsi="Times New Roman" w:eastAsia="仿宋_GB2312"/>
          <w:b/>
          <w:sz w:val="32"/>
          <w:szCs w:val="32"/>
        </w:rPr>
        <w:t xml:space="preserve"> </w:t>
      </w:r>
      <w:r>
        <w:rPr>
          <w:rFonts w:hint="eastAsia" w:ascii="Times New Roman" w:hAnsi="Times New Roman" w:eastAsia="仿宋_GB2312"/>
          <w:b/>
          <w:sz w:val="32"/>
          <w:szCs w:val="32"/>
          <w:lang w:eastAsia="zh-CN"/>
        </w:rPr>
        <w:t>【</w:t>
      </w:r>
      <w:r>
        <w:rPr>
          <w:rFonts w:hint="eastAsia" w:ascii="Times New Roman" w:hAnsi="Times New Roman" w:eastAsia="华文楷体" w:cs="Times New Roman"/>
          <w:b w:val="0"/>
          <w:color w:val="000000" w:themeColor="text1"/>
          <w:sz w:val="32"/>
          <w:szCs w:val="32"/>
          <w:highlight w:val="none"/>
          <w14:textFill>
            <w14:solidFill>
              <w14:schemeClr w14:val="tx1"/>
            </w14:solidFill>
          </w14:textFill>
        </w:rPr>
        <w:t>层次定位</w:t>
      </w:r>
      <w:r>
        <w:rPr>
          <w:rFonts w:hint="eastAsia" w:ascii="Times New Roman" w:hAnsi="Times New Roman" w:eastAsia="仿宋_GB2312"/>
          <w:b/>
          <w:sz w:val="32"/>
          <w:szCs w:val="32"/>
          <w:lang w:eastAsia="zh-CN"/>
        </w:rPr>
        <w:t>】</w:t>
      </w:r>
      <w:r>
        <w:rPr>
          <w:rFonts w:hint="eastAsia" w:ascii="Times New Roman" w:hAnsi="Times New Roman" w:eastAsia="仿宋_GB2312"/>
          <w:bCs/>
          <w:sz w:val="32"/>
          <w:szCs w:val="32"/>
        </w:rPr>
        <w:t>上海证券交易所（以下简称本所）科创板设科创成长层，支持技术有较大突破、商业前景广阔、持续研发投入大，上市时处于未盈利阶段的科技型企业发展。</w:t>
      </w:r>
    </w:p>
    <w:p>
      <w:pPr>
        <w:widowControl/>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黑体" w:cs="黑体"/>
          <w:bCs/>
          <w:sz w:val="32"/>
          <w:szCs w:val="32"/>
        </w:rPr>
        <w:t>第三条</w:t>
      </w:r>
      <w:r>
        <w:rPr>
          <w:rFonts w:hint="eastAsia" w:ascii="Times New Roman" w:hAnsi="Times New Roman" w:eastAsia="仿宋_GB2312"/>
          <w:b/>
          <w:sz w:val="32"/>
          <w:szCs w:val="32"/>
        </w:rPr>
        <w:t xml:space="preserve"> </w:t>
      </w:r>
      <w:r>
        <w:rPr>
          <w:rFonts w:hint="eastAsia" w:ascii="Times New Roman" w:hAnsi="Times New Roman" w:eastAsia="仿宋_GB2312"/>
          <w:b/>
          <w:sz w:val="32"/>
          <w:szCs w:val="32"/>
          <w:lang w:eastAsia="zh-CN"/>
        </w:rPr>
        <w:t>【</w:t>
      </w:r>
      <w:r>
        <w:rPr>
          <w:rFonts w:hint="eastAsia" w:ascii="Times New Roman" w:hAnsi="Times New Roman" w:eastAsia="华文楷体" w:cs="Times New Roman"/>
          <w:b w:val="0"/>
          <w:color w:val="000000" w:themeColor="text1"/>
          <w:sz w:val="32"/>
          <w:szCs w:val="32"/>
          <w:highlight w:val="none"/>
          <w14:textFill>
            <w14:solidFill>
              <w14:schemeClr w14:val="tx1"/>
            </w14:solidFill>
          </w14:textFill>
        </w:rPr>
        <w:t>纳入条件</w:t>
      </w:r>
      <w:r>
        <w:rPr>
          <w:rFonts w:hint="eastAsia" w:ascii="Times New Roman" w:hAnsi="Times New Roman" w:eastAsia="仿宋_GB2312"/>
          <w:b/>
          <w:sz w:val="32"/>
          <w:szCs w:val="32"/>
          <w:lang w:eastAsia="zh-CN"/>
        </w:rPr>
        <w:t>】</w:t>
      </w:r>
      <w:r>
        <w:rPr>
          <w:rFonts w:hint="eastAsia" w:ascii="Times New Roman" w:hAnsi="Times New Roman" w:eastAsia="仿宋_GB2312"/>
          <w:color w:val="000000"/>
          <w:kern w:val="0"/>
          <w:sz w:val="32"/>
          <w:szCs w:val="32"/>
        </w:rPr>
        <w:t>上市时未盈利的科创板公司，自上市之日起</w:t>
      </w:r>
      <w:r>
        <w:rPr>
          <w:rFonts w:ascii="Times New Roman" w:hAnsi="Times New Roman" w:eastAsia="仿宋_GB2312"/>
          <w:sz w:val="32"/>
          <w:szCs w:val="32"/>
        </w:rPr>
        <w:t>纳入科创成长层</w:t>
      </w:r>
      <w:r>
        <w:rPr>
          <w:rFonts w:hint="eastAsia" w:ascii="Times New Roman" w:hAnsi="Times New Roman" w:eastAsia="仿宋_GB2312"/>
          <w:sz w:val="32"/>
          <w:szCs w:val="32"/>
        </w:rPr>
        <w:t>；本指引发布前已上市且上市后尚未首次实现盈利的科创板公司，自本指引发布之日起纳入科创成长层。</w:t>
      </w:r>
    </w:p>
    <w:p>
      <w:pPr>
        <w:widowControl/>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color w:val="000000" w:themeColor="text1"/>
          <w:sz w:val="32"/>
          <w:szCs w:val="32"/>
          <w14:textFill>
            <w14:solidFill>
              <w14:schemeClr w14:val="tx1"/>
            </w14:solidFill>
          </w14:textFill>
        </w:rPr>
        <w:t>前款所称</w:t>
      </w:r>
      <w:r>
        <w:rPr>
          <w:rFonts w:hint="eastAsia" w:ascii="Times New Roman" w:hAnsi="Times New Roman" w:eastAsia="仿宋_GB2312"/>
          <w:sz w:val="32"/>
          <w:szCs w:val="32"/>
        </w:rPr>
        <w:t>上市时未盈利，指公司上市前一个会计年度经审计扣除非经常性损益前后净利润孰低者为负</w:t>
      </w:r>
      <w:r>
        <w:rPr>
          <w:rFonts w:hint="eastAsia" w:ascii="Times New Roman" w:hAnsi="Times New Roman" w:eastAsia="仿宋_GB2312"/>
          <w:color w:val="000000" w:themeColor="text1"/>
          <w:sz w:val="32"/>
          <w:szCs w:val="32"/>
          <w14:textFill>
            <w14:solidFill>
              <w14:schemeClr w14:val="tx1"/>
            </w14:solidFill>
          </w14:textFill>
        </w:rPr>
        <w:t>。</w:t>
      </w:r>
    </w:p>
    <w:p>
      <w:pPr>
        <w:widowControl/>
        <w:shd w:val="clear" w:color="auto" w:fill="FFFFFF"/>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s="黑体"/>
          <w:bCs/>
          <w:sz w:val="32"/>
          <w:szCs w:val="32"/>
        </w:rPr>
        <w:t xml:space="preserve">第四条 </w:t>
      </w:r>
      <w:r>
        <w:rPr>
          <w:rFonts w:hint="eastAsia" w:ascii="Times New Roman" w:hAnsi="Times New Roman" w:eastAsia="仿宋_GB2312"/>
          <w:b/>
          <w:sz w:val="32"/>
          <w:szCs w:val="32"/>
          <w:lang w:eastAsia="zh-CN"/>
        </w:rPr>
        <w:t>【</w:t>
      </w:r>
      <w:r>
        <w:rPr>
          <w:rFonts w:hint="eastAsia" w:ascii="Times New Roman" w:hAnsi="Times New Roman" w:eastAsia="华文楷体" w:cs="Times New Roman"/>
          <w:b w:val="0"/>
          <w:color w:val="000000" w:themeColor="text1"/>
          <w:sz w:val="32"/>
          <w:szCs w:val="32"/>
          <w:highlight w:val="none"/>
          <w14:textFill>
            <w14:solidFill>
              <w14:schemeClr w14:val="tx1"/>
            </w14:solidFill>
          </w14:textFill>
        </w:rPr>
        <w:t>调出条件</w:t>
      </w:r>
      <w:r>
        <w:rPr>
          <w:rFonts w:hint="eastAsia" w:ascii="Times New Roman" w:hAnsi="Times New Roman" w:eastAsia="仿宋_GB2312"/>
          <w:b/>
          <w:sz w:val="32"/>
          <w:szCs w:val="32"/>
          <w:lang w:eastAsia="zh-CN"/>
        </w:rPr>
        <w:t>】</w:t>
      </w:r>
      <w:r>
        <w:rPr>
          <w:rFonts w:hint="eastAsia" w:ascii="Times New Roman" w:hAnsi="Times New Roman" w:eastAsia="仿宋_GB2312"/>
          <w:color w:val="000000" w:themeColor="text1"/>
          <w:sz w:val="32"/>
          <w:szCs w:val="32"/>
          <w14:textFill>
            <w14:solidFill>
              <w14:schemeClr w14:val="tx1"/>
            </w14:solidFill>
          </w14:textFill>
        </w:rPr>
        <w:t>科创成长层公司</w:t>
      </w:r>
      <w:r>
        <w:rPr>
          <w:rFonts w:ascii="Times New Roman" w:hAnsi="Times New Roman" w:eastAsia="仿宋_GB2312"/>
          <w:color w:val="000000" w:themeColor="text1"/>
          <w:sz w:val="32"/>
          <w:szCs w:val="32"/>
          <w14:textFill>
            <w14:solidFill>
              <w14:schemeClr w14:val="tx1"/>
            </w14:solidFill>
          </w14:textFill>
        </w:rPr>
        <w:t>符合下列条件之一的，</w:t>
      </w:r>
      <w:r>
        <w:rPr>
          <w:rFonts w:hint="eastAsia" w:ascii="Times New Roman" w:hAnsi="Times New Roman" w:eastAsia="仿宋_GB2312"/>
          <w:color w:val="000000" w:themeColor="text1"/>
          <w:sz w:val="32"/>
          <w:szCs w:val="32"/>
          <w14:textFill>
            <w14:solidFill>
              <w14:schemeClr w14:val="tx1"/>
            </w14:solidFill>
          </w14:textFill>
        </w:rPr>
        <w:t>本所将其</w:t>
      </w:r>
      <w:r>
        <w:rPr>
          <w:rFonts w:ascii="Times New Roman" w:hAnsi="Times New Roman" w:eastAsia="仿宋_GB2312"/>
          <w:color w:val="000000" w:themeColor="text1"/>
          <w:sz w:val="32"/>
          <w:szCs w:val="32"/>
          <w14:textFill>
            <w14:solidFill>
              <w14:schemeClr w14:val="tx1"/>
            </w14:solidFill>
          </w14:textFill>
        </w:rPr>
        <w:t>调出科创成长层：</w:t>
      </w:r>
    </w:p>
    <w:p>
      <w:pPr>
        <w:widowControl/>
        <w:shd w:val="clear" w:color="auto" w:fill="FFFFFF"/>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一</w:t>
      </w:r>
      <w:r>
        <w:rPr>
          <w:rFonts w:ascii="Times New Roman" w:hAnsi="Times New Roman" w:eastAsia="仿宋_GB2312"/>
          <w:color w:val="000000" w:themeColor="text1"/>
          <w:sz w:val="32"/>
          <w:szCs w:val="32"/>
          <w14:textFill>
            <w14:solidFill>
              <w14:schemeClr w14:val="tx1"/>
            </w14:solidFill>
          </w14:textFill>
        </w:rPr>
        <w:t>）最近两年净利润均为正且累计净利润不低于</w:t>
      </w:r>
      <w:r>
        <w:rPr>
          <w:rFonts w:hint="eastAsia" w:ascii="Times New Roman" w:hAnsi="Times New Roman" w:eastAsia="仿宋_GB2312"/>
          <w:color w:val="000000" w:themeColor="text1"/>
          <w:sz w:val="32"/>
          <w:szCs w:val="32"/>
          <w14:textFill>
            <w14:solidFill>
              <w14:schemeClr w14:val="tx1"/>
            </w14:solidFill>
          </w14:textFill>
        </w:rPr>
        <w:t>人民币</w:t>
      </w:r>
      <w:r>
        <w:rPr>
          <w:rFonts w:ascii="Times New Roman" w:hAnsi="Times New Roman" w:eastAsia="仿宋_GB2312"/>
          <w:color w:val="000000" w:themeColor="text1"/>
          <w:sz w:val="32"/>
          <w:szCs w:val="32"/>
          <w14:textFill>
            <w14:solidFill>
              <w14:schemeClr w14:val="tx1"/>
            </w14:solidFill>
          </w14:textFill>
        </w:rPr>
        <w:t>5000万元；</w:t>
      </w:r>
    </w:p>
    <w:p>
      <w:pPr>
        <w:widowControl/>
        <w:shd w:val="clear" w:color="auto" w:fill="FFFFFF"/>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二</w:t>
      </w:r>
      <w:r>
        <w:rPr>
          <w:rFonts w:ascii="Times New Roman" w:hAnsi="Times New Roman" w:eastAsia="仿宋_GB2312"/>
          <w:color w:val="000000" w:themeColor="text1"/>
          <w:sz w:val="32"/>
          <w:szCs w:val="32"/>
          <w14:textFill>
            <w14:solidFill>
              <w14:schemeClr w14:val="tx1"/>
            </w14:solidFill>
          </w14:textFill>
        </w:rPr>
        <w:t>）最近一年净利润为正且营业收入不低于</w:t>
      </w:r>
      <w:r>
        <w:rPr>
          <w:rFonts w:hint="eastAsia" w:ascii="Times New Roman" w:hAnsi="Times New Roman" w:eastAsia="仿宋_GB2312"/>
          <w:color w:val="000000" w:themeColor="text1"/>
          <w:sz w:val="32"/>
          <w:szCs w:val="32"/>
          <w14:textFill>
            <w14:solidFill>
              <w14:schemeClr w14:val="tx1"/>
            </w14:solidFill>
          </w14:textFill>
        </w:rPr>
        <w:t>人民币</w:t>
      </w:r>
      <w:r>
        <w:rPr>
          <w:rFonts w:ascii="Times New Roman" w:hAnsi="Times New Roman" w:eastAsia="仿宋_GB2312"/>
          <w:color w:val="000000" w:themeColor="text1"/>
          <w:sz w:val="32"/>
          <w:szCs w:val="32"/>
          <w14:textFill>
            <w14:solidFill>
              <w14:schemeClr w14:val="tx1"/>
            </w14:solidFill>
          </w14:textFill>
        </w:rPr>
        <w:t>1亿元。</w:t>
      </w:r>
    </w:p>
    <w:p>
      <w:pPr>
        <w:widowControl/>
        <w:shd w:val="clear" w:color="auto" w:fill="FFFFFF"/>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本指引</w:t>
      </w:r>
      <w:r>
        <w:rPr>
          <w:rFonts w:hint="eastAsia" w:ascii="Times New Roman" w:hAnsi="Times New Roman" w:eastAsia="仿宋_GB2312"/>
          <w:sz w:val="32"/>
          <w:szCs w:val="32"/>
        </w:rPr>
        <w:t>发布前已上市且上市后尚未首次实现盈利的科创板公司，上市后首次实现盈利的，本所将其调出科创成长层。</w:t>
      </w:r>
    </w:p>
    <w:p>
      <w:pPr>
        <w:widowControl/>
        <w:shd w:val="clear" w:color="auto" w:fill="FFFFFF"/>
        <w:spacing w:line="560"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hint="eastAsia" w:ascii="Times New Roman" w:hAnsi="Times New Roman" w:eastAsia="黑体" w:cs="黑体"/>
          <w:bCs/>
          <w:sz w:val="32"/>
          <w:szCs w:val="32"/>
        </w:rPr>
        <w:t>第五条</w:t>
      </w:r>
      <w:r>
        <w:rPr>
          <w:rFonts w:hint="eastAsia" w:ascii="Times New Roman" w:hAnsi="Times New Roman" w:eastAsia="仿宋_GB2312"/>
          <w:b/>
          <w:sz w:val="32"/>
          <w:szCs w:val="32"/>
        </w:rPr>
        <w:t xml:space="preserve"> </w:t>
      </w:r>
      <w:r>
        <w:rPr>
          <w:rFonts w:hint="eastAsia" w:ascii="Times New Roman" w:hAnsi="Times New Roman" w:eastAsia="仿宋_GB2312"/>
          <w:b/>
          <w:sz w:val="32"/>
          <w:szCs w:val="32"/>
          <w:lang w:eastAsia="zh-CN"/>
        </w:rPr>
        <w:t>【</w:t>
      </w:r>
      <w:r>
        <w:rPr>
          <w:rFonts w:hint="eastAsia" w:ascii="Times New Roman" w:hAnsi="Times New Roman" w:eastAsia="华文楷体" w:cs="Times New Roman"/>
          <w:b w:val="0"/>
          <w:color w:val="000000" w:themeColor="text1"/>
          <w:sz w:val="32"/>
          <w:szCs w:val="32"/>
          <w:highlight w:val="none"/>
          <w14:textFill>
            <w14:solidFill>
              <w14:schemeClr w14:val="tx1"/>
            </w14:solidFill>
          </w14:textFill>
        </w:rPr>
        <w:t>层次调整</w:t>
      </w:r>
      <w:r>
        <w:rPr>
          <w:rFonts w:hint="eastAsia" w:ascii="Times New Roman" w:hAnsi="Times New Roman" w:eastAsia="仿宋_GB2312"/>
          <w:b/>
          <w:sz w:val="32"/>
          <w:szCs w:val="32"/>
          <w:lang w:eastAsia="zh-CN"/>
        </w:rPr>
        <w:t>】</w:t>
      </w:r>
      <w:r>
        <w:rPr>
          <w:rFonts w:hint="eastAsia" w:ascii="Times New Roman" w:hAnsi="Times New Roman" w:eastAsia="仿宋_GB2312"/>
          <w:color w:val="000000" w:themeColor="text1"/>
          <w:sz w:val="32"/>
          <w:szCs w:val="32"/>
          <w14:textFill>
            <w14:solidFill>
              <w14:schemeClr w14:val="tx1"/>
            </w14:solidFill>
          </w14:textFill>
        </w:rPr>
        <w:t>本所建立科创成长层调整机制。</w:t>
      </w:r>
      <w:r>
        <w:rPr>
          <w:rFonts w:hint="eastAsia" w:ascii="Times New Roman" w:hAnsi="Times New Roman" w:eastAsia="仿宋_GB2312"/>
          <w:bCs/>
          <w:sz w:val="32"/>
          <w:szCs w:val="32"/>
        </w:rPr>
        <w:t>科创成长层公司最近一个会计年度经审计的财务会计报告显示公司符合本指引第四条规定条件的，公司应当在披露年度报告的同时，披露符合条件且将被调出科创成长层的公告。本所及时将公司调出科创成长层。</w:t>
      </w:r>
    </w:p>
    <w:p>
      <w:pPr>
        <w:widowControl/>
        <w:shd w:val="clear" w:color="auto" w:fill="FFFFFF"/>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科创成长层公司未按规定披露年度报告，或者财务会计报告被出具无法表示意见或否定意见的审计报告的，本所不对其层次进行调整。</w:t>
      </w:r>
    </w:p>
    <w:p>
      <w:pPr>
        <w:widowControl/>
        <w:shd w:val="clear" w:color="auto" w:fill="FFFFFF"/>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科创成长层公司层次调整后，因会计差错更正等原因导致公司不符合本指引第四条规定的条件的，本所将其调回</w:t>
      </w:r>
      <w:r>
        <w:rPr>
          <w:rFonts w:ascii="Times New Roman" w:hAnsi="Times New Roman" w:eastAsia="仿宋_GB2312"/>
          <w:color w:val="000000" w:themeColor="text1"/>
          <w:sz w:val="32"/>
          <w:szCs w:val="32"/>
          <w14:textFill>
            <w14:solidFill>
              <w14:schemeClr w14:val="tx1"/>
            </w14:solidFill>
          </w14:textFill>
        </w:rPr>
        <w:t>科创成长层</w:t>
      </w:r>
      <w:r>
        <w:rPr>
          <w:rFonts w:hint="eastAsia" w:ascii="Times New Roman" w:hAnsi="Times New Roman" w:eastAsia="仿宋_GB2312"/>
          <w:color w:val="000000" w:themeColor="text1"/>
          <w:sz w:val="32"/>
          <w:szCs w:val="32"/>
          <w14:textFill>
            <w14:solidFill>
              <w14:schemeClr w14:val="tx1"/>
            </w14:solidFill>
          </w14:textFill>
        </w:rPr>
        <w:t>。</w:t>
      </w:r>
    </w:p>
    <w:p>
      <w:pPr>
        <w:widowControl/>
        <w:shd w:val="clear" w:color="auto" w:fill="FFFFFF"/>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s="黑体"/>
          <w:bCs/>
          <w:sz w:val="32"/>
          <w:szCs w:val="32"/>
        </w:rPr>
        <w:t>第六条</w:t>
      </w:r>
      <w:r>
        <w:rPr>
          <w:rFonts w:hint="eastAsia" w:ascii="Times New Roman" w:hAnsi="Times New Roman" w:eastAsia="仿宋_GB2312"/>
          <w:b/>
          <w:sz w:val="32"/>
          <w:szCs w:val="32"/>
        </w:rPr>
        <w:t xml:space="preserve"> </w:t>
      </w:r>
      <w:r>
        <w:rPr>
          <w:rFonts w:hint="eastAsia" w:ascii="Times New Roman" w:hAnsi="Times New Roman" w:eastAsia="仿宋_GB2312"/>
          <w:b/>
          <w:sz w:val="32"/>
          <w:szCs w:val="32"/>
          <w:lang w:eastAsia="zh-CN"/>
        </w:rPr>
        <w:t>【</w:t>
      </w:r>
      <w:r>
        <w:rPr>
          <w:rFonts w:hint="eastAsia" w:ascii="Times New Roman" w:hAnsi="Times New Roman" w:eastAsia="华文楷体" w:cs="Times New Roman"/>
          <w:b w:val="0"/>
          <w:color w:val="000000" w:themeColor="text1"/>
          <w:sz w:val="32"/>
          <w:szCs w:val="32"/>
          <w:highlight w:val="none"/>
          <w14:textFill>
            <w14:solidFill>
              <w14:schemeClr w14:val="tx1"/>
            </w14:solidFill>
          </w14:textFill>
        </w:rPr>
        <w:t>定期报告信息披露</w:t>
      </w:r>
      <w:r>
        <w:rPr>
          <w:rFonts w:hint="eastAsia" w:ascii="Times New Roman" w:hAnsi="Times New Roman" w:eastAsia="仿宋_GB2312"/>
          <w:b/>
          <w:sz w:val="32"/>
          <w:szCs w:val="32"/>
          <w:lang w:eastAsia="zh-CN"/>
        </w:rPr>
        <w:t>】</w:t>
      </w:r>
      <w:r>
        <w:rPr>
          <w:rFonts w:ascii="Times New Roman" w:hAnsi="Times New Roman" w:eastAsia="仿宋_GB2312"/>
          <w:color w:val="000000" w:themeColor="text1"/>
          <w:sz w:val="32"/>
          <w:szCs w:val="32"/>
          <w14:textFill>
            <w14:solidFill>
              <w14:schemeClr w14:val="tx1"/>
            </w14:solidFill>
          </w14:textFill>
        </w:rPr>
        <w:t>科创成长层</w:t>
      </w:r>
      <w:r>
        <w:rPr>
          <w:rFonts w:hint="eastAsia" w:ascii="Times New Roman" w:hAnsi="Times New Roman" w:eastAsia="仿宋_GB2312"/>
          <w:color w:val="000000" w:themeColor="text1"/>
          <w:sz w:val="32"/>
          <w:szCs w:val="32"/>
          <w14:textFill>
            <w14:solidFill>
              <w14:schemeClr w14:val="tx1"/>
            </w14:solidFill>
          </w14:textFill>
        </w:rPr>
        <w:t>公司</w:t>
      </w:r>
      <w:r>
        <w:rPr>
          <w:rFonts w:ascii="Times New Roman" w:hAnsi="Times New Roman" w:eastAsia="仿宋_GB2312"/>
          <w:color w:val="000000" w:themeColor="text1"/>
          <w:sz w:val="32"/>
          <w:szCs w:val="32"/>
          <w14:textFill>
            <w14:solidFill>
              <w14:schemeClr w14:val="tx1"/>
            </w14:solidFill>
          </w14:textFill>
        </w:rPr>
        <w:t>应当</w:t>
      </w:r>
      <w:r>
        <w:rPr>
          <w:rFonts w:hint="eastAsia" w:ascii="Times New Roman" w:hAnsi="Times New Roman" w:eastAsia="仿宋_GB2312"/>
          <w:color w:val="000000" w:themeColor="text1"/>
          <w:sz w:val="32"/>
          <w:szCs w:val="32"/>
          <w14:textFill>
            <w14:solidFill>
              <w14:schemeClr w14:val="tx1"/>
            </w14:solidFill>
          </w14:textFill>
        </w:rPr>
        <w:t>在年度报告中，结合行业特点充分</w:t>
      </w:r>
      <w:r>
        <w:rPr>
          <w:rFonts w:ascii="Times New Roman" w:hAnsi="Times New Roman" w:eastAsia="仿宋_GB2312"/>
          <w:color w:val="000000" w:themeColor="text1"/>
          <w:sz w:val="32"/>
          <w:szCs w:val="32"/>
          <w14:textFill>
            <w14:solidFill>
              <w14:schemeClr w14:val="tx1"/>
            </w14:solidFill>
          </w14:textFill>
        </w:rPr>
        <w:t>披露尚未盈利的</w:t>
      </w:r>
      <w:r>
        <w:rPr>
          <w:rFonts w:hint="eastAsia" w:ascii="Times New Roman" w:hAnsi="Times New Roman" w:eastAsia="仿宋_GB2312"/>
          <w:color w:val="000000" w:themeColor="text1"/>
          <w:sz w:val="32"/>
          <w:szCs w:val="32"/>
          <w14:textFill>
            <w14:solidFill>
              <w14:schemeClr w14:val="tx1"/>
            </w14:solidFill>
          </w14:textFill>
        </w:rPr>
        <w:t>原因，以及对公司现金流、业务拓展、人才吸引、团队稳定性、研发投入、战略性投入、生产经营可持续性等方面</w:t>
      </w:r>
      <w:r>
        <w:rPr>
          <w:rFonts w:ascii="Times New Roman" w:hAnsi="Times New Roman" w:eastAsia="仿宋_GB2312"/>
          <w:color w:val="000000" w:themeColor="text1"/>
          <w:sz w:val="32"/>
          <w:szCs w:val="32"/>
          <w14:textFill>
            <w14:solidFill>
              <w14:schemeClr w14:val="tx1"/>
            </w14:solidFill>
          </w14:textFill>
        </w:rPr>
        <w:t>的影响，并在</w:t>
      </w:r>
      <w:r>
        <w:rPr>
          <w:rFonts w:hint="eastAsia" w:ascii="Times New Roman" w:hAnsi="Times New Roman" w:eastAsia="仿宋_GB2312"/>
          <w:color w:val="000000" w:themeColor="text1"/>
          <w:sz w:val="32"/>
          <w:szCs w:val="32"/>
          <w14:textFill>
            <w14:solidFill>
              <w14:schemeClr w14:val="tx1"/>
            </w14:solidFill>
          </w14:textFill>
        </w:rPr>
        <w:t>年度报告</w:t>
      </w:r>
      <w:r>
        <w:rPr>
          <w:rFonts w:ascii="Times New Roman" w:hAnsi="Times New Roman" w:eastAsia="仿宋_GB2312"/>
          <w:color w:val="000000" w:themeColor="text1"/>
          <w:sz w:val="32"/>
          <w:szCs w:val="32"/>
          <w14:textFill>
            <w14:solidFill>
              <w14:schemeClr w14:val="tx1"/>
            </w14:solidFill>
          </w14:textFill>
        </w:rPr>
        <w:t>首页的显著位置</w:t>
      </w:r>
      <w:r>
        <w:rPr>
          <w:rFonts w:hint="eastAsia" w:ascii="Times New Roman" w:hAnsi="Times New Roman" w:eastAsia="仿宋_GB2312"/>
          <w:color w:val="000000" w:themeColor="text1"/>
          <w:sz w:val="32"/>
          <w:szCs w:val="32"/>
          <w14:textFill>
            <w14:solidFill>
              <w14:schemeClr w14:val="tx1"/>
            </w14:solidFill>
          </w14:textFill>
        </w:rPr>
        <w:t>提示公司</w:t>
      </w:r>
      <w:r>
        <w:rPr>
          <w:rFonts w:ascii="Times New Roman" w:hAnsi="Times New Roman" w:eastAsia="仿宋_GB2312"/>
          <w:color w:val="000000" w:themeColor="text1"/>
          <w:sz w:val="32"/>
          <w:szCs w:val="32"/>
          <w14:textFill>
            <w14:solidFill>
              <w14:schemeClr w14:val="tx1"/>
            </w14:solidFill>
          </w14:textFill>
        </w:rPr>
        <w:t>尚未盈利的风险。</w:t>
      </w:r>
    </w:p>
    <w:p>
      <w:pPr>
        <w:widowControl/>
        <w:shd w:val="clear" w:color="auto" w:fill="FFFFFF"/>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对科创成长层公司负有持续督导</w:t>
      </w:r>
      <w:r>
        <w:rPr>
          <w:rFonts w:hint="eastAsia" w:ascii="Times New Roman" w:hAnsi="Times New Roman" w:eastAsia="仿宋_GB2312"/>
          <w:color w:val="000000" w:themeColor="text1"/>
          <w:sz w:val="32"/>
          <w:szCs w:val="32"/>
          <w:lang w:eastAsia="zh-CN"/>
          <w14:textFill>
            <w14:solidFill>
              <w14:schemeClr w14:val="tx1"/>
            </w14:solidFill>
          </w14:textFill>
        </w:rPr>
        <w:t>义务</w:t>
      </w:r>
      <w:r>
        <w:rPr>
          <w:rFonts w:hint="eastAsia" w:ascii="Times New Roman" w:hAnsi="Times New Roman" w:eastAsia="仿宋_GB2312"/>
          <w:color w:val="000000" w:themeColor="text1"/>
          <w:sz w:val="32"/>
          <w:szCs w:val="32"/>
          <w14:textFill>
            <w14:solidFill>
              <w14:schemeClr w14:val="tx1"/>
            </w14:solidFill>
          </w14:textFill>
        </w:rPr>
        <w:t>的保荐机构，应当按照《科创板上市规则》的规定履行督导</w:t>
      </w:r>
      <w:r>
        <w:rPr>
          <w:rFonts w:hint="eastAsia" w:ascii="Times New Roman" w:hAnsi="Times New Roman" w:eastAsia="仿宋_GB2312"/>
          <w:color w:val="000000" w:themeColor="text1"/>
          <w:sz w:val="32"/>
          <w:szCs w:val="32"/>
          <w:lang w:eastAsia="zh-CN"/>
          <w14:textFill>
            <w14:solidFill>
              <w14:schemeClr w14:val="tx1"/>
            </w14:solidFill>
          </w14:textFill>
        </w:rPr>
        <w:t>职责</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在持续督导跟踪报告显著位置就上市公司是否存在前款规定的风险发表结论性意见。</w:t>
      </w:r>
    </w:p>
    <w:p>
      <w:pPr>
        <w:widowControl/>
        <w:shd w:val="clear" w:color="auto" w:fill="FFFFFF"/>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s="黑体"/>
          <w:bCs/>
          <w:sz w:val="32"/>
          <w:szCs w:val="32"/>
        </w:rPr>
        <w:t>第七条</w:t>
      </w:r>
      <w:r>
        <w:rPr>
          <w:rFonts w:hint="eastAsia" w:ascii="Times New Roman" w:hAnsi="Times New Roman" w:eastAsia="仿宋_GB2312"/>
          <w:b/>
          <w:sz w:val="32"/>
          <w:szCs w:val="32"/>
          <w:lang w:eastAsia="zh-CN"/>
        </w:rPr>
        <w:t>【</w:t>
      </w:r>
      <w:r>
        <w:rPr>
          <w:rFonts w:hint="eastAsia" w:ascii="Times New Roman" w:hAnsi="Times New Roman" w:eastAsia="华文楷体" w:cs="Times New Roman"/>
          <w:b w:val="0"/>
          <w:color w:val="000000" w:themeColor="text1"/>
          <w:sz w:val="32"/>
          <w:szCs w:val="32"/>
          <w:highlight w:val="none"/>
          <w14:textFill>
            <w14:solidFill>
              <w14:schemeClr w14:val="tx1"/>
            </w14:solidFill>
          </w14:textFill>
        </w:rPr>
        <w:t>临时报告信息披露</w:t>
      </w:r>
      <w:r>
        <w:rPr>
          <w:rFonts w:hint="eastAsia" w:ascii="Times New Roman" w:hAnsi="Times New Roman" w:eastAsia="仿宋_GB2312"/>
          <w:b/>
          <w:sz w:val="32"/>
          <w:szCs w:val="32"/>
          <w:lang w:eastAsia="zh-CN"/>
        </w:rPr>
        <w:t>】</w:t>
      </w:r>
      <w:r>
        <w:rPr>
          <w:rFonts w:hint="eastAsia" w:ascii="Times New Roman" w:hAnsi="Times New Roman" w:eastAsia="仿宋_GB2312"/>
          <w:color w:val="000000" w:themeColor="text1"/>
          <w:sz w:val="32"/>
          <w:szCs w:val="32"/>
          <w14:textFill>
            <w14:solidFill>
              <w14:schemeClr w14:val="tx1"/>
            </w14:solidFill>
          </w14:textFill>
        </w:rPr>
        <w:t>科创成长层公司发生对公司技术创新与研发能力、成长前景或者盈余改善有重大不利影响的风险或者负面事项的，应当及时披露具体情况及其影响。</w:t>
      </w:r>
    </w:p>
    <w:p>
      <w:pPr>
        <w:widowControl/>
        <w:shd w:val="clear" w:color="auto" w:fill="FFFFFF"/>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对科创成长层公司负有持续督导</w:t>
      </w:r>
      <w:r>
        <w:rPr>
          <w:rFonts w:hint="eastAsia" w:ascii="Times New Roman" w:hAnsi="Times New Roman" w:eastAsia="仿宋_GB2312"/>
          <w:color w:val="000000" w:themeColor="text1"/>
          <w:sz w:val="32"/>
          <w:szCs w:val="32"/>
          <w:lang w:eastAsia="zh-CN"/>
          <w14:textFill>
            <w14:solidFill>
              <w14:schemeClr w14:val="tx1"/>
            </w14:solidFill>
          </w14:textFill>
        </w:rPr>
        <w:t>义务</w:t>
      </w:r>
      <w:bookmarkStart w:id="0" w:name="_GoBack"/>
      <w:bookmarkEnd w:id="0"/>
      <w:r>
        <w:rPr>
          <w:rFonts w:hint="eastAsia" w:ascii="Times New Roman" w:hAnsi="Times New Roman" w:eastAsia="仿宋_GB2312"/>
          <w:color w:val="000000" w:themeColor="text1"/>
          <w:sz w:val="32"/>
          <w:szCs w:val="32"/>
          <w14:textFill>
            <w14:solidFill>
              <w14:schemeClr w14:val="tx1"/>
            </w14:solidFill>
          </w14:textFill>
        </w:rPr>
        <w:t>的保荐机构，应当识别并督促公司披露前款规定的风险或者负面事项。</w:t>
      </w:r>
    </w:p>
    <w:p>
      <w:pPr>
        <w:widowControl/>
        <w:shd w:val="clear" w:color="auto" w:fill="FFFFFF"/>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黑体" w:cs="黑体"/>
          <w:bCs/>
          <w:sz w:val="32"/>
          <w:szCs w:val="32"/>
        </w:rPr>
        <w:t>第八条</w:t>
      </w:r>
      <w:r>
        <w:rPr>
          <w:rFonts w:hint="eastAsia" w:ascii="Times New Roman" w:hAnsi="Times New Roman" w:eastAsia="仿宋_GB2312"/>
          <w:b/>
          <w:sz w:val="32"/>
          <w:szCs w:val="32"/>
          <w:lang w:eastAsia="zh-CN"/>
        </w:rPr>
        <w:t>【</w:t>
      </w:r>
      <w:r>
        <w:rPr>
          <w:rFonts w:hint="eastAsia" w:ascii="Times New Roman" w:hAnsi="Times New Roman" w:eastAsia="华文楷体" w:cs="Times New Roman"/>
          <w:b w:val="0"/>
          <w:color w:val="000000" w:themeColor="text1"/>
          <w:sz w:val="32"/>
          <w:szCs w:val="32"/>
          <w:highlight w:val="none"/>
          <w14:textFill>
            <w14:solidFill>
              <w14:schemeClr w14:val="tx1"/>
            </w14:solidFill>
          </w14:textFill>
        </w:rPr>
        <w:t>异常波动核查</w:t>
      </w:r>
      <w:r>
        <w:rPr>
          <w:rFonts w:hint="eastAsia" w:ascii="Times New Roman" w:hAnsi="Times New Roman" w:eastAsia="仿宋_GB2312"/>
          <w:b/>
          <w:sz w:val="32"/>
          <w:szCs w:val="32"/>
          <w:lang w:eastAsia="zh-CN"/>
        </w:rPr>
        <w:t>】</w:t>
      </w:r>
      <w:r>
        <w:rPr>
          <w:rFonts w:hint="eastAsia" w:ascii="Times New Roman" w:hAnsi="Times New Roman" w:eastAsia="仿宋_GB2312"/>
          <w:color w:val="000000" w:themeColor="text1"/>
          <w:sz w:val="32"/>
          <w:szCs w:val="32"/>
          <w14:textFill>
            <w14:solidFill>
              <w14:schemeClr w14:val="tx1"/>
            </w14:solidFill>
          </w14:textFill>
        </w:rPr>
        <w:t>科创成长层公司股票或者存托凭证在层次调整前后的交易出现异常波动的，公司应当按照</w:t>
      </w:r>
      <w:r>
        <w:rPr>
          <w:rFonts w:hint="eastAsia" w:ascii="Times New Roman" w:hAnsi="Times New Roman" w:eastAsia="仿宋_GB2312"/>
          <w:color w:val="000000"/>
          <w:kern w:val="0"/>
          <w:sz w:val="32"/>
          <w:szCs w:val="32"/>
        </w:rPr>
        <w:t>《科创板上市规则》的规定进行核查、披露核查公告并向市场提示异常波动投资风险。</w:t>
      </w:r>
    </w:p>
    <w:p>
      <w:pPr>
        <w:widowControl/>
        <w:shd w:val="clear" w:color="auto" w:fill="FFFFFF"/>
        <w:spacing w:line="560" w:lineRule="exact"/>
        <w:ind w:firstLine="640" w:firstLineChars="200"/>
        <w:rPr>
          <w:rFonts w:ascii="Times New Roman" w:hAnsi="Times New Roman" w:eastAsia="仿宋_GB2312"/>
          <w:b/>
          <w:sz w:val="32"/>
          <w:szCs w:val="32"/>
        </w:rPr>
      </w:pPr>
      <w:r>
        <w:rPr>
          <w:rFonts w:hint="eastAsia" w:ascii="Times New Roman" w:hAnsi="Times New Roman" w:eastAsia="黑体" w:cs="黑体"/>
          <w:bCs/>
          <w:sz w:val="32"/>
          <w:szCs w:val="32"/>
        </w:rPr>
        <w:t>第九条</w:t>
      </w:r>
      <w:r>
        <w:rPr>
          <w:rFonts w:hint="eastAsia" w:ascii="Times New Roman" w:hAnsi="Times New Roman" w:eastAsia="仿宋_GB2312"/>
          <w:b/>
          <w:sz w:val="32"/>
          <w:szCs w:val="32"/>
        </w:rPr>
        <w:t xml:space="preserve"> </w:t>
      </w:r>
      <w:r>
        <w:rPr>
          <w:rFonts w:hint="eastAsia" w:ascii="Times New Roman" w:hAnsi="Times New Roman" w:eastAsia="仿宋_GB2312"/>
          <w:b/>
          <w:sz w:val="32"/>
          <w:szCs w:val="32"/>
          <w:lang w:eastAsia="zh-CN"/>
        </w:rPr>
        <w:t>【</w:t>
      </w:r>
      <w:r>
        <w:rPr>
          <w:rFonts w:hint="eastAsia" w:ascii="Times New Roman" w:hAnsi="Times New Roman" w:eastAsia="华文楷体" w:cs="Times New Roman"/>
          <w:b w:val="0"/>
          <w:color w:val="000000" w:themeColor="text1"/>
          <w:sz w:val="32"/>
          <w:szCs w:val="32"/>
          <w:highlight w:val="none"/>
          <w14:textFill>
            <w14:solidFill>
              <w14:schemeClr w14:val="tx1"/>
            </w14:solidFill>
          </w14:textFill>
        </w:rPr>
        <w:t>特殊标识和风险揭示书</w:t>
      </w:r>
      <w:r>
        <w:rPr>
          <w:rFonts w:hint="eastAsia" w:ascii="Times New Roman" w:hAnsi="Times New Roman" w:eastAsia="仿宋_GB2312"/>
          <w:b/>
          <w:sz w:val="32"/>
          <w:szCs w:val="32"/>
          <w:lang w:eastAsia="zh-CN"/>
        </w:rPr>
        <w:t>】</w:t>
      </w:r>
      <w:r>
        <w:rPr>
          <w:rFonts w:hint="eastAsia" w:ascii="Times New Roman" w:hAnsi="Times New Roman" w:eastAsia="仿宋_GB2312"/>
          <w:color w:val="000000" w:themeColor="text1"/>
          <w:sz w:val="32"/>
          <w:szCs w:val="32"/>
          <w14:textFill>
            <w14:solidFill>
              <w14:schemeClr w14:val="tx1"/>
            </w14:solidFill>
          </w14:textFill>
        </w:rPr>
        <w:t>本所对</w:t>
      </w:r>
      <w:r>
        <w:rPr>
          <w:rFonts w:ascii="Times New Roman" w:hAnsi="Times New Roman" w:eastAsia="仿宋_GB2312"/>
          <w:color w:val="000000" w:themeColor="text1"/>
          <w:sz w:val="32"/>
          <w:szCs w:val="32"/>
          <w14:textFill>
            <w14:solidFill>
              <w14:schemeClr w14:val="tx1"/>
            </w14:solidFill>
          </w14:textFill>
        </w:rPr>
        <w:t>科创成长层</w:t>
      </w:r>
      <w:r>
        <w:rPr>
          <w:rFonts w:hint="eastAsia" w:ascii="Times New Roman" w:hAnsi="Times New Roman" w:eastAsia="仿宋_GB2312"/>
          <w:color w:val="000000" w:themeColor="text1"/>
          <w:sz w:val="32"/>
          <w:szCs w:val="32"/>
          <w14:textFill>
            <w14:solidFill>
              <w14:schemeClr w14:val="tx1"/>
            </w14:solidFill>
          </w14:textFill>
        </w:rPr>
        <w:t>公司的</w:t>
      </w:r>
      <w:r>
        <w:rPr>
          <w:rFonts w:ascii="Times New Roman" w:hAnsi="Times New Roman" w:eastAsia="仿宋_GB2312"/>
          <w:color w:val="000000" w:themeColor="text1"/>
          <w:sz w:val="32"/>
          <w:szCs w:val="32"/>
          <w14:textFill>
            <w14:solidFill>
              <w14:schemeClr w14:val="tx1"/>
            </w14:solidFill>
          </w14:textFill>
        </w:rPr>
        <w:t>股票</w:t>
      </w:r>
      <w:r>
        <w:rPr>
          <w:rFonts w:hint="eastAsia" w:ascii="Times New Roman" w:hAnsi="Times New Roman" w:eastAsia="仿宋_GB2312"/>
          <w:color w:val="000000" w:themeColor="text1"/>
          <w:sz w:val="32"/>
          <w:szCs w:val="32"/>
          <w14:textFill>
            <w14:solidFill>
              <w14:schemeClr w14:val="tx1"/>
            </w14:solidFill>
          </w14:textFill>
        </w:rPr>
        <w:t>或者存托凭证进行</w:t>
      </w:r>
      <w:r>
        <w:rPr>
          <w:rFonts w:ascii="Times New Roman" w:hAnsi="Times New Roman" w:eastAsia="仿宋_GB2312"/>
          <w:color w:val="000000" w:themeColor="text1"/>
          <w:sz w:val="32"/>
          <w:szCs w:val="32"/>
          <w14:textFill>
            <w14:solidFill>
              <w14:schemeClr w14:val="tx1"/>
            </w14:solidFill>
          </w14:textFill>
        </w:rPr>
        <w:t>特殊标识</w:t>
      </w:r>
      <w:r>
        <w:rPr>
          <w:rFonts w:hint="eastAsia" w:ascii="Times New Roman" w:hAnsi="Times New Roman" w:eastAsia="仿宋_GB2312"/>
          <w:color w:val="000000" w:themeColor="text1"/>
          <w:sz w:val="32"/>
          <w:szCs w:val="32"/>
          <w14:textFill>
            <w14:solidFill>
              <w14:schemeClr w14:val="tx1"/>
            </w14:solidFill>
          </w14:textFill>
        </w:rPr>
        <w:t>管理，在该股票或者存托凭证的简称后增加“U”</w:t>
      </w:r>
      <w:r>
        <w:rPr>
          <w:rFonts w:ascii="Times New Roman" w:hAnsi="Times New Roman" w:eastAsia="仿宋_GB2312"/>
          <w:color w:val="000000" w:themeColor="text1"/>
          <w:sz w:val="32"/>
          <w:szCs w:val="32"/>
          <w14:textFill>
            <w14:solidFill>
              <w14:schemeClr w14:val="tx1"/>
            </w14:solidFill>
          </w14:textFill>
        </w:rPr>
        <w:t>。</w:t>
      </w:r>
    </w:p>
    <w:p>
      <w:pPr>
        <w:widowControl/>
        <w:shd w:val="clear" w:color="auto" w:fill="FFFFFF"/>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参与科创成长层股票</w:t>
      </w:r>
      <w:r>
        <w:rPr>
          <w:rFonts w:hint="eastAsia" w:ascii="Times New Roman" w:hAnsi="Times New Roman" w:eastAsia="仿宋_GB2312"/>
          <w:color w:val="000000" w:themeColor="text1"/>
          <w:sz w:val="32"/>
          <w:szCs w:val="32"/>
          <w14:textFill>
            <w14:solidFill>
              <w14:schemeClr w14:val="tx1"/>
            </w14:solidFill>
          </w14:textFill>
        </w:rPr>
        <w:t>或者存托凭证</w:t>
      </w:r>
      <w:r>
        <w:rPr>
          <w:rFonts w:ascii="Times New Roman" w:hAnsi="Times New Roman" w:eastAsia="仿宋_GB2312"/>
          <w:color w:val="000000" w:themeColor="text1"/>
          <w:sz w:val="32"/>
          <w:szCs w:val="32"/>
          <w14:textFill>
            <w14:solidFill>
              <w14:schemeClr w14:val="tx1"/>
            </w14:solidFill>
          </w14:textFill>
        </w:rPr>
        <w:t>交易</w:t>
      </w:r>
      <w:r>
        <w:rPr>
          <w:rFonts w:hint="eastAsia" w:ascii="Times New Roman" w:hAnsi="Times New Roman" w:eastAsia="仿宋_GB2312"/>
          <w:color w:val="000000" w:themeColor="text1"/>
          <w:sz w:val="32"/>
          <w:szCs w:val="32"/>
          <w14:textFill>
            <w14:solidFill>
              <w14:schemeClr w14:val="tx1"/>
            </w14:solidFill>
          </w14:textFill>
        </w:rPr>
        <w:t>的投资者应当符合</w:t>
      </w:r>
      <w:r>
        <w:rPr>
          <w:rFonts w:ascii="Times New Roman" w:hAnsi="Times New Roman" w:eastAsia="仿宋_GB2312"/>
          <w:color w:val="000000" w:themeColor="text1"/>
          <w:sz w:val="32"/>
          <w:szCs w:val="32"/>
          <w14:textFill>
            <w14:solidFill>
              <w14:schemeClr w14:val="tx1"/>
            </w14:solidFill>
          </w14:textFill>
        </w:rPr>
        <w:t>科创板投资者适当性管理</w:t>
      </w:r>
      <w:r>
        <w:rPr>
          <w:rFonts w:hint="eastAsia" w:ascii="Times New Roman" w:hAnsi="Times New Roman" w:eastAsia="仿宋_GB2312"/>
          <w:color w:val="000000" w:themeColor="text1"/>
          <w:sz w:val="32"/>
          <w:szCs w:val="32"/>
          <w14:textFill>
            <w14:solidFill>
              <w14:schemeClr w14:val="tx1"/>
            </w14:solidFill>
          </w14:textFill>
        </w:rPr>
        <w:t>的</w:t>
      </w:r>
      <w:r>
        <w:rPr>
          <w:rFonts w:ascii="Times New Roman" w:hAnsi="Times New Roman" w:eastAsia="仿宋_GB2312"/>
          <w:color w:val="000000" w:themeColor="text1"/>
          <w:sz w:val="32"/>
          <w:szCs w:val="32"/>
          <w14:textFill>
            <w14:solidFill>
              <w14:schemeClr w14:val="tx1"/>
            </w14:solidFill>
          </w14:textFill>
        </w:rPr>
        <w:t>要求</w:t>
      </w:r>
      <w:r>
        <w:rPr>
          <w:rFonts w:hint="eastAsia" w:ascii="Times New Roman" w:hAnsi="Times New Roman" w:eastAsia="仿宋_GB2312"/>
          <w:color w:val="000000" w:themeColor="text1"/>
          <w:sz w:val="32"/>
          <w:szCs w:val="32"/>
          <w14:textFill>
            <w14:solidFill>
              <w14:schemeClr w14:val="tx1"/>
            </w14:solidFill>
          </w14:textFill>
        </w:rPr>
        <w:t>，并按照本所有关规定在首次参与交易前</w:t>
      </w:r>
      <w:r>
        <w:rPr>
          <w:rFonts w:ascii="Times New Roman" w:hAnsi="Times New Roman" w:eastAsia="仿宋_GB2312"/>
          <w:color w:val="000000" w:themeColor="text1"/>
          <w:sz w:val="32"/>
          <w:szCs w:val="32"/>
          <w14:textFill>
            <w14:solidFill>
              <w14:schemeClr w14:val="tx1"/>
            </w14:solidFill>
          </w14:textFill>
        </w:rPr>
        <w:t>签署风险揭示书</w:t>
      </w:r>
      <w:r>
        <w:rPr>
          <w:rFonts w:hint="eastAsia" w:ascii="Times New Roman" w:hAnsi="Times New Roman" w:eastAsia="仿宋_GB2312"/>
          <w:color w:val="000000" w:themeColor="text1"/>
          <w:sz w:val="32"/>
          <w:szCs w:val="32"/>
          <w14:textFill>
            <w14:solidFill>
              <w14:schemeClr w14:val="tx1"/>
            </w14:solidFill>
          </w14:textFill>
        </w:rPr>
        <w:t>。</w:t>
      </w:r>
    </w:p>
    <w:p>
      <w:pPr>
        <w:widowControl/>
        <w:shd w:val="clear" w:color="auto" w:fill="FFFFFF"/>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投资者参与本指引发布前已上市且上市后尚未首次实现盈利的科创板公司股票或者存托凭证交易的，不适用前款关于签署风险揭示书的规定。</w:t>
      </w:r>
    </w:p>
    <w:p>
      <w:pPr>
        <w:widowControl/>
        <w:shd w:val="clear" w:color="auto" w:fill="FFFFFF"/>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s="黑体"/>
          <w:bCs/>
          <w:sz w:val="32"/>
          <w:szCs w:val="32"/>
        </w:rPr>
        <w:t>第十条</w:t>
      </w:r>
      <w:r>
        <w:rPr>
          <w:rFonts w:hint="eastAsia" w:ascii="Times New Roman" w:hAnsi="Times New Roman" w:eastAsia="仿宋_GB2312"/>
          <w:b/>
          <w:sz w:val="32"/>
          <w:szCs w:val="32"/>
          <w:lang w:eastAsia="zh-CN"/>
        </w:rPr>
        <w:t>【</w:t>
      </w:r>
      <w:r>
        <w:rPr>
          <w:rFonts w:hint="eastAsia" w:ascii="Times New Roman" w:hAnsi="Times New Roman" w:eastAsia="华文楷体" w:cs="Times New Roman"/>
          <w:b w:val="0"/>
          <w:color w:val="000000" w:themeColor="text1"/>
          <w:sz w:val="32"/>
          <w:szCs w:val="32"/>
          <w:highlight w:val="none"/>
          <w14:textFill>
            <w14:solidFill>
              <w14:schemeClr w14:val="tx1"/>
            </w14:solidFill>
          </w14:textFill>
        </w:rPr>
        <w:t>日常监管</w:t>
      </w:r>
      <w:r>
        <w:rPr>
          <w:rFonts w:hint="eastAsia" w:ascii="Times New Roman" w:hAnsi="Times New Roman" w:eastAsia="仿宋_GB2312"/>
          <w:b/>
          <w:sz w:val="32"/>
          <w:szCs w:val="32"/>
          <w:lang w:eastAsia="zh-CN"/>
        </w:rPr>
        <w:t>】</w:t>
      </w:r>
      <w:r>
        <w:rPr>
          <w:rFonts w:hint="eastAsia" w:ascii="Times New Roman" w:hAnsi="Times New Roman" w:eastAsia="仿宋_GB2312"/>
          <w:bCs/>
          <w:color w:val="000000" w:themeColor="text1"/>
          <w:sz w:val="32"/>
          <w:szCs w:val="32"/>
          <w14:textFill>
            <w14:solidFill>
              <w14:schemeClr w14:val="tx1"/>
            </w14:solidFill>
          </w14:textFill>
        </w:rPr>
        <w:t>本所加强对</w:t>
      </w:r>
      <w:r>
        <w:rPr>
          <w:rFonts w:hint="eastAsia" w:ascii="Times New Roman" w:hAnsi="Times New Roman" w:eastAsia="仿宋_GB2312"/>
          <w:color w:val="000000" w:themeColor="text1"/>
          <w:sz w:val="32"/>
          <w:szCs w:val="32"/>
          <w14:textFill>
            <w14:solidFill>
              <w14:schemeClr w14:val="tx1"/>
            </w14:solidFill>
          </w14:textFill>
        </w:rPr>
        <w:t>科创成长层公司信息披露与规范运作、持续督导机构职责履行、科创成长层证券交易活动等的自律监管，发现违反</w:t>
      </w:r>
      <w:r>
        <w:rPr>
          <w:rFonts w:hint="eastAsia" w:ascii="Times New Roman" w:hAnsi="Times New Roman" w:eastAsia="仿宋_GB2312"/>
          <w:color w:val="000000"/>
          <w:kern w:val="0"/>
          <w:sz w:val="32"/>
          <w:szCs w:val="32"/>
        </w:rPr>
        <w:t>《科创板上市规则》、本指引</w:t>
      </w:r>
      <w:r>
        <w:rPr>
          <w:rFonts w:hint="eastAsia" w:ascii="Times New Roman" w:hAnsi="Times New Roman" w:eastAsia="仿宋_GB2312"/>
          <w:color w:val="000000"/>
          <w:kern w:val="0"/>
          <w:sz w:val="32"/>
          <w:szCs w:val="32"/>
          <w:lang w:eastAsia="zh-CN"/>
        </w:rPr>
        <w:t>或者</w:t>
      </w:r>
      <w:r>
        <w:rPr>
          <w:rFonts w:hint="eastAsia" w:ascii="Times New Roman" w:hAnsi="Times New Roman" w:eastAsia="仿宋_GB2312"/>
          <w:color w:val="000000"/>
          <w:kern w:val="0"/>
          <w:sz w:val="32"/>
          <w:szCs w:val="32"/>
        </w:rPr>
        <w:t>本所其他业务规则的，依照规定对</w:t>
      </w:r>
      <w:r>
        <w:rPr>
          <w:rFonts w:hint="eastAsia" w:ascii="Times New Roman" w:hAnsi="Times New Roman" w:eastAsia="仿宋_GB2312"/>
          <w:color w:val="000000" w:themeColor="text1"/>
          <w:sz w:val="32"/>
          <w:szCs w:val="32"/>
          <w14:textFill>
            <w14:solidFill>
              <w14:schemeClr w14:val="tx1"/>
            </w14:solidFill>
          </w14:textFill>
        </w:rPr>
        <w:t>公司或者相关主体采取纪律处分或者监管措施；发现涉嫌证券违法的，报中国证监会查处。</w:t>
      </w:r>
    </w:p>
    <w:p>
      <w:pPr>
        <w:widowControl/>
        <w:shd w:val="clear" w:color="auto" w:fill="FFFFFF"/>
        <w:spacing w:line="560" w:lineRule="exact"/>
        <w:ind w:firstLine="640" w:firstLineChars="200"/>
        <w:rPr>
          <w:rFonts w:ascii="Times New Roman" w:hAnsi="Times New Roman" w:eastAsia="仿宋_GB2312"/>
          <w:b/>
          <w:sz w:val="32"/>
          <w:szCs w:val="32"/>
        </w:rPr>
      </w:pPr>
      <w:r>
        <w:rPr>
          <w:rFonts w:hint="eastAsia" w:ascii="Times New Roman" w:hAnsi="Times New Roman" w:eastAsia="黑体" w:cs="黑体"/>
          <w:bCs/>
          <w:sz w:val="32"/>
          <w:szCs w:val="32"/>
        </w:rPr>
        <w:t>第十一条</w:t>
      </w:r>
      <w:r>
        <w:rPr>
          <w:rFonts w:hint="eastAsia" w:ascii="Times New Roman" w:hAnsi="Times New Roman" w:eastAsia="仿宋_GB2312"/>
          <w:b/>
          <w:sz w:val="32"/>
          <w:szCs w:val="32"/>
        </w:rPr>
        <w:t xml:space="preserve"> </w:t>
      </w:r>
      <w:r>
        <w:rPr>
          <w:rFonts w:hint="eastAsia" w:ascii="Times New Roman" w:hAnsi="Times New Roman" w:eastAsia="仿宋_GB2312"/>
          <w:b/>
          <w:sz w:val="32"/>
          <w:szCs w:val="32"/>
          <w:lang w:eastAsia="zh-CN"/>
        </w:rPr>
        <w:t>【</w:t>
      </w:r>
      <w:r>
        <w:rPr>
          <w:rFonts w:hint="eastAsia" w:ascii="Times New Roman" w:hAnsi="Times New Roman" w:eastAsia="华文楷体" w:cs="Times New Roman"/>
          <w:b w:val="0"/>
          <w:color w:val="000000" w:themeColor="text1"/>
          <w:sz w:val="32"/>
          <w:szCs w:val="32"/>
          <w:highlight w:val="none"/>
          <w14:textFill>
            <w14:solidFill>
              <w14:schemeClr w14:val="tx1"/>
            </w14:solidFill>
          </w14:textFill>
        </w:rPr>
        <w:t>解释权</w:t>
      </w:r>
      <w:r>
        <w:rPr>
          <w:rFonts w:hint="eastAsia" w:ascii="Times New Roman" w:hAnsi="Times New Roman" w:eastAsia="仿宋_GB2312"/>
          <w:b/>
          <w:sz w:val="32"/>
          <w:szCs w:val="32"/>
          <w:lang w:eastAsia="zh-CN"/>
        </w:rPr>
        <w:t>】</w:t>
      </w:r>
      <w:r>
        <w:rPr>
          <w:rFonts w:hint="eastAsia" w:ascii="Times New Roman" w:hAnsi="Times New Roman" w:eastAsia="仿宋_GB2312"/>
          <w:sz w:val="32"/>
          <w:szCs w:val="32"/>
        </w:rPr>
        <w:t>本指引由本所负责解释。</w:t>
      </w:r>
    </w:p>
    <w:p>
      <w:pPr>
        <w:widowControl/>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黑体" w:cs="黑体"/>
          <w:bCs/>
          <w:sz w:val="32"/>
          <w:szCs w:val="32"/>
        </w:rPr>
        <w:t>第十二条</w:t>
      </w:r>
      <w:r>
        <w:rPr>
          <w:rFonts w:hint="eastAsia" w:ascii="Times New Roman" w:hAnsi="Times New Roman" w:eastAsia="仿宋_GB2312"/>
          <w:b/>
          <w:sz w:val="32"/>
          <w:szCs w:val="32"/>
        </w:rPr>
        <w:t xml:space="preserve"> </w:t>
      </w:r>
      <w:r>
        <w:rPr>
          <w:rFonts w:hint="eastAsia" w:ascii="Times New Roman" w:hAnsi="Times New Roman" w:eastAsia="仿宋_GB2312"/>
          <w:b/>
          <w:sz w:val="32"/>
          <w:szCs w:val="32"/>
          <w:lang w:eastAsia="zh-CN"/>
        </w:rPr>
        <w:t>【</w:t>
      </w:r>
      <w:r>
        <w:rPr>
          <w:rFonts w:hint="eastAsia" w:ascii="Times New Roman" w:hAnsi="Times New Roman" w:eastAsia="华文楷体" w:cs="Times New Roman"/>
          <w:b w:val="0"/>
          <w:color w:val="000000" w:themeColor="text1"/>
          <w:sz w:val="32"/>
          <w:szCs w:val="32"/>
          <w:highlight w:val="none"/>
          <w14:textFill>
            <w14:solidFill>
              <w14:schemeClr w14:val="tx1"/>
            </w14:solidFill>
          </w14:textFill>
        </w:rPr>
        <w:t>发布实施</w:t>
      </w:r>
      <w:r>
        <w:rPr>
          <w:rFonts w:hint="eastAsia" w:ascii="Times New Roman" w:hAnsi="Times New Roman" w:eastAsia="仿宋_GB2312"/>
          <w:b/>
          <w:sz w:val="32"/>
          <w:szCs w:val="32"/>
          <w:lang w:eastAsia="zh-CN"/>
        </w:rPr>
        <w:t>】</w:t>
      </w:r>
      <w:r>
        <w:rPr>
          <w:rFonts w:hint="eastAsia" w:ascii="Times New Roman" w:hAnsi="Times New Roman" w:eastAsia="仿宋_GB2312"/>
          <w:sz w:val="32"/>
          <w:szCs w:val="32"/>
        </w:rPr>
        <w:t>本指引自发布之日起施行。</w:t>
      </w:r>
    </w:p>
    <w:p>
      <w:pPr>
        <w:rPr>
          <w:rFonts w:ascii="Times New Roman" w:hAnsi="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大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4"/>
        <w:szCs w:val="24"/>
      </w:rPr>
      <w:id w:val="-199785275"/>
      <w:docPartObj>
        <w:docPartGallery w:val="autotext"/>
      </w:docPartObj>
    </w:sdtPr>
    <w:sdtEndPr>
      <w:rPr>
        <w:rFonts w:ascii="Times New Roman" w:hAnsi="Times New Roman" w:cs="Times New Roman"/>
        <w:sz w:val="24"/>
        <w:szCs w:val="24"/>
      </w:rPr>
    </w:sdtEndPr>
    <w:sdtContent>
      <w:p>
        <w:pPr>
          <w:pStyle w:val="5"/>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w:t>
        </w:r>
        <w:r>
          <w:rPr>
            <w:rFonts w:ascii="Times New Roman" w:hAnsi="Times New Roman" w:cs="Times New Roman"/>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2C0"/>
    <w:rsid w:val="000619BA"/>
    <w:rsid w:val="00087022"/>
    <w:rsid w:val="000A3417"/>
    <w:rsid w:val="000C58D8"/>
    <w:rsid w:val="000C685C"/>
    <w:rsid w:val="000F4557"/>
    <w:rsid w:val="00124D97"/>
    <w:rsid w:val="001534A0"/>
    <w:rsid w:val="00167C6D"/>
    <w:rsid w:val="00167FEA"/>
    <w:rsid w:val="001E03FD"/>
    <w:rsid w:val="00221445"/>
    <w:rsid w:val="0025453E"/>
    <w:rsid w:val="00260DB7"/>
    <w:rsid w:val="00276E1A"/>
    <w:rsid w:val="0028444E"/>
    <w:rsid w:val="002A6125"/>
    <w:rsid w:val="002D4999"/>
    <w:rsid w:val="002F34D6"/>
    <w:rsid w:val="002F550F"/>
    <w:rsid w:val="00314287"/>
    <w:rsid w:val="0031621C"/>
    <w:rsid w:val="00324DCC"/>
    <w:rsid w:val="00347CEF"/>
    <w:rsid w:val="00364B1B"/>
    <w:rsid w:val="003B0DB6"/>
    <w:rsid w:val="003D281C"/>
    <w:rsid w:val="00407EFF"/>
    <w:rsid w:val="00462FB1"/>
    <w:rsid w:val="0049438E"/>
    <w:rsid w:val="004B1E29"/>
    <w:rsid w:val="004C0047"/>
    <w:rsid w:val="004C389F"/>
    <w:rsid w:val="0051159D"/>
    <w:rsid w:val="00520C1B"/>
    <w:rsid w:val="00540EF2"/>
    <w:rsid w:val="00592348"/>
    <w:rsid w:val="005A33C6"/>
    <w:rsid w:val="005C70BD"/>
    <w:rsid w:val="005D7681"/>
    <w:rsid w:val="00646C40"/>
    <w:rsid w:val="00650980"/>
    <w:rsid w:val="00682A0E"/>
    <w:rsid w:val="006954B8"/>
    <w:rsid w:val="00697903"/>
    <w:rsid w:val="006D68C4"/>
    <w:rsid w:val="006F05E2"/>
    <w:rsid w:val="007700EE"/>
    <w:rsid w:val="007A1DB0"/>
    <w:rsid w:val="00810152"/>
    <w:rsid w:val="00827336"/>
    <w:rsid w:val="0088179A"/>
    <w:rsid w:val="00885990"/>
    <w:rsid w:val="008F6B59"/>
    <w:rsid w:val="009522C0"/>
    <w:rsid w:val="00994D49"/>
    <w:rsid w:val="009A601F"/>
    <w:rsid w:val="009D0484"/>
    <w:rsid w:val="009D64B3"/>
    <w:rsid w:val="009F4583"/>
    <w:rsid w:val="00A25816"/>
    <w:rsid w:val="00A72FF9"/>
    <w:rsid w:val="00A869F8"/>
    <w:rsid w:val="00A90F7C"/>
    <w:rsid w:val="00B41701"/>
    <w:rsid w:val="00BF65D1"/>
    <w:rsid w:val="00C0124E"/>
    <w:rsid w:val="00C307E0"/>
    <w:rsid w:val="00C334CB"/>
    <w:rsid w:val="00C3424E"/>
    <w:rsid w:val="00C421A3"/>
    <w:rsid w:val="00C51BA1"/>
    <w:rsid w:val="00C92F9B"/>
    <w:rsid w:val="00CC7895"/>
    <w:rsid w:val="00D06388"/>
    <w:rsid w:val="00D15FC5"/>
    <w:rsid w:val="00D31E62"/>
    <w:rsid w:val="00D32F10"/>
    <w:rsid w:val="00D64203"/>
    <w:rsid w:val="00DE2F35"/>
    <w:rsid w:val="00E34257"/>
    <w:rsid w:val="00E67FF3"/>
    <w:rsid w:val="00EA2455"/>
    <w:rsid w:val="00ED07DB"/>
    <w:rsid w:val="00EF3F4E"/>
    <w:rsid w:val="00F20761"/>
    <w:rsid w:val="00F430CB"/>
    <w:rsid w:val="00FB293D"/>
    <w:rsid w:val="024D2A42"/>
    <w:rsid w:val="03950BF4"/>
    <w:rsid w:val="073D191F"/>
    <w:rsid w:val="0E470BD3"/>
    <w:rsid w:val="0FE8213B"/>
    <w:rsid w:val="1A174E2B"/>
    <w:rsid w:val="1A202959"/>
    <w:rsid w:val="1AD05380"/>
    <w:rsid w:val="1B221A8F"/>
    <w:rsid w:val="21791EFA"/>
    <w:rsid w:val="28370309"/>
    <w:rsid w:val="2B696EC7"/>
    <w:rsid w:val="2C4C4F3B"/>
    <w:rsid w:val="32BF0681"/>
    <w:rsid w:val="34006A22"/>
    <w:rsid w:val="347C43A5"/>
    <w:rsid w:val="3C2F0FC9"/>
    <w:rsid w:val="3FCE5253"/>
    <w:rsid w:val="47C538C7"/>
    <w:rsid w:val="49C00A0C"/>
    <w:rsid w:val="4A664F7F"/>
    <w:rsid w:val="4AC73F94"/>
    <w:rsid w:val="521B373F"/>
    <w:rsid w:val="55716CBC"/>
    <w:rsid w:val="557B4484"/>
    <w:rsid w:val="5A3F5530"/>
    <w:rsid w:val="5E225E5E"/>
    <w:rsid w:val="620A1194"/>
    <w:rsid w:val="63490AF3"/>
    <w:rsid w:val="68530749"/>
    <w:rsid w:val="6A402C68"/>
    <w:rsid w:val="6C8E5267"/>
    <w:rsid w:val="6F1D472A"/>
    <w:rsid w:val="739323B7"/>
    <w:rsid w:val="73DB7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pPr>
  </w:style>
  <w:style w:type="paragraph" w:styleId="3">
    <w:name w:val="annotation text"/>
    <w:basedOn w:val="1"/>
    <w:link w:val="16"/>
    <w:semiHidden/>
    <w:unhideWhenUsed/>
    <w:qFormat/>
    <w:uiPriority w:val="99"/>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semiHidden/>
    <w:unhideWhenUsed/>
    <w:qFormat/>
    <w:uiPriority w:val="99"/>
    <w:rPr>
      <w:b/>
      <w:bCs/>
    </w:rPr>
  </w:style>
  <w:style w:type="character" w:styleId="10">
    <w:name w:val="annotation reference"/>
    <w:basedOn w:val="9"/>
    <w:semiHidden/>
    <w:unhideWhenUsed/>
    <w:qFormat/>
    <w:uiPriority w:val="99"/>
    <w:rPr>
      <w:sz w:val="21"/>
      <w:szCs w:val="21"/>
    </w:rPr>
  </w:style>
  <w:style w:type="paragraph" w:customStyle="1" w:styleId="11">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
    <w:name w:val="修订2"/>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3">
    <w:name w:val="页眉 字符"/>
    <w:basedOn w:val="9"/>
    <w:link w:val="6"/>
    <w:qFormat/>
    <w:uiPriority w:val="99"/>
    <w:rPr>
      <w:kern w:val="2"/>
      <w:sz w:val="18"/>
      <w:szCs w:val="18"/>
    </w:rPr>
  </w:style>
  <w:style w:type="character" w:customStyle="1" w:styleId="14">
    <w:name w:val="页脚 字符"/>
    <w:basedOn w:val="9"/>
    <w:link w:val="5"/>
    <w:qFormat/>
    <w:uiPriority w:val="99"/>
    <w:rPr>
      <w:kern w:val="2"/>
      <w:sz w:val="18"/>
      <w:szCs w:val="18"/>
    </w:rPr>
  </w:style>
  <w:style w:type="character" w:customStyle="1" w:styleId="15">
    <w:name w:val="批注框文本 字符"/>
    <w:basedOn w:val="9"/>
    <w:link w:val="4"/>
    <w:semiHidden/>
    <w:qFormat/>
    <w:uiPriority w:val="99"/>
    <w:rPr>
      <w:kern w:val="2"/>
      <w:sz w:val="18"/>
      <w:szCs w:val="18"/>
    </w:rPr>
  </w:style>
  <w:style w:type="character" w:customStyle="1" w:styleId="16">
    <w:name w:val="批注文字 字符"/>
    <w:basedOn w:val="9"/>
    <w:link w:val="3"/>
    <w:semiHidden/>
    <w:qFormat/>
    <w:uiPriority w:val="99"/>
    <w:rPr>
      <w:kern w:val="2"/>
      <w:sz w:val="21"/>
      <w:szCs w:val="22"/>
    </w:rPr>
  </w:style>
  <w:style w:type="character" w:customStyle="1" w:styleId="17">
    <w:name w:val="批注主题 字符"/>
    <w:basedOn w:val="16"/>
    <w:link w:val="7"/>
    <w:semiHidden/>
    <w:qFormat/>
    <w:uiPriority w:val="99"/>
    <w:rPr>
      <w:b/>
      <w:bCs/>
      <w:kern w:val="2"/>
      <w:sz w:val="21"/>
      <w:szCs w:val="22"/>
    </w:rPr>
  </w:style>
  <w:style w:type="paragraph" w:customStyle="1" w:styleId="18">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237</Words>
  <Characters>1355</Characters>
  <Lines>11</Lines>
  <Paragraphs>3</Paragraphs>
  <TotalTime>2</TotalTime>
  <ScaleCrop>false</ScaleCrop>
  <LinksUpToDate>false</LinksUpToDate>
  <CharactersWithSpaces>1589</CharactersWithSpaces>
  <Application>WPS Office_12.8.0.16982_F1E327BC-269C-435d-A152-05C5408002CA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2025-06-05T06:20:00Z</dcterms:created>
  <dc:creator>魏大伟</dc:creator>
  <cp:lastModifiedBy>yiyao</cp:lastModifiedBy>
  <cp:lastPrinted>2025-06-04T09:21:00Z</cp:lastPrinted>
  <dcterms:modified xsi:type="dcterms:W3CDTF">2025-06-18T02:10:18Z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E73D2E2FD3394C91B23A9FDB53902E3C_13</vt:lpwstr>
  </property>
  <property fmtid="{D5CDD505-2E9C-101B-9397-08002B2CF9AE}" pid="4" name="KSOTemplateDocerSaveRecord">
    <vt:lpwstr>eyJoZGlkIjoiNTk4YWNjNWUxYzA0NDI1ZDMxOTViYmMzODU3OTQ2MzIifQ==</vt:lpwstr>
  </property>
</Properties>
</file>