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D35A0">
      <w:pPr>
        <w:spacing w:line="560" w:lineRule="exact"/>
        <w:rPr>
          <w:rFonts w:ascii="黑体" w:hAnsi="黑体" w:eastAsia="黑体" w:cs="黑体"/>
          <w:bCs/>
          <w:color w:val="000000"/>
          <w:sz w:val="32"/>
          <w:szCs w:val="32"/>
          <w:lang w:eastAsia="zh"/>
        </w:rPr>
      </w:pPr>
      <w:r>
        <w:rPr>
          <w:rFonts w:ascii="黑体" w:hAnsi="黑体" w:eastAsia="黑体" w:cs="黑体"/>
          <w:bCs/>
          <w:color w:val="000000"/>
          <w:sz w:val="32"/>
          <w:szCs w:val="32"/>
          <w:lang w:eastAsia="zh"/>
        </w:rPr>
        <w:t>附件</w:t>
      </w:r>
      <w:r>
        <w:rPr>
          <w:rFonts w:hint="eastAsia" w:ascii="黑体" w:hAnsi="黑体" w:eastAsia="黑体" w:cs="黑体"/>
          <w:bCs/>
          <w:color w:val="000000"/>
          <w:sz w:val="32"/>
          <w:szCs w:val="32"/>
          <w:lang w:val="en-US" w:eastAsia="zh-CN"/>
        </w:rPr>
        <w:t>5</w:t>
      </w:r>
    </w:p>
    <w:p w14:paraId="669F438E">
      <w:pPr>
        <w:spacing w:line="560" w:lineRule="exact"/>
        <w:rPr>
          <w:rFonts w:ascii="黑体" w:hAnsi="黑体" w:eastAsia="黑体" w:cs="黑体"/>
          <w:bCs/>
          <w:color w:val="000000"/>
          <w:sz w:val="32"/>
          <w:szCs w:val="32"/>
          <w:lang w:eastAsia="zh"/>
        </w:rPr>
      </w:pPr>
    </w:p>
    <w:p w14:paraId="32225278">
      <w:pPr>
        <w:widowControl/>
        <w:shd w:val="clear" w:fill="FFFFFF"/>
        <w:spacing w:line="600" w:lineRule="exact"/>
        <w:jc w:val="center"/>
        <w:rPr>
          <w:rFonts w:ascii="方正大标宋简体" w:hAnsi="方正大标宋简体" w:eastAsia="方正大标宋简体" w:cs="黑体"/>
          <w:sz w:val="44"/>
          <w:szCs w:val="44"/>
        </w:rPr>
      </w:pPr>
      <w:r>
        <w:rPr>
          <w:rFonts w:ascii="方正大标宋简体" w:hAnsi="方正大标宋简体" w:eastAsia="方正大标宋简体" w:cs="黑体"/>
          <w:sz w:val="44"/>
          <w:szCs w:val="44"/>
        </w:rPr>
        <w:t>上海证券交易所上市公司自律监管指引</w:t>
      </w:r>
    </w:p>
    <w:p w14:paraId="63A8488D">
      <w:pPr>
        <w:widowControl/>
        <w:shd w:val="clear" w:fill="FFFFFF"/>
        <w:spacing w:line="600" w:lineRule="exact"/>
        <w:jc w:val="center"/>
        <w:rPr>
          <w:rFonts w:ascii="Times New Roman" w:hAnsi="Times New Roman" w:eastAsia="方正大标宋简体" w:cs="Times New Roman"/>
          <w:sz w:val="44"/>
          <w:szCs w:val="44"/>
        </w:rPr>
      </w:pPr>
      <w:r>
        <w:rPr>
          <w:rFonts w:ascii="方正大标宋简体" w:hAnsi="方正大标宋简体" w:eastAsia="方正大标宋简体" w:cs="黑体"/>
          <w:sz w:val="44"/>
          <w:szCs w:val="44"/>
        </w:rPr>
        <w:t>第</w:t>
      </w:r>
      <w:r>
        <w:rPr>
          <w:rFonts w:ascii="Times New Roman" w:hAnsi="Times New Roman" w:eastAsia="方正大标宋简体" w:cs="Times New Roman"/>
          <w:sz w:val="44"/>
          <w:szCs w:val="44"/>
        </w:rPr>
        <w:t>1号</w:t>
      </w:r>
      <w:r>
        <w:rPr>
          <w:rFonts w:ascii="Times New Roman" w:hAnsi="Times New Roman" w:eastAsia="Times New Roman" w:cs="Times New Roman"/>
          <w:sz w:val="44"/>
          <w:szCs w:val="44"/>
        </w:rPr>
        <w:t>——</w:t>
      </w:r>
      <w:r>
        <w:rPr>
          <w:rFonts w:ascii="Times New Roman" w:hAnsi="Times New Roman" w:eastAsia="方正大标宋简体" w:cs="Times New Roman"/>
          <w:sz w:val="44"/>
          <w:szCs w:val="44"/>
        </w:rPr>
        <w:t>规范运作</w:t>
      </w:r>
    </w:p>
    <w:p w14:paraId="6B4E133E">
      <w:pPr>
        <w:widowControl/>
        <w:shd w:val="clear" w:fill="FFFFFF"/>
        <w:spacing w:line="600" w:lineRule="exact"/>
        <w:jc w:val="center"/>
        <w:rPr>
          <w:rFonts w:ascii="方正大标宋简体" w:hAnsi="方正大标宋简体" w:eastAsia="方正大标宋简体" w:cs="黑体"/>
          <w:sz w:val="42"/>
          <w:szCs w:val="42"/>
        </w:rPr>
      </w:pPr>
      <w:r>
        <w:rPr>
          <w:rFonts w:ascii="Times New Roman" w:hAnsi="Times New Roman" w:eastAsia="方正大标宋简体" w:cs="Times New Roman"/>
          <w:sz w:val="44"/>
          <w:szCs w:val="44"/>
        </w:rPr>
        <w:t>（</w:t>
      </w:r>
      <w:r>
        <w:rPr>
          <w:rFonts w:hint="eastAsia" w:ascii="Times New Roman" w:hAnsi="Times New Roman" w:eastAsia="方正大标宋简体" w:cs="Times New Roman"/>
          <w:sz w:val="44"/>
          <w:szCs w:val="44"/>
          <w:lang w:eastAsia="zh-CN"/>
        </w:rPr>
        <w:t>征求意见稿</w:t>
      </w:r>
      <w:r>
        <w:rPr>
          <w:rFonts w:ascii="方正大标宋简体" w:hAnsi="方正大标宋简体" w:eastAsia="方正大标宋简体" w:cs="黑体"/>
          <w:sz w:val="44"/>
          <w:szCs w:val="44"/>
        </w:rPr>
        <w:t>）</w:t>
      </w:r>
    </w:p>
    <w:p w14:paraId="42BB2A4D">
      <w:pPr>
        <w:pStyle w:val="43"/>
        <w:jc w:val="center"/>
        <w:rPr>
          <w:rFonts w:ascii="仿宋_GB2312" w:hAnsi="仿宋_GB2312" w:eastAsia="仿宋_GB2312"/>
        </w:rPr>
      </w:pPr>
      <w:r>
        <w:rPr>
          <w:rFonts w:ascii="仿宋_GB2312" w:hAnsi="仿宋_GB2312" w:eastAsia="仿宋_GB2312" w:cs="黑体"/>
          <w:color w:val="000000"/>
          <w:lang w:val="zh-CN"/>
        </w:rPr>
        <w:t>目  录</w:t>
      </w:r>
    </w:p>
    <w:sdt>
      <w:sdtPr>
        <w:id w:val="207282989"/>
        <w:docPartObj>
          <w:docPartGallery w:val="Table of Contents"/>
          <w:docPartUnique/>
        </w:docPartObj>
      </w:sdtPr>
      <w:sdtContent>
        <w:p w14:paraId="1CE58F8C">
          <w:pPr>
            <w:pStyle w:val="10"/>
            <w:tabs>
              <w:tab w:val="right" w:leader="dot" w:pos="8296"/>
            </w:tabs>
            <w:spacing w:line="360" w:lineRule="auto"/>
            <w:rPr>
              <w:rFonts w:ascii="仿宋_GB2312" w:hAnsi="仿宋_GB2312" w:eastAsia="仿宋_GB2312" w:cs="Calibri;DejaVu Sans"/>
              <w:sz w:val="21"/>
              <w:lang w:val="zh-CN" w:eastAsia="zh-CN"/>
            </w:rPr>
          </w:pPr>
          <w:r>
            <w:fldChar w:fldCharType="begin"/>
          </w:r>
          <w:r>
            <w:rPr>
              <w:rStyle w:val="33"/>
              <w:rFonts w:ascii="仿宋_GB2312" w:hAnsi="仿宋_GB2312" w:eastAsia="仿宋_GB2312" w:cs="黑体"/>
              <w:b/>
              <w:kern w:val="0"/>
              <w:lang w:val="zh-CN" w:eastAsia="zh-CN"/>
            </w:rPr>
            <w:instrText xml:space="preserve"> TOC \o "1-3" \h \z \u </w:instrText>
          </w:r>
          <w:r>
            <w:rPr>
              <w:rStyle w:val="33"/>
              <w:rFonts w:ascii="仿宋_GB2312" w:hAnsi="仿宋_GB2312" w:eastAsia="仿宋_GB2312" w:cs="黑体"/>
              <w:b/>
              <w:kern w:val="0"/>
              <w:lang w:val="zh-CN" w:eastAsia="zh-CN"/>
            </w:rPr>
            <w:fldChar w:fldCharType="separate"/>
          </w:r>
          <w:r>
            <w:fldChar w:fldCharType="begin"/>
          </w:r>
          <w:r>
            <w:instrText xml:space="preserve"> HYPERLINK \l "__RefHeading___Toc189646135" \h </w:instrText>
          </w:r>
          <w:r>
            <w:fldChar w:fldCharType="separate"/>
          </w:r>
          <w:r>
            <w:rPr>
              <w:rStyle w:val="33"/>
              <w:rFonts w:ascii="仿宋_GB2312" w:hAnsi="仿宋_GB2312" w:eastAsia="仿宋_GB2312" w:cs="黑体"/>
              <w:b/>
              <w:kern w:val="0"/>
              <w:lang w:val="zh-CN" w:eastAsia="zh-CN"/>
            </w:rPr>
            <w:t>第一章 总则</w:t>
          </w:r>
          <w:r>
            <w:rPr>
              <w:rStyle w:val="33"/>
              <w:rFonts w:ascii="仿宋_GB2312" w:hAnsi="仿宋_GB2312" w:eastAsia="仿宋_GB2312"/>
              <w:lang w:val="zh-CN" w:eastAsia="zh-CN"/>
            </w:rPr>
            <w:tab/>
          </w:r>
          <w:r>
            <w:rPr>
              <w:rStyle w:val="33"/>
              <w:rFonts w:ascii="仿宋_GB2312" w:hAnsi="仿宋_GB2312" w:eastAsia="仿宋_GB2312"/>
              <w:lang w:val="zh-CN" w:eastAsia="zh-CN"/>
            </w:rPr>
            <w:t>3</w:t>
          </w:r>
          <w:r>
            <w:rPr>
              <w:rStyle w:val="33"/>
              <w:rFonts w:ascii="仿宋_GB2312" w:hAnsi="仿宋_GB2312" w:eastAsia="仿宋_GB2312"/>
              <w:lang w:val="zh-CN" w:eastAsia="zh-CN"/>
            </w:rPr>
            <w:fldChar w:fldCharType="end"/>
          </w:r>
        </w:p>
        <w:p w14:paraId="48AE7239">
          <w:pPr>
            <w:pStyle w:val="10"/>
            <w:tabs>
              <w:tab w:val="right" w:leader="dot" w:pos="8296"/>
            </w:tabs>
            <w:spacing w:line="360" w:lineRule="auto"/>
            <w:rPr>
              <w:rFonts w:ascii="仿宋_GB2312" w:hAnsi="仿宋_GB2312" w:eastAsia="仿宋_GB2312" w:cs="Calibri;DejaVu Sans"/>
              <w:sz w:val="21"/>
              <w:lang w:val="zh-CN" w:eastAsia="zh-CN"/>
            </w:rPr>
          </w:pPr>
          <w:r>
            <w:fldChar w:fldCharType="begin"/>
          </w:r>
          <w:r>
            <w:instrText xml:space="preserve"> HYPERLINK \l "__RefHeading___Toc189646136" \h </w:instrText>
          </w:r>
          <w:r>
            <w:fldChar w:fldCharType="separate"/>
          </w:r>
          <w:r>
            <w:rPr>
              <w:rStyle w:val="33"/>
              <w:rFonts w:ascii="仿宋_GB2312" w:hAnsi="仿宋_GB2312" w:eastAsia="仿宋_GB2312" w:cs="黑体"/>
              <w:b/>
              <w:kern w:val="0"/>
              <w:lang w:val="zh-CN" w:eastAsia="zh-CN"/>
            </w:rPr>
            <w:t>第二章 股东会和董事会</w:t>
          </w:r>
          <w:r>
            <w:rPr>
              <w:rStyle w:val="33"/>
              <w:rFonts w:ascii="仿宋_GB2312" w:hAnsi="仿宋_GB2312" w:eastAsia="仿宋_GB2312"/>
              <w:lang w:val="zh-CN" w:eastAsia="zh-CN"/>
            </w:rPr>
            <w:tab/>
          </w:r>
          <w:r>
            <w:rPr>
              <w:rStyle w:val="33"/>
              <w:rFonts w:ascii="仿宋_GB2312" w:hAnsi="仿宋_GB2312" w:eastAsia="仿宋_GB2312"/>
              <w:lang w:val="zh-CN" w:eastAsia="zh-CN"/>
            </w:rPr>
            <w:t>4</w:t>
          </w:r>
          <w:r>
            <w:rPr>
              <w:rStyle w:val="33"/>
              <w:rFonts w:ascii="仿宋_GB2312" w:hAnsi="仿宋_GB2312" w:eastAsia="仿宋_GB2312"/>
              <w:lang w:val="zh-CN" w:eastAsia="zh-CN"/>
            </w:rPr>
            <w:fldChar w:fldCharType="end"/>
          </w:r>
        </w:p>
        <w:p w14:paraId="193F8672">
          <w:pPr>
            <w:pStyle w:val="12"/>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"__RefHeading___Toc189646137" \h </w:instrText>
          </w:r>
          <w:r>
            <w:fldChar w:fldCharType="separate"/>
          </w:r>
          <w:r>
            <w:rPr>
              <w:rStyle w:val="33"/>
              <w:rFonts w:ascii="仿宋_GB2312" w:hAnsi="仿宋_GB2312" w:eastAsia="仿宋_GB2312"/>
              <w:lang w:val="zh-CN" w:eastAsia="zh-CN"/>
            </w:rPr>
            <w:t>第一节 股东会</w:t>
          </w:r>
          <w:r>
            <w:rPr>
              <w:rStyle w:val="33"/>
              <w:rFonts w:ascii="仿宋_GB2312" w:hAnsi="仿宋_GB2312" w:eastAsia="仿宋_GB2312"/>
              <w:lang w:val="zh-CN" w:eastAsia="zh-CN"/>
            </w:rPr>
            <w:tab/>
          </w:r>
          <w:r>
            <w:rPr>
              <w:rStyle w:val="33"/>
              <w:rFonts w:ascii="仿宋_GB2312" w:hAnsi="仿宋_GB2312" w:eastAsia="仿宋_GB2312"/>
              <w:lang w:val="zh-CN" w:eastAsia="zh-CN"/>
            </w:rPr>
            <w:t>4</w:t>
          </w:r>
          <w:r>
            <w:rPr>
              <w:rStyle w:val="33"/>
              <w:rFonts w:ascii="仿宋_GB2312" w:hAnsi="仿宋_GB2312" w:eastAsia="仿宋_GB2312"/>
              <w:lang w:val="zh-CN" w:eastAsia="zh-CN"/>
            </w:rPr>
            <w:fldChar w:fldCharType="end"/>
          </w:r>
        </w:p>
        <w:p w14:paraId="4A1A9CAF">
          <w:pPr>
            <w:pStyle w:val="12"/>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"__RefHeading___Toc189646138" \h </w:instrText>
          </w:r>
          <w:r>
            <w:fldChar w:fldCharType="separate"/>
          </w:r>
          <w:r>
            <w:rPr>
              <w:rStyle w:val="33"/>
              <w:rFonts w:ascii="仿宋_GB2312" w:hAnsi="仿宋_GB2312" w:eastAsia="仿宋_GB2312"/>
              <w:lang w:val="zh-CN" w:eastAsia="zh-CN"/>
            </w:rPr>
            <w:t>第二节 董事会</w:t>
          </w:r>
          <w:r>
            <w:rPr>
              <w:rStyle w:val="33"/>
              <w:rFonts w:ascii="仿宋_GB2312" w:hAnsi="仿宋_GB2312" w:eastAsia="仿宋_GB2312"/>
              <w:lang w:val="zh-CN" w:eastAsia="zh-CN"/>
            </w:rPr>
            <w:tab/>
          </w:r>
          <w:r>
            <w:rPr>
              <w:rStyle w:val="33"/>
              <w:rFonts w:ascii="仿宋_GB2312" w:hAnsi="仿宋_GB2312" w:eastAsia="仿宋_GB2312"/>
              <w:lang w:val="zh-CN" w:eastAsia="zh-CN"/>
            </w:rPr>
            <w:t>11</w:t>
          </w:r>
          <w:r>
            <w:rPr>
              <w:rStyle w:val="33"/>
              <w:rFonts w:ascii="仿宋_GB2312" w:hAnsi="仿宋_GB2312" w:eastAsia="仿宋_GB2312"/>
              <w:lang w:val="zh-CN" w:eastAsia="zh-CN"/>
            </w:rPr>
            <w:fldChar w:fldCharType="end"/>
          </w:r>
        </w:p>
        <w:p w14:paraId="1C5AE2E1">
          <w:pPr>
            <w:pStyle w:val="10"/>
            <w:tabs>
              <w:tab w:val="right" w:leader="dot" w:pos="8296"/>
            </w:tabs>
            <w:spacing w:line="360" w:lineRule="auto"/>
            <w:rPr>
              <w:rFonts w:ascii="仿宋_GB2312" w:hAnsi="仿宋_GB2312" w:eastAsia="仿宋_GB2312" w:cs="Calibri;DejaVu Sans"/>
              <w:sz w:val="21"/>
              <w:lang w:val="zh-CN" w:eastAsia="zh-CN"/>
            </w:rPr>
          </w:pPr>
          <w:r>
            <w:fldChar w:fldCharType="begin"/>
          </w:r>
          <w:r>
            <w:instrText xml:space="preserve"> HYPERLINK \l "__RefHeading___Toc189646139" \h </w:instrText>
          </w:r>
          <w:r>
            <w:fldChar w:fldCharType="separate"/>
          </w:r>
          <w:r>
            <w:rPr>
              <w:rStyle w:val="33"/>
              <w:rFonts w:ascii="仿宋_GB2312" w:hAnsi="仿宋_GB2312" w:eastAsia="仿宋_GB2312" w:cs="黑体"/>
              <w:b/>
              <w:kern w:val="0"/>
              <w:lang w:val="zh-CN" w:eastAsia="zh-CN"/>
            </w:rPr>
            <w:t>第三章 董事和高级管理人员</w:t>
          </w:r>
          <w:r>
            <w:rPr>
              <w:rStyle w:val="33"/>
              <w:rFonts w:ascii="仿宋_GB2312" w:hAnsi="仿宋_GB2312" w:eastAsia="仿宋_GB2312"/>
              <w:lang w:val="zh-CN" w:eastAsia="zh-CN"/>
            </w:rPr>
            <w:tab/>
          </w:r>
          <w:r>
            <w:rPr>
              <w:rStyle w:val="33"/>
              <w:rFonts w:ascii="仿宋_GB2312" w:hAnsi="仿宋_GB2312" w:eastAsia="仿宋_GB2312"/>
              <w:lang w:val="zh-CN" w:eastAsia="zh-CN"/>
            </w:rPr>
            <w:t>1</w:t>
          </w:r>
          <w:r>
            <w:rPr>
              <w:rStyle w:val="33"/>
              <w:rFonts w:hint="eastAsia" w:ascii="仿宋_GB2312" w:hAnsi="仿宋_GB2312" w:eastAsia="仿宋_GB2312"/>
              <w:lang w:val="en-US" w:eastAsia="zh-CN"/>
            </w:rPr>
            <w:t>8</w:t>
          </w:r>
          <w:r>
            <w:rPr>
              <w:rStyle w:val="33"/>
              <w:rFonts w:ascii="仿宋_GB2312" w:hAnsi="仿宋_GB2312" w:eastAsia="仿宋_GB2312"/>
              <w:lang w:val="zh-CN" w:eastAsia="zh-CN"/>
            </w:rPr>
            <w:fldChar w:fldCharType="end"/>
          </w:r>
        </w:p>
        <w:p w14:paraId="2365E936">
          <w:pPr>
            <w:pStyle w:val="12"/>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"__RefHeading___Toc189646140" \h </w:instrText>
          </w:r>
          <w:r>
            <w:fldChar w:fldCharType="separate"/>
          </w:r>
          <w:r>
            <w:rPr>
              <w:rStyle w:val="33"/>
              <w:rFonts w:ascii="仿宋_GB2312" w:hAnsi="仿宋_GB2312" w:eastAsia="仿宋_GB2312"/>
              <w:lang w:val="zh-CN" w:eastAsia="zh-CN"/>
            </w:rPr>
            <w:t>第一节 总体要求</w:t>
          </w:r>
          <w:r>
            <w:rPr>
              <w:rStyle w:val="33"/>
              <w:rFonts w:ascii="仿宋_GB2312" w:hAnsi="仿宋_GB2312" w:eastAsia="仿宋_GB2312"/>
              <w:lang w:val="zh-CN" w:eastAsia="zh-CN"/>
            </w:rPr>
            <w:tab/>
          </w:r>
          <w:r>
            <w:rPr>
              <w:rStyle w:val="33"/>
              <w:rFonts w:ascii="仿宋_GB2312" w:hAnsi="仿宋_GB2312" w:eastAsia="仿宋_GB2312"/>
              <w:lang w:val="zh-CN" w:eastAsia="zh-CN"/>
            </w:rPr>
            <w:t>1</w:t>
          </w:r>
          <w:r>
            <w:rPr>
              <w:rStyle w:val="33"/>
              <w:rFonts w:hint="eastAsia" w:ascii="仿宋_GB2312" w:hAnsi="仿宋_GB2312" w:eastAsia="仿宋_GB2312"/>
              <w:lang w:val="en-US" w:eastAsia="zh-CN"/>
            </w:rPr>
            <w:t>8</w:t>
          </w:r>
          <w:r>
            <w:rPr>
              <w:rStyle w:val="33"/>
              <w:rFonts w:ascii="仿宋_GB2312" w:hAnsi="仿宋_GB2312" w:eastAsia="仿宋_GB2312"/>
              <w:lang w:val="zh-CN" w:eastAsia="zh-CN"/>
            </w:rPr>
            <w:fldChar w:fldCharType="end"/>
          </w:r>
        </w:p>
        <w:p w14:paraId="70718C0C">
          <w:pPr>
            <w:pStyle w:val="12"/>
            <w:tabs>
              <w:tab w:val="right" w:leader="dot" w:pos="8296"/>
            </w:tabs>
            <w:spacing w:line="360" w:lineRule="auto"/>
            <w:ind w:left="480" w:right="0"/>
            <w:rPr>
              <w:rFonts w:hint="default" w:ascii="仿宋_GB2312" w:hAnsi="仿宋_GB2312" w:eastAsia="仿宋_GB2312" w:cs="Calibri;DejaVu Sans"/>
              <w:sz w:val="21"/>
              <w:lang w:val="en-US" w:eastAsia="zh-CN"/>
            </w:rPr>
          </w:pPr>
          <w:r>
            <w:fldChar w:fldCharType="begin"/>
          </w:r>
          <w:r>
            <w:instrText xml:space="preserve"> HYPERLINK \l "__RefHeading___Toc189646141" \h </w:instrText>
          </w:r>
          <w:r>
            <w:fldChar w:fldCharType="separate"/>
          </w:r>
          <w:r>
            <w:rPr>
              <w:rStyle w:val="33"/>
              <w:rFonts w:ascii="仿宋_GB2312" w:hAnsi="仿宋_GB2312" w:eastAsia="仿宋_GB2312"/>
              <w:lang w:val="zh-CN" w:eastAsia="zh-CN"/>
            </w:rPr>
            <w:t>第二节 董事和高级管理人员任职管理</w:t>
          </w:r>
          <w:r>
            <w:rPr>
              <w:rStyle w:val="33"/>
              <w:rFonts w:ascii="仿宋_GB2312" w:hAnsi="仿宋_GB2312" w:eastAsia="仿宋_GB2312"/>
              <w:lang w:val="zh-CN" w:eastAsia="zh-CN"/>
            </w:rPr>
            <w:tab/>
          </w:r>
          <w:r>
            <w:rPr>
              <w:rStyle w:val="33"/>
              <w:rFonts w:hint="eastAsia" w:ascii="仿宋_GB2312" w:hAnsi="仿宋_GB2312" w:eastAsia="仿宋_GB2312"/>
              <w:lang w:val="en-US" w:eastAsia="zh-CN"/>
            </w:rPr>
            <w:t>2</w:t>
          </w:r>
          <w:r>
            <w:rPr>
              <w:rStyle w:val="33"/>
              <w:rFonts w:ascii="仿宋_GB2312" w:hAnsi="仿宋_GB2312" w:eastAsia="仿宋_GB2312"/>
              <w:lang w:val="zh-CN" w:eastAsia="zh-CN"/>
            </w:rPr>
            <w:fldChar w:fldCharType="end"/>
          </w:r>
          <w:r>
            <w:rPr>
              <w:rStyle w:val="33"/>
              <w:rFonts w:hint="eastAsia" w:ascii="仿宋_GB2312" w:hAnsi="仿宋_GB2312" w:eastAsia="仿宋_GB2312"/>
              <w:lang w:val="en-US" w:eastAsia="zh-CN"/>
            </w:rPr>
            <w:t>1</w:t>
          </w:r>
        </w:p>
        <w:p w14:paraId="1282B290">
          <w:pPr>
            <w:pStyle w:val="12"/>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"__RefHeading___Toc189646142" \h </w:instrText>
          </w:r>
          <w:r>
            <w:fldChar w:fldCharType="separate"/>
          </w:r>
          <w:r>
            <w:rPr>
              <w:rStyle w:val="33"/>
              <w:rFonts w:ascii="仿宋_GB2312" w:hAnsi="仿宋_GB2312" w:eastAsia="仿宋_GB2312"/>
              <w:lang w:val="zh-CN" w:eastAsia="zh-CN"/>
            </w:rPr>
            <w:t>第三节 董事和高级管理人员行为规范</w:t>
          </w:r>
          <w:r>
            <w:rPr>
              <w:rStyle w:val="33"/>
              <w:rFonts w:ascii="仿宋_GB2312" w:hAnsi="仿宋_GB2312" w:eastAsia="仿宋_GB2312"/>
              <w:lang w:val="zh-CN" w:eastAsia="zh-CN"/>
            </w:rPr>
            <w:tab/>
          </w:r>
          <w:r>
            <w:rPr>
              <w:rStyle w:val="33"/>
              <w:rFonts w:ascii="仿宋_GB2312" w:hAnsi="仿宋_GB2312" w:eastAsia="仿宋_GB2312"/>
              <w:lang w:val="zh-CN" w:eastAsia="zh-CN"/>
            </w:rPr>
            <w:t>2</w:t>
          </w:r>
          <w:r>
            <w:rPr>
              <w:rStyle w:val="33"/>
              <w:rFonts w:hint="eastAsia" w:ascii="仿宋_GB2312" w:hAnsi="仿宋_GB2312" w:eastAsia="仿宋_GB2312"/>
              <w:lang w:val="en-US" w:eastAsia="zh-CN"/>
            </w:rPr>
            <w:t>5</w:t>
          </w:r>
          <w:r>
            <w:rPr>
              <w:rStyle w:val="33"/>
              <w:rFonts w:ascii="仿宋_GB2312" w:hAnsi="仿宋_GB2312" w:eastAsia="仿宋_GB2312"/>
              <w:lang w:val="zh-CN" w:eastAsia="zh-CN"/>
            </w:rPr>
            <w:fldChar w:fldCharType="end"/>
          </w:r>
        </w:p>
        <w:p w14:paraId="37C51EA6">
          <w:pPr>
            <w:pStyle w:val="12"/>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"__RefHeading___Toc189646143" \h </w:instrText>
          </w:r>
          <w:r>
            <w:fldChar w:fldCharType="separate"/>
          </w:r>
          <w:r>
            <w:rPr>
              <w:rStyle w:val="33"/>
              <w:rFonts w:ascii="仿宋_GB2312" w:hAnsi="仿宋_GB2312" w:eastAsia="仿宋_GB2312"/>
              <w:lang w:val="zh-CN" w:eastAsia="zh-CN"/>
            </w:rPr>
            <w:t>第四节 董事长行为规范</w:t>
          </w:r>
          <w:r>
            <w:rPr>
              <w:rStyle w:val="33"/>
              <w:rFonts w:ascii="仿宋_GB2312" w:hAnsi="仿宋_GB2312" w:eastAsia="仿宋_GB2312"/>
              <w:lang w:val="zh-CN" w:eastAsia="zh-CN"/>
            </w:rPr>
            <w:tab/>
          </w:r>
          <w:r>
            <w:rPr>
              <w:rStyle w:val="33"/>
              <w:rFonts w:ascii="仿宋_GB2312" w:hAnsi="仿宋_GB2312" w:eastAsia="仿宋_GB2312"/>
              <w:lang w:val="zh-CN" w:eastAsia="zh-CN"/>
            </w:rPr>
            <w:t>2</w:t>
          </w:r>
          <w:r>
            <w:rPr>
              <w:rStyle w:val="33"/>
              <w:rFonts w:hint="eastAsia" w:ascii="仿宋_GB2312" w:hAnsi="仿宋_GB2312" w:eastAsia="仿宋_GB2312"/>
              <w:lang w:val="en-US" w:eastAsia="zh-CN"/>
            </w:rPr>
            <w:t>9</w:t>
          </w:r>
          <w:r>
            <w:rPr>
              <w:rStyle w:val="33"/>
              <w:rFonts w:ascii="仿宋_GB2312" w:hAnsi="仿宋_GB2312" w:eastAsia="仿宋_GB2312"/>
              <w:lang w:val="zh-CN" w:eastAsia="zh-CN"/>
            </w:rPr>
            <w:fldChar w:fldCharType="end"/>
          </w:r>
        </w:p>
        <w:p w14:paraId="3D8D0D06">
          <w:pPr>
            <w:pStyle w:val="12"/>
            <w:tabs>
              <w:tab w:val="right" w:leader="dot" w:pos="8296"/>
            </w:tabs>
            <w:spacing w:line="360" w:lineRule="auto"/>
            <w:ind w:left="480" w:right="0"/>
            <w:rPr>
              <w:rFonts w:hint="default" w:ascii="仿宋_GB2312" w:hAnsi="仿宋_GB2312" w:eastAsia="仿宋_GB2312" w:cs="Calibri;DejaVu Sans"/>
              <w:sz w:val="21"/>
              <w:lang w:val="en-US" w:eastAsia="zh-CN"/>
            </w:rPr>
          </w:pPr>
          <w:r>
            <w:fldChar w:fldCharType="begin"/>
          </w:r>
          <w:r>
            <w:instrText xml:space="preserve"> HYPERLINK \l "__RefHeading___Toc189646144" \h </w:instrText>
          </w:r>
          <w:r>
            <w:fldChar w:fldCharType="separate"/>
          </w:r>
          <w:r>
            <w:rPr>
              <w:rStyle w:val="33"/>
              <w:rFonts w:ascii="仿宋_GB2312" w:hAnsi="仿宋_GB2312" w:eastAsia="仿宋_GB2312"/>
              <w:lang w:val="zh-CN" w:eastAsia="zh-CN"/>
            </w:rPr>
            <w:t>第五节 独立董事任职管理及行为规范</w:t>
          </w:r>
          <w:r>
            <w:rPr>
              <w:rStyle w:val="33"/>
              <w:rFonts w:ascii="仿宋_GB2312" w:hAnsi="仿宋_GB2312" w:eastAsia="仿宋_GB2312"/>
              <w:lang w:val="zh-CN" w:eastAsia="zh-CN"/>
            </w:rPr>
            <w:tab/>
          </w:r>
          <w:r>
            <w:rPr>
              <w:rStyle w:val="33"/>
              <w:rFonts w:hint="eastAsia" w:ascii="仿宋_GB2312" w:hAnsi="仿宋_GB2312" w:eastAsia="仿宋_GB2312"/>
              <w:lang w:val="en-US" w:eastAsia="zh-CN"/>
            </w:rPr>
            <w:t>3</w:t>
          </w:r>
          <w:r>
            <w:rPr>
              <w:rStyle w:val="33"/>
              <w:rFonts w:ascii="仿宋_GB2312" w:hAnsi="仿宋_GB2312" w:eastAsia="仿宋_GB2312"/>
              <w:lang w:val="zh-CN" w:eastAsia="zh-CN"/>
            </w:rPr>
            <w:fldChar w:fldCharType="end"/>
          </w:r>
          <w:r>
            <w:rPr>
              <w:rStyle w:val="33"/>
              <w:rFonts w:hint="eastAsia" w:ascii="仿宋_GB2312" w:hAnsi="仿宋_GB2312" w:eastAsia="仿宋_GB2312"/>
              <w:lang w:val="en-US" w:eastAsia="zh-CN"/>
            </w:rPr>
            <w:t>0</w:t>
          </w:r>
        </w:p>
        <w:p w14:paraId="29649752">
          <w:pPr>
            <w:pStyle w:val="10"/>
            <w:tabs>
              <w:tab w:val="right" w:leader="dot" w:pos="8296"/>
            </w:tabs>
            <w:spacing w:line="360" w:lineRule="auto"/>
            <w:rPr>
              <w:rFonts w:ascii="仿宋_GB2312" w:hAnsi="仿宋_GB2312" w:eastAsia="仿宋_GB2312" w:cs="Calibri;DejaVu Sans"/>
              <w:sz w:val="21"/>
              <w:lang w:val="zh-CN" w:eastAsia="zh-CN"/>
            </w:rPr>
          </w:pPr>
          <w:r>
            <w:fldChar w:fldCharType="begin"/>
          </w:r>
          <w:r>
            <w:instrText xml:space="preserve"> HYPERLINK \l "__RefHeading___Toc189646145" \h </w:instrText>
          </w:r>
          <w:r>
            <w:fldChar w:fldCharType="separate"/>
          </w:r>
          <w:r>
            <w:rPr>
              <w:rStyle w:val="33"/>
              <w:rFonts w:ascii="仿宋_GB2312" w:hAnsi="仿宋_GB2312" w:eastAsia="仿宋_GB2312" w:cs="黑体"/>
              <w:b/>
              <w:kern w:val="0"/>
              <w:lang w:val="zh-CN" w:eastAsia="zh-CN"/>
            </w:rPr>
            <w:t>第四章 控股股东和实际控制人</w:t>
          </w:r>
          <w:r>
            <w:rPr>
              <w:rStyle w:val="33"/>
              <w:rFonts w:ascii="仿宋_GB2312" w:hAnsi="仿宋_GB2312" w:eastAsia="仿宋_GB2312"/>
              <w:lang w:val="zh-CN" w:eastAsia="zh-CN"/>
            </w:rPr>
            <w:tab/>
          </w:r>
          <w:r>
            <w:rPr>
              <w:rStyle w:val="33"/>
              <w:rFonts w:ascii="仿宋_GB2312" w:hAnsi="仿宋_GB2312" w:eastAsia="仿宋_GB2312"/>
              <w:lang w:val="zh-CN" w:eastAsia="zh-CN"/>
            </w:rPr>
            <w:t>4</w:t>
          </w:r>
          <w:r>
            <w:rPr>
              <w:rStyle w:val="33"/>
              <w:rFonts w:hint="eastAsia" w:ascii="仿宋_GB2312" w:hAnsi="仿宋_GB2312" w:eastAsia="仿宋_GB2312"/>
              <w:lang w:val="en-US" w:eastAsia="zh-CN"/>
            </w:rPr>
            <w:t>2</w:t>
          </w:r>
          <w:r>
            <w:rPr>
              <w:rStyle w:val="33"/>
              <w:rFonts w:ascii="仿宋_GB2312" w:hAnsi="仿宋_GB2312" w:eastAsia="仿宋_GB2312"/>
              <w:lang w:val="zh-CN" w:eastAsia="zh-CN"/>
            </w:rPr>
            <w:fldChar w:fldCharType="end"/>
          </w:r>
        </w:p>
        <w:p w14:paraId="46D6FB9F">
          <w:pPr>
            <w:pStyle w:val="12"/>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"__RefHeading___Toc189646146" \h </w:instrText>
          </w:r>
          <w:r>
            <w:fldChar w:fldCharType="separate"/>
          </w:r>
          <w:r>
            <w:rPr>
              <w:rStyle w:val="33"/>
              <w:rFonts w:ascii="仿宋_GB2312" w:hAnsi="仿宋_GB2312" w:eastAsia="仿宋_GB2312"/>
              <w:lang w:val="zh-CN" w:eastAsia="zh-CN"/>
            </w:rPr>
            <w:t>第一节 总体要求</w:t>
          </w:r>
          <w:r>
            <w:rPr>
              <w:rStyle w:val="33"/>
              <w:rFonts w:ascii="仿宋_GB2312" w:hAnsi="仿宋_GB2312" w:eastAsia="仿宋_GB2312"/>
              <w:lang w:val="zh-CN" w:eastAsia="zh-CN"/>
            </w:rPr>
            <w:tab/>
          </w:r>
          <w:r>
            <w:rPr>
              <w:rStyle w:val="33"/>
              <w:rFonts w:ascii="仿宋_GB2312" w:hAnsi="仿宋_GB2312" w:eastAsia="仿宋_GB2312"/>
              <w:lang w:val="zh-CN" w:eastAsia="zh-CN"/>
            </w:rPr>
            <w:t>4</w:t>
          </w:r>
          <w:r>
            <w:rPr>
              <w:rStyle w:val="33"/>
              <w:rFonts w:hint="eastAsia" w:ascii="仿宋_GB2312" w:hAnsi="仿宋_GB2312" w:eastAsia="仿宋_GB2312"/>
              <w:lang w:val="en-US" w:eastAsia="zh-CN"/>
            </w:rPr>
            <w:t>2</w:t>
          </w:r>
          <w:r>
            <w:rPr>
              <w:rStyle w:val="33"/>
              <w:rFonts w:ascii="仿宋_GB2312" w:hAnsi="仿宋_GB2312" w:eastAsia="仿宋_GB2312"/>
              <w:lang w:val="zh-CN" w:eastAsia="zh-CN"/>
            </w:rPr>
            <w:fldChar w:fldCharType="end"/>
          </w:r>
        </w:p>
        <w:p w14:paraId="01A04B0E">
          <w:pPr>
            <w:pStyle w:val="12"/>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"__RefHeading___Toc189646147" \h </w:instrText>
          </w:r>
          <w:r>
            <w:fldChar w:fldCharType="separate"/>
          </w:r>
          <w:r>
            <w:rPr>
              <w:rStyle w:val="33"/>
              <w:rFonts w:ascii="仿宋_GB2312" w:hAnsi="仿宋_GB2312" w:eastAsia="仿宋_GB2312"/>
              <w:lang w:val="zh-CN" w:eastAsia="zh-CN"/>
            </w:rPr>
            <w:t>第二节 独立性</w:t>
          </w:r>
          <w:r>
            <w:rPr>
              <w:rStyle w:val="33"/>
              <w:rFonts w:ascii="仿宋_GB2312" w:hAnsi="仿宋_GB2312" w:eastAsia="仿宋_GB2312"/>
              <w:lang w:val="zh-CN" w:eastAsia="zh-CN"/>
            </w:rPr>
            <w:tab/>
          </w:r>
          <w:r>
            <w:rPr>
              <w:rStyle w:val="33"/>
              <w:rFonts w:ascii="仿宋_GB2312" w:hAnsi="仿宋_GB2312" w:eastAsia="仿宋_GB2312"/>
              <w:lang w:val="zh-CN" w:eastAsia="zh-CN"/>
            </w:rPr>
            <w:t>4</w:t>
          </w:r>
          <w:r>
            <w:rPr>
              <w:rStyle w:val="33"/>
              <w:rFonts w:hint="eastAsia" w:ascii="仿宋_GB2312" w:hAnsi="仿宋_GB2312" w:eastAsia="仿宋_GB2312"/>
              <w:lang w:val="en-US" w:eastAsia="zh-CN"/>
            </w:rPr>
            <w:t>4</w:t>
          </w:r>
          <w:r>
            <w:rPr>
              <w:rStyle w:val="33"/>
              <w:rFonts w:ascii="仿宋_GB2312" w:hAnsi="仿宋_GB2312" w:eastAsia="仿宋_GB2312"/>
              <w:lang w:val="zh-CN" w:eastAsia="zh-CN"/>
            </w:rPr>
            <w:fldChar w:fldCharType="end"/>
          </w:r>
        </w:p>
        <w:p w14:paraId="22373FCA">
          <w:pPr>
            <w:pStyle w:val="12"/>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"__RefHeading___Toc189646148" \h </w:instrText>
          </w:r>
          <w:r>
            <w:fldChar w:fldCharType="separate"/>
          </w:r>
          <w:r>
            <w:rPr>
              <w:rStyle w:val="33"/>
              <w:rFonts w:ascii="仿宋_GB2312" w:hAnsi="仿宋_GB2312" w:eastAsia="仿宋_GB2312"/>
              <w:lang w:val="zh-CN" w:eastAsia="zh-CN"/>
            </w:rPr>
            <w:t>第三节 控股股东和实际控制人行为规范</w:t>
          </w:r>
          <w:r>
            <w:rPr>
              <w:rStyle w:val="33"/>
              <w:rFonts w:ascii="仿宋_GB2312" w:hAnsi="仿宋_GB2312" w:eastAsia="仿宋_GB2312"/>
              <w:lang w:val="zh-CN" w:eastAsia="zh-CN"/>
            </w:rPr>
            <w:tab/>
          </w:r>
          <w:r>
            <w:rPr>
              <w:rStyle w:val="33"/>
              <w:rFonts w:ascii="仿宋_GB2312" w:hAnsi="仿宋_GB2312" w:eastAsia="仿宋_GB2312"/>
              <w:lang w:val="zh-CN" w:eastAsia="zh-CN"/>
            </w:rPr>
            <w:t>4</w:t>
          </w:r>
          <w:r>
            <w:rPr>
              <w:rStyle w:val="33"/>
              <w:rFonts w:hint="eastAsia" w:ascii="仿宋_GB2312" w:hAnsi="仿宋_GB2312" w:eastAsia="仿宋_GB2312"/>
              <w:lang w:val="en-US" w:eastAsia="zh-CN"/>
            </w:rPr>
            <w:t>8</w:t>
          </w:r>
          <w:r>
            <w:rPr>
              <w:rStyle w:val="33"/>
              <w:rFonts w:ascii="仿宋_GB2312" w:hAnsi="仿宋_GB2312" w:eastAsia="仿宋_GB2312"/>
              <w:lang w:val="zh-CN" w:eastAsia="zh-CN"/>
            </w:rPr>
            <w:fldChar w:fldCharType="end"/>
          </w:r>
        </w:p>
        <w:p w14:paraId="3BEAE80A">
          <w:pPr>
            <w:pStyle w:val="10"/>
            <w:tabs>
              <w:tab w:val="right" w:leader="dot" w:pos="8296"/>
            </w:tabs>
            <w:spacing w:line="360" w:lineRule="auto"/>
            <w:rPr>
              <w:rFonts w:hint="default" w:ascii="仿宋_GB2312" w:hAnsi="仿宋_GB2312" w:eastAsia="仿宋_GB2312" w:cs="Calibri;DejaVu Sans"/>
              <w:sz w:val="21"/>
              <w:lang w:val="en-US" w:eastAsia="zh-CN"/>
            </w:rPr>
          </w:pPr>
          <w:r>
            <w:fldChar w:fldCharType="begin"/>
          </w:r>
          <w:r>
            <w:instrText xml:space="preserve"> HYPERLINK \l "__RefHeading___Toc189646149" \h </w:instrText>
          </w:r>
          <w:r>
            <w:fldChar w:fldCharType="separate"/>
          </w:r>
          <w:r>
            <w:rPr>
              <w:rStyle w:val="33"/>
              <w:rFonts w:ascii="仿宋_GB2312" w:hAnsi="仿宋_GB2312" w:eastAsia="仿宋_GB2312" w:cs="黑体"/>
              <w:b/>
              <w:kern w:val="0"/>
              <w:lang w:val="zh-CN" w:eastAsia="zh-CN"/>
            </w:rPr>
            <w:t>第五章 内部控制</w:t>
          </w:r>
          <w:r>
            <w:rPr>
              <w:rStyle w:val="33"/>
              <w:rFonts w:ascii="仿宋_GB2312" w:hAnsi="仿宋_GB2312" w:eastAsia="仿宋_GB2312"/>
              <w:lang w:val="zh-CN" w:eastAsia="zh-CN"/>
            </w:rPr>
            <w:tab/>
          </w:r>
          <w:r>
            <w:rPr>
              <w:rStyle w:val="33"/>
              <w:rFonts w:hint="eastAsia" w:ascii="仿宋_GB2312" w:hAnsi="仿宋_GB2312" w:eastAsia="仿宋_GB2312"/>
              <w:lang w:val="en-US" w:eastAsia="zh-CN"/>
            </w:rPr>
            <w:t>5</w:t>
          </w:r>
          <w:r>
            <w:rPr>
              <w:rStyle w:val="33"/>
              <w:rFonts w:ascii="仿宋_GB2312" w:hAnsi="仿宋_GB2312" w:eastAsia="仿宋_GB2312"/>
              <w:lang w:val="zh-CN" w:eastAsia="zh-CN"/>
            </w:rPr>
            <w:fldChar w:fldCharType="end"/>
          </w:r>
          <w:r>
            <w:rPr>
              <w:rStyle w:val="33"/>
              <w:rFonts w:hint="eastAsia" w:ascii="仿宋_GB2312" w:hAnsi="仿宋_GB2312" w:eastAsia="仿宋_GB2312"/>
              <w:lang w:val="en-US" w:eastAsia="zh-CN"/>
            </w:rPr>
            <w:t>1</w:t>
          </w:r>
        </w:p>
        <w:p w14:paraId="2030E595">
          <w:pPr>
            <w:pStyle w:val="10"/>
            <w:tabs>
              <w:tab w:val="right" w:leader="dot" w:pos="8296"/>
            </w:tabs>
            <w:spacing w:line="360" w:lineRule="auto"/>
            <w:rPr>
              <w:rFonts w:ascii="仿宋_GB2312" w:hAnsi="仿宋_GB2312" w:eastAsia="仿宋_GB2312" w:cs="Calibri;DejaVu Sans"/>
              <w:sz w:val="21"/>
              <w:lang w:val="zh-CN" w:eastAsia="zh-CN"/>
            </w:rPr>
          </w:pPr>
          <w:r>
            <w:fldChar w:fldCharType="begin"/>
          </w:r>
          <w:r>
            <w:instrText xml:space="preserve"> HYPERLINK \l "__RefHeading___Toc189646150" \h </w:instrText>
          </w:r>
          <w:r>
            <w:fldChar w:fldCharType="separate"/>
          </w:r>
          <w:r>
            <w:rPr>
              <w:rStyle w:val="33"/>
              <w:rFonts w:ascii="仿宋_GB2312" w:hAnsi="仿宋_GB2312" w:eastAsia="仿宋_GB2312" w:cs="黑体"/>
              <w:b/>
              <w:kern w:val="0"/>
              <w:lang w:val="zh-CN" w:eastAsia="zh-CN"/>
            </w:rPr>
            <w:t>第六章 重点规范事项</w:t>
          </w:r>
          <w:r>
            <w:rPr>
              <w:rStyle w:val="33"/>
              <w:rFonts w:ascii="仿宋_GB2312" w:hAnsi="仿宋_GB2312" w:eastAsia="仿宋_GB2312"/>
              <w:lang w:val="zh-CN" w:eastAsia="zh-CN"/>
            </w:rPr>
            <w:tab/>
          </w:r>
          <w:r>
            <w:rPr>
              <w:rStyle w:val="33"/>
              <w:rFonts w:ascii="仿宋_GB2312" w:hAnsi="仿宋_GB2312" w:eastAsia="仿宋_GB2312"/>
              <w:lang w:val="zh-CN" w:eastAsia="zh-CN"/>
            </w:rPr>
            <w:t>5</w:t>
          </w:r>
          <w:r>
            <w:rPr>
              <w:rStyle w:val="33"/>
              <w:rFonts w:hint="eastAsia" w:ascii="仿宋_GB2312" w:hAnsi="仿宋_GB2312" w:eastAsia="仿宋_GB2312"/>
              <w:lang w:val="en-US" w:eastAsia="zh-CN"/>
            </w:rPr>
            <w:t>8</w:t>
          </w:r>
          <w:r>
            <w:rPr>
              <w:rStyle w:val="33"/>
              <w:rFonts w:ascii="仿宋_GB2312" w:hAnsi="仿宋_GB2312" w:eastAsia="仿宋_GB2312"/>
              <w:lang w:val="zh-CN" w:eastAsia="zh-CN"/>
            </w:rPr>
            <w:fldChar w:fldCharType="end"/>
          </w:r>
        </w:p>
        <w:p w14:paraId="7E2EFF2F">
          <w:pPr>
            <w:pStyle w:val="12"/>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"__RefHeading___Toc189646151" \h </w:instrText>
          </w:r>
          <w:r>
            <w:fldChar w:fldCharType="separate"/>
          </w:r>
          <w:r>
            <w:rPr>
              <w:rStyle w:val="33"/>
              <w:rFonts w:ascii="仿宋_GB2312" w:hAnsi="仿宋_GB2312" w:eastAsia="仿宋_GB2312"/>
              <w:lang w:val="zh-CN" w:eastAsia="zh-CN"/>
            </w:rPr>
            <w:t>第一节 提供财务资助</w:t>
          </w:r>
          <w:r>
            <w:rPr>
              <w:rStyle w:val="33"/>
              <w:rFonts w:ascii="仿宋_GB2312" w:hAnsi="仿宋_GB2312" w:eastAsia="仿宋_GB2312"/>
              <w:lang w:val="zh-CN" w:eastAsia="zh-CN"/>
            </w:rPr>
            <w:tab/>
          </w:r>
          <w:r>
            <w:rPr>
              <w:rStyle w:val="33"/>
              <w:rFonts w:ascii="仿宋_GB2312" w:hAnsi="仿宋_GB2312" w:eastAsia="仿宋_GB2312"/>
              <w:lang w:val="zh-CN" w:eastAsia="zh-CN"/>
            </w:rPr>
            <w:t>5</w:t>
          </w:r>
          <w:r>
            <w:rPr>
              <w:rStyle w:val="33"/>
              <w:rFonts w:hint="eastAsia" w:ascii="仿宋_GB2312" w:hAnsi="仿宋_GB2312" w:eastAsia="仿宋_GB2312"/>
              <w:lang w:val="en-US" w:eastAsia="zh-CN"/>
            </w:rPr>
            <w:t>8</w:t>
          </w:r>
          <w:r>
            <w:rPr>
              <w:rStyle w:val="33"/>
              <w:rFonts w:ascii="仿宋_GB2312" w:hAnsi="仿宋_GB2312" w:eastAsia="仿宋_GB2312"/>
              <w:lang w:val="zh-CN" w:eastAsia="zh-CN"/>
            </w:rPr>
            <w:fldChar w:fldCharType="end"/>
          </w:r>
        </w:p>
        <w:p w14:paraId="74C7DEBC">
          <w:pPr>
            <w:pStyle w:val="12"/>
            <w:tabs>
              <w:tab w:val="right" w:leader="dot" w:pos="8296"/>
            </w:tabs>
            <w:spacing w:line="360" w:lineRule="auto"/>
            <w:ind w:left="480" w:right="0"/>
            <w:rPr>
              <w:rFonts w:hint="default" w:ascii="仿宋_GB2312" w:hAnsi="仿宋_GB2312" w:eastAsia="仿宋_GB2312" w:cs="Calibri;DejaVu Sans"/>
              <w:sz w:val="21"/>
              <w:lang w:val="en-US" w:eastAsia="zh-CN"/>
            </w:rPr>
          </w:pPr>
          <w:r>
            <w:fldChar w:fldCharType="begin"/>
          </w:r>
          <w:r>
            <w:instrText xml:space="preserve"> HYPERLINK \l "__RefHeading___Toc189646152" \h </w:instrText>
          </w:r>
          <w:r>
            <w:fldChar w:fldCharType="separate"/>
          </w:r>
          <w:r>
            <w:rPr>
              <w:rStyle w:val="33"/>
              <w:rFonts w:ascii="仿宋_GB2312" w:hAnsi="仿宋_GB2312" w:eastAsia="仿宋_GB2312"/>
              <w:lang w:val="zh-CN" w:eastAsia="zh-CN"/>
            </w:rPr>
            <w:t>第二节 提供担保</w:t>
          </w:r>
          <w:r>
            <w:rPr>
              <w:rStyle w:val="33"/>
              <w:rFonts w:ascii="仿宋_GB2312" w:hAnsi="仿宋_GB2312" w:eastAsia="仿宋_GB2312"/>
              <w:lang w:val="zh-CN" w:eastAsia="zh-CN"/>
            </w:rPr>
            <w:tab/>
          </w:r>
          <w:r>
            <w:rPr>
              <w:rStyle w:val="33"/>
              <w:rFonts w:hint="eastAsia" w:ascii="仿宋_GB2312" w:hAnsi="仿宋_GB2312" w:eastAsia="仿宋_GB2312"/>
              <w:lang w:val="en-US" w:eastAsia="zh-CN"/>
            </w:rPr>
            <w:t>6</w:t>
          </w:r>
          <w:r>
            <w:rPr>
              <w:rStyle w:val="33"/>
              <w:rFonts w:ascii="仿宋_GB2312" w:hAnsi="仿宋_GB2312" w:eastAsia="仿宋_GB2312"/>
              <w:lang w:val="zh-CN" w:eastAsia="zh-CN"/>
            </w:rPr>
            <w:fldChar w:fldCharType="end"/>
          </w:r>
          <w:r>
            <w:rPr>
              <w:rStyle w:val="33"/>
              <w:rFonts w:hint="eastAsia" w:ascii="仿宋_GB2312" w:hAnsi="仿宋_GB2312" w:eastAsia="仿宋_GB2312"/>
              <w:lang w:val="en-US" w:eastAsia="zh-CN"/>
            </w:rPr>
            <w:t>0</w:t>
          </w:r>
        </w:p>
        <w:p w14:paraId="228A208A">
          <w:pPr>
            <w:pStyle w:val="12"/>
            <w:tabs>
              <w:tab w:val="right" w:leader="dot" w:pos="8296"/>
            </w:tabs>
            <w:spacing w:line="360" w:lineRule="auto"/>
            <w:ind w:left="480" w:right="0"/>
            <w:rPr>
              <w:rFonts w:hint="default" w:ascii="仿宋_GB2312" w:hAnsi="仿宋_GB2312" w:eastAsia="仿宋_GB2312" w:cs="Calibri;DejaVu Sans"/>
              <w:sz w:val="21"/>
              <w:lang w:val="en-US" w:eastAsia="zh-CN"/>
            </w:rPr>
          </w:pPr>
          <w:r>
            <w:fldChar w:fldCharType="begin"/>
          </w:r>
          <w:r>
            <w:instrText xml:space="preserve"> HYPERLINK \l "__RefHeading___Toc189646153" \h </w:instrText>
          </w:r>
          <w:r>
            <w:fldChar w:fldCharType="separate"/>
          </w:r>
          <w:r>
            <w:rPr>
              <w:rStyle w:val="33"/>
              <w:rFonts w:ascii="仿宋_GB2312" w:hAnsi="仿宋_GB2312" w:eastAsia="仿宋_GB2312"/>
              <w:lang w:val="zh-CN" w:eastAsia="zh-CN"/>
            </w:rPr>
            <w:t>第三节 募集资金管理</w:t>
          </w:r>
          <w:r>
            <w:rPr>
              <w:rStyle w:val="33"/>
              <w:rFonts w:ascii="仿宋_GB2312" w:hAnsi="仿宋_GB2312" w:eastAsia="仿宋_GB2312"/>
              <w:lang w:val="zh-CN" w:eastAsia="zh-CN"/>
            </w:rPr>
            <w:tab/>
          </w:r>
          <w:r>
            <w:rPr>
              <w:rStyle w:val="33"/>
              <w:rFonts w:hint="eastAsia" w:ascii="仿宋_GB2312" w:hAnsi="仿宋_GB2312" w:eastAsia="仿宋_GB2312"/>
              <w:lang w:val="en-US" w:eastAsia="zh-CN"/>
            </w:rPr>
            <w:t>6</w:t>
          </w:r>
          <w:r>
            <w:rPr>
              <w:rStyle w:val="33"/>
              <w:rFonts w:ascii="仿宋_GB2312" w:hAnsi="仿宋_GB2312" w:eastAsia="仿宋_GB2312"/>
              <w:lang w:val="zh-CN" w:eastAsia="zh-CN"/>
            </w:rPr>
            <w:fldChar w:fldCharType="end"/>
          </w:r>
          <w:r>
            <w:rPr>
              <w:rStyle w:val="33"/>
              <w:rFonts w:hint="eastAsia" w:ascii="仿宋_GB2312" w:hAnsi="仿宋_GB2312" w:eastAsia="仿宋_GB2312"/>
              <w:lang w:val="en-US" w:eastAsia="zh-CN"/>
            </w:rPr>
            <w:t>3</w:t>
          </w:r>
        </w:p>
        <w:p w14:paraId="242FED9C">
          <w:pPr>
            <w:pStyle w:val="12"/>
            <w:tabs>
              <w:tab w:val="right" w:leader="dot" w:pos="8296"/>
            </w:tabs>
            <w:spacing w:line="360" w:lineRule="auto"/>
            <w:ind w:left="480" w:right="0"/>
            <w:rPr>
              <w:rFonts w:hint="default" w:ascii="仿宋_GB2312" w:hAnsi="仿宋_GB2312" w:eastAsia="仿宋_GB2312" w:cs="Calibri;DejaVu Sans"/>
              <w:sz w:val="21"/>
              <w:lang w:val="en-US" w:eastAsia="zh-CN"/>
            </w:rPr>
          </w:pPr>
          <w:r>
            <w:fldChar w:fldCharType="begin"/>
          </w:r>
          <w:r>
            <w:instrText xml:space="preserve"> HYPERLINK \l "__RefHeading___Toc189646154" \h </w:instrText>
          </w:r>
          <w:r>
            <w:fldChar w:fldCharType="separate"/>
          </w:r>
          <w:r>
            <w:rPr>
              <w:rStyle w:val="33"/>
              <w:rFonts w:ascii="仿宋_GB2312" w:hAnsi="仿宋_GB2312" w:eastAsia="仿宋_GB2312"/>
              <w:lang w:val="zh-CN" w:eastAsia="zh-CN"/>
            </w:rPr>
            <w:t>第四节 承诺及承诺履行</w:t>
          </w:r>
          <w:r>
            <w:rPr>
              <w:rStyle w:val="33"/>
              <w:rFonts w:ascii="仿宋_GB2312" w:hAnsi="仿宋_GB2312" w:eastAsia="仿宋_GB2312"/>
              <w:lang w:val="zh-CN" w:eastAsia="zh-CN"/>
            </w:rPr>
            <w:tab/>
          </w:r>
          <w:r>
            <w:rPr>
              <w:rStyle w:val="33"/>
              <w:rFonts w:hint="eastAsia" w:ascii="仿宋_GB2312" w:hAnsi="仿宋_GB2312" w:eastAsia="仿宋_GB2312"/>
              <w:lang w:val="en-US" w:eastAsia="zh-CN"/>
            </w:rPr>
            <w:t>7</w:t>
          </w:r>
          <w:r>
            <w:rPr>
              <w:rStyle w:val="33"/>
              <w:rFonts w:ascii="仿宋_GB2312" w:hAnsi="仿宋_GB2312" w:eastAsia="仿宋_GB2312"/>
              <w:lang w:val="zh-CN" w:eastAsia="zh-CN"/>
            </w:rPr>
            <w:fldChar w:fldCharType="end"/>
          </w:r>
          <w:r>
            <w:rPr>
              <w:rStyle w:val="33"/>
              <w:rFonts w:hint="eastAsia" w:ascii="仿宋_GB2312" w:hAnsi="仿宋_GB2312" w:eastAsia="仿宋_GB2312"/>
              <w:lang w:val="en-US" w:eastAsia="zh-CN"/>
            </w:rPr>
            <w:t>6</w:t>
          </w:r>
        </w:p>
        <w:p w14:paraId="21D15E11">
          <w:pPr>
            <w:pStyle w:val="12"/>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"__RefHeading___Toc189646155" \h </w:instrText>
          </w:r>
          <w:r>
            <w:fldChar w:fldCharType="separate"/>
          </w:r>
          <w:r>
            <w:rPr>
              <w:rStyle w:val="33"/>
              <w:rFonts w:ascii="仿宋_GB2312" w:hAnsi="仿宋_GB2312" w:eastAsia="仿宋_GB2312"/>
              <w:lang w:val="zh-CN" w:eastAsia="zh-CN"/>
            </w:rPr>
            <w:t>第五节 利润分配和资本公积金转增股本</w:t>
          </w:r>
          <w:r>
            <w:rPr>
              <w:rStyle w:val="33"/>
              <w:rFonts w:ascii="仿宋_GB2312" w:hAnsi="仿宋_GB2312" w:eastAsia="仿宋_GB2312"/>
              <w:lang w:val="zh-CN" w:eastAsia="zh-CN"/>
            </w:rPr>
            <w:tab/>
          </w:r>
          <w:r>
            <w:rPr>
              <w:rStyle w:val="33"/>
              <w:rFonts w:ascii="仿宋_GB2312" w:hAnsi="仿宋_GB2312" w:eastAsia="仿宋_GB2312"/>
              <w:lang w:val="zh-CN" w:eastAsia="zh-CN"/>
            </w:rPr>
            <w:t>7</w:t>
          </w:r>
          <w:r>
            <w:rPr>
              <w:rStyle w:val="33"/>
              <w:rFonts w:hint="eastAsia" w:ascii="仿宋_GB2312" w:hAnsi="仿宋_GB2312" w:eastAsia="仿宋_GB2312"/>
              <w:lang w:val="en-US" w:eastAsia="zh-CN"/>
            </w:rPr>
            <w:t>9</w:t>
          </w:r>
          <w:r>
            <w:rPr>
              <w:rStyle w:val="33"/>
              <w:rFonts w:ascii="仿宋_GB2312" w:hAnsi="仿宋_GB2312" w:eastAsia="仿宋_GB2312"/>
              <w:lang w:val="zh-CN" w:eastAsia="zh-CN"/>
            </w:rPr>
            <w:fldChar w:fldCharType="end"/>
          </w:r>
        </w:p>
        <w:p w14:paraId="344550F3">
          <w:pPr>
            <w:pStyle w:val="12"/>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"__RefHeading___Toc189646156" \h </w:instrText>
          </w:r>
          <w:r>
            <w:fldChar w:fldCharType="separate"/>
          </w:r>
          <w:r>
            <w:rPr>
              <w:rStyle w:val="33"/>
              <w:rFonts w:ascii="仿宋_GB2312" w:hAnsi="仿宋_GB2312" w:eastAsia="仿宋_GB2312"/>
              <w:lang w:val="zh-CN" w:eastAsia="zh-CN"/>
            </w:rPr>
            <w:t>第六节 员工持股计划</w:t>
          </w:r>
          <w:r>
            <w:rPr>
              <w:rStyle w:val="33"/>
              <w:rFonts w:ascii="仿宋_GB2312" w:hAnsi="仿宋_GB2312" w:eastAsia="仿宋_GB2312"/>
              <w:lang w:val="zh-CN" w:eastAsia="zh-CN"/>
            </w:rPr>
            <w:tab/>
          </w:r>
          <w:r>
            <w:rPr>
              <w:rStyle w:val="33"/>
              <w:rFonts w:ascii="仿宋_GB2312" w:hAnsi="仿宋_GB2312" w:eastAsia="仿宋_GB2312"/>
              <w:lang w:val="zh-CN" w:eastAsia="zh-CN"/>
            </w:rPr>
            <w:t>8</w:t>
          </w:r>
          <w:r>
            <w:rPr>
              <w:rStyle w:val="33"/>
              <w:rFonts w:hint="eastAsia" w:ascii="仿宋_GB2312" w:hAnsi="仿宋_GB2312" w:eastAsia="仿宋_GB2312"/>
              <w:lang w:val="en-US" w:eastAsia="zh-CN"/>
            </w:rPr>
            <w:t>6</w:t>
          </w:r>
          <w:r>
            <w:rPr>
              <w:rStyle w:val="33"/>
              <w:rFonts w:ascii="仿宋_GB2312" w:hAnsi="仿宋_GB2312" w:eastAsia="仿宋_GB2312"/>
              <w:lang w:val="zh-CN" w:eastAsia="zh-CN"/>
            </w:rPr>
            <w:fldChar w:fldCharType="end"/>
          </w:r>
        </w:p>
        <w:p w14:paraId="7770585A">
          <w:pPr>
            <w:pStyle w:val="10"/>
            <w:tabs>
              <w:tab w:val="right" w:leader="dot" w:pos="8296"/>
            </w:tabs>
            <w:spacing w:line="360" w:lineRule="auto"/>
            <w:rPr>
              <w:rFonts w:hint="default" w:ascii="仿宋_GB2312" w:hAnsi="仿宋_GB2312" w:eastAsia="仿宋_GB2312" w:cs="Calibri;DejaVu Sans"/>
              <w:sz w:val="21"/>
              <w:lang w:val="en-US" w:eastAsia="zh-CN"/>
            </w:rPr>
          </w:pPr>
          <w:r>
            <w:fldChar w:fldCharType="begin"/>
          </w:r>
          <w:r>
            <w:instrText xml:space="preserve"> HYPERLINK \l "__RefHeading___Toc189646157" \h </w:instrText>
          </w:r>
          <w:r>
            <w:fldChar w:fldCharType="separate"/>
          </w:r>
          <w:r>
            <w:rPr>
              <w:rStyle w:val="33"/>
              <w:rFonts w:ascii="仿宋_GB2312" w:hAnsi="仿宋_GB2312" w:eastAsia="仿宋_GB2312" w:cs="黑体"/>
              <w:b/>
              <w:kern w:val="0"/>
              <w:lang w:val="zh-CN" w:eastAsia="zh-CN"/>
            </w:rPr>
            <w:t>第七章 投资者关系管理</w:t>
          </w:r>
          <w:r>
            <w:rPr>
              <w:rStyle w:val="33"/>
              <w:rFonts w:ascii="仿宋_GB2312" w:hAnsi="仿宋_GB2312" w:eastAsia="仿宋_GB2312"/>
              <w:lang w:val="zh-CN" w:eastAsia="zh-CN"/>
            </w:rPr>
            <w:tab/>
          </w:r>
          <w:r>
            <w:rPr>
              <w:rStyle w:val="33"/>
              <w:rFonts w:hint="eastAsia" w:ascii="仿宋_GB2312" w:hAnsi="仿宋_GB2312" w:eastAsia="仿宋_GB2312"/>
              <w:lang w:val="en-US" w:eastAsia="zh-CN"/>
            </w:rPr>
            <w:t>9</w:t>
          </w:r>
          <w:r>
            <w:rPr>
              <w:rStyle w:val="33"/>
              <w:rFonts w:ascii="仿宋_GB2312" w:hAnsi="仿宋_GB2312" w:eastAsia="仿宋_GB2312"/>
              <w:lang w:val="zh-CN" w:eastAsia="zh-CN"/>
            </w:rPr>
            <w:fldChar w:fldCharType="end"/>
          </w:r>
          <w:r>
            <w:rPr>
              <w:rStyle w:val="33"/>
              <w:rFonts w:hint="eastAsia" w:ascii="仿宋_GB2312" w:hAnsi="仿宋_GB2312" w:eastAsia="仿宋_GB2312"/>
              <w:lang w:val="en-US" w:eastAsia="zh-CN"/>
            </w:rPr>
            <w:t>1</w:t>
          </w:r>
        </w:p>
        <w:p w14:paraId="678DD4C2">
          <w:pPr>
            <w:pStyle w:val="12"/>
            <w:tabs>
              <w:tab w:val="right" w:leader="dot" w:pos="8296"/>
            </w:tabs>
            <w:spacing w:line="360" w:lineRule="auto"/>
            <w:ind w:left="480" w:right="0"/>
            <w:rPr>
              <w:rFonts w:hint="default" w:ascii="仿宋_GB2312" w:hAnsi="仿宋_GB2312" w:eastAsia="仿宋_GB2312" w:cs="Calibri;DejaVu Sans"/>
              <w:sz w:val="21"/>
              <w:lang w:val="en-US" w:eastAsia="zh-CN"/>
            </w:rPr>
          </w:pPr>
          <w:r>
            <w:fldChar w:fldCharType="begin"/>
          </w:r>
          <w:r>
            <w:instrText xml:space="preserve"> HYPERLINK \l "__RefHeading___Toc189646158" \h </w:instrText>
          </w:r>
          <w:r>
            <w:fldChar w:fldCharType="separate"/>
          </w:r>
          <w:r>
            <w:rPr>
              <w:rStyle w:val="33"/>
              <w:rFonts w:ascii="仿宋_GB2312" w:hAnsi="仿宋_GB2312" w:eastAsia="仿宋_GB2312"/>
              <w:lang w:val="zh-CN" w:eastAsia="zh-CN"/>
            </w:rPr>
            <w:t>第一节 总体要求</w:t>
          </w:r>
          <w:r>
            <w:rPr>
              <w:rStyle w:val="33"/>
              <w:rFonts w:ascii="仿宋_GB2312" w:hAnsi="仿宋_GB2312" w:eastAsia="仿宋_GB2312"/>
              <w:lang w:val="zh-CN" w:eastAsia="zh-CN"/>
            </w:rPr>
            <w:tab/>
          </w:r>
          <w:r>
            <w:rPr>
              <w:rStyle w:val="33"/>
              <w:rFonts w:hint="eastAsia" w:ascii="仿宋_GB2312" w:hAnsi="仿宋_GB2312" w:eastAsia="仿宋_GB2312"/>
              <w:lang w:val="en-US" w:eastAsia="zh-CN"/>
            </w:rPr>
            <w:t>9</w:t>
          </w:r>
          <w:r>
            <w:rPr>
              <w:rStyle w:val="33"/>
              <w:rFonts w:ascii="仿宋_GB2312" w:hAnsi="仿宋_GB2312" w:eastAsia="仿宋_GB2312"/>
              <w:lang w:val="zh-CN" w:eastAsia="zh-CN"/>
            </w:rPr>
            <w:fldChar w:fldCharType="end"/>
          </w:r>
          <w:r>
            <w:rPr>
              <w:rStyle w:val="33"/>
              <w:rFonts w:hint="eastAsia" w:ascii="仿宋_GB2312" w:hAnsi="仿宋_GB2312" w:eastAsia="仿宋_GB2312"/>
              <w:lang w:val="en-US" w:eastAsia="zh-CN"/>
            </w:rPr>
            <w:t>1</w:t>
          </w:r>
        </w:p>
        <w:p w14:paraId="3F6F8016">
          <w:pPr>
            <w:pStyle w:val="12"/>
            <w:tabs>
              <w:tab w:val="right" w:leader="dot" w:pos="8296"/>
            </w:tabs>
            <w:spacing w:line="360" w:lineRule="auto"/>
            <w:ind w:left="480" w:right="0"/>
            <w:rPr>
              <w:rFonts w:hint="default" w:ascii="仿宋_GB2312" w:hAnsi="仿宋_GB2312" w:eastAsia="仿宋_GB2312" w:cs="Calibri;DejaVu Sans"/>
              <w:sz w:val="21"/>
              <w:lang w:val="en-US" w:eastAsia="zh-CN"/>
            </w:rPr>
          </w:pPr>
          <w:r>
            <w:fldChar w:fldCharType="begin"/>
          </w:r>
          <w:r>
            <w:instrText xml:space="preserve"> HYPERLINK \l "__RefHeading___Toc189646159" \h </w:instrText>
          </w:r>
          <w:r>
            <w:fldChar w:fldCharType="separate"/>
          </w:r>
          <w:r>
            <w:rPr>
              <w:rStyle w:val="33"/>
              <w:rFonts w:ascii="仿宋_GB2312" w:hAnsi="仿宋_GB2312" w:eastAsia="仿宋_GB2312"/>
              <w:lang w:val="zh-CN" w:eastAsia="zh-CN"/>
            </w:rPr>
            <w:t>第二节 投资者关系管理的形式和要求</w:t>
          </w:r>
          <w:r>
            <w:rPr>
              <w:rStyle w:val="33"/>
              <w:rFonts w:ascii="仿宋_GB2312" w:hAnsi="仿宋_GB2312" w:eastAsia="仿宋_GB2312"/>
              <w:lang w:val="zh-CN" w:eastAsia="zh-CN"/>
            </w:rPr>
            <w:tab/>
          </w:r>
          <w:r>
            <w:rPr>
              <w:rStyle w:val="33"/>
              <w:rFonts w:hint="eastAsia" w:ascii="仿宋_GB2312" w:hAnsi="仿宋_GB2312" w:eastAsia="仿宋_GB2312"/>
              <w:lang w:val="en-US" w:eastAsia="zh-CN"/>
            </w:rPr>
            <w:t>9</w:t>
          </w:r>
          <w:r>
            <w:rPr>
              <w:rStyle w:val="33"/>
              <w:rFonts w:ascii="仿宋_GB2312" w:hAnsi="仿宋_GB2312" w:eastAsia="仿宋_GB2312"/>
              <w:lang w:val="zh-CN" w:eastAsia="zh-CN"/>
            </w:rPr>
            <w:fldChar w:fldCharType="end"/>
          </w:r>
          <w:r>
            <w:rPr>
              <w:rStyle w:val="33"/>
              <w:rFonts w:hint="eastAsia" w:ascii="仿宋_GB2312" w:hAnsi="仿宋_GB2312" w:eastAsia="仿宋_GB2312"/>
              <w:lang w:val="en-US" w:eastAsia="zh-CN"/>
            </w:rPr>
            <w:t>4</w:t>
          </w:r>
        </w:p>
        <w:p w14:paraId="5DF19096">
          <w:pPr>
            <w:pStyle w:val="12"/>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"__RefHeading___Toc189646160" \h </w:instrText>
          </w:r>
          <w:r>
            <w:fldChar w:fldCharType="separate"/>
          </w:r>
          <w:r>
            <w:rPr>
              <w:rStyle w:val="33"/>
              <w:rFonts w:ascii="仿宋_GB2312" w:hAnsi="仿宋_GB2312" w:eastAsia="仿宋_GB2312"/>
              <w:lang w:val="zh-CN" w:eastAsia="zh-CN"/>
            </w:rPr>
            <w:t>第三节 投资者说明会</w:t>
          </w:r>
          <w:r>
            <w:rPr>
              <w:rStyle w:val="33"/>
              <w:rFonts w:ascii="仿宋_GB2312" w:hAnsi="仿宋_GB2312" w:eastAsia="仿宋_GB2312"/>
              <w:lang w:val="zh-CN" w:eastAsia="zh-CN"/>
            </w:rPr>
            <w:tab/>
          </w:r>
          <w:r>
            <w:rPr>
              <w:rStyle w:val="33"/>
              <w:rFonts w:ascii="仿宋_GB2312" w:hAnsi="仿宋_GB2312" w:eastAsia="仿宋_GB2312"/>
              <w:lang w:val="zh-CN" w:eastAsia="zh-CN"/>
            </w:rPr>
            <w:t>9</w:t>
          </w:r>
          <w:r>
            <w:rPr>
              <w:rStyle w:val="33"/>
              <w:rFonts w:hint="eastAsia" w:ascii="仿宋_GB2312" w:hAnsi="仿宋_GB2312" w:eastAsia="仿宋_GB2312"/>
              <w:lang w:val="en-US" w:eastAsia="zh-CN"/>
            </w:rPr>
            <w:t>5</w:t>
          </w:r>
          <w:r>
            <w:rPr>
              <w:rStyle w:val="33"/>
              <w:rFonts w:ascii="仿宋_GB2312" w:hAnsi="仿宋_GB2312" w:eastAsia="仿宋_GB2312"/>
              <w:lang w:val="zh-CN" w:eastAsia="zh-CN"/>
            </w:rPr>
            <w:fldChar w:fldCharType="end"/>
          </w:r>
        </w:p>
        <w:p w14:paraId="2F21D1D9">
          <w:pPr>
            <w:pStyle w:val="12"/>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"__RefHeading___Toc189646161" \h </w:instrText>
          </w:r>
          <w:r>
            <w:fldChar w:fldCharType="separate"/>
          </w:r>
          <w:r>
            <w:rPr>
              <w:rStyle w:val="33"/>
              <w:rFonts w:ascii="仿宋_GB2312" w:hAnsi="仿宋_GB2312" w:eastAsia="仿宋_GB2312"/>
              <w:lang w:val="zh-CN" w:eastAsia="zh-CN"/>
            </w:rPr>
            <w:t>第四节 上市公司接受调研</w:t>
          </w:r>
          <w:r>
            <w:rPr>
              <w:rStyle w:val="33"/>
              <w:rFonts w:ascii="仿宋_GB2312" w:hAnsi="仿宋_GB2312" w:eastAsia="仿宋_GB2312"/>
              <w:lang w:val="zh-CN" w:eastAsia="zh-CN"/>
            </w:rPr>
            <w:tab/>
          </w:r>
          <w:r>
            <w:rPr>
              <w:rStyle w:val="33"/>
              <w:rFonts w:ascii="仿宋_GB2312" w:hAnsi="仿宋_GB2312" w:eastAsia="仿宋_GB2312"/>
              <w:lang w:val="zh-CN" w:eastAsia="zh-CN"/>
            </w:rPr>
            <w:t>9</w:t>
          </w:r>
          <w:r>
            <w:rPr>
              <w:rStyle w:val="33"/>
              <w:rFonts w:hint="eastAsia" w:ascii="仿宋_GB2312" w:hAnsi="仿宋_GB2312" w:eastAsia="仿宋_GB2312"/>
              <w:lang w:val="en-US" w:eastAsia="zh-CN"/>
            </w:rPr>
            <w:t>7</w:t>
          </w:r>
          <w:r>
            <w:rPr>
              <w:rStyle w:val="33"/>
              <w:rFonts w:ascii="仿宋_GB2312" w:hAnsi="仿宋_GB2312" w:eastAsia="仿宋_GB2312"/>
              <w:lang w:val="zh-CN" w:eastAsia="zh-CN"/>
            </w:rPr>
            <w:fldChar w:fldCharType="end"/>
          </w:r>
        </w:p>
        <w:p w14:paraId="3E0F2550">
          <w:pPr>
            <w:pStyle w:val="12"/>
            <w:tabs>
              <w:tab w:val="right" w:leader="dot" w:pos="8296"/>
            </w:tabs>
            <w:spacing w:line="360" w:lineRule="auto"/>
            <w:ind w:left="480" w:right="0"/>
            <w:rPr>
              <w:rFonts w:ascii="仿宋_GB2312" w:hAnsi="仿宋_GB2312" w:eastAsia="仿宋_GB2312" w:cs="Calibri;DejaVu Sans"/>
              <w:sz w:val="21"/>
              <w:lang w:val="zh-CN" w:eastAsia="zh-CN"/>
            </w:rPr>
          </w:pPr>
          <w:r>
            <w:fldChar w:fldCharType="begin"/>
          </w:r>
          <w:r>
            <w:instrText xml:space="preserve"> HYPERLINK \l "__RefHeading___Toc189646162" \h </w:instrText>
          </w:r>
          <w:r>
            <w:fldChar w:fldCharType="separate"/>
          </w:r>
          <w:r>
            <w:rPr>
              <w:rStyle w:val="33"/>
              <w:rFonts w:ascii="仿宋_GB2312" w:hAnsi="仿宋_GB2312" w:eastAsia="仿宋_GB2312"/>
              <w:lang w:val="zh-CN" w:eastAsia="zh-CN"/>
            </w:rPr>
            <w:t>第五节 上证e互动平台</w:t>
          </w:r>
          <w:r>
            <w:rPr>
              <w:rStyle w:val="33"/>
              <w:rFonts w:ascii="仿宋_GB2312" w:hAnsi="仿宋_GB2312" w:eastAsia="仿宋_GB2312"/>
              <w:lang w:val="zh-CN" w:eastAsia="zh-CN"/>
            </w:rPr>
            <w:tab/>
          </w:r>
          <w:r>
            <w:rPr>
              <w:rStyle w:val="33"/>
              <w:rFonts w:ascii="仿宋_GB2312" w:hAnsi="仿宋_GB2312" w:eastAsia="仿宋_GB2312"/>
              <w:lang w:val="zh-CN" w:eastAsia="zh-CN"/>
            </w:rPr>
            <w:t>9</w:t>
          </w:r>
          <w:r>
            <w:rPr>
              <w:rStyle w:val="33"/>
              <w:rFonts w:hint="eastAsia" w:ascii="仿宋_GB2312" w:hAnsi="仿宋_GB2312" w:eastAsia="仿宋_GB2312"/>
              <w:lang w:val="en-US" w:eastAsia="zh-CN"/>
            </w:rPr>
            <w:t>9</w:t>
          </w:r>
          <w:r>
            <w:rPr>
              <w:rStyle w:val="33"/>
              <w:rFonts w:ascii="仿宋_GB2312" w:hAnsi="仿宋_GB2312" w:eastAsia="仿宋_GB2312"/>
              <w:lang w:val="zh-CN" w:eastAsia="zh-CN"/>
            </w:rPr>
            <w:fldChar w:fldCharType="end"/>
          </w:r>
        </w:p>
        <w:p w14:paraId="1F42306F">
          <w:pPr>
            <w:pStyle w:val="10"/>
            <w:tabs>
              <w:tab w:val="right" w:leader="dot" w:pos="8296"/>
            </w:tabs>
            <w:spacing w:line="360" w:lineRule="auto"/>
            <w:rPr>
              <w:rFonts w:hint="default" w:ascii="仿宋_GB2312" w:hAnsi="仿宋_GB2312" w:eastAsia="仿宋_GB2312" w:cs="Calibri;DejaVu Sans"/>
              <w:sz w:val="21"/>
              <w:lang w:val="en-US" w:eastAsia="zh-CN"/>
            </w:rPr>
          </w:pPr>
          <w:r>
            <w:fldChar w:fldCharType="begin"/>
          </w:r>
          <w:r>
            <w:instrText xml:space="preserve"> HYPERLINK \l "__RefHeading___Toc189646163" \h </w:instrText>
          </w:r>
          <w:r>
            <w:fldChar w:fldCharType="separate"/>
          </w:r>
          <w:r>
            <w:rPr>
              <w:rStyle w:val="33"/>
              <w:rFonts w:ascii="仿宋_GB2312" w:hAnsi="仿宋_GB2312" w:eastAsia="仿宋_GB2312" w:cs="黑体"/>
              <w:b/>
              <w:kern w:val="0"/>
              <w:lang w:val="zh-CN" w:eastAsia="zh-CN"/>
            </w:rPr>
            <w:t>第八章 社会责任</w:t>
          </w:r>
          <w:r>
            <w:rPr>
              <w:rStyle w:val="33"/>
              <w:rFonts w:ascii="仿宋_GB2312" w:hAnsi="仿宋_GB2312" w:eastAsia="仿宋_GB2312"/>
              <w:lang w:val="zh-CN" w:eastAsia="zh-CN"/>
            </w:rPr>
            <w:tab/>
          </w:r>
          <w:r>
            <w:rPr>
              <w:rStyle w:val="33"/>
              <w:rFonts w:hint="eastAsia" w:ascii="仿宋_GB2312" w:hAnsi="仿宋_GB2312" w:eastAsia="仿宋_GB2312"/>
              <w:lang w:val="en-US" w:eastAsia="zh-CN"/>
            </w:rPr>
            <w:t>1</w:t>
          </w:r>
          <w:r>
            <w:rPr>
              <w:rStyle w:val="33"/>
              <w:rFonts w:ascii="仿宋_GB2312" w:hAnsi="仿宋_GB2312" w:eastAsia="仿宋_GB2312"/>
              <w:lang w:val="zh-CN" w:eastAsia="zh-CN"/>
            </w:rPr>
            <w:fldChar w:fldCharType="end"/>
          </w:r>
          <w:r>
            <w:rPr>
              <w:rStyle w:val="33"/>
              <w:rFonts w:hint="eastAsia" w:ascii="仿宋_GB2312" w:hAnsi="仿宋_GB2312" w:eastAsia="仿宋_GB2312"/>
              <w:lang w:val="en-US" w:eastAsia="zh-CN"/>
            </w:rPr>
            <w:t>01</w:t>
          </w:r>
        </w:p>
        <w:p w14:paraId="4C639CC8">
          <w:pPr>
            <w:pStyle w:val="10"/>
            <w:tabs>
              <w:tab w:val="right" w:leader="dot" w:pos="8296"/>
            </w:tabs>
            <w:spacing w:line="360" w:lineRule="auto"/>
            <w:rPr>
              <w:rFonts w:ascii="仿宋_GB2312" w:hAnsi="仿宋_GB2312" w:eastAsia="仿宋_GB2312" w:cs="Calibri;DejaVu Sans"/>
              <w:sz w:val="21"/>
              <w:lang w:val="zh-CN" w:eastAsia="zh-CN"/>
            </w:rPr>
          </w:pPr>
          <w:r>
            <w:fldChar w:fldCharType="begin"/>
          </w:r>
          <w:r>
            <w:instrText xml:space="preserve"> HYPERLINK \l "__RefHeading___Toc189646164" \h </w:instrText>
          </w:r>
          <w:r>
            <w:fldChar w:fldCharType="separate"/>
          </w:r>
          <w:r>
            <w:rPr>
              <w:rStyle w:val="33"/>
              <w:rFonts w:ascii="仿宋_GB2312" w:hAnsi="仿宋_GB2312" w:eastAsia="仿宋_GB2312" w:cs="黑体"/>
              <w:b/>
              <w:kern w:val="0"/>
              <w:lang w:val="zh-CN" w:eastAsia="zh-CN"/>
            </w:rPr>
            <w:t>第九章 附则</w:t>
          </w:r>
          <w:r>
            <w:rPr>
              <w:rStyle w:val="33"/>
              <w:rFonts w:ascii="仿宋_GB2312" w:hAnsi="仿宋_GB2312" w:eastAsia="仿宋_GB2312"/>
              <w:lang w:val="zh-CN" w:eastAsia="zh-CN"/>
            </w:rPr>
            <w:tab/>
          </w:r>
          <w:r>
            <w:rPr>
              <w:rStyle w:val="33"/>
              <w:rFonts w:ascii="仿宋_GB2312" w:hAnsi="仿宋_GB2312" w:eastAsia="仿宋_GB2312"/>
              <w:lang w:val="zh-CN" w:eastAsia="zh-CN"/>
            </w:rPr>
            <w:t>10</w:t>
          </w:r>
          <w:r>
            <w:rPr>
              <w:rStyle w:val="33"/>
              <w:rFonts w:hint="eastAsia" w:ascii="仿宋_GB2312" w:hAnsi="仿宋_GB2312" w:eastAsia="仿宋_GB2312"/>
              <w:lang w:val="en-US" w:eastAsia="zh-CN"/>
            </w:rPr>
            <w:t>6</w:t>
          </w:r>
          <w:r>
            <w:rPr>
              <w:rStyle w:val="33"/>
              <w:rFonts w:ascii="仿宋_GB2312" w:hAnsi="仿宋_GB2312" w:eastAsia="仿宋_GB2312"/>
              <w:lang w:val="zh-CN" w:eastAsia="zh-CN"/>
            </w:rPr>
            <w:fldChar w:fldCharType="end"/>
          </w:r>
        </w:p>
        <w:p w14:paraId="1CAA0BED">
          <w:pPr>
            <w:pStyle w:val="10"/>
            <w:tabs>
              <w:tab w:val="right" w:leader="dot" w:pos="8296"/>
            </w:tabs>
            <w:spacing w:line="360" w:lineRule="auto"/>
            <w:rPr>
              <w:rFonts w:ascii="仿宋_GB2312" w:hAnsi="仿宋_GB2312" w:eastAsia="仿宋_GB2312" w:cs="Calibri;DejaVu Sans"/>
              <w:sz w:val="21"/>
              <w:lang w:val="zh-CN" w:eastAsia="zh-CN"/>
            </w:rPr>
          </w:pPr>
          <w:r>
            <w:fldChar w:fldCharType="begin"/>
          </w:r>
          <w:r>
            <w:instrText xml:space="preserve"> HYPERLINK \l "__RefHeading___Toc189646165" \h </w:instrText>
          </w:r>
          <w:r>
            <w:fldChar w:fldCharType="separate"/>
          </w:r>
          <w:r>
            <w:rPr>
              <w:rStyle w:val="33"/>
              <w:rFonts w:ascii="仿宋_GB2312" w:hAnsi="仿宋_GB2312" w:eastAsia="仿宋_GB2312" w:cs="黑体"/>
              <w:b/>
              <w:kern w:val="0"/>
              <w:lang w:val="zh-CN" w:eastAsia="zh-CN"/>
            </w:rPr>
            <w:t>董事声明及承诺书</w:t>
          </w:r>
          <w:r>
            <w:rPr>
              <w:rStyle w:val="33"/>
              <w:rFonts w:ascii="仿宋_GB2312" w:hAnsi="仿宋_GB2312" w:eastAsia="仿宋_GB2312"/>
              <w:lang w:val="zh-CN" w:eastAsia="zh-CN"/>
            </w:rPr>
            <w:tab/>
          </w:r>
          <w:r>
            <w:rPr>
              <w:rStyle w:val="33"/>
              <w:rFonts w:ascii="仿宋_GB2312" w:hAnsi="仿宋_GB2312" w:eastAsia="仿宋_GB2312"/>
              <w:lang w:val="zh-CN" w:eastAsia="zh-CN"/>
            </w:rPr>
            <w:t>10</w:t>
          </w:r>
          <w:r>
            <w:rPr>
              <w:rStyle w:val="33"/>
              <w:rFonts w:hint="eastAsia" w:ascii="仿宋_GB2312" w:hAnsi="仿宋_GB2312" w:eastAsia="仿宋_GB2312"/>
              <w:lang w:val="en-US" w:eastAsia="zh-CN"/>
            </w:rPr>
            <w:t>8</w:t>
          </w:r>
          <w:r>
            <w:rPr>
              <w:rStyle w:val="33"/>
              <w:rFonts w:ascii="仿宋_GB2312" w:hAnsi="仿宋_GB2312" w:eastAsia="仿宋_GB2312"/>
              <w:lang w:val="zh-CN" w:eastAsia="zh-CN"/>
            </w:rPr>
            <w:fldChar w:fldCharType="end"/>
          </w:r>
        </w:p>
        <w:p w14:paraId="40D8A457">
          <w:pPr>
            <w:pStyle w:val="10"/>
            <w:tabs>
              <w:tab w:val="right" w:leader="dot" w:pos="8296"/>
            </w:tabs>
            <w:spacing w:line="360" w:lineRule="auto"/>
            <w:rPr>
              <w:rFonts w:ascii="仿宋_GB2312" w:hAnsi="仿宋_GB2312" w:eastAsia="仿宋_GB2312" w:cs="Calibri;DejaVu Sans"/>
              <w:sz w:val="21"/>
              <w:lang w:val="zh-CN" w:eastAsia="zh-CN"/>
            </w:rPr>
          </w:pPr>
          <w:r>
            <w:fldChar w:fldCharType="begin"/>
          </w:r>
          <w:r>
            <w:instrText xml:space="preserve"> HYPERLINK \l "__RefHeading___Toc189646166" \h </w:instrText>
          </w:r>
          <w:r>
            <w:fldChar w:fldCharType="separate"/>
          </w:r>
          <w:r>
            <w:rPr>
              <w:rStyle w:val="33"/>
              <w:rFonts w:ascii="仿宋_GB2312" w:hAnsi="仿宋_GB2312" w:eastAsia="仿宋_GB2312" w:cs="黑体"/>
              <w:b/>
              <w:kern w:val="0"/>
              <w:lang w:val="zh-CN" w:eastAsia="zh-CN"/>
            </w:rPr>
            <w:t>高级管理人员声明及承诺书</w:t>
          </w:r>
          <w:r>
            <w:rPr>
              <w:rStyle w:val="33"/>
              <w:rFonts w:ascii="仿宋_GB2312" w:hAnsi="仿宋_GB2312" w:eastAsia="仿宋_GB2312"/>
              <w:lang w:val="zh-CN" w:eastAsia="zh-CN"/>
            </w:rPr>
            <w:tab/>
          </w:r>
          <w:r>
            <w:rPr>
              <w:rStyle w:val="33"/>
              <w:rFonts w:ascii="仿宋_GB2312" w:hAnsi="仿宋_GB2312" w:eastAsia="仿宋_GB2312"/>
              <w:lang w:val="zh-CN" w:eastAsia="zh-CN"/>
            </w:rPr>
            <w:t>11</w:t>
          </w:r>
          <w:r>
            <w:rPr>
              <w:rStyle w:val="33"/>
              <w:rFonts w:hint="eastAsia" w:ascii="仿宋_GB2312" w:hAnsi="仿宋_GB2312" w:eastAsia="仿宋_GB2312"/>
              <w:lang w:val="en-US" w:eastAsia="zh-CN"/>
            </w:rPr>
            <w:t>7</w:t>
          </w:r>
          <w:r>
            <w:rPr>
              <w:rStyle w:val="33"/>
              <w:rFonts w:ascii="仿宋_GB2312" w:hAnsi="仿宋_GB2312" w:eastAsia="仿宋_GB2312"/>
              <w:lang w:val="zh-CN" w:eastAsia="zh-CN"/>
            </w:rPr>
            <w:fldChar w:fldCharType="end"/>
          </w:r>
        </w:p>
        <w:p w14:paraId="1F1283DB">
          <w:pPr>
            <w:pStyle w:val="10"/>
            <w:tabs>
              <w:tab w:val="right" w:leader="dot" w:pos="8296"/>
            </w:tabs>
            <w:spacing w:line="360" w:lineRule="auto"/>
            <w:rPr>
              <w:rFonts w:ascii="仿宋_GB2312" w:hAnsi="仿宋_GB2312" w:eastAsia="仿宋_GB2312" w:cs="Calibri;DejaVu Sans"/>
              <w:sz w:val="21"/>
              <w:lang w:val="zh-CN" w:eastAsia="zh-CN"/>
            </w:rPr>
          </w:pPr>
          <w:r>
            <w:fldChar w:fldCharType="begin"/>
          </w:r>
          <w:r>
            <w:instrText xml:space="preserve"> HYPERLINK \l "__RefHeading___Toc189646167" \h </w:instrText>
          </w:r>
          <w:r>
            <w:fldChar w:fldCharType="separate"/>
          </w:r>
          <w:r>
            <w:rPr>
              <w:rStyle w:val="33"/>
              <w:rFonts w:ascii="仿宋_GB2312" w:hAnsi="仿宋_GB2312" w:eastAsia="仿宋_GB2312" w:cs="Arial Unicode MS;Times New Roma"/>
              <w:b/>
              <w:bCs/>
              <w:kern w:val="2"/>
              <w:lang w:val="zh-CN" w:eastAsia="zh-CN"/>
            </w:rPr>
            <w:t>独立董事候选人声明与承诺</w:t>
          </w:r>
          <w:r>
            <w:rPr>
              <w:rStyle w:val="33"/>
              <w:rFonts w:ascii="仿宋_GB2312" w:hAnsi="仿宋_GB2312" w:eastAsia="仿宋_GB2312"/>
              <w:lang w:val="zh-CN" w:eastAsia="zh-CN"/>
            </w:rPr>
            <w:tab/>
          </w:r>
          <w:r>
            <w:rPr>
              <w:rStyle w:val="33"/>
              <w:rFonts w:ascii="仿宋_GB2312" w:hAnsi="仿宋_GB2312" w:eastAsia="仿宋_GB2312"/>
              <w:lang w:val="zh-CN" w:eastAsia="zh-CN"/>
            </w:rPr>
            <w:t>12</w:t>
          </w:r>
          <w:r>
            <w:rPr>
              <w:rStyle w:val="33"/>
              <w:rFonts w:hint="eastAsia" w:ascii="仿宋_GB2312" w:hAnsi="仿宋_GB2312" w:eastAsia="仿宋_GB2312"/>
              <w:lang w:val="en-US" w:eastAsia="zh-CN"/>
            </w:rPr>
            <w:t>6</w:t>
          </w:r>
          <w:r>
            <w:rPr>
              <w:rStyle w:val="33"/>
              <w:rFonts w:ascii="仿宋_GB2312" w:hAnsi="仿宋_GB2312" w:eastAsia="仿宋_GB2312"/>
              <w:lang w:val="zh-CN" w:eastAsia="zh-CN"/>
            </w:rPr>
            <w:fldChar w:fldCharType="end"/>
          </w:r>
        </w:p>
        <w:p w14:paraId="16AB5F94">
          <w:pPr>
            <w:pStyle w:val="10"/>
            <w:tabs>
              <w:tab w:val="right" w:leader="dot" w:pos="8296"/>
            </w:tabs>
            <w:spacing w:line="360" w:lineRule="auto"/>
            <w:rPr>
              <w:rFonts w:hint="default" w:ascii="仿宋_GB2312" w:hAnsi="仿宋_GB2312" w:eastAsia="仿宋_GB2312" w:cs="Calibri;DejaVu Sans"/>
              <w:sz w:val="21"/>
              <w:lang w:val="en-US" w:eastAsia="zh-CN"/>
            </w:rPr>
          </w:pPr>
          <w:r>
            <w:fldChar w:fldCharType="begin"/>
          </w:r>
          <w:r>
            <w:instrText xml:space="preserve"> HYPERLINK \l "__RefHeading___Toc189646168" \h </w:instrText>
          </w:r>
          <w:r>
            <w:fldChar w:fldCharType="separate"/>
          </w:r>
          <w:r>
            <w:rPr>
              <w:rStyle w:val="33"/>
              <w:rFonts w:ascii="仿宋_GB2312" w:hAnsi="仿宋_GB2312" w:eastAsia="仿宋_GB2312" w:cs="Arial Unicode MS;Times New Roma"/>
              <w:b/>
              <w:bCs/>
              <w:kern w:val="2"/>
              <w:lang w:val="zh-CN" w:eastAsia="zh-CN"/>
            </w:rPr>
            <w:t>独立董事提名人声明与承诺</w:t>
          </w:r>
          <w:r>
            <w:rPr>
              <w:rStyle w:val="33"/>
              <w:rFonts w:ascii="仿宋_GB2312" w:hAnsi="仿宋_GB2312" w:eastAsia="仿宋_GB2312"/>
              <w:lang w:val="zh-CN" w:eastAsia="zh-CN"/>
            </w:rPr>
            <w:tab/>
          </w:r>
          <w:r>
            <w:rPr>
              <w:rStyle w:val="33"/>
              <w:rFonts w:ascii="仿宋_GB2312" w:hAnsi="仿宋_GB2312" w:eastAsia="仿宋_GB2312"/>
              <w:lang w:val="zh-CN" w:eastAsia="zh-CN"/>
            </w:rPr>
            <w:t>1</w:t>
          </w:r>
          <w:r>
            <w:rPr>
              <w:rStyle w:val="33"/>
              <w:rFonts w:hint="eastAsia" w:ascii="仿宋_GB2312" w:hAnsi="仿宋_GB2312" w:eastAsia="仿宋_GB2312"/>
              <w:lang w:val="en-US" w:eastAsia="zh-CN"/>
            </w:rPr>
            <w:t>3</w:t>
          </w:r>
          <w:r>
            <w:rPr>
              <w:rStyle w:val="33"/>
              <w:rFonts w:ascii="仿宋_GB2312" w:hAnsi="仿宋_GB2312" w:eastAsia="仿宋_GB2312"/>
              <w:lang w:val="zh-CN" w:eastAsia="zh-CN"/>
            </w:rPr>
            <w:fldChar w:fldCharType="end"/>
          </w:r>
          <w:r>
            <w:rPr>
              <w:rStyle w:val="33"/>
              <w:rFonts w:hint="eastAsia" w:ascii="仿宋_GB2312" w:hAnsi="仿宋_GB2312" w:eastAsia="仿宋_GB2312"/>
              <w:lang w:val="en-US" w:eastAsia="zh-CN"/>
            </w:rPr>
            <w:t>1</w:t>
          </w:r>
        </w:p>
        <w:p w14:paraId="32D57C6B">
          <w:pPr>
            <w:pStyle w:val="10"/>
            <w:tabs>
              <w:tab w:val="right" w:leader="dot" w:pos="8296"/>
            </w:tabs>
            <w:spacing w:line="360" w:lineRule="auto"/>
            <w:rPr>
              <w:rFonts w:ascii="仿宋_GB2312" w:hAnsi="仿宋_GB2312" w:eastAsia="仿宋_GB2312" w:cs="Calibri;DejaVu Sans"/>
              <w:sz w:val="21"/>
              <w:lang w:val="zh-CN" w:eastAsia="zh-CN"/>
            </w:rPr>
          </w:pPr>
          <w:r>
            <w:fldChar w:fldCharType="begin"/>
          </w:r>
          <w:r>
            <w:instrText xml:space="preserve"> HYPERLINK \l "__RefHeading___Toc189646169" \h </w:instrText>
          </w:r>
          <w:r>
            <w:fldChar w:fldCharType="separate"/>
          </w:r>
          <w:r>
            <w:rPr>
              <w:rStyle w:val="33"/>
              <w:rFonts w:ascii="仿宋_GB2312" w:hAnsi="仿宋_GB2312" w:eastAsia="仿宋_GB2312" w:cs="黑体"/>
              <w:b/>
              <w:kern w:val="0"/>
              <w:lang w:val="zh-CN" w:eastAsia="zh-CN"/>
            </w:rPr>
            <w:t>上市公司独立董事候选人履历表</w:t>
          </w:r>
          <w:r>
            <w:rPr>
              <w:rStyle w:val="33"/>
              <w:rFonts w:ascii="仿宋_GB2312" w:hAnsi="仿宋_GB2312" w:eastAsia="仿宋_GB2312"/>
              <w:lang w:val="zh-CN" w:eastAsia="zh-CN"/>
            </w:rPr>
            <w:tab/>
          </w:r>
          <w:r>
            <w:rPr>
              <w:rStyle w:val="33"/>
              <w:rFonts w:ascii="仿宋_GB2312" w:hAnsi="仿宋_GB2312" w:eastAsia="仿宋_GB2312"/>
              <w:lang w:val="zh-CN" w:eastAsia="zh-CN"/>
            </w:rPr>
            <w:t>13</w:t>
          </w:r>
          <w:r>
            <w:rPr>
              <w:rStyle w:val="33"/>
              <w:rFonts w:hint="eastAsia" w:ascii="仿宋_GB2312" w:hAnsi="仿宋_GB2312" w:eastAsia="仿宋_GB2312"/>
              <w:lang w:val="en-US" w:eastAsia="zh-CN"/>
            </w:rPr>
            <w:t>6</w:t>
          </w:r>
          <w:r>
            <w:rPr>
              <w:rStyle w:val="33"/>
              <w:rFonts w:ascii="仿宋_GB2312" w:hAnsi="仿宋_GB2312" w:eastAsia="仿宋_GB2312"/>
              <w:lang w:val="zh-CN" w:eastAsia="zh-CN"/>
            </w:rPr>
            <w:fldChar w:fldCharType="end"/>
          </w:r>
        </w:p>
        <w:p w14:paraId="3F4E93CA">
          <w:pPr>
            <w:pStyle w:val="10"/>
            <w:tabs>
              <w:tab w:val="right" w:leader="dot" w:pos="8296"/>
            </w:tabs>
            <w:spacing w:line="360" w:lineRule="auto"/>
            <w:rPr>
              <w:rFonts w:hint="default" w:ascii="仿宋_GB2312" w:hAnsi="仿宋_GB2312" w:eastAsia="仿宋_GB2312" w:cs="Calibri;DejaVu Sans"/>
              <w:sz w:val="21"/>
              <w:lang w:val="en-US" w:eastAsia="zh-CN"/>
            </w:rPr>
          </w:pPr>
          <w:r>
            <w:fldChar w:fldCharType="begin"/>
          </w:r>
          <w:r>
            <w:instrText xml:space="preserve"> HYPERLINK \l "__RefHeading___Toc189646170" \h </w:instrText>
          </w:r>
          <w:r>
            <w:fldChar w:fldCharType="separate"/>
          </w:r>
          <w:r>
            <w:rPr>
              <w:rStyle w:val="33"/>
              <w:rFonts w:ascii="仿宋_GB2312" w:hAnsi="仿宋_GB2312" w:eastAsia="仿宋_GB2312" w:cs="Arial Unicode MS;Times New Roma"/>
              <w:b/>
              <w:bCs/>
              <w:kern w:val="2"/>
              <w:lang w:val="zh-CN" w:eastAsia="zh-CN"/>
            </w:rPr>
            <w:t>控股股东、实际控制人声明及承诺书</w:t>
          </w:r>
          <w:r>
            <w:rPr>
              <w:rStyle w:val="33"/>
              <w:rFonts w:ascii="仿宋_GB2312" w:hAnsi="仿宋_GB2312" w:eastAsia="仿宋_GB2312"/>
              <w:lang w:val="zh-CN" w:eastAsia="zh-CN"/>
            </w:rPr>
            <w:tab/>
          </w:r>
          <w:r>
            <w:rPr>
              <w:rStyle w:val="33"/>
              <w:rFonts w:ascii="仿宋_GB2312" w:hAnsi="仿宋_GB2312" w:eastAsia="仿宋_GB2312"/>
              <w:lang w:val="zh-CN" w:eastAsia="zh-CN"/>
            </w:rPr>
            <w:t>1</w:t>
          </w:r>
          <w:r>
            <w:rPr>
              <w:rStyle w:val="33"/>
              <w:rFonts w:hint="eastAsia" w:ascii="仿宋_GB2312" w:hAnsi="仿宋_GB2312" w:eastAsia="仿宋_GB2312"/>
              <w:lang w:val="en-US" w:eastAsia="zh-CN"/>
            </w:rPr>
            <w:t>4</w:t>
          </w:r>
          <w:r>
            <w:rPr>
              <w:rStyle w:val="33"/>
              <w:rFonts w:ascii="仿宋_GB2312" w:hAnsi="仿宋_GB2312" w:eastAsia="仿宋_GB2312"/>
              <w:lang w:val="zh-CN" w:eastAsia="zh-CN"/>
            </w:rPr>
            <w:fldChar w:fldCharType="end"/>
          </w:r>
          <w:r>
            <w:rPr>
              <w:rStyle w:val="33"/>
              <w:rFonts w:hint="eastAsia" w:ascii="仿宋_GB2312" w:hAnsi="仿宋_GB2312" w:eastAsia="仿宋_GB2312"/>
              <w:lang w:val="en-US" w:eastAsia="zh-CN"/>
            </w:rPr>
            <w:t>1</w:t>
          </w:r>
        </w:p>
        <w:p w14:paraId="6BD30B34">
          <w:pPr>
            <w:pStyle w:val="10"/>
            <w:tabs>
              <w:tab w:val="right" w:leader="dot" w:pos="8296"/>
            </w:tabs>
            <w:spacing w:line="360" w:lineRule="auto"/>
            <w:rPr>
              <w:rFonts w:hint="default" w:ascii="仿宋_GB2312" w:hAnsi="仿宋_GB2312" w:eastAsia="仿宋_GB2312" w:cs="Calibri;DejaVu Sans"/>
              <w:sz w:val="21"/>
              <w:lang w:val="en-US" w:eastAsia="zh-CN"/>
            </w:rPr>
          </w:pPr>
          <w:r>
            <w:fldChar w:fldCharType="begin"/>
          </w:r>
          <w:r>
            <w:instrText xml:space="preserve"> HYPERLINK \l "__RefHeading___Toc189646171" \h </w:instrText>
          </w:r>
          <w:r>
            <w:fldChar w:fldCharType="separate"/>
          </w:r>
          <w:r>
            <w:rPr>
              <w:rStyle w:val="33"/>
              <w:rFonts w:ascii="仿宋_GB2312" w:hAnsi="仿宋_GB2312" w:eastAsia="仿宋_GB2312" w:cs="Arial Unicode MS;Times New Roma"/>
              <w:b/>
              <w:bCs/>
              <w:kern w:val="2"/>
              <w:lang w:val="zh-CN" w:eastAsia="zh-CN"/>
            </w:rPr>
            <w:t>红筹企业董事声明及承诺书</w:t>
          </w:r>
          <w:r>
            <w:rPr>
              <w:rStyle w:val="33"/>
              <w:rFonts w:ascii="仿宋_GB2312" w:hAnsi="仿宋_GB2312" w:eastAsia="仿宋_GB2312"/>
              <w:lang w:val="zh-CN" w:eastAsia="zh-CN"/>
            </w:rPr>
            <w:tab/>
          </w:r>
          <w:r>
            <w:rPr>
              <w:rStyle w:val="33"/>
              <w:rFonts w:ascii="仿宋_GB2312" w:hAnsi="仿宋_GB2312" w:eastAsia="仿宋_GB2312"/>
              <w:lang w:val="zh-CN" w:eastAsia="zh-CN"/>
            </w:rPr>
            <w:t>1</w:t>
          </w:r>
          <w:r>
            <w:rPr>
              <w:rStyle w:val="33"/>
              <w:rFonts w:hint="eastAsia" w:ascii="仿宋_GB2312" w:hAnsi="仿宋_GB2312" w:eastAsia="仿宋_GB2312"/>
              <w:lang w:val="en-US" w:eastAsia="zh-CN"/>
            </w:rPr>
            <w:t>4</w:t>
          </w:r>
          <w:r>
            <w:rPr>
              <w:rStyle w:val="33"/>
              <w:rFonts w:ascii="仿宋_GB2312" w:hAnsi="仿宋_GB2312" w:eastAsia="仿宋_GB2312"/>
              <w:lang w:val="zh-CN" w:eastAsia="zh-CN"/>
            </w:rPr>
            <w:fldChar w:fldCharType="end"/>
          </w:r>
          <w:r>
            <w:rPr>
              <w:rStyle w:val="33"/>
              <w:rFonts w:hint="eastAsia" w:ascii="仿宋_GB2312" w:hAnsi="仿宋_GB2312" w:eastAsia="仿宋_GB2312"/>
              <w:lang w:val="en-US" w:eastAsia="zh-CN"/>
            </w:rPr>
            <w:t>9</w:t>
          </w:r>
        </w:p>
        <w:p w14:paraId="5B3B1BC6">
          <w:pPr>
            <w:pStyle w:val="10"/>
            <w:tabs>
              <w:tab w:val="right" w:leader="dot" w:pos="8296"/>
            </w:tabs>
            <w:spacing w:line="360" w:lineRule="auto"/>
            <w:rPr>
              <w:rFonts w:hint="default" w:ascii="仿宋_GB2312" w:hAnsi="仿宋_GB2312" w:eastAsia="仿宋_GB2312" w:cs="Calibri;DejaVu Sans"/>
              <w:sz w:val="21"/>
              <w:lang w:val="en-US" w:eastAsia="zh-CN"/>
            </w:rPr>
          </w:pPr>
          <w:r>
            <w:fldChar w:fldCharType="begin"/>
          </w:r>
          <w:r>
            <w:instrText xml:space="preserve"> HYPERLINK \l "__RefHeading___Toc189646172" \h </w:instrText>
          </w:r>
          <w:r>
            <w:fldChar w:fldCharType="separate"/>
          </w:r>
          <w:r>
            <w:rPr>
              <w:rStyle w:val="33"/>
              <w:rFonts w:ascii="仿宋_GB2312" w:hAnsi="仿宋_GB2312" w:eastAsia="仿宋_GB2312" w:cs="Arial Unicode MS;Times New Roma"/>
              <w:b/>
              <w:bCs/>
              <w:kern w:val="2"/>
              <w:lang w:val="zh-CN" w:eastAsia="zh-CN"/>
            </w:rPr>
            <w:t>红筹企业高级管理人员声明及承诺书</w:t>
          </w:r>
          <w:r>
            <w:rPr>
              <w:rStyle w:val="33"/>
              <w:rFonts w:ascii="仿宋_GB2312" w:hAnsi="仿宋_GB2312" w:eastAsia="仿宋_GB2312"/>
              <w:lang w:val="zh-CN" w:eastAsia="zh-CN"/>
            </w:rPr>
            <w:tab/>
          </w:r>
          <w:r>
            <w:rPr>
              <w:rStyle w:val="33"/>
              <w:rFonts w:ascii="仿宋_GB2312" w:hAnsi="仿宋_GB2312" w:eastAsia="仿宋_GB2312"/>
              <w:lang w:val="zh-CN" w:eastAsia="zh-CN"/>
            </w:rPr>
            <w:t>1</w:t>
          </w:r>
          <w:r>
            <w:rPr>
              <w:rStyle w:val="33"/>
              <w:rFonts w:hint="eastAsia" w:ascii="仿宋_GB2312" w:hAnsi="仿宋_GB2312" w:eastAsia="仿宋_GB2312"/>
              <w:lang w:val="en-US" w:eastAsia="zh-CN"/>
            </w:rPr>
            <w:t>5</w:t>
          </w:r>
          <w:r>
            <w:rPr>
              <w:rStyle w:val="33"/>
              <w:rFonts w:ascii="仿宋_GB2312" w:hAnsi="仿宋_GB2312" w:eastAsia="仿宋_GB2312"/>
              <w:lang w:val="zh-CN" w:eastAsia="zh-CN"/>
            </w:rPr>
            <w:fldChar w:fldCharType="end"/>
          </w:r>
          <w:r>
            <w:rPr>
              <w:rStyle w:val="33"/>
              <w:rFonts w:hint="eastAsia" w:ascii="仿宋_GB2312" w:hAnsi="仿宋_GB2312" w:eastAsia="仿宋_GB2312"/>
              <w:lang w:val="en-US" w:eastAsia="zh-CN"/>
            </w:rPr>
            <w:t>6</w:t>
          </w:r>
        </w:p>
        <w:p w14:paraId="174BCF48">
          <w:pPr>
            <w:pStyle w:val="10"/>
            <w:tabs>
              <w:tab w:val="right" w:leader="dot" w:pos="8296"/>
            </w:tabs>
            <w:spacing w:line="360" w:lineRule="auto"/>
            <w:rPr>
              <w:rFonts w:ascii="Calibri;DejaVu Sans" w:hAnsi="Calibri;DejaVu Sans" w:cs="Calibri;DejaVu Sans"/>
              <w:sz w:val="21"/>
              <w:lang w:val="zh-CN" w:eastAsia="zh-CN"/>
            </w:rPr>
          </w:pPr>
          <w:r>
            <w:fldChar w:fldCharType="begin"/>
          </w:r>
          <w:r>
            <w:instrText xml:space="preserve"> HYPERLINK \l "__RefHeading___Toc189646173" \h </w:instrText>
          </w:r>
          <w:r>
            <w:fldChar w:fldCharType="separate"/>
          </w:r>
          <w:r>
            <w:rPr>
              <w:rStyle w:val="33"/>
              <w:rFonts w:ascii="仿宋_GB2312" w:hAnsi="仿宋_GB2312" w:eastAsia="仿宋_GB2312" w:cs="Arial Unicode MS;Times New Roma"/>
              <w:b/>
              <w:bCs/>
              <w:kern w:val="2"/>
              <w:lang w:val="zh-CN" w:eastAsia="zh-CN"/>
            </w:rPr>
            <w:t>红筹企业控股股东、实际控制人声明及承诺书</w:t>
          </w:r>
          <w:r>
            <w:rPr>
              <w:rStyle w:val="33"/>
              <w:rFonts w:ascii="仿宋_GB2312" w:hAnsi="仿宋_GB2312" w:eastAsia="仿宋_GB2312"/>
              <w:lang w:val="zh-CN" w:eastAsia="zh-CN"/>
            </w:rPr>
            <w:tab/>
          </w:r>
          <w:r>
            <w:rPr>
              <w:rStyle w:val="33"/>
              <w:rFonts w:ascii="仿宋_GB2312" w:hAnsi="仿宋_GB2312" w:eastAsia="仿宋_GB2312"/>
              <w:lang w:val="zh-CN" w:eastAsia="zh-CN"/>
            </w:rPr>
            <w:t>1</w:t>
          </w:r>
          <w:r>
            <w:rPr>
              <w:rStyle w:val="33"/>
              <w:rFonts w:hint="eastAsia" w:ascii="仿宋_GB2312" w:hAnsi="仿宋_GB2312" w:eastAsia="仿宋_GB2312"/>
              <w:lang w:val="en-US" w:eastAsia="zh-CN"/>
            </w:rPr>
            <w:t>6</w:t>
          </w:r>
          <w:r>
            <w:rPr>
              <w:rStyle w:val="33"/>
              <w:rFonts w:ascii="仿宋_GB2312" w:hAnsi="仿宋_GB2312" w:eastAsia="仿宋_GB2312"/>
              <w:lang w:val="zh-CN" w:eastAsia="zh-CN"/>
            </w:rPr>
            <w:fldChar w:fldCharType="end"/>
          </w:r>
          <w:r>
            <w:rPr>
              <w:rStyle w:val="33"/>
              <w:rFonts w:ascii="仿宋_GB2312" w:hAnsi="仿宋_GB2312" w:eastAsia="仿宋_GB2312"/>
              <w:lang w:val="zh-CN" w:eastAsia="zh-CN"/>
            </w:rPr>
            <w:fldChar w:fldCharType="end"/>
          </w:r>
          <w:r>
            <w:rPr>
              <w:rStyle w:val="33"/>
              <w:rFonts w:hint="eastAsia" w:ascii="仿宋_GB2312" w:hAnsi="仿宋_GB2312" w:eastAsia="仿宋_GB2312"/>
              <w:lang w:val="en-US" w:eastAsia="zh-CN"/>
            </w:rPr>
            <w:t>1</w:t>
          </w:r>
        </w:p>
      </w:sdtContent>
    </w:sdt>
    <w:p w14:paraId="6A5F648C">
      <w:pPr>
        <w:pStyle w:val="10"/>
        <w:tabs>
          <w:tab w:val="right" w:leader="dot" w:pos="8296"/>
        </w:tabs>
        <w:spacing w:line="360" w:lineRule="auto"/>
        <w:rPr>
          <w:rFonts w:ascii="仿宋_GB2312" w:hAnsi="仿宋_GB2312" w:eastAsia="仿宋_GB2312" w:cs="Calibri;DejaVu Sans"/>
          <w:sz w:val="21"/>
          <w:lang w:val="zh-CN" w:eastAsia="zh-CN"/>
        </w:rPr>
      </w:pPr>
      <w:r>
        <w:br w:type="page"/>
      </w:r>
      <w:bookmarkStart w:id="72" w:name="_GoBack"/>
      <w:bookmarkEnd w:id="72"/>
    </w:p>
    <w:p w14:paraId="0CD9CF69">
      <w:pPr>
        <w:pStyle w:val="2"/>
        <w:spacing w:line="560" w:lineRule="exact"/>
        <w:ind w:left="0" w:firstLine="0"/>
        <w:rPr>
          <w:rFonts w:ascii="黑体" w:hAnsi="黑体" w:eastAsia="黑体" w:cs="黑体"/>
          <w:kern w:val="0"/>
        </w:rPr>
      </w:pPr>
      <w:bookmarkStart w:id="0" w:name="__RefHeading___Toc189646135"/>
      <w:bookmarkEnd w:id="0"/>
      <w:r>
        <w:rPr>
          <w:rFonts w:ascii="黑体" w:hAnsi="黑体" w:eastAsia="黑体" w:cs="黑体"/>
          <w:kern w:val="0"/>
        </w:rPr>
        <w:t>第一章 总则</w:t>
      </w:r>
    </w:p>
    <w:p w14:paraId="57B48F73">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1.1 为规范主板上市公司运作，提升上市公司治理水平，保护投资者合法权益，推动提高上市公司质量，促进资本市场健康稳定发展，根据《中华人民共和国公司法》（以下简称《公司法》）、《中华人民共和国证券法》（以下简称《证券法》）、《证券交易所管理办法》《上市公司治理准则》等法律、行政法规、部门规章、规范性文件（以下统称法律法规）和《上海证券交易所股票上市规则》（以下简称《股票上市规则》），制定本指引。</w:t>
      </w:r>
    </w:p>
    <w:p w14:paraId="672062E3">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 xml:space="preserve">1.2 </w:t>
      </w:r>
      <w:r>
        <w:rPr>
          <w:rFonts w:ascii="仿宋_GB2312" w:hAnsi="仿宋_GB2312" w:eastAsia="仿宋_GB2312"/>
          <w:sz w:val="30"/>
          <w:szCs w:val="30"/>
        </w:rPr>
        <w:t>上市公司及其董事、高级管理人员、股东或者存托凭证持有人、实际控制人，收购人及其他权益变动主体，重大资产重组、再融资、重大交易、破产事项等有关各方，为前述主体提供服务的中介机构及其相关人员，以及法律法规规定的对上市、信息披露、停复牌、退市等事项承担相关义务的其他主体</w:t>
      </w:r>
      <w:r>
        <w:rPr>
          <w:rFonts w:ascii="仿宋_GB2312" w:hAnsi="仿宋_GB2312" w:eastAsia="仿宋_GB2312" w:cs="Times New Roman"/>
          <w:color w:val="000000"/>
          <w:kern w:val="0"/>
          <w:sz w:val="30"/>
          <w:szCs w:val="30"/>
        </w:rPr>
        <w:t>，应当遵守法律法规、本指引和本所其他规定，诚实守信，自觉接受本所自律监管，并承担相应法律责任。</w:t>
      </w:r>
    </w:p>
    <w:p w14:paraId="0F21209A">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1.3 上市公司应当根据法律法规、本指引、本所其他规定及公司章程，建立有效的公司治理结构，完善股东会、董事会议事规则，规范董事、高级管理人员的任职管理及履职行为，完善内部控制制度，履行信息披露义务，积极承担社会责任，采取有效措施保护投资者特别是中小投资者的合法权益。</w:t>
      </w:r>
    </w:p>
    <w:p w14:paraId="08B0405F">
      <w:pPr>
        <w:widowControl/>
        <w:shd w:val="clear" w:fill="FFFFFF"/>
        <w:spacing w:line="560" w:lineRule="exact"/>
        <w:ind w:right="0" w:firstLine="600"/>
        <w:rPr>
          <w:rFonts w:ascii="仿宋_GB2312" w:hAnsi="仿宋_GB2312" w:eastAsia="仿宋_GB2312" w:cs="Times New Roman"/>
          <w:color w:val="000000"/>
          <w:kern w:val="0"/>
          <w:sz w:val="30"/>
          <w:szCs w:val="30"/>
        </w:rPr>
      </w:pPr>
    </w:p>
    <w:p w14:paraId="549F56EE">
      <w:pPr>
        <w:pStyle w:val="2"/>
        <w:spacing w:line="560" w:lineRule="exact"/>
        <w:ind w:left="0" w:firstLine="0"/>
        <w:rPr>
          <w:rFonts w:ascii="黑体" w:hAnsi="黑体" w:eastAsia="黑体" w:cs="黑体"/>
          <w:kern w:val="0"/>
        </w:rPr>
      </w:pPr>
      <w:bookmarkStart w:id="1" w:name="__RefHeading___Toc189646136"/>
      <w:bookmarkEnd w:id="1"/>
      <w:r>
        <w:rPr>
          <w:rFonts w:ascii="黑体" w:hAnsi="黑体" w:eastAsia="黑体" w:cs="黑体"/>
          <w:kern w:val="0"/>
        </w:rPr>
        <w:t>第二章 股东会和董事会</w:t>
      </w:r>
    </w:p>
    <w:p w14:paraId="03A83E6B">
      <w:pPr>
        <w:pStyle w:val="3"/>
        <w:spacing w:line="560" w:lineRule="exact"/>
        <w:ind w:left="0" w:firstLine="0"/>
        <w:rPr>
          <w:rFonts w:ascii="仿宋_GB2312" w:hAnsi="仿宋_GB2312"/>
        </w:rPr>
      </w:pPr>
      <w:bookmarkStart w:id="2" w:name="__RefHeading___Toc189646137"/>
      <w:bookmarkEnd w:id="2"/>
      <w:r>
        <w:rPr>
          <w:rFonts w:ascii="仿宋_GB2312" w:hAnsi="仿宋_GB2312"/>
        </w:rPr>
        <w:t>第一节 股东会</w:t>
      </w:r>
    </w:p>
    <w:p w14:paraId="2F6DCC2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2.1.1 上市公司应当完善股东会运作机制，平等对待全体股东，保障股东依法享有的知情权、查阅权、资产收益权、质询权、建议权、股东会召集权、提案权、表决权等权利，积极为股东行使权利提供便利，切实保障股东特别是中小股东的合法权益。</w:t>
      </w:r>
    </w:p>
    <w:p w14:paraId="2E0060F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公司应当在公司章程中规定股东会的召集、召开和表决等程序，制定股东会议事规则，并列入公司章程或者作为章程附件。</w:t>
      </w:r>
    </w:p>
    <w:p w14:paraId="6BB8EFC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2.1.2 上市公司董事会及其审计委员会、符合条件的股东召集股东会的，应当</w:t>
      </w:r>
      <w:bookmarkStart w:id="3" w:name="OLE_LINK7"/>
      <w:r>
        <w:rPr>
          <w:rFonts w:ascii="仿宋_GB2312" w:hAnsi="仿宋_GB2312" w:eastAsia="仿宋_GB2312" w:cs="Times New Roman"/>
          <w:color w:val="000000"/>
          <w:kern w:val="0"/>
          <w:sz w:val="30"/>
          <w:szCs w:val="30"/>
        </w:rPr>
        <w:t>遵守法律法规及本所相关规定</w:t>
      </w:r>
      <w:bookmarkEnd w:id="3"/>
      <w:r>
        <w:rPr>
          <w:rFonts w:ascii="仿宋_GB2312" w:hAnsi="仿宋_GB2312" w:eastAsia="仿宋_GB2312" w:cs="Times New Roman"/>
          <w:color w:val="000000"/>
          <w:kern w:val="0"/>
          <w:sz w:val="30"/>
          <w:szCs w:val="30"/>
        </w:rPr>
        <w:t>。</w:t>
      </w:r>
    </w:p>
    <w:p w14:paraId="66D573F1">
      <w:pPr>
        <w:widowControl/>
        <w:shd w:val="clear" w:fill="FFFFFF"/>
        <w:spacing w:line="560" w:lineRule="exact"/>
        <w:ind w:right="0" w:firstLine="600"/>
        <w:rPr>
          <w:rFonts w:hint="eastAsia" w:ascii="仿宋_GB2312" w:hAnsi="仿宋_GB2312" w:eastAsia="仿宋_GB2312" w:cs="Times New Roman"/>
          <w:color w:val="000000"/>
          <w:kern w:val="0"/>
          <w:sz w:val="30"/>
          <w:szCs w:val="30"/>
        </w:rPr>
      </w:pPr>
      <w:r>
        <w:rPr>
          <w:rFonts w:hint="eastAsia" w:ascii="仿宋_GB2312" w:hAnsi="仿宋_GB2312" w:eastAsia="仿宋_GB2312" w:cs="Times New Roman"/>
          <w:color w:val="000000"/>
          <w:kern w:val="0"/>
          <w:sz w:val="30"/>
          <w:szCs w:val="30"/>
        </w:rPr>
        <w:t>董事会秘书应当及时汇集属于股东会职权范围内的事项，向董事会报告，建议董事会召开会议</w:t>
      </w:r>
      <w:r>
        <w:rPr>
          <w:rFonts w:hint="eastAsia" w:ascii="仿宋_GB2312" w:hAnsi="仿宋_GB2312" w:eastAsia="仿宋_GB2312" w:cs="Times New Roman"/>
          <w:color w:val="000000"/>
          <w:kern w:val="0"/>
          <w:sz w:val="30"/>
          <w:szCs w:val="30"/>
          <w:lang w:eastAsia="zh-CN"/>
        </w:rPr>
        <w:t>就</w:t>
      </w:r>
      <w:r>
        <w:rPr>
          <w:rFonts w:hint="eastAsia" w:ascii="仿宋_GB2312" w:hAnsi="仿宋_GB2312" w:eastAsia="仿宋_GB2312" w:cs="Times New Roman"/>
          <w:color w:val="000000"/>
          <w:kern w:val="0"/>
          <w:sz w:val="30"/>
          <w:szCs w:val="30"/>
        </w:rPr>
        <w:t>是否召开股东会会议</w:t>
      </w:r>
      <w:r>
        <w:rPr>
          <w:rFonts w:hint="eastAsia" w:ascii="仿宋_GB2312" w:hAnsi="仿宋_GB2312" w:eastAsia="仿宋_GB2312" w:cs="Times New Roman"/>
          <w:color w:val="000000"/>
          <w:kern w:val="0"/>
          <w:sz w:val="30"/>
          <w:szCs w:val="30"/>
          <w:lang w:eastAsia="zh-CN"/>
        </w:rPr>
        <w:t>作出</w:t>
      </w:r>
      <w:r>
        <w:rPr>
          <w:rFonts w:hint="eastAsia" w:ascii="仿宋_GB2312" w:hAnsi="仿宋_GB2312" w:eastAsia="仿宋_GB2312" w:cs="Times New Roman"/>
          <w:color w:val="000000"/>
          <w:kern w:val="0"/>
          <w:sz w:val="30"/>
          <w:szCs w:val="30"/>
        </w:rPr>
        <w:t>决议。</w:t>
      </w:r>
    </w:p>
    <w:p w14:paraId="2057C64C">
      <w:pPr>
        <w:widowControl/>
        <w:shd w:val="clear" w:fill="FFFFFF"/>
        <w:spacing w:line="560" w:lineRule="exact"/>
        <w:ind w:right="0" w:firstLine="600"/>
        <w:rPr>
          <w:rFonts w:hint="eastAsia" w:ascii="仿宋_GB2312" w:hAnsi="仿宋_GB2312" w:eastAsia="仿宋_GB2312" w:cs="Times New Roman"/>
          <w:color w:val="000000"/>
          <w:kern w:val="0"/>
          <w:sz w:val="30"/>
          <w:szCs w:val="30"/>
        </w:rPr>
      </w:pPr>
      <w:r>
        <w:rPr>
          <w:rFonts w:hint="eastAsia" w:ascii="仿宋_GB2312" w:hAnsi="仿宋_GB2312" w:eastAsia="仿宋_GB2312" w:cs="Times New Roman"/>
          <w:color w:val="000000"/>
          <w:kern w:val="0"/>
          <w:sz w:val="30"/>
          <w:szCs w:val="30"/>
        </w:rPr>
        <w:t>董事会秘书负责筹备股东会会议，确保会议召集、召开和表决程序符合法律、行政法规和公司章程的规定。</w:t>
      </w:r>
    </w:p>
    <w:p w14:paraId="40AA15B5">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hint="eastAsia" w:ascii="仿宋_GB2312" w:hAnsi="仿宋_GB2312" w:eastAsia="仿宋_GB2312" w:cs="Times New Roman"/>
          <w:color w:val="000000"/>
          <w:kern w:val="0"/>
          <w:sz w:val="30"/>
          <w:szCs w:val="30"/>
        </w:rPr>
        <w:t>董事会秘书负责股东会的会议记录，确保会议记录如实反映会议情况。</w:t>
      </w:r>
    </w:p>
    <w:p w14:paraId="73013F0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2.1.3 股东会召集人应当充分、完整披露所有提案的具体内容，在召开股东会5日前披露有助于股东对拟讨论的事项作出合理决策所必需的资料。有关提案涉及中介机构等发表意见的，应当作为会议资料的一部分予以披露。</w:t>
      </w:r>
    </w:p>
    <w:p w14:paraId="50C3122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在股东会上拟表决的提案中，某项提案生效是其他提案生效的前提的，召集人应当在股东会通知中明确披露相关前提条件，并就该项提案表决通过是后续提案表决结果生效的前提进行特别提示。</w:t>
      </w:r>
    </w:p>
    <w:p w14:paraId="1490FD8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2.1.4 股东会召开前，符合条件的股东提出临时提案的，发出提案通知至会议决议公告期间的持股比例不得低于1%。</w:t>
      </w:r>
    </w:p>
    <w:p w14:paraId="156ECA23">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股东提出临时提案的，应当向召集人提供持有上市公司1%以上股份（含表决权恢复的优先股等）的证明文件，上市公司不得提高提出临时提案股东的持股比例。股东通过委托方式联合提出提案的，委托股东应当向被委托股东出具书面授权文件。</w:t>
      </w:r>
    </w:p>
    <w:p w14:paraId="04127B8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提案股东资格属实、相关提案符合《公司法》等相关要求的，召集人应当将其提交股东会审议，并在规定时间内发出股东会补充通知。</w:t>
      </w:r>
    </w:p>
    <w:p w14:paraId="1AE35CF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2.1.5 除临时提案外，上市公司发出股东会通知后不得修改股东会通知中已列明的提案或增加新的提案。</w:t>
      </w:r>
    </w:p>
    <w:p w14:paraId="638F67E3">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召集人根据规定需对提案披露内容进行补充或更正的，不得实质性修改提案，并应当在规定时间内发布相关补充或更正公告。股东会决议的法律意见书中应当包含律师对提案披露内容的补充、更正是否构成提案实质性修改出具的明确意见。</w:t>
      </w:r>
    </w:p>
    <w:p w14:paraId="3F4FBBBA">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对提案进行实质性修改的，有关变更应当视为一个新的提案，不得在本次股东会上进行表决。</w:t>
      </w:r>
    </w:p>
    <w:p w14:paraId="43331E87">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2.1.6 发出股东会通知后，股东会因故需要取消的，召集人应当在现场会议召开日前至少2个交易日公告并说明原因。</w:t>
      </w:r>
    </w:p>
    <w:p w14:paraId="663134E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2.1.7 上市公司不得通过授权的形式由董事会或者其他主体代为行使股东会的法定职权。股东会授权董事会或者其他主体代为行使其他职权的，应当符合法律法规、本所相关规定及公司章程、股东会议事规则等规定的授权原则，并明确授权的具体内容。</w:t>
      </w:r>
    </w:p>
    <w:p w14:paraId="2174E7F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2.1.8 股权登记日登记在册的所有普通股股东（含表决权恢复的优先股股东）或者其代理人，均有权出席股东会，上市公司和召集人不得以任何理由拒绝。</w:t>
      </w:r>
    </w:p>
    <w:p w14:paraId="70DF572D">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公司可以在股东会召开日前设置现场参会登记环节，但不得借此妨碍股东或者其代理人依法出席股东会及行使表决权。</w:t>
      </w:r>
    </w:p>
    <w:p w14:paraId="4A25FEB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2.1.9 上市公司应当为股东特别是中小股东参加股东会提供便利，为投资者发言、提问及与公司董事、高级管理人员交流提供必要的时间。中小股东有权对公司经营和相关议案提出建议或者质询，公司董事、高级管理人员在遵守公平信息披露原则的前提下，应当对中小股东的质询予以真实、准确地答复。</w:t>
      </w:r>
    </w:p>
    <w:p w14:paraId="553D5CE5">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2.1.10 上市公司召开股东会按照相关规定向股东提供网络投票方式的，应当做好股东会网络投票的相关组织和准备工作，按照本所公告格式的要求，使用本所公告编制软件编制股东会相关公告，并按规定披露。</w:t>
      </w:r>
    </w:p>
    <w:p w14:paraId="361AA26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公司利用本所网络投票系统为股东提供网络投票方式的，现场股东会应当在本所交易日召开。</w:t>
      </w:r>
    </w:p>
    <w:p w14:paraId="4BF7D699">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2.1.11 本所会员应当开发和维护相关技术系统，确保其证券交易终端支持上市公司股东会网络投票。由于会员相关技术系统原因，导致公司股东无法完成投票的，会员应当及时协助公司股东通过其他有效方式参与网络投票。</w:t>
      </w:r>
    </w:p>
    <w:p w14:paraId="58B023C0">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本所会员应当按照相关规定妥善保管公司股东的投票记录，不得盗用或者假借股东名义进行投票，不得擅自篡改股东投票记录，不得非法影响股东的表决意见。</w:t>
      </w:r>
    </w:p>
    <w:p w14:paraId="661B6179">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2.1.12 上市公司董事会、独立董事、持有1%以上有表决权股份的股东或者依照法律、行政法规或者中国证监会的规定设立的投资者保护机构，可以作为征集人，自行或者委托证券公司、证券服务机构，公开请求股东委托其代为出席股东会，并代为行使提案权、表决权等股东权利，但不得以有偿或者变相有偿方式公开征集股东权利。</w:t>
      </w:r>
    </w:p>
    <w:p w14:paraId="71600BB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征集人应当按照公告格式的要求编制披露征集公告和相关征集文件，并按规定</w:t>
      </w:r>
      <w:r>
        <w:rPr>
          <w:rFonts w:hint="eastAsia" w:ascii="仿宋_GB2312" w:hAnsi="仿宋_GB2312" w:eastAsia="仿宋_GB2312" w:cs="Times New Roman"/>
          <w:color w:val="000000"/>
          <w:kern w:val="0"/>
          <w:sz w:val="30"/>
          <w:szCs w:val="30"/>
        </w:rPr>
        <w:t>充分</w:t>
      </w:r>
      <w:r>
        <w:rPr>
          <w:rFonts w:ascii="仿宋_GB2312" w:hAnsi="仿宋_GB2312" w:eastAsia="仿宋_GB2312" w:cs="Times New Roman"/>
          <w:color w:val="000000"/>
          <w:kern w:val="0"/>
          <w:sz w:val="30"/>
          <w:szCs w:val="30"/>
        </w:rPr>
        <w:t>披露</w:t>
      </w:r>
      <w:r>
        <w:rPr>
          <w:rFonts w:hint="eastAsia" w:ascii="仿宋_GB2312" w:hAnsi="仿宋_GB2312" w:eastAsia="仿宋_GB2312" w:cs="Times New Roman"/>
          <w:color w:val="000000"/>
          <w:kern w:val="0"/>
          <w:sz w:val="30"/>
          <w:szCs w:val="30"/>
        </w:rPr>
        <w:t>股东作出授权委托所需信息</w:t>
      </w:r>
      <w:r>
        <w:rPr>
          <w:rFonts w:hint="eastAsia" w:ascii="仿宋_GB2312" w:hAnsi="仿宋_GB2312" w:eastAsia="仿宋_GB2312" w:cs="Times New Roman"/>
          <w:color w:val="000000"/>
          <w:kern w:val="0"/>
          <w:sz w:val="30"/>
          <w:szCs w:val="30"/>
          <w:lang w:eastAsia="zh-CN"/>
        </w:rPr>
        <w:t>、</w:t>
      </w:r>
      <w:r>
        <w:rPr>
          <w:rFonts w:ascii="仿宋_GB2312" w:hAnsi="仿宋_GB2312" w:eastAsia="仿宋_GB2312" w:cs="Times New Roman"/>
          <w:color w:val="000000"/>
          <w:kern w:val="0"/>
          <w:sz w:val="30"/>
          <w:szCs w:val="30"/>
        </w:rPr>
        <w:t>征集进展情况和结果，公司应当予以配合。</w:t>
      </w:r>
    </w:p>
    <w:p w14:paraId="52B83C9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征集人可以采用电子化方式公开征集股东权利，为股东进行委托提供便利，公司应当予以配合。</w:t>
      </w:r>
    </w:p>
    <w:p w14:paraId="1D006C77">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公司可以在公司章程中规定股东权利征集制度的实施细则</w:t>
      </w:r>
      <w:r>
        <w:rPr>
          <w:rFonts w:hint="eastAsia" w:ascii="仿宋_GB2312" w:hAnsi="仿宋_GB2312" w:eastAsia="仿宋_GB2312" w:cs="Times New Roman"/>
          <w:color w:val="000000"/>
          <w:kern w:val="0"/>
          <w:sz w:val="30"/>
          <w:szCs w:val="30"/>
          <w:lang w:eastAsia="zh-CN"/>
        </w:rPr>
        <w:t>。</w:t>
      </w:r>
      <w:r>
        <w:rPr>
          <w:rFonts w:hint="eastAsia" w:ascii="仿宋_GB2312" w:hAnsi="仿宋_GB2312" w:eastAsia="仿宋_GB2312" w:cs="Times New Roman"/>
          <w:color w:val="000000"/>
          <w:kern w:val="0"/>
          <w:sz w:val="30"/>
          <w:szCs w:val="30"/>
        </w:rPr>
        <w:t>除法律法规另有规定外，公司及股东会召集人不得对征集人设置条件</w:t>
      </w:r>
      <w:r>
        <w:rPr>
          <w:rFonts w:ascii="仿宋_GB2312" w:hAnsi="仿宋_GB2312" w:eastAsia="仿宋_GB2312" w:cs="Times New Roman"/>
          <w:color w:val="000000"/>
          <w:kern w:val="0"/>
          <w:sz w:val="30"/>
          <w:szCs w:val="30"/>
        </w:rPr>
        <w:t>。</w:t>
      </w:r>
    </w:p>
    <w:p w14:paraId="0B55E19A">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2.1.13 下列股票名义持有人行使表决权依规需要事先征求实际持有人的投票意见的，可以委托本所指定的上证所信息网络有限公司（以下简称本所信息公司）通过股东会投票意见代征集系统征集实际持有人对股东会拟审议事项的投票意见，并按照其意见办理：</w:t>
      </w:r>
    </w:p>
    <w:p w14:paraId="4FAF671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（一）持有融资融券客户信用交易担保证券账户的证券公司；</w:t>
      </w:r>
    </w:p>
    <w:p w14:paraId="01F0797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（二）持有转融通担保证券账户的证金公司；</w:t>
      </w:r>
    </w:p>
    <w:p w14:paraId="5656DA1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（三）合格境外机构投资者（QFII）；</w:t>
      </w:r>
    </w:p>
    <w:p w14:paraId="47D5AFC9">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（四）持有沪股通股票的香港中央结算有限公司；</w:t>
      </w:r>
    </w:p>
    <w:p w14:paraId="121CE75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（五）中国证监会和本所认定的其他股票名义持有人。</w:t>
      </w:r>
    </w:p>
    <w:p w14:paraId="128AD47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前款规定的合格境外机构投资者、香港结算公司，作为股票名义持有人通过本所网络投票系统行使表决权的，其具体投票操作事项，由本所另行规定。</w:t>
      </w:r>
    </w:p>
    <w:p w14:paraId="6C5081A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2.1.14 董事的选举应当充分反映中小股东的意见。股东会在董事的选举中应当积极推行累积投票制度。</w:t>
      </w:r>
      <w:r>
        <w:rPr>
          <w:rFonts w:hint="eastAsia" w:ascii="仿宋_GB2312" w:hAnsi="仿宋_GB2312" w:eastAsia="仿宋_GB2312" w:cs="Times New Roman"/>
          <w:color w:val="000000"/>
          <w:kern w:val="0"/>
          <w:sz w:val="30"/>
          <w:szCs w:val="30"/>
        </w:rPr>
        <w:t>单一股东及其一致行动人拥有权益的股份比例在百分之三十及以上的上市公司股东会选举两名以上非独立董事，或者公司股东会选举两名以上独立董事的，</w:t>
      </w:r>
      <w:r>
        <w:rPr>
          <w:rFonts w:ascii="仿宋_GB2312" w:hAnsi="仿宋_GB2312" w:eastAsia="仿宋_GB2312" w:cs="Times New Roman"/>
          <w:color w:val="000000"/>
          <w:kern w:val="0"/>
          <w:sz w:val="30"/>
          <w:szCs w:val="30"/>
        </w:rPr>
        <w:t>应当采用累积投票制</w:t>
      </w:r>
      <w:r>
        <w:rPr>
          <w:rFonts w:hint="eastAsia" w:ascii="仿宋_GB2312" w:hAnsi="仿宋_GB2312" w:eastAsia="仿宋_GB2312" w:cs="Times New Roman"/>
          <w:color w:val="000000"/>
          <w:kern w:val="0"/>
          <w:sz w:val="30"/>
          <w:szCs w:val="30"/>
          <w:lang w:eastAsia="zh"/>
        </w:rPr>
        <w:t>。</w:t>
      </w:r>
    </w:p>
    <w:p w14:paraId="6E34575D">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股东会以累积投票方式选举董事的，独立董事和非独立董事的表决应当分别进行，并根据应选董事人数，按照获得的选举票数由多到少的顺序确定当选董事。</w:t>
      </w:r>
    </w:p>
    <w:p w14:paraId="76834EF0">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不采取累积投票方式选举董事的，每位董事候选人应当以单项提案提出。</w:t>
      </w:r>
    </w:p>
    <w:p w14:paraId="3DB5FF0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采用累积投票制的公司应当在公司章程里规定实施细则，本所鼓励公司通过差额选举的方式</w:t>
      </w:r>
      <w:r>
        <w:rPr>
          <w:rFonts w:hint="eastAsia" w:ascii="仿宋_GB2312" w:hAnsi="仿宋_GB2312" w:eastAsia="仿宋_GB2312" w:cs="Times New Roman"/>
          <w:color w:val="000000"/>
          <w:kern w:val="0"/>
          <w:sz w:val="30"/>
          <w:szCs w:val="30"/>
          <w:lang w:eastAsia="zh-CN"/>
        </w:rPr>
        <w:t>实施累积投票制</w:t>
      </w:r>
      <w:r>
        <w:rPr>
          <w:rFonts w:ascii="仿宋_GB2312" w:hAnsi="仿宋_GB2312" w:eastAsia="仿宋_GB2312" w:cs="Times New Roman"/>
          <w:color w:val="000000"/>
          <w:kern w:val="0"/>
          <w:sz w:val="30"/>
          <w:szCs w:val="30"/>
        </w:rPr>
        <w:t>。</w:t>
      </w:r>
    </w:p>
    <w:p w14:paraId="2CC2BE09">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2.1.15 出席股东会的股东，对于采用累积投票制的议案，每持有一股即拥有与每个议案组下应选董事人数相同的选举票数。股东拥有的选举票数，可以集中投给一名候选人，也可以投给数名候选人。</w:t>
      </w:r>
    </w:p>
    <w:p w14:paraId="5C262E12">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股东应当以每个议案组的选举票数为限进行投票。股东所投选举票数超过其拥有的选举票数的，或者在差额选举中投票超过应选人数的，其对该项议案所投的选举票视为无效投票。</w:t>
      </w:r>
    </w:p>
    <w:p w14:paraId="2BA1760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持有多个股东账户的股东，可以通过其任一股东账户参加网络投票，其所拥有的选举票数，按照其全部股东账户下的相同类别股份总数为基准计算。</w:t>
      </w:r>
    </w:p>
    <w:p w14:paraId="48AF12D0">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2.1.16 除采用累积投票制以外，股东会对所有提案应当逐项表决。股东或者其代理人在股东会上不得对互斥提案同时投同意票。</w:t>
      </w:r>
    </w:p>
    <w:p w14:paraId="3297F4B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股东或者其委托代理人在股东会上投票的，应当对提交表决的议案明确发表同意、反对或者弃权意见。股票名义持有人根据相关规则规定，应当按照所征集的实际持有人对同一议案的不同投票意见行使表决权的除外。</w:t>
      </w:r>
    </w:p>
    <w:p w14:paraId="4CDC4FA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同一表决权通过现场、本所网络投票平台或者其他方式重复进行表决的，以第一次投票结果为准。</w:t>
      </w:r>
    </w:p>
    <w:p w14:paraId="276C718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2.1.17 持有多个股东账户的股东，可行使的表决权数量是其名下全部股东账户所持相同类别普通股和相同品种优先股的数量总和。法律法规、本所规定及公司章程对特别表决权股份另有规定的，从其规定。</w:t>
      </w:r>
    </w:p>
    <w:p w14:paraId="4A66F53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持有多个股东账户的股东通过本所网络投票系统参与股东会网络投票的，可以通过其任一股东账户参加。投票后，视为其全部股东账户下的相同类别普通股和相同品种优先股均已分别投出同一意见的表决票。</w:t>
      </w:r>
    </w:p>
    <w:p w14:paraId="52023CC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持有多个股东账户的股东，通过多个股东账户重复进行表决的，其全部股东账户下的相同类别普通股和相同品种优先股的表决意见，分别以各类别和品种股票的第一次投票结果为准。</w:t>
      </w:r>
    </w:p>
    <w:p w14:paraId="22D6028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2.1.18 股东仅对股东会部分议案进行网络投票的，视为出席本次股东会，其所持表决权数纳入出席本次股东会股东所持表决权数计算。该股东未表决或不符合本所网络投票业务规则要求投票的议案，其所持表决权数按照弃权计算。</w:t>
      </w:r>
    </w:p>
    <w:p w14:paraId="01DCF04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2.1.19 股东会网络投票结束后，根据上市公司的委托，本所信息公司通过本所网络投票系统取得网络投票数据后，向上市公司发送网络投票统计结果及其相关明细。</w:t>
      </w:r>
    </w:p>
    <w:p w14:paraId="17C3895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委托本所信息公司进行现场投票与网络投票结果合并统计服务的，应当及时向本所信息公司发送现场投票数据。本所信息公司完成合并统计后向上市公司发送网络投票统计数据、现场投票统计数据、合并计票统计数据及其相关明细。</w:t>
      </w:r>
    </w:p>
    <w:p w14:paraId="346CF99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出现下列情形之一的，本所信息公司向上市公司提供相关议案的全部投票记录，上市公司应当根据法律法规、本所相关规定、公司章程及股东会相关公告披露的计票规则统计股东会表决结果：</w:t>
      </w:r>
    </w:p>
    <w:p w14:paraId="203DC1E2">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（一）应当回避表决或者承诺放弃表决权的股东参加网络投票；</w:t>
      </w:r>
    </w:p>
    <w:p w14:paraId="51D3581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（二）股东会对同一事项有不同提案；</w:t>
      </w:r>
    </w:p>
    <w:p w14:paraId="38D6EAC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（三）优先股股东参加网络投票。</w:t>
      </w:r>
    </w:p>
    <w:p w14:paraId="146668B5">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公司需要对普通股股东和优先股股东、内资股股东和外资股股东、中小投资者等出席会议及表决情况分别统计并披露的，可以委托本所信息公司提供相应的分类统计服务。</w:t>
      </w:r>
    </w:p>
    <w:p w14:paraId="1FF2C139">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2.1.20 上市公司及其律师应当对投票数据进行合规性确认，并最终形成股东会表决结果；对投票数据有异议的，应当及时向本所和本所信息公司提出。</w:t>
      </w:r>
    </w:p>
    <w:p w14:paraId="0E47A6F3">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因不可抗力、意外事故以及其他本所或者本所信息公司不能控制的异常情况导致网络投票系统不能正常运行的，本所和本所信息公司不承担责任。</w:t>
      </w:r>
    </w:p>
    <w:p w14:paraId="45EAD35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2.1.21 股东会结束后，上市公司应当及时统计议案的投票表决结果，并披露股东会决议公告。</w:t>
      </w:r>
    </w:p>
    <w:p w14:paraId="46C54892">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如出现否决议案、非常规、突发情况或者对投资者充分关注的重大事项无法形成决议等情形的，公司应当于召开当日提交公告。</w:t>
      </w:r>
    </w:p>
    <w:p w14:paraId="1843D449">
      <w:pPr>
        <w:widowControl/>
        <w:shd w:val="clear" w:fill="FFFFFF"/>
        <w:snapToGrid w:val="0"/>
        <w:spacing w:line="560" w:lineRule="exact"/>
        <w:ind w:right="0" w:firstLine="600" w:firstLineChars="200"/>
        <w:rPr>
          <w:rFonts w:hint="eastAsia" w:ascii="仿宋_GB2312" w:hAnsi="仿宋_GB2312" w:eastAsia="仿宋_GB2312" w:cs="Times New Roman"/>
          <w:color w:val="000000"/>
          <w:kern w:val="0"/>
          <w:sz w:val="30"/>
          <w:szCs w:val="30"/>
          <w:lang w:val="en-US" w:eastAsia="zh-CN"/>
        </w:rPr>
      </w:pPr>
      <w:r>
        <w:rPr>
          <w:rFonts w:ascii="仿宋_GB2312" w:hAnsi="仿宋_GB2312" w:eastAsia="仿宋_GB2312" w:cs="Times New Roman"/>
          <w:color w:val="000000"/>
          <w:kern w:val="0"/>
          <w:sz w:val="30"/>
          <w:szCs w:val="30"/>
        </w:rPr>
        <w:t>公司股东会审议</w:t>
      </w:r>
      <w:r>
        <w:rPr>
          <w:rFonts w:hint="eastAsia" w:ascii="仿宋_GB2312" w:hAnsi="仿宋_GB2312" w:eastAsia="仿宋_GB2312" w:cs="Times New Roman"/>
          <w:color w:val="000000"/>
          <w:kern w:val="0"/>
          <w:sz w:val="30"/>
          <w:szCs w:val="30"/>
        </w:rPr>
        <w:t>下列</w:t>
      </w:r>
      <w:r>
        <w:rPr>
          <w:rFonts w:ascii="仿宋_GB2312" w:hAnsi="仿宋_GB2312" w:eastAsia="仿宋_GB2312" w:cs="Times New Roman"/>
          <w:color w:val="000000"/>
          <w:kern w:val="0"/>
          <w:sz w:val="30"/>
          <w:szCs w:val="30"/>
        </w:rPr>
        <w:t>影响中小投资者利益的重大事项时，应当对除公司董事、高级管理人员以及单独或者合计持有公司5%以上股份的股东以外的其他股东的表决情况单独计票并披露：</w:t>
      </w:r>
    </w:p>
    <w:p w14:paraId="07C4448F">
      <w:pPr>
        <w:widowControl/>
        <w:shd w:val="clear" w:fill="FFFFFF"/>
        <w:snapToGrid w:val="0"/>
        <w:spacing w:line="560" w:lineRule="exact"/>
        <w:ind w:right="0" w:firstLine="600" w:firstLineChars="200"/>
        <w:rPr>
          <w:rFonts w:hint="eastAsia" w:ascii="仿宋_GB2312" w:hAnsi="仿宋_GB2312" w:eastAsia="仿宋_GB2312" w:cs="Times New Roman"/>
          <w:color w:val="000000"/>
          <w:kern w:val="0"/>
          <w:sz w:val="30"/>
          <w:szCs w:val="30"/>
          <w:lang w:val="en-US" w:eastAsia="zh-CN"/>
        </w:rPr>
      </w:pPr>
      <w:r>
        <w:rPr>
          <w:rFonts w:hint="eastAsia" w:ascii="仿宋_GB2312" w:hAnsi="仿宋_GB2312" w:eastAsia="仿宋_GB2312" w:cs="Times New Roman"/>
          <w:color w:val="000000"/>
          <w:kern w:val="0"/>
          <w:sz w:val="30"/>
          <w:szCs w:val="30"/>
          <w:lang w:val="en-US" w:eastAsia="zh-CN"/>
        </w:rPr>
        <w:t>（一）选举和更换董事，决定有关董事的报酬事项；</w:t>
      </w:r>
    </w:p>
    <w:p w14:paraId="62C43CAC">
      <w:pPr>
        <w:widowControl/>
        <w:shd w:val="clear" w:fill="FFFFFF"/>
        <w:snapToGrid w:val="0"/>
        <w:spacing w:line="560" w:lineRule="exact"/>
        <w:ind w:right="0" w:firstLine="600" w:firstLineChars="200"/>
        <w:rPr>
          <w:rFonts w:hint="eastAsia" w:ascii="仿宋_GB2312" w:hAnsi="仿宋_GB2312" w:eastAsia="仿宋_GB2312" w:cs="Times New Roman"/>
          <w:color w:val="000000"/>
          <w:kern w:val="0"/>
          <w:sz w:val="30"/>
          <w:szCs w:val="30"/>
          <w:lang w:val="en-US" w:eastAsia="zh-CN"/>
        </w:rPr>
      </w:pPr>
      <w:r>
        <w:rPr>
          <w:rFonts w:hint="eastAsia" w:ascii="仿宋_GB2312" w:hAnsi="仿宋_GB2312" w:eastAsia="仿宋_GB2312" w:cs="Times New Roman"/>
          <w:color w:val="000000"/>
          <w:kern w:val="0"/>
          <w:sz w:val="30"/>
          <w:szCs w:val="30"/>
          <w:lang w:val="en-US" w:eastAsia="zh-CN"/>
        </w:rPr>
        <w:t>（二）聘用、解聘会计师事务所；</w:t>
      </w:r>
    </w:p>
    <w:p w14:paraId="2C55AE6E">
      <w:pPr>
        <w:widowControl/>
        <w:shd w:val="clear" w:fill="FFFFFF"/>
        <w:snapToGrid w:val="0"/>
        <w:spacing w:line="560" w:lineRule="exact"/>
        <w:ind w:right="0" w:firstLine="600" w:firstLineChars="200"/>
        <w:rPr>
          <w:rFonts w:hint="eastAsia" w:ascii="仿宋_GB2312" w:hAnsi="仿宋_GB2312" w:eastAsia="仿宋_GB2312" w:cs="Times New Roman"/>
          <w:color w:val="000000"/>
          <w:kern w:val="0"/>
          <w:sz w:val="30"/>
          <w:szCs w:val="30"/>
          <w:lang w:val="en-US" w:eastAsia="zh-CN"/>
        </w:rPr>
      </w:pPr>
      <w:r>
        <w:rPr>
          <w:rFonts w:hint="eastAsia" w:ascii="仿宋_GB2312" w:hAnsi="仿宋_GB2312" w:eastAsia="仿宋_GB2312" w:cs="Times New Roman"/>
          <w:color w:val="000000"/>
          <w:kern w:val="0"/>
          <w:sz w:val="30"/>
          <w:szCs w:val="30"/>
          <w:lang w:val="en-US" w:eastAsia="zh-CN"/>
        </w:rPr>
        <w:t>（三）因会计准则变更以外的原因作出会计政策、会计估计变更；</w:t>
      </w:r>
    </w:p>
    <w:p w14:paraId="0ECC7675">
      <w:pPr>
        <w:widowControl/>
        <w:shd w:val="clear" w:fill="FFFFFF"/>
        <w:snapToGrid w:val="0"/>
        <w:spacing w:line="560" w:lineRule="exact"/>
        <w:ind w:right="0" w:firstLine="600" w:firstLineChars="200"/>
        <w:rPr>
          <w:rFonts w:hint="eastAsia" w:ascii="仿宋_GB2312" w:hAnsi="仿宋_GB2312" w:eastAsia="仿宋_GB2312" w:cs="Times New Roman"/>
          <w:color w:val="000000"/>
          <w:kern w:val="0"/>
          <w:sz w:val="30"/>
          <w:szCs w:val="30"/>
          <w:lang w:val="en-US" w:eastAsia="zh-CN"/>
        </w:rPr>
      </w:pPr>
      <w:r>
        <w:rPr>
          <w:rFonts w:hint="eastAsia" w:ascii="仿宋_GB2312" w:hAnsi="仿宋_GB2312" w:eastAsia="仿宋_GB2312" w:cs="Times New Roman"/>
          <w:color w:val="000000"/>
          <w:kern w:val="0"/>
          <w:sz w:val="30"/>
          <w:szCs w:val="30"/>
          <w:lang w:val="en-US" w:eastAsia="zh-CN"/>
        </w:rPr>
        <w:t>（四）相关方变更承诺的方案；</w:t>
      </w:r>
    </w:p>
    <w:p w14:paraId="008408F3">
      <w:pPr>
        <w:widowControl/>
        <w:shd w:val="clear" w:fill="FFFFFF"/>
        <w:snapToGrid w:val="0"/>
        <w:spacing w:line="560" w:lineRule="exact"/>
        <w:ind w:right="0" w:firstLine="600" w:firstLineChars="200"/>
        <w:rPr>
          <w:rFonts w:hint="eastAsia" w:ascii="仿宋_GB2312" w:hAnsi="仿宋_GB2312" w:eastAsia="仿宋_GB2312" w:cs="Times New Roman"/>
          <w:color w:val="000000"/>
          <w:kern w:val="0"/>
          <w:sz w:val="30"/>
          <w:szCs w:val="30"/>
          <w:lang w:val="en-US" w:eastAsia="zh-CN"/>
        </w:rPr>
      </w:pPr>
      <w:r>
        <w:rPr>
          <w:rFonts w:hint="eastAsia" w:ascii="仿宋_GB2312" w:hAnsi="仿宋_GB2312" w:eastAsia="仿宋_GB2312" w:cs="Times New Roman"/>
          <w:color w:val="000000"/>
          <w:kern w:val="0"/>
          <w:sz w:val="30"/>
          <w:szCs w:val="30"/>
          <w:lang w:val="en-US" w:eastAsia="zh-CN"/>
        </w:rPr>
        <w:t>（五）制定利润分配政策、利润分配方案；</w:t>
      </w:r>
    </w:p>
    <w:p w14:paraId="604A77EA">
      <w:pPr>
        <w:widowControl/>
        <w:shd w:val="clear" w:fill="FFFFFF"/>
        <w:snapToGrid w:val="0"/>
        <w:spacing w:line="560" w:lineRule="exact"/>
        <w:ind w:right="0" w:firstLine="600" w:firstLineChars="200"/>
        <w:rPr>
          <w:rFonts w:hint="eastAsia" w:ascii="仿宋_GB2312" w:hAnsi="仿宋_GB2312" w:eastAsia="仿宋_GB2312" w:cs="Times New Roman"/>
          <w:color w:val="000000"/>
          <w:kern w:val="0"/>
          <w:sz w:val="30"/>
          <w:szCs w:val="30"/>
          <w:lang w:val="en-US" w:eastAsia="zh-CN"/>
        </w:rPr>
      </w:pPr>
      <w:r>
        <w:rPr>
          <w:rFonts w:hint="eastAsia" w:ascii="仿宋_GB2312" w:hAnsi="仿宋_GB2312" w:eastAsia="仿宋_GB2312" w:cs="Times New Roman"/>
          <w:color w:val="000000"/>
          <w:kern w:val="0"/>
          <w:sz w:val="30"/>
          <w:szCs w:val="30"/>
          <w:lang w:val="en-US" w:eastAsia="zh-CN"/>
        </w:rPr>
        <w:t>（六）关联交易、提供担保（不含对合并报表范围内子公司提供担保）、委托理财、提供财务资助、募集资金使用、股票及其衍生品种投资等重大事项；</w:t>
      </w:r>
    </w:p>
    <w:p w14:paraId="1B6839FA">
      <w:pPr>
        <w:widowControl/>
        <w:shd w:val="clear" w:fill="FFFFFF"/>
        <w:snapToGrid w:val="0"/>
        <w:spacing w:line="560" w:lineRule="exact"/>
        <w:ind w:right="0" w:firstLine="600" w:firstLineChars="200"/>
        <w:rPr>
          <w:rFonts w:hint="eastAsia" w:ascii="仿宋_GB2312" w:hAnsi="仿宋_GB2312" w:eastAsia="仿宋_GB2312" w:cs="Times New Roman"/>
          <w:color w:val="000000"/>
          <w:kern w:val="0"/>
          <w:sz w:val="30"/>
          <w:szCs w:val="30"/>
          <w:lang w:val="en-US" w:eastAsia="zh-CN"/>
        </w:rPr>
      </w:pPr>
      <w:r>
        <w:rPr>
          <w:rFonts w:hint="eastAsia" w:ascii="仿宋_GB2312" w:hAnsi="仿宋_GB2312" w:eastAsia="仿宋_GB2312" w:cs="Times New Roman"/>
          <w:color w:val="000000"/>
          <w:kern w:val="0"/>
          <w:sz w:val="30"/>
          <w:szCs w:val="30"/>
          <w:lang w:val="en-US" w:eastAsia="zh-CN"/>
        </w:rPr>
        <w:t>（七）优先股发行方案、重大资产重组方案、管理层收购、股权激励计划、员工持股计划、回购股份方案、公司关联人以资抵债方案；</w:t>
      </w:r>
    </w:p>
    <w:p w14:paraId="5814EDDE">
      <w:pPr>
        <w:widowControl/>
        <w:shd w:val="clear" w:fill="FFFFFF"/>
        <w:snapToGrid w:val="0"/>
        <w:spacing w:line="560" w:lineRule="exact"/>
        <w:ind w:right="0" w:firstLine="600" w:firstLineChars="200"/>
        <w:rPr>
          <w:rFonts w:hint="eastAsia" w:ascii="仿宋_GB2312" w:hAnsi="仿宋_GB2312" w:eastAsia="仿宋_GB2312" w:cs="Times New Roman"/>
          <w:color w:val="000000"/>
          <w:kern w:val="0"/>
          <w:sz w:val="30"/>
          <w:szCs w:val="30"/>
          <w:lang w:val="en-US" w:eastAsia="zh-CN"/>
        </w:rPr>
      </w:pPr>
      <w:r>
        <w:rPr>
          <w:rFonts w:hint="eastAsia" w:ascii="仿宋_GB2312" w:hAnsi="仿宋_GB2312" w:eastAsia="仿宋_GB2312" w:cs="Times New Roman"/>
          <w:color w:val="000000"/>
          <w:kern w:val="0"/>
          <w:sz w:val="30"/>
          <w:szCs w:val="30"/>
          <w:lang w:val="en-US" w:eastAsia="zh-CN"/>
        </w:rPr>
        <w:t>（八）公司拟决定其股票不再在本所交易；</w:t>
      </w:r>
    </w:p>
    <w:p w14:paraId="10C9D3FF">
      <w:pPr>
        <w:widowControl/>
        <w:shd w:val="clear" w:fill="FFFFFF"/>
        <w:snapToGrid w:val="0"/>
        <w:spacing w:line="560" w:lineRule="exact"/>
        <w:ind w:right="0" w:firstLine="600" w:firstLineChars="200"/>
        <w:rPr>
          <w:rFonts w:hint="eastAsia" w:ascii="仿宋_GB2312" w:hAnsi="仿宋_GB2312" w:eastAsia="仿宋_GB2312" w:cs="Times New Roman"/>
          <w:color w:val="000000"/>
          <w:kern w:val="0"/>
          <w:sz w:val="30"/>
          <w:szCs w:val="30"/>
          <w:lang w:val="en-US" w:eastAsia="zh-CN"/>
        </w:rPr>
      </w:pPr>
      <w:r>
        <w:rPr>
          <w:rFonts w:hint="eastAsia" w:ascii="仿宋_GB2312" w:hAnsi="仿宋_GB2312" w:eastAsia="仿宋_GB2312" w:cs="Times New Roman"/>
          <w:color w:val="000000"/>
          <w:kern w:val="0"/>
          <w:sz w:val="30"/>
          <w:szCs w:val="30"/>
          <w:lang w:val="en-US" w:eastAsia="zh-CN"/>
        </w:rPr>
        <w:t>（九）独立董事认为有可能损害中小股东合法权益的事项；</w:t>
      </w:r>
    </w:p>
    <w:p w14:paraId="5F0FE172">
      <w:pPr>
        <w:widowControl/>
        <w:shd w:val="clear" w:fill="FFFFFF"/>
        <w:snapToGrid w:val="0"/>
        <w:spacing w:line="560" w:lineRule="exact"/>
        <w:ind w:right="0" w:firstLine="600" w:firstLineChars="200"/>
        <w:rPr>
          <w:rFonts w:ascii="仿宋_GB2312" w:hAnsi="仿宋_GB2312" w:eastAsia="仿宋_GB2312" w:cs="Times New Roman"/>
          <w:color w:val="000000"/>
          <w:kern w:val="0"/>
          <w:sz w:val="30"/>
          <w:szCs w:val="30"/>
        </w:rPr>
      </w:pPr>
      <w:r>
        <w:rPr>
          <w:rFonts w:hint="eastAsia" w:ascii="仿宋_GB2312" w:hAnsi="仿宋_GB2312" w:eastAsia="仿宋_GB2312" w:cs="Times New Roman"/>
          <w:color w:val="000000"/>
          <w:kern w:val="0"/>
          <w:sz w:val="30"/>
          <w:szCs w:val="30"/>
          <w:lang w:val="en-US" w:eastAsia="zh-CN"/>
        </w:rPr>
        <w:t>（十）法律法规、本所相关规定要求的其他事项。</w:t>
      </w:r>
    </w:p>
    <w:p w14:paraId="6DD8DB86">
      <w:pPr>
        <w:pStyle w:val="3"/>
        <w:spacing w:line="560" w:lineRule="exact"/>
        <w:ind w:left="0" w:firstLine="0"/>
        <w:rPr>
          <w:rFonts w:ascii="仿宋_GB2312" w:hAnsi="仿宋_GB2312"/>
        </w:rPr>
      </w:pPr>
      <w:bookmarkStart w:id="4" w:name="__RefHeading___Toc189646138"/>
      <w:bookmarkEnd w:id="4"/>
      <w:r>
        <w:rPr>
          <w:rFonts w:ascii="仿宋_GB2312" w:hAnsi="仿宋_GB2312"/>
        </w:rPr>
        <w:t>第二节 董事会</w:t>
      </w:r>
    </w:p>
    <w:p w14:paraId="0926468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2.2.1 上市公司应当制定董事会议事规则，并列入公司章程或者作为章程附件，报股东会批准，确保董事会规范、高效运作和审慎、科学决策。</w:t>
      </w:r>
    </w:p>
    <w:p w14:paraId="0BBD764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2.2.2 董事会会议应当严格按照董事会议事规则召集和召开，按规定事先通知所有董事，并提供充分的会议材料，包括会议议题的相关背景材料、全部由独立董事参加的会议（以下简称独立董事专门会议）审议情况（如有）、董事会专门委员会意见（如有）等董事对议案进行表决所需的所有信息、数据和资料，及时答复董事提出的问询，在会议召开前根据董事的要求补充相关会议材料。董事会专门委员会召开会议的，上市公司原则上应当不迟于专门委员会会议召开前3日提供相关资料和信息。</w:t>
      </w:r>
    </w:p>
    <w:p w14:paraId="72EA42A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两名以上独立董事认为会议材料不完整、论证不充分或者提供不及时的，可以书面向董事会提出延期召开会议或者延期审议该事项，董事会应当予以采纳。</w:t>
      </w:r>
    </w:p>
    <w:p w14:paraId="1D504F99">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董事会及专门委员会会议以现场召开为原则。在保证全体参会董事能够充分沟通并表达意见的前提下，必要时可以依照程序采用视频、电话或者其他方式召开。</w:t>
      </w:r>
    </w:p>
    <w:p w14:paraId="45D6DE6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hint="eastAsia" w:ascii="仿宋_GB2312" w:hAnsi="仿宋_GB2312" w:eastAsia="仿宋_GB2312" w:cs="Times New Roman"/>
          <w:color w:val="000000"/>
          <w:kern w:val="0"/>
          <w:sz w:val="30"/>
          <w:szCs w:val="30"/>
        </w:rPr>
        <w:t>董事会秘书应当确保会议召集、召开和表决程序符合法律法规和公司章程的规定。董事会秘书发现程序瑕疵等影响董事会决议效力情形的，应当向董事会报告。</w:t>
      </w:r>
    </w:p>
    <w:p w14:paraId="7EFBB89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2.2.3 董事会及其专门委员会会议、独立董事专门会议应当按规定制作会议记录，会议记录应当真实、准确、完整，充分反映与会人员对所审议事项提出的意见。</w:t>
      </w:r>
    </w:p>
    <w:p w14:paraId="0624407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hint="eastAsia" w:ascii="仿宋_GB2312" w:hAnsi="仿宋_GB2312" w:eastAsia="仿宋_GB2312" w:cs="Times New Roman"/>
          <w:color w:val="000000"/>
          <w:kern w:val="0"/>
          <w:sz w:val="30"/>
          <w:szCs w:val="30"/>
        </w:rPr>
        <w:t>董事会秘书负责董事会会议的记录，保证会议记录如实反</w:t>
      </w:r>
      <w:r>
        <w:rPr>
          <w:rFonts w:hint="eastAsia" w:ascii="仿宋_GB2312" w:hAnsi="仿宋_GB2312" w:eastAsia="仿宋_GB2312" w:cs="Times New Roman"/>
          <w:color w:val="000000"/>
          <w:kern w:val="0"/>
          <w:sz w:val="30"/>
          <w:szCs w:val="30"/>
          <w:lang w:eastAsia="zh-CN"/>
        </w:rPr>
        <w:t>映</w:t>
      </w:r>
      <w:r>
        <w:rPr>
          <w:rFonts w:hint="eastAsia" w:ascii="仿宋_GB2312" w:hAnsi="仿宋_GB2312" w:eastAsia="仿宋_GB2312" w:cs="Times New Roman"/>
          <w:color w:val="000000"/>
          <w:kern w:val="0"/>
          <w:sz w:val="30"/>
          <w:szCs w:val="30"/>
        </w:rPr>
        <w:t>会议情况。</w:t>
      </w:r>
    </w:p>
    <w:p w14:paraId="0D9D4BE5">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2.2.4 上市公司董事会各项法定职权应当由董事会集体行使，不得授权他人行使，不得以公司章程、股东会决议等方式变更或者剥夺。</w:t>
      </w:r>
    </w:p>
    <w:p w14:paraId="6D950B66">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公司章程规定的董事会其他职权，涉及重大事项的，应当进行集体决策，不得授予董事长、总经理等其他主体行使。</w:t>
      </w:r>
    </w:p>
    <w:p w14:paraId="64D63FF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董事会授权董事长在董事会闭会期间行使董事会部分职权的，应当在公司章程中明确规定授权的原则和具体内容。</w:t>
      </w:r>
    </w:p>
    <w:p w14:paraId="2623EF4D">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2.2.5 上市公司应当在董事会中设置审计委员会，并可以根据需要设置提名、薪酬与考核、战略等专门委员会。专门委员会依照法律法规、本所规定、公司章程和董事会授权履行职责。除另有规定外，专门委员会的提案应当提交董事会审议决定。</w:t>
      </w:r>
    </w:p>
    <w:p w14:paraId="53818285">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会专门委员会成员全部由董事组成，其中审计委员会、提名委员会、薪酬与考核委员会中独立董事应当过半数并担任召集人，审计委员会的成员应当为不在上市公司担任高级管理人员的董事，召集人应当为会计专业人士。公司董事会成员中的职工代表可以成为审计委员会成员。</w:t>
      </w:r>
    </w:p>
    <w:p w14:paraId="48D5357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 xml:space="preserve">公司应当在章程中对专门委员会的组成、职责等作出规定，董事会负责制定专门委员会工作规程，明确专门委员会的人员构成、委员任期、职责范围、议事规则和档案保存等相关事项。国务院有关主管部门对专门委员会的召集人另有规定的，从其规定。  </w:t>
      </w:r>
    </w:p>
    <w:p w14:paraId="719191F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2.2.6 董事会审计委员会由3名以上董事会成员组成。审计委员会成员应当勤勉尽责，切实有效地监督、评估上市公司内外部审计工作，促进公司建立有效的内部控制并提供真实、准确、完整的财务报告。</w:t>
      </w:r>
    </w:p>
    <w:p w14:paraId="14F5969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审计委员会成员应当具备履行审计委员会工作职责的专业知识和经验。</w:t>
      </w:r>
    </w:p>
    <w:p w14:paraId="1452861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2.2.7 董事会审计委员会行使《公司法》规定的监事会的职权。</w:t>
      </w:r>
    </w:p>
    <w:p w14:paraId="2EDD85A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审计委员会负责审核公司财务信息及其披露、监督及评估内外部审计工作和内部控制，下列事项应当经审计委员会全体成员过半数同意后，提交董事会审议：</w:t>
      </w:r>
    </w:p>
    <w:p w14:paraId="4488BC9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（一）披露财务会计报告及定期报告中的财务信息、内部控制评价报告；</w:t>
      </w:r>
    </w:p>
    <w:p w14:paraId="0C62A6B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（二）聘用或者解聘承办上市公司审计业务的会计师事务所；</w:t>
      </w:r>
    </w:p>
    <w:p w14:paraId="175BFA89">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（三）聘任或者解聘上市公司财务负责人；</w:t>
      </w:r>
    </w:p>
    <w:p w14:paraId="61E1E0F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（四）因会计准则变更以外的原因作出会计政策、会计估计变更或者重大会计差错更正；</w:t>
      </w:r>
    </w:p>
    <w:p w14:paraId="63D5F312">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（五）法律法规、本所相关规定及公司章程规定的其他事项。</w:t>
      </w:r>
    </w:p>
    <w:p w14:paraId="1F6EE25A">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2.2.8 上市公司应当为董事会审计委员会提供必要的工作条件，配备专门人员或者机构承担审计委员会的工作联络、会议组织、材料准备和档案管理等日常工作。审计委员会履行职责时，公司管理层及相关部门应当给予配合。</w:t>
      </w:r>
    </w:p>
    <w:p w14:paraId="6F68101D">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审计委员会认为必要的，可以聘请中介机构提供专业意见，有关费用由公司承担。</w:t>
      </w:r>
    </w:p>
    <w:p w14:paraId="23DDDA7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2.2.9 董事会审计委员会每季度至少召开一次会议，2名及以上成员提议，或者召集人认为有必要时，可以召开临时会议。审计委员会会议须有三分之二以上成员出席方可举行。</w:t>
      </w:r>
    </w:p>
    <w:p w14:paraId="526826B7">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审计委员会作出决议，应当经审计委员会成员的过半数通过。</w:t>
      </w:r>
    </w:p>
    <w:p w14:paraId="4C06727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审计委员会决议的表决，应当一人一票。</w:t>
      </w:r>
    </w:p>
    <w:p w14:paraId="3000F6B5">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审计委员会决议应当按规定制作会议记录，出席会议的审计委员会成员应当在会议记录上签名。审计委员会会议记录应当妥善保存。本所要求提供审计委员会会议记录的，公司应当提供。</w:t>
      </w:r>
    </w:p>
    <w:p w14:paraId="59F4B5E7">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2.2.10 董事会审计委员会应当审核上市公司的财务会计报告，对财务会计报告的真实性、准确性和完整性提出意见，重点关注公司财务会计报告的重大会计和审计问题，特别关注是否存在与财务会计报告相关的欺诈、舞弊行为及重大错报的可能性，监督财务会计报告问题的整改情况。</w:t>
      </w:r>
    </w:p>
    <w:p w14:paraId="45F68AD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审计委员会向董事会提出聘请或者更换外部审计机构的建议，审核外部审计机构的审计费用及聘用条款，不受公司主要股东、实际控制人或者董事、高级管理人员的不当影响。</w:t>
      </w:r>
    </w:p>
    <w:p w14:paraId="21734A4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审计委员会应当督促外部审计机构诚实守信、勤勉尽责，严格遵守业务规则和行业自律规范，严格执行内部控制制度，对公司财务会计报告进行核查验证，履行特别注意义务，审慎发表专业意见。</w:t>
      </w:r>
    </w:p>
    <w:p w14:paraId="05BAA9E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2.2.11 董事会审计委员会依法检查公司财务，监督董事、高级管理人员履行职责的合法合规性，行使公司章程规定的其他职权，维护公司及股东的合法权益。</w:t>
      </w:r>
    </w:p>
    <w:p w14:paraId="2BE29C2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审计委员会发现董事、高级管理人员违反法律法规、本所相关规定或者公司章程的，应当向董事会通报或者向股东会报告，并及时披露，也可以直接向监管机构报告。</w:t>
      </w:r>
    </w:p>
    <w:p w14:paraId="6315035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审计委员会在履行监督职责过程中，对违反法律法规、本指引、本所其他规定、公司章程或者股东会决议的董事、高级管理人员，可以提出罢免的建议。</w:t>
      </w:r>
    </w:p>
    <w:p w14:paraId="3546CFA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2.2.12 上市公司董事、高级管理人员发现公司发布的财务会计报告存在虚假记载、误导性陈述或者重大遗漏并向董事会或者审计委员会报告的，或者中介机构向董事会或者审计委员会指出公司财务会计报告存在虚假记载、误导性陈述或者重大遗漏的，董事会应当及时向本所报告并予以披露。</w:t>
      </w:r>
    </w:p>
    <w:p w14:paraId="60C91F26">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公司根据前款规定披露相关信息的，应当在公告中披露财务会计报告存在的重大问题、已经或者可能导致的后果，以及已采取或者拟采取的措施。</w:t>
      </w:r>
    </w:p>
    <w:p w14:paraId="186AF4CA">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审计委员会应当督促公司相关责任部门制定整改措施和整改时间表，进行后续审查，监督整改措施的落实情况，并及时披露整改完成情况。</w:t>
      </w:r>
    </w:p>
    <w:p w14:paraId="51D37FA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2.2.13 上市公司披露年度报告的同时，应当在本所网站披露董事会审计委员会年度履职情况，主要包括其履行职责的情况和审计委员会会议的召开情况。</w:t>
      </w:r>
    </w:p>
    <w:p w14:paraId="043BEAA6">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审计委员会就其职责范围内事项向公司董事会提出审议意见，董事会未采纳的，公司应当披露该事项并充分说明理由。</w:t>
      </w:r>
    </w:p>
    <w:p w14:paraId="78C59C2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2.2.14 董事会提名委员会负责拟定董事、高级管理人员的选择标准和程序，</w:t>
      </w:r>
      <w:r>
        <w:rPr>
          <w:rFonts w:hint="eastAsia" w:ascii="仿宋_GB2312" w:hAnsi="仿宋_GB2312" w:eastAsia="仿宋_GB2312" w:cs="Times New Roman"/>
          <w:color w:val="000000"/>
          <w:kern w:val="0"/>
          <w:sz w:val="30"/>
          <w:szCs w:val="30"/>
        </w:rPr>
        <w:t>充分考虑董事会的人员构成、专业结构等因素。提名委员会</w:t>
      </w:r>
      <w:r>
        <w:rPr>
          <w:rFonts w:ascii="仿宋_GB2312" w:hAnsi="仿宋_GB2312" w:eastAsia="仿宋_GB2312" w:cs="Times New Roman"/>
          <w:color w:val="000000"/>
          <w:kern w:val="0"/>
          <w:sz w:val="30"/>
          <w:szCs w:val="30"/>
        </w:rPr>
        <w:t>对董事、高级管理人员人选及其任职资格进行遴选、审核，并就下列事项向董事会提出建议：</w:t>
      </w:r>
    </w:p>
    <w:p w14:paraId="79C8FAA0">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（一）提名或任免董事；</w:t>
      </w:r>
    </w:p>
    <w:p w14:paraId="0F04BF1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（二）聘任或解聘高级管理人员；</w:t>
      </w:r>
    </w:p>
    <w:p w14:paraId="75E70E3A">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（三）法律法规、本所相关规定及公司章程规定的其他事项。</w:t>
      </w:r>
    </w:p>
    <w:p w14:paraId="31B1D9D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董事会对提名委员会的建议未采纳或未完全采纳的，应当在董事会决议中记载提名委员会的意见及未采纳的具体理由，并进行披露。</w:t>
      </w:r>
    </w:p>
    <w:p w14:paraId="6AEB8D0C">
      <w:pPr>
        <w:widowControl/>
        <w:shd w:val="clear" w:fill="FFFFFF"/>
        <w:spacing w:line="560" w:lineRule="exact"/>
        <w:ind w:right="0" w:firstLine="600"/>
        <w:rPr>
          <w:rFonts w:ascii="仿宋_GB2312" w:hAnsi="仿宋_GB2312" w:eastAsia="仿宋_GB2312" w:cs="Times New Roman"/>
          <w:color w:val="000000"/>
          <w:kern w:val="0"/>
          <w:sz w:val="30"/>
          <w:szCs w:val="30"/>
        </w:rPr>
      </w:pPr>
      <w:bookmarkStart w:id="5" w:name="OLE_LINK14"/>
      <w:bookmarkEnd w:id="5"/>
      <w:bookmarkStart w:id="6" w:name="OLE_LINK15"/>
      <w:bookmarkEnd w:id="6"/>
      <w:r>
        <w:rPr>
          <w:rFonts w:ascii="仿宋_GB2312" w:hAnsi="仿宋_GB2312" w:eastAsia="仿宋_GB2312" w:cs="Times New Roman"/>
          <w:color w:val="000000"/>
          <w:kern w:val="0"/>
          <w:sz w:val="30"/>
          <w:szCs w:val="30"/>
        </w:rPr>
        <w:t>2.2.15 董事会薪酬与考核委员会负责制定董事、高级管理人员的考核标准并进行考核，制定、审查董事、高级管理人员的薪酬政策与方案，并就下列事项向董事会提出建议：</w:t>
      </w:r>
    </w:p>
    <w:p w14:paraId="06266F13">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（一）董事、高级管理人员的薪酬；</w:t>
      </w:r>
    </w:p>
    <w:p w14:paraId="07C507BA">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（二）制定或变更股权激励计划、员工持股计划，激励对象获授权益、行使权益条件成就；</w:t>
      </w:r>
    </w:p>
    <w:p w14:paraId="74D410E7">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（三）董事、高级管理人员在拟分拆所属子公司安排持股计划；</w:t>
      </w:r>
    </w:p>
    <w:p w14:paraId="2CB71EFA">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（四）法律法规、本所相关规定及公司章程规定的其他事项。</w:t>
      </w:r>
    </w:p>
    <w:p w14:paraId="7B992655">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董事会对薪酬与考核委员会的建议未采纳或未完全采纳的，应当在董事会决议中记载薪酬与考核委员会的意见及未采纳的具体理由，并进行披露。</w:t>
      </w:r>
    </w:p>
    <w:p w14:paraId="61BC379E">
      <w:pPr>
        <w:widowControl/>
        <w:shd w:val="clear" w:fill="FFFFFF"/>
        <w:spacing w:line="560" w:lineRule="exact"/>
        <w:rPr>
          <w:rFonts w:ascii="仿宋_GB2312" w:hAnsi="仿宋_GB2312" w:eastAsia="仿宋_GB2312" w:cs="Times New Roman"/>
          <w:color w:val="000000"/>
          <w:kern w:val="0"/>
          <w:sz w:val="30"/>
          <w:szCs w:val="30"/>
        </w:rPr>
      </w:pPr>
      <w:bookmarkStart w:id="7" w:name="OLE_LINK15"/>
      <w:bookmarkEnd w:id="7"/>
      <w:bookmarkStart w:id="8" w:name="OLE_LINK14"/>
      <w:bookmarkEnd w:id="8"/>
    </w:p>
    <w:p w14:paraId="2D9BDB35">
      <w:pPr>
        <w:pStyle w:val="2"/>
        <w:spacing w:line="560" w:lineRule="exact"/>
        <w:ind w:left="0" w:firstLine="0"/>
        <w:rPr>
          <w:rFonts w:ascii="黑体" w:hAnsi="黑体" w:eastAsia="黑体" w:cs="黑体"/>
          <w:kern w:val="0"/>
        </w:rPr>
      </w:pPr>
      <w:bookmarkStart w:id="9" w:name="__RefHeading___Toc189646139"/>
      <w:bookmarkEnd w:id="9"/>
      <w:r>
        <w:rPr>
          <w:rFonts w:ascii="黑体" w:hAnsi="黑体" w:eastAsia="黑体" w:cs="黑体"/>
          <w:kern w:val="0"/>
        </w:rPr>
        <w:t>第三章 董事和高级管理人员</w:t>
      </w:r>
    </w:p>
    <w:p w14:paraId="41BCFC24">
      <w:pPr>
        <w:pStyle w:val="3"/>
        <w:spacing w:line="560" w:lineRule="exact"/>
        <w:ind w:left="0" w:firstLine="0"/>
        <w:rPr>
          <w:rFonts w:ascii="仿宋_GB2312" w:hAnsi="仿宋_GB2312"/>
        </w:rPr>
      </w:pPr>
      <w:bookmarkStart w:id="10" w:name="__RefHeading___Toc189646140"/>
      <w:bookmarkEnd w:id="10"/>
      <w:r>
        <w:rPr>
          <w:rFonts w:ascii="仿宋_GB2312" w:hAnsi="仿宋_GB2312"/>
        </w:rPr>
        <w:t>第一节 总体要求</w:t>
      </w:r>
    </w:p>
    <w:p w14:paraId="5161E63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3.1.1 董事、高级管理人员应当遵守法律法规、本所相关规定及公司章程，在公司章程、股东会或者董事会授权范围内，忠实、勤勉履职，并严格履行其作出的各项承诺。</w:t>
      </w:r>
    </w:p>
    <w:p w14:paraId="03E8C2B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hint="eastAsia" w:ascii="仿宋_GB2312" w:hAnsi="仿宋_GB2312" w:eastAsia="仿宋_GB2312" w:cs="Times New Roman"/>
          <w:color w:val="000000"/>
          <w:kern w:val="0"/>
          <w:sz w:val="30"/>
          <w:szCs w:val="30"/>
        </w:rPr>
        <w:t>董事、高级管理人员执行</w:t>
      </w:r>
      <w:r>
        <w:rPr>
          <w:rFonts w:hint="eastAsia" w:ascii="仿宋_GB2312" w:hAnsi="仿宋_GB2312" w:eastAsia="仿宋_GB2312" w:cs="Times New Roman"/>
          <w:color w:val="000000"/>
          <w:kern w:val="0"/>
          <w:sz w:val="30"/>
          <w:szCs w:val="30"/>
          <w:lang w:eastAsia="zh-CN"/>
        </w:rPr>
        <w:t>上市</w:t>
      </w:r>
      <w:r>
        <w:rPr>
          <w:rFonts w:hint="eastAsia" w:ascii="仿宋_GB2312" w:hAnsi="仿宋_GB2312" w:eastAsia="仿宋_GB2312" w:cs="Times New Roman"/>
          <w:color w:val="000000"/>
          <w:kern w:val="0"/>
          <w:sz w:val="30"/>
          <w:szCs w:val="30"/>
        </w:rPr>
        <w:t>公司职务违反法律法规或公司章程的规定，给公司造成损失的，应当承担赔偿责任，公司董事会应当采取措施追究其法律责任。</w:t>
      </w:r>
    </w:p>
    <w:p w14:paraId="7FA2EAC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3.1.2 董事、高级管理人员应当在公司股票首次公开发行并上市前，新任董事应当在股东会或者职工代表大会通过相关决议后一个月内，新任高级管理人员应当在董事会通过相关决议后一个月内，签署一式3份《董事（高级管理人员）声明及承诺书》，并向本所和公司董事会备案。</w:t>
      </w:r>
    </w:p>
    <w:p w14:paraId="3BF4FA5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董事、高级管理人员签署《董事（高级管理人员）声明及承诺书》时，应当由律师解释该文件的内容，董事和高级管理人员在充分理解后签字并经律师见证。</w:t>
      </w:r>
    </w:p>
    <w:p w14:paraId="45E6EC1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董事会秘书应当督促董事、高级管理人员及时签署《董事（高级管理人员）声明及承诺书》，并按照本所规定的途径和方式提交《董事（高级管理人员）声明及承诺书》。</w:t>
      </w:r>
    </w:p>
    <w:p w14:paraId="4A56A7D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3.1.3 董事、高级管理人员应当在《董事（高级管理人员）声明及承诺书》中声明：</w:t>
      </w:r>
    </w:p>
    <w:p w14:paraId="6D3484E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（一）持有本公司股票的情况；</w:t>
      </w:r>
    </w:p>
    <w:p w14:paraId="00AC92D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（二）有无因违反法律、行政法规、部门规章、其他规范性文件、本指引及本所其他规定受查处的情况；</w:t>
      </w:r>
    </w:p>
    <w:p w14:paraId="34F5814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（三）其他任职情况和最近五年的工作经历；</w:t>
      </w:r>
    </w:p>
    <w:p w14:paraId="6C69723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（四）拥有其他国家或者地区的国籍、长期居留权的情况；</w:t>
      </w:r>
    </w:p>
    <w:p w14:paraId="47B76F7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（五）本所认为应当声明的其他事项。</w:t>
      </w:r>
    </w:p>
    <w:p w14:paraId="34B3AB6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3.1.4 董事、高级管理人员应当保证《董事（高级管理人员）声明及承诺书》中声明事项的真实、准确、完整，不存在任何虚假记载、误导性陈述或者重大遗漏。</w:t>
      </w:r>
    </w:p>
    <w:p w14:paraId="0650319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声明事项发生变化时（持有本公司股票的情况除外），董事、高级管理人员应当自该等事项发生变化之日起5个交易日内，向本所和公司董事会提交有关最新资料。</w:t>
      </w:r>
    </w:p>
    <w:p w14:paraId="0EC2C17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3.1.5 董事、高级管理人员应当履行以下职责，并在《董事（高级管理人员）声明及承诺书》中作出承诺：</w:t>
      </w:r>
    </w:p>
    <w:p w14:paraId="3617EBA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（一）遵守并促使本公司遵守法律、行政法规、部门规章等，履行忠实义务和勤勉义务；</w:t>
      </w:r>
    </w:p>
    <w:p w14:paraId="148ABD4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（二）遵守并促使本公司遵守本指引及本所其他规定，接受本所监管；</w:t>
      </w:r>
    </w:p>
    <w:p w14:paraId="5B18328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（三）遵守并促使本公司遵守《公司章程》；</w:t>
      </w:r>
    </w:p>
    <w:p w14:paraId="73E87BE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（四）本所认为应当履行的其他职责和应当作出的其他承诺。</w:t>
      </w:r>
    </w:p>
    <w:p w14:paraId="08B0266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高级管理人员还应当承诺，及时向董事会报告公司经营或者财务等方面出现的可能对公司股票及其衍生品种交易价格产生较大影响的事项。</w:t>
      </w:r>
    </w:p>
    <w:p w14:paraId="5303BA1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3.1.6 董事、高级管理人员应当勤勉尽责地履行职责，具备正常履行职责所需的必要的知识、技能和经验，并保证有足够的时间和精力履行职责。</w:t>
      </w:r>
    </w:p>
    <w:p w14:paraId="3416C0F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3.1.7 董事、高级管理人员应当严格按照相关规定履行报告义务和信息披露义务。</w:t>
      </w:r>
    </w:p>
    <w:p w14:paraId="204B3C8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董事、高级管理人员向上市公司董事会或审计委员会报告重大事件的，应当同时通报董事会秘书。</w:t>
      </w:r>
    </w:p>
    <w:p w14:paraId="443A766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董事、高级管理人员应当积极配合本所的日常监管，在规定期限内回答本所问询并按本所要求提交书面说明和相关资料，按时参加本所的约见谈话。</w:t>
      </w:r>
    </w:p>
    <w:p w14:paraId="691E285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3.1.8 董事、高级管理人员应当严格遵守公平信息披露原则，做好上市公司未公开重大信息的保密工作，不得以任何方式泄露公司未公开重大信息，不得进行内幕交易、操纵市场或者其他欺诈活动。一旦出现泄露，应当立即通知公司并督促其公告，公司不予披露的，应当立即向本所报告。</w:t>
      </w:r>
    </w:p>
    <w:p w14:paraId="0E3C7016">
      <w:pPr>
        <w:widowControl/>
        <w:shd w:val="clear" w:fill="FFFFFF"/>
        <w:spacing w:line="560" w:lineRule="exact"/>
        <w:ind w:right="0" w:firstLine="601"/>
        <w:rPr>
          <w:rFonts w:hint="eastAsia" w:ascii="仿宋_GB2312" w:hAnsi="仿宋_GB2312" w:eastAsia="仿宋_GB2312" w:cs="Times New Roman"/>
          <w:color w:val="000000"/>
          <w:kern w:val="0"/>
          <w:sz w:val="30"/>
          <w:szCs w:val="30"/>
        </w:rPr>
      </w:pPr>
      <w:r>
        <w:rPr>
          <w:rFonts w:hint="eastAsia" w:ascii="仿宋_GB2312" w:hAnsi="仿宋_GB2312" w:eastAsia="仿宋_GB2312" w:cs="Times New Roman"/>
          <w:color w:val="000000"/>
          <w:kern w:val="0"/>
          <w:sz w:val="30"/>
          <w:szCs w:val="30"/>
        </w:rPr>
        <w:t>3.1.9 上市公司应当按照《上市公司治理准则》的有关规定，制定薪酬管理制度，明确董事、高级管理人员的薪酬与激励</w:t>
      </w:r>
      <w:r>
        <w:rPr>
          <w:rFonts w:hint="eastAsia" w:ascii="仿宋_GB2312" w:hAnsi="仿宋_GB2312" w:eastAsia="仿宋_GB2312" w:cs="Times New Roman"/>
          <w:color w:val="000000"/>
          <w:kern w:val="0"/>
          <w:sz w:val="30"/>
          <w:szCs w:val="30"/>
          <w:lang w:eastAsia="zh-CN"/>
        </w:rPr>
        <w:t>约束</w:t>
      </w:r>
      <w:r>
        <w:rPr>
          <w:rFonts w:hint="eastAsia" w:ascii="仿宋_GB2312" w:hAnsi="仿宋_GB2312" w:eastAsia="仿宋_GB2312" w:cs="Times New Roman"/>
          <w:color w:val="000000"/>
          <w:kern w:val="0"/>
          <w:sz w:val="30"/>
          <w:szCs w:val="30"/>
        </w:rPr>
        <w:t>安排。</w:t>
      </w:r>
    </w:p>
    <w:p w14:paraId="2F208A6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hint="eastAsia" w:ascii="仿宋_GB2312" w:hAnsi="仿宋_GB2312" w:eastAsia="仿宋_GB2312" w:cs="Times New Roman"/>
          <w:color w:val="000000"/>
          <w:kern w:val="0"/>
          <w:sz w:val="30"/>
          <w:szCs w:val="30"/>
        </w:rPr>
        <w:t>公司董事和高级管理人员薪酬应当与市场发展相适应，与公司经营业绩、个人业绩相匹配，与公司可持续发展相协调。</w:t>
      </w:r>
    </w:p>
    <w:p w14:paraId="60FEC442">
      <w:pPr>
        <w:pStyle w:val="3"/>
        <w:spacing w:line="560" w:lineRule="exact"/>
        <w:ind w:left="0" w:firstLine="0"/>
        <w:rPr>
          <w:rFonts w:ascii="仿宋_GB2312" w:hAnsi="仿宋_GB2312"/>
        </w:rPr>
      </w:pPr>
      <w:bookmarkStart w:id="11" w:name="__RefHeading___Toc189646141"/>
      <w:bookmarkEnd w:id="11"/>
      <w:r>
        <w:rPr>
          <w:rFonts w:ascii="仿宋_GB2312" w:hAnsi="仿宋_GB2312"/>
        </w:rPr>
        <w:t>第二节 董事和高级管理人员任职管理</w:t>
      </w:r>
    </w:p>
    <w:p w14:paraId="5D4CF56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3.2.1 上市公司的公司章程应当规定董事、高级管理人员候选人的提名方式和提名程序，并符合法律法规及本所相关规定。</w:t>
      </w:r>
    </w:p>
    <w:p w14:paraId="1CAA77F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3.2.2 董事、高级管理人员候选人存在下列情形之一的，不得被提名担任上市公司董事、高级管理人员：</w:t>
      </w:r>
    </w:p>
    <w:p w14:paraId="7AF8673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（一）根据《公司法》等法律法规及其他有关规定，不得担任董事、高级管理人员的情形；</w:t>
      </w:r>
    </w:p>
    <w:p w14:paraId="1236723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（二）被中国证监会采取不得担任上市公司董事、高级管理人员的市场禁入措施，期限尚未届满；</w:t>
      </w:r>
    </w:p>
    <w:p w14:paraId="384C37A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（三）被证券交易</w:t>
      </w:r>
      <w:r>
        <w:rPr>
          <w:rFonts w:ascii="仿宋_GB2312" w:hAnsi="仿宋_GB2312" w:eastAsia="仿宋_GB2312" w:cs="Times New Roman"/>
          <w:kern w:val="0"/>
          <w:sz w:val="30"/>
          <w:szCs w:val="30"/>
        </w:rPr>
        <w:t>场</w:t>
      </w:r>
      <w:r>
        <w:rPr>
          <w:rFonts w:ascii="仿宋_GB2312" w:hAnsi="仿宋_GB2312" w:eastAsia="仿宋_GB2312" w:cs="Times New Roman"/>
          <w:color w:val="000000"/>
          <w:kern w:val="0"/>
          <w:sz w:val="30"/>
          <w:szCs w:val="30"/>
        </w:rPr>
        <w:t>所公开认定为不适合担任上市公司董事、高级管理人员等，期限尚未届满；</w:t>
      </w:r>
    </w:p>
    <w:p w14:paraId="1F4B180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（四）法律法规、本所规定的其他情形。</w:t>
      </w:r>
    </w:p>
    <w:p w14:paraId="5B232AC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董事、高级管理人员候选人存在下列情形之一的，公司应当披露该候选人具体情形、拟聘请该候选人的原因以及是否影响公司规范运作：</w:t>
      </w:r>
    </w:p>
    <w:p w14:paraId="27D1506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（一）最近36个月内受到中国证监会行政处罚；</w:t>
      </w:r>
    </w:p>
    <w:p w14:paraId="54555B8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（二）最近36个月内受到证券交易所公开谴责或者3次以上通报批评；</w:t>
      </w:r>
    </w:p>
    <w:p w14:paraId="65C0B33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（三）因涉嫌犯罪被司法机关立案侦查或者涉嫌违法违规被中国证监会立案调查，尚未有明确结论意见；</w:t>
      </w:r>
    </w:p>
    <w:p w14:paraId="269C5DD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（四）存在重大失信等不良记录。</w:t>
      </w:r>
    </w:p>
    <w:p w14:paraId="0BED63F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上述期间，应当以公司董事会、股东会等有权机构审议董事、高级管理人员候选人聘任议案的日期为截止日。</w:t>
      </w:r>
    </w:p>
    <w:p w14:paraId="5A22051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3.2.3 上市公司董事会中兼任公司高级管理人员以及由职工代表担任的董事人数总计不得超过公司董事总数的二分之一。</w:t>
      </w:r>
    </w:p>
    <w:p w14:paraId="717D433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3.2.4 上市公司应当披露董事、高级管理人员候选人的简要情况，主要包括：</w:t>
      </w:r>
    </w:p>
    <w:p w14:paraId="7B66400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（一）教育背景、工作经历、兼职等个人情况；</w:t>
      </w:r>
    </w:p>
    <w:p w14:paraId="43D5109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（二）与公司的董事、高级管理人员、实际控制人及持股5%以上的股东是否存在关联关系；</w:t>
      </w:r>
    </w:p>
    <w:p w14:paraId="4656D9A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（三）是否存在本指引第3.2.2条所列情形；</w:t>
      </w:r>
    </w:p>
    <w:p w14:paraId="6511AE1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（四）持有本公司股票的情况；</w:t>
      </w:r>
    </w:p>
    <w:p w14:paraId="57CB89D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（五）本所要求披露的其他重要事项。</w:t>
      </w:r>
    </w:p>
    <w:p w14:paraId="606E164C">
      <w:pPr>
        <w:widowControl/>
        <w:shd w:val="clear" w:fill="FFFFFF"/>
        <w:spacing w:line="560" w:lineRule="exact"/>
        <w:ind w:right="0" w:firstLine="601"/>
        <w:rPr>
          <w:rFonts w:ascii="仿宋_GB2312" w:hAnsi="仿宋_GB2312" w:eastAsia="仿宋_GB2312" w:cs="Times New Roman"/>
          <w:color w:val="000000"/>
          <w:kern w:val="0"/>
          <w:sz w:val="30"/>
          <w:szCs w:val="30"/>
        </w:rPr>
      </w:pPr>
      <w:bookmarkStart w:id="12" w:name="OLE_LINK12"/>
      <w:bookmarkEnd w:id="12"/>
      <w:bookmarkStart w:id="13" w:name="OLE_LINK13"/>
      <w:bookmarkEnd w:id="13"/>
      <w:r>
        <w:rPr>
          <w:rFonts w:ascii="仿宋_GB2312" w:hAnsi="仿宋_GB2312" w:eastAsia="仿宋_GB2312" w:cs="Times New Roman"/>
          <w:color w:val="000000"/>
          <w:kern w:val="0"/>
          <w:sz w:val="30"/>
          <w:szCs w:val="30"/>
        </w:rPr>
        <w:t>3.2.5 董事、高级管理人员候选人在股东会、董事会或者职工代表大会等有权机构审议其受聘议案时，应当亲自出席会议，就其履职能力、专业能力、从业经历、违法违规情况、与上市公司是否存在利益冲突，与公司控股股东、实际控制人以及其他董事、高级管理人员的关系等情况进行说明。</w:t>
      </w:r>
    </w:p>
    <w:p w14:paraId="624953E1">
      <w:pPr>
        <w:widowControl/>
        <w:shd w:val="clear" w:fill="FFFFFF"/>
        <w:spacing w:line="560" w:lineRule="exact"/>
        <w:ind w:right="0" w:firstLine="601"/>
        <w:rPr>
          <w:rFonts w:ascii="仿宋_GB2312" w:hAnsi="仿宋_GB2312" w:eastAsia="仿宋_GB2312" w:cs="Times New Roman"/>
          <w:color w:val="000000"/>
          <w:kern w:val="0"/>
          <w:sz w:val="30"/>
          <w:szCs w:val="30"/>
        </w:rPr>
      </w:pPr>
      <w:bookmarkStart w:id="14" w:name="OLE_LINK12"/>
      <w:bookmarkEnd w:id="14"/>
      <w:bookmarkStart w:id="15" w:name="OLE_LINK13"/>
      <w:bookmarkEnd w:id="15"/>
      <w:r>
        <w:rPr>
          <w:rFonts w:ascii="仿宋_GB2312" w:hAnsi="仿宋_GB2312" w:eastAsia="仿宋_GB2312" w:cs="Times New Roman"/>
          <w:color w:val="000000"/>
          <w:kern w:val="0"/>
          <w:sz w:val="30"/>
          <w:szCs w:val="30"/>
        </w:rPr>
        <w:t>3.2.6 上市公司应当根据有关法律法规的规定，建立健全董事、高级管理人员离职管理制度，安排工作交接或者依规进行离任审计，规范内部审批流程及权限，明确工作交接与人财物交割具体事项，建立离职人员追责追偿机制，对于未履行完毕的公开承诺以及其他未尽事宜，应当在离职审批和追责追偿机制中明确针对性措施。</w:t>
      </w:r>
    </w:p>
    <w:p w14:paraId="059DA5A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3.2.7 上市公司披露董事、高级管理人员离任公告的，应当在公告中说明离任时间、离任的具体原因、离任的职务、离任后是否继续在上市公司及其控股子公司任职（如继续任职，说明继续任职的情况）、是否存在未履行完毕的公开承诺（如存在，说明相关保障措施）、离任事项对上市公司影响等情况。</w:t>
      </w:r>
    </w:p>
    <w:p w14:paraId="245BC2B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董事、高级管理人员应当按照公司离职管理制度妥善做好工作交接或者依规接受离任审计，明确保障承诺履行、配合未尽事宜的后续安排。</w:t>
      </w:r>
    </w:p>
    <w:p w14:paraId="6511B9E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3.2.8 董事、高级管理人员在任职期间出现本指引第3.2.2条第一款</w:t>
      </w:r>
      <w:r>
        <w:rPr>
          <w:rFonts w:hint="eastAsia" w:ascii="仿宋_GB2312" w:hAnsi="仿宋_GB2312" w:eastAsia="仿宋_GB2312" w:cs="Times New Roman"/>
          <w:color w:val="000000"/>
          <w:kern w:val="0"/>
          <w:sz w:val="30"/>
          <w:szCs w:val="30"/>
          <w:lang w:eastAsia="zh-CN"/>
        </w:rPr>
        <w:t>所列</w:t>
      </w:r>
      <w:r>
        <w:rPr>
          <w:rFonts w:ascii="仿宋_GB2312" w:hAnsi="仿宋_GB2312" w:eastAsia="仿宋_GB2312" w:cs="Times New Roman"/>
          <w:color w:val="000000"/>
          <w:kern w:val="0"/>
          <w:sz w:val="30"/>
          <w:szCs w:val="30"/>
        </w:rPr>
        <w:t>情形的，相关董事、高级管理人员应当立即停止履职</w:t>
      </w:r>
      <w:r>
        <w:rPr>
          <w:rFonts w:hint="eastAsia" w:ascii="仿宋_GB2312" w:hAnsi="仿宋_GB2312" w:eastAsia="仿宋_GB2312" w:cs="Times New Roman"/>
          <w:color w:val="000000"/>
          <w:kern w:val="0"/>
          <w:sz w:val="30"/>
          <w:szCs w:val="30"/>
          <w:lang w:eastAsia="zh-CN"/>
        </w:rPr>
        <w:t>，</w:t>
      </w:r>
      <w:r>
        <w:rPr>
          <w:rFonts w:hint="eastAsia" w:ascii="仿宋_GB2312" w:hAnsi="仿宋_GB2312" w:eastAsia="仿宋_GB2312" w:cs="Times New Roman"/>
          <w:color w:val="000000"/>
          <w:kern w:val="0"/>
          <w:sz w:val="30"/>
          <w:szCs w:val="30"/>
        </w:rPr>
        <w:t>董事会知悉或者应当知悉该事实发生后应当立即按规定解除其职务</w:t>
      </w:r>
      <w:r>
        <w:rPr>
          <w:rFonts w:ascii="仿宋_GB2312" w:hAnsi="仿宋_GB2312" w:eastAsia="仿宋_GB2312" w:cs="Times New Roman"/>
          <w:color w:val="000000"/>
          <w:kern w:val="0"/>
          <w:sz w:val="30"/>
          <w:szCs w:val="30"/>
        </w:rPr>
        <w:t>。</w:t>
      </w:r>
    </w:p>
    <w:p w14:paraId="672205F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相关董事应当停止履职但未停止履职或者应当被解除职务但仍未解除，参加董事会会议及其专门委员会会议、独立董事专门会议并投票的，其投票无效且不计入出席人数。</w:t>
      </w:r>
    </w:p>
    <w:p w14:paraId="1EAC664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hint="eastAsia" w:ascii="仿宋_GB2312" w:hAnsi="仿宋_GB2312" w:eastAsia="仿宋_GB2312" w:cs="Times New Roman"/>
          <w:color w:val="000000"/>
          <w:kern w:val="0"/>
          <w:sz w:val="30"/>
          <w:szCs w:val="30"/>
        </w:rPr>
        <w:t>董事会提名委员会应当对董事、高管的任职资格进行评估，发现不符合任职资格的，及时向董事会提出解任的建议。</w:t>
      </w:r>
    </w:p>
    <w:p w14:paraId="7DB2D09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3.2.9 董事、高级管理人员辞任应当提交书面辞职报告。董事辞任的，自公司收到通知之日辞任生效。高级管理人员辞任的，自董事会收到辞职报告时生效。</w:t>
      </w:r>
    </w:p>
    <w:p w14:paraId="5AAB62B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除本指引另有规定外，出现下列规定情形的，在改选出的董事就任前，原董事仍应当按照法律法规、本所相关规定及公司章程规定继续履行职责：</w:t>
      </w:r>
    </w:p>
    <w:p w14:paraId="4F41AE5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（一）董事任期届满未及时改选，或者董事在任期内辞任导致董事会成员低于法定最低人数；</w:t>
      </w:r>
    </w:p>
    <w:p w14:paraId="158A739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（二）审计委员会成员辞任导致审计委员会成员低于法定最低人数，或者欠缺担任召集人的会计专业人士；</w:t>
      </w:r>
    </w:p>
    <w:p w14:paraId="6A800E0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（三）独立董事辞任导致董事会或其专门委员会中独立董事所占比例不符合法律法规或公司章程规定，或者独立董事中欠缺会计专业人士。</w:t>
      </w:r>
    </w:p>
    <w:p w14:paraId="4BE86F2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董事提出辞任的，上市公司应当在60日内完成补选，确保董事会及其专门委员会构成符合法律法规和公司章程的规定。</w:t>
      </w:r>
    </w:p>
    <w:p w14:paraId="59B6848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3.2.10 董事、高级管理人员离职后应当基于诚信原则完成涉及上市公司的未尽事宜，保守公司秘密，履行与公司约定的不竞争义务。</w:t>
      </w:r>
    </w:p>
    <w:p w14:paraId="6028B8BE">
      <w:pPr>
        <w:pStyle w:val="3"/>
        <w:spacing w:line="560" w:lineRule="exact"/>
        <w:ind w:left="0" w:firstLine="0"/>
        <w:rPr>
          <w:rFonts w:ascii="仿宋_GB2312" w:hAnsi="仿宋_GB2312"/>
        </w:rPr>
      </w:pPr>
      <w:bookmarkStart w:id="16" w:name="__RefHeading___Toc189646142"/>
      <w:bookmarkEnd w:id="16"/>
      <w:r>
        <w:rPr>
          <w:rFonts w:ascii="仿宋_GB2312" w:hAnsi="仿宋_GB2312"/>
        </w:rPr>
        <w:t>第三节 董事和高级管理人员行为规范</w:t>
      </w:r>
    </w:p>
    <w:p w14:paraId="5FD2DEB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3.3.1 董事审议提交董事会决策的事项时，应当</w:t>
      </w:r>
      <w:r>
        <w:rPr>
          <w:rFonts w:hint="eastAsia" w:ascii="仿宋_GB2312" w:hAnsi="仿宋_GB2312" w:eastAsia="仿宋_GB2312" w:cs="Times New Roman"/>
          <w:color w:val="000000"/>
          <w:kern w:val="0"/>
          <w:sz w:val="30"/>
          <w:szCs w:val="30"/>
        </w:rPr>
        <w:t>充分收集信息，</w:t>
      </w:r>
      <w:r>
        <w:rPr>
          <w:rFonts w:ascii="仿宋_GB2312" w:hAnsi="仿宋_GB2312" w:eastAsia="仿宋_GB2312" w:cs="Times New Roman"/>
          <w:color w:val="000000"/>
          <w:kern w:val="0"/>
          <w:sz w:val="30"/>
          <w:szCs w:val="30"/>
        </w:rPr>
        <w:t>主动要求相关工作人员提供详备资料、作出详细说明。董事应当在调查、获取作出决策所需文件和资料的基础上，充分考虑所审议事项的合法合规性、</w:t>
      </w:r>
      <w:r>
        <w:rPr>
          <w:rFonts w:hint="eastAsia" w:ascii="仿宋_GB2312" w:hAnsi="仿宋_GB2312" w:eastAsia="仿宋_GB2312" w:cs="Times New Roman"/>
          <w:color w:val="000000"/>
          <w:kern w:val="0"/>
          <w:sz w:val="30"/>
          <w:szCs w:val="30"/>
        </w:rPr>
        <w:t>是否涉及自身利益、是否属于董事会职权范围、</w:t>
      </w:r>
      <w:r>
        <w:rPr>
          <w:rFonts w:ascii="仿宋_GB2312" w:hAnsi="仿宋_GB2312" w:eastAsia="仿宋_GB2312" w:cs="Times New Roman"/>
          <w:color w:val="000000"/>
          <w:kern w:val="0"/>
          <w:sz w:val="30"/>
          <w:szCs w:val="30"/>
        </w:rPr>
        <w:t>对上市公司的影响（包括潜在影响）以及存在的风险</w:t>
      </w:r>
      <w:r>
        <w:rPr>
          <w:rFonts w:hint="eastAsia" w:ascii="仿宋_GB2312" w:hAnsi="仿宋_GB2312" w:eastAsia="仿宋_GB2312" w:cs="Times New Roman"/>
          <w:color w:val="000000"/>
          <w:kern w:val="0"/>
          <w:sz w:val="30"/>
          <w:szCs w:val="30"/>
          <w:lang w:eastAsia="zh-CN"/>
        </w:rPr>
        <w:t>、</w:t>
      </w:r>
      <w:r>
        <w:rPr>
          <w:rFonts w:hint="eastAsia" w:ascii="仿宋_GB2312" w:hAnsi="仿宋_GB2312" w:eastAsia="仿宋_GB2312" w:cs="Times New Roman"/>
          <w:color w:val="000000"/>
          <w:kern w:val="0"/>
          <w:sz w:val="30"/>
          <w:szCs w:val="30"/>
        </w:rPr>
        <w:t>材料是否充足、表决程序是否合法等</w:t>
      </w:r>
      <w:r>
        <w:rPr>
          <w:rFonts w:hint="eastAsia" w:ascii="仿宋_GB2312" w:hAnsi="仿宋_GB2312" w:eastAsia="仿宋_GB2312" w:cs="Times New Roman"/>
          <w:color w:val="000000"/>
          <w:kern w:val="0"/>
          <w:sz w:val="30"/>
          <w:szCs w:val="30"/>
          <w:lang w:eastAsia="zh-CN"/>
        </w:rPr>
        <w:t>，</w:t>
      </w:r>
      <w:r>
        <w:rPr>
          <w:rFonts w:ascii="仿宋_GB2312" w:hAnsi="仿宋_GB2312" w:eastAsia="仿宋_GB2312" w:cs="Times New Roman"/>
          <w:color w:val="000000"/>
          <w:kern w:val="0"/>
          <w:sz w:val="30"/>
          <w:szCs w:val="30"/>
        </w:rPr>
        <w:t>以正常合理的谨慎态度勤勉履行职责并对所议事项表示明确的个人意见。对所议事项有疑问的，应当主动调查或者要求董事会提供决策所需的更充足的资料或者信息。</w:t>
      </w:r>
    </w:p>
    <w:p w14:paraId="29A19AE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董事应当就待决策的事项发表明确的讨论意见并记录在册后，再行投票表决。董事会的会议记录和表决票应当妥善保管。</w:t>
      </w:r>
    </w:p>
    <w:p w14:paraId="330C0F7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董事认为相关决策事项不符合法律法规的，应当在董事会会议上提出。董事会坚持作出通过该等事项的决议的，异议董事应当及时向本所以及相关监管机构报告。</w:t>
      </w:r>
    </w:p>
    <w:p w14:paraId="5673BF8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3.3.2 董事应当亲自出席董事会会议，因故不能亲自出席董事会会议的，应当审慎选择并以书面形式委托其他董事代为出席，</w:t>
      </w:r>
      <w:r>
        <w:rPr>
          <w:rFonts w:hint="eastAsia" w:ascii="仿宋_GB2312" w:hAnsi="仿宋_GB2312" w:eastAsia="仿宋_GB2312" w:cs="Times New Roman"/>
          <w:color w:val="000000"/>
          <w:kern w:val="0"/>
          <w:sz w:val="30"/>
          <w:szCs w:val="30"/>
        </w:rPr>
        <w:t>委托人应当独立承担法律责任。</w:t>
      </w:r>
      <w:r>
        <w:rPr>
          <w:rFonts w:ascii="仿宋_GB2312" w:hAnsi="仿宋_GB2312" w:eastAsia="仿宋_GB2312" w:cs="Times New Roman"/>
          <w:color w:val="000000"/>
          <w:kern w:val="0"/>
          <w:sz w:val="30"/>
          <w:szCs w:val="30"/>
        </w:rPr>
        <w:t>一名董事不得在一次董事会会议上接受超过两名董事的委托代为出席会议，独立董事不得委托非独立董事代为出席会议。涉及表决事项的，委托人应当在委托书中明确对每一事项发表同意、反对或者弃权的意见。董事不得作出或者接受无表决意向的委托、全权委托或者授权范围不明确的委托。</w:t>
      </w:r>
    </w:p>
    <w:p w14:paraId="4218D90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在审议关联交易事项时，关联董事应当回避表决，其表决权不计入表决权总数，非关联董事不得委托关联董事代为出席会议。</w:t>
      </w:r>
    </w:p>
    <w:p w14:paraId="25AB5CE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3.3.3 董事连续两次未亲自出席董事会会议，或者任职期内连续12个月未亲自出席会议次数超过期间董事会会议总次数的二分之一的，董事应当作出书面说明并对外披露。</w:t>
      </w:r>
    </w:p>
    <w:p w14:paraId="179C087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亲自出席，包括本人现场出席或者以通讯方式出席。</w:t>
      </w:r>
    </w:p>
    <w:p w14:paraId="49EA9BE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3.3.4 董事会审议授权事项时，董事应当对授权的范围、合法合规性、合理性和风险进行审慎判断，充分关注是否超出公司章程、股东会议事规则和董事会议事规则等规定的授权范围，授权事项是否存在重大风险。</w:t>
      </w:r>
    </w:p>
    <w:p w14:paraId="1948DEE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董事应当对授权事项的执行情况进行持续监督。</w:t>
      </w:r>
    </w:p>
    <w:p w14:paraId="3006030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3.3.5 董事会审议定期报告时，董事应当认真阅读定期报告全文，重点关注其内容是否真实、准确、完整，是否存在重大编制错误或者遗漏，主要财务会计数据是否存在异常情形，是否全面分析了公司的财务状况与经营成果，是否充分披露了可能对公司产生影响的重大事项和不确定性因素等。</w:t>
      </w:r>
    </w:p>
    <w:p w14:paraId="1A8E830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应当依法对定期报告签署书面确认意见，说明董事会的编制和审议程序是否符合法律法规、本所相关规定，报告的内容是否能够真实、准确、完整地反映上市公司的实际情况。不得委托他人签署，也不得以对定期报告内容有异议、与审计机构存在意见分歧等为理由拒绝签署。</w:t>
      </w:r>
    </w:p>
    <w:p w14:paraId="0206993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董事无法保证定期报告内容的真实、准确、完整或者对定期报告内容存在异议的，应当在书面确认意见中发表意见并说明具体原因，公司董事会应当对所涉及事项及其对公司的影响作出说明并公告。</w:t>
      </w:r>
    </w:p>
    <w:p w14:paraId="60CA8A7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3.3.6 董事应当严格执行并督促高级管理人员执行股东会决议、董事会决议等相关决议。</w:t>
      </w:r>
    </w:p>
    <w:p w14:paraId="7AFF032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在执行过程中发现下列情形之一时，董事应当及时向上市公司董事会报告，提请董事会采取应对措施：</w:t>
      </w:r>
    </w:p>
    <w:p w14:paraId="5C87BC1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（一）实施环境、实施条件等出现重大变化，导致相关决议无法实施或者继续实施可能导致公司利益受损；</w:t>
      </w:r>
    </w:p>
    <w:p w14:paraId="635EB61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（二）实际执行情况与相关决议内容不一致，或者执行过程中发现重大风险；</w:t>
      </w:r>
    </w:p>
    <w:p w14:paraId="4875F2D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（三）实际执行进度与相关决议存在重大差异，继续实施难以实现预期目标。</w:t>
      </w:r>
    </w:p>
    <w:p w14:paraId="48F7156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3.3.7 高级管理人员应当严格执行股东会决议、董事会决议等相关决议，不得擅自变更、拒绝或者消极执行相关决议。</w:t>
      </w:r>
    </w:p>
    <w:p w14:paraId="43F8911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高级管理人员在执行相关决议过程中发现无法实施、继续执行可能有损上市公司利益，或者执行中发生重大风险等情形的，应当及时向总经理或者董事会报告，提请总经理或者董事会采取应对措施，并提请董事会按照相关规定履行信息披露义务。</w:t>
      </w:r>
    </w:p>
    <w:p w14:paraId="4A229E5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3.3.8 财务负责人对财务报告编制、会计政策处理、财务信息披露等财务相关事项负有直接责任。</w:t>
      </w:r>
    </w:p>
    <w:p w14:paraId="65E3427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财务负责人应当加强对公司财务流程的控制，定期检查公司货币资金、资产受限情况，监控公司与控股股东、实际控制人等关联人之间的交易和资金往来情况。财务负责人应当监控公司资金进出与余额变动情况，在资金余额发生异常变动时积极采取措施，并及时向董事会报告。</w:t>
      </w:r>
    </w:p>
    <w:p w14:paraId="3EADC7E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财务负责人应当保证公司的财务独立，不受控股股东、实际控制人影响，若收到控股股东、实际控制人及其他关联人占用、转移资金、资产或者其他资源等侵占公司利益的指令，应当明确予以拒绝，并及时向董事会报告。</w:t>
      </w:r>
    </w:p>
    <w:p w14:paraId="3ADFD81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3.3.9 董事、高级管理人员发现上市公司或者公司董事、高级管理人员、股东、实际控制人等存在涉嫌违反法律法规或其他损害公司利益的行为时，应当要求相关方立即纠正或者停止，并及时向董事会或其审计委员会报告、提请核查，必要时应当向本所报告。</w:t>
      </w:r>
    </w:p>
    <w:p w14:paraId="202D52F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高级管理人员获悉公司控股股东、实际控制人及其关联人发生本所《股票上市规则》第4.5.3条相关情形时，应当及时向公司董事会或其审计委员会报告，并督促公司按照有关规定履行信息披露义务。公司未及时履行信息披露义务，或者披露内容与实际情况不符的，相关董事、高级管理人员应当立即向本所报告。</w:t>
      </w:r>
    </w:p>
    <w:p w14:paraId="12DEEE0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3.3.10 董事、高级管理人员应当在其职责范围内尽到合理注意义务，不得单纯以对公司业务不熟悉或者对相关事项不了解为由主张免除责任。</w:t>
      </w:r>
    </w:p>
    <w:p w14:paraId="60681D3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高级管理人员采取有效措施消除违规行为不良影响，或者在违规行为被发现前，积极主动采取或要求公司采取纠正措施，并向本所或者相关监管机构报告，或者在违规行为所涉期间，由于不可抗力、失去人身自由等原因无法正常履行职责的，本所将在责任认定上作为情节考虑。</w:t>
      </w:r>
    </w:p>
    <w:p w14:paraId="50835DFB">
      <w:pPr>
        <w:pStyle w:val="3"/>
        <w:spacing w:line="560" w:lineRule="exact"/>
        <w:ind w:left="0" w:firstLine="0"/>
        <w:rPr>
          <w:rFonts w:ascii="仿宋_GB2312" w:hAnsi="仿宋_GB2312"/>
        </w:rPr>
      </w:pPr>
      <w:bookmarkStart w:id="17" w:name="__RefHeading___Toc189646143"/>
      <w:bookmarkEnd w:id="17"/>
      <w:r>
        <w:rPr>
          <w:rFonts w:ascii="仿宋_GB2312" w:hAnsi="仿宋_GB2312"/>
        </w:rPr>
        <w:t>第四节 董事长行为规范</w:t>
      </w:r>
    </w:p>
    <w:p w14:paraId="33B2D84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3.4.1 董事长应当积极推动上市公司内部各项制度的制订和完善，加强董事会建设，确保董事会工作依法正常开展，依法召集、主持董事会会议并督促董事亲自出席董事会会议。</w:t>
      </w:r>
    </w:p>
    <w:p w14:paraId="5CD7DFE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3.4.2 董事长应当严格遵守董事会集体决策机制，不得以个人意见代替董事会决策，不得影响其他董事独立决策。</w:t>
      </w:r>
    </w:p>
    <w:p w14:paraId="509DF08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3.4.3 董事长应当遵守董事会会议规则，保证上市公司董事会会议的正常召开，及时将应当由董事会审议的事项提交董事会审议，不得以任何形式限制或者阻碍其他董事独立行使其职权。</w:t>
      </w:r>
    </w:p>
    <w:p w14:paraId="7E103D7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董事长应当积极督促落实董事会已决策的事项，并将公司重大事项及时告知全体董事。</w:t>
      </w:r>
    </w:p>
    <w:p w14:paraId="69B570B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3.4.4 董事会授权董事长行使董事会部分职权的，上市公司应当在公司章程中明确规定授权的原则和具体内容。公司不得将法律规定由董事会行使的职权授予董事长等个人行使。</w:t>
      </w:r>
    </w:p>
    <w:p w14:paraId="457BF40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3.4.5 董事长不得从事超越其职权范围的行为。董事长在其职权范围（包括授权）内行使权力时，对上市公司经营可能产生重大影响的事项应当审慎决策，必要时应当提交董事会集体决策。对于授权事项的执行情况，董事长应当及时告知其他董事。</w:t>
      </w:r>
    </w:p>
    <w:p w14:paraId="5F1B5D9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3.4.6 董事长应当保障董事会秘书的知情权，为其履职创造良好的工作条件，不得以任何形式阻挠其依法行使职权。</w:t>
      </w:r>
    </w:p>
    <w:p w14:paraId="55497D0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董事长在接到有关上市公司重大事项的报告后，应当要求董事会秘书及时履行信息披露义务。</w:t>
      </w:r>
    </w:p>
    <w:p w14:paraId="19FB4AF7">
      <w:pPr>
        <w:pStyle w:val="3"/>
        <w:spacing w:line="560" w:lineRule="exact"/>
        <w:ind w:left="0" w:firstLine="0"/>
        <w:rPr>
          <w:rFonts w:ascii="仿宋_GB2312" w:hAnsi="仿宋_GB2312"/>
        </w:rPr>
      </w:pPr>
      <w:bookmarkStart w:id="18" w:name="__RefHeading___Toc189646144"/>
      <w:bookmarkEnd w:id="18"/>
      <w:r>
        <w:rPr>
          <w:rFonts w:ascii="仿宋_GB2312" w:hAnsi="仿宋_GB2312"/>
        </w:rPr>
        <w:t>第五节 独立董事任职管理及行为规范</w:t>
      </w:r>
    </w:p>
    <w:p w14:paraId="784E256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3.5.1 独立董事除应当遵守本指引关于董事的一般规定外，还应当遵守本节关于独立董事的特别规定。</w:t>
      </w:r>
    </w:p>
    <w:p w14:paraId="4482C83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3.5.2 独立董事候选人应当符合下列法律法规的要求：</w:t>
      </w:r>
    </w:p>
    <w:p w14:paraId="028341B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（一）《公司法》等关于董事任职资格的规定；</w:t>
      </w:r>
    </w:p>
    <w:p w14:paraId="5B0EB97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（二）《中华人民共和国公务员法》关于公务员兼任职务的规定（如适用）；</w:t>
      </w:r>
    </w:p>
    <w:p w14:paraId="7350456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（三）中国证监会《上市公司独立董事管理办法》的相关规定；</w:t>
      </w:r>
    </w:p>
    <w:p w14:paraId="5FB8E24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（四）中共中央纪委、中共中央组织部《关于规范中管干部辞去公职或者退（离）休后担任上市公司、基金管理公司独立董事、独立监事的通知》的规定（如适用）；</w:t>
      </w:r>
    </w:p>
    <w:p w14:paraId="74B7CA1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（五）中共中央组织部《关于进一步规范党政领导干部在企业兼职（任职）问题的意见》的规定（如适用）；</w:t>
      </w:r>
    </w:p>
    <w:p w14:paraId="78F7240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（六）中共中央纪委、教育部、监察部《关于加强高等学校反腐倡廉建设的意见》的规定（如适用）；</w:t>
      </w:r>
    </w:p>
    <w:p w14:paraId="6CAFAFB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（七）中国人民银行《股份制商业银行独立董事和外部监事制度指引》等的相关规定（如适用）；</w:t>
      </w:r>
    </w:p>
    <w:p w14:paraId="1D0BD76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（八）中国证监会《证券基金经营机构董事、监事、高级管理人员及从业人员监督管理办法》等的相关规定（如适用）；</w:t>
      </w:r>
    </w:p>
    <w:p w14:paraId="01A61D2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（九）《银行业金融机构董事（理事）和高级管理人员任职资格管理办法》《保险公司董事、监事和高级管理人员任职资格管理规定》《保险机构独立董事管理办法》等的相关规定（如适用）；</w:t>
      </w:r>
    </w:p>
    <w:p w14:paraId="7B08FAF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（十）其他法律法规、部门规章、本所及公司章程规定的情形。</w:t>
      </w:r>
    </w:p>
    <w:p w14:paraId="5265330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3.5.3 独立董事候选人应当具备上市公司运作的基本知识，熟悉法律法规及本所相关规定，具有五年以上</w:t>
      </w:r>
      <w:r>
        <w:rPr>
          <w:rFonts w:ascii="仿宋_GB2312" w:hAnsi="仿宋_GB2312" w:eastAsia="仿宋_GB2312"/>
          <w:sz w:val="30"/>
          <w:szCs w:val="30"/>
        </w:rPr>
        <w:t>法律、经济、会计、财务、管理</w:t>
      </w:r>
      <w:r>
        <w:rPr>
          <w:rFonts w:ascii="仿宋_GB2312" w:hAnsi="仿宋_GB2312" w:eastAsia="仿宋_GB2312" w:cs="Times New Roman"/>
          <w:color w:val="000000"/>
          <w:kern w:val="0"/>
          <w:sz w:val="30"/>
          <w:szCs w:val="30"/>
        </w:rPr>
        <w:t>等工作经验。</w:t>
      </w:r>
    </w:p>
    <w:p w14:paraId="43EA230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3.5.4 独立董事候选人应当具备独立性，不属于下列情形：</w:t>
      </w:r>
    </w:p>
    <w:p w14:paraId="08AE879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（一）在上市公司或者其附属企业任职的人员及其配偶、父母、子女、主要社会关系；</w:t>
      </w:r>
    </w:p>
    <w:p w14:paraId="392B7A4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（二）直接或者间接持有上市公司已发行股份1%以上或者是上市公司前10名股东中的自然人股东及其配偶、父母、子女；</w:t>
      </w:r>
    </w:p>
    <w:p w14:paraId="2DF854B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（三）在直接或者间接持有上市公司已发行股份5%以上的股东或者在上市公司前5名股东任职的人员及其配偶、父母、子女；</w:t>
      </w:r>
    </w:p>
    <w:p w14:paraId="7288EA1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（四）在上市公司控股股东、实际控制人的附属企业任职的人员及其配偶、父母、子女；</w:t>
      </w:r>
    </w:p>
    <w:p w14:paraId="608C075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（五）与上市公司及其控股股东、实际控制人或者其各自的附属企业有重大业务往来的人员，或者在有重大业务往来的单位及其控股股东、实际控制人任职的人员；</w:t>
      </w:r>
    </w:p>
    <w:p w14:paraId="6CA8EF9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2986FC9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（七）最近12个月内曾经具有前六项所列举情形之一的人员；</w:t>
      </w:r>
    </w:p>
    <w:p w14:paraId="5569994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（八）本所认定不具备独立性的其他人员。</w:t>
      </w:r>
    </w:p>
    <w:p w14:paraId="66022E7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前款规定的“主要社会关系”系指兄弟姐妹、兄弟姐妹的配偶、配偶的父母、配偶的兄弟姐妹、子女的配偶、子女配偶的父母等；“重大业务往来”系指根据《股票上市规则》或者公司章程规定需提交股东会审议的事项，或者本所认定的其他重大事项；“任职”系指担任董事、监事、高级管理人员以及其他工作人员。第（四）项至第（六）项中的上市公司控股股东、实际控制人的附属企业，不包括根据《股票上市规则》第6.3.4条规定，与上市公司不构成关联关系的附属企业。</w:t>
      </w:r>
    </w:p>
    <w:p w14:paraId="694E76A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独立董事应当每年对独立性情况进行自查，并将自查情况提交董事会。董事会应当每年对在任独立董事独立性情况进行评估并出具专项意见，与年度报告同时披露。</w:t>
      </w:r>
    </w:p>
    <w:p w14:paraId="1FCA57A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3.5.5 独立董事候选人应当具有良好的个人品德，不得存在本章3.2.2条规定的不得被提名为上市公司董事的情形，并不得存在下列不良记录：</w:t>
      </w:r>
    </w:p>
    <w:p w14:paraId="5B7E6B2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（一）最近36个月内因证券期货违法犯罪，受到中国证监会行政处罚或者司法机关刑事处罚的；</w:t>
      </w:r>
    </w:p>
    <w:p w14:paraId="5A84CCB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（二）因涉嫌证券期货违法犯罪，被中国证监会立案调查或者被司法机关立案侦查，尚未有明确结论意见的；</w:t>
      </w:r>
    </w:p>
    <w:p w14:paraId="77D15E5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（三）最近36个月内受到证券交易所公开谴责或3次以上通报批评的；</w:t>
      </w:r>
    </w:p>
    <w:p w14:paraId="07EEBD9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（四）存在重大失信等不良记录；</w:t>
      </w:r>
    </w:p>
    <w:p w14:paraId="52080AE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（五）在过往任职独立董事期间因连续两次未能亲自出席也不委托其他独立董事代为出席董事会会议被董事会提议召开股东会予以解除职务，未满12个月的；</w:t>
      </w:r>
    </w:p>
    <w:p w14:paraId="7E75955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（六）本所认定的其他情形。</w:t>
      </w:r>
    </w:p>
    <w:p w14:paraId="7B64BEA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3.5.6 独立董事应当确保有足够的时间和精力有效地履行独立董事的职责。已在3家境内上市公司担任独立董事的，原则上不得再被提名为其他上市公司独立董事候选人。</w:t>
      </w:r>
    </w:p>
    <w:p w14:paraId="54C2100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在同一上市公司连续任职独立董事已满6年的，自该事实发生之日起36个月内不得被提名为该上市公司独立董事候选人。首次公开发行上市前已任职的独立董事，其任职时间连续计算。</w:t>
      </w:r>
    </w:p>
    <w:p w14:paraId="7E17737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3.5.7 以会计专业人士身份被提名为独立董事候选人的，应当具备较丰富的会计专业知识和经验，并至少符合下列条件之一：</w:t>
      </w:r>
    </w:p>
    <w:p w14:paraId="2BDC648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（一）具有注册会计师资格；</w:t>
      </w:r>
    </w:p>
    <w:p w14:paraId="069B8CF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（二）具有会计、审计或者财务管理专业的高级职称、副教授及以上职称或者博士学位；</w:t>
      </w:r>
    </w:p>
    <w:p w14:paraId="67B3212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（三）具有经济管理方面高级职称，且在会计、审计或者财务管理等专业岗位有5年以上全职工作经验。</w:t>
      </w:r>
    </w:p>
    <w:p w14:paraId="1EB1663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3.5.8 上市公司董事会、单独或者合计持有上市公司已发行股份1%以上（含表决权恢复的优先股等）的股东可以提出独立董事候选人，并经股东会选举决定。</w:t>
      </w:r>
    </w:p>
    <w:p w14:paraId="70CAAE1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依法设立的投资者保护机构可以公开请求股东委托其代为行使提名独立董事的权利。</w:t>
      </w:r>
    </w:p>
    <w:p w14:paraId="625392B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本条第一款规定的提名人不得提名与其存在利害关系的人员或者有其他可能影响独立履职情形的关系密切人员作为独立董事候选人。</w:t>
      </w:r>
    </w:p>
    <w:p w14:paraId="7D51CBB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3.5.9 独立董事候选人应当就其是否符合法律法规及本所相关规定有关独立董事任职条件、任职资格及独立性要求等作出声明与承诺。</w:t>
      </w:r>
    </w:p>
    <w:p w14:paraId="78D983C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独立董事提名人应当就独立董事候选人是否符合任职条件和任职资格、履职能力及是否存在影响其独立性的情形等内容进行审慎核实，并就核实结果作出声明与承诺。</w:t>
      </w:r>
    </w:p>
    <w:p w14:paraId="1B695E2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3.5.10 上市公司在董事会中设置提名委员会的，提名委员会应当对被提名人任职资格进行审查，并形成明确的审查意见。</w:t>
      </w:r>
    </w:p>
    <w:p w14:paraId="026DC23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3.5.11 上市公司最迟应当在发布召开关于选举独立董事的股东会通知公告时，通过本所公司业务管理系统向本所提交独立董事候选人的有关材料，包括本指引附件中的《独立董事候选人声明与承诺》《独立董事提名人声明与承诺》《独立董事候选人履历表》等书面文件，披露相关声明与承诺和提名委员会或者独立董事专门会议的审查意见，并保证公告内容的真实、准确、完整。</w:t>
      </w:r>
    </w:p>
    <w:p w14:paraId="22200BC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董事会、独立董事候选人、独立董事提名人应当在规定时间内如实回答本所的问询，并按要求及时向本所补充有关材料。未按要求及时回答问询或者补充有关材料的，本所将根据已有材料决定是否对独立董事候选人的履职能力和独立性提出异议。</w:t>
      </w:r>
    </w:p>
    <w:p w14:paraId="5144DC2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3.5.12 独立董事候选人不符合独立董事任职条件或独立性要求的，本所可以对独立董事候选人的任职条件和独立性提出异议，公司应当及时披露。</w:t>
      </w:r>
    </w:p>
    <w:p w14:paraId="3457374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在召开股东会选举独立董事时，公司董事会应当对独立董事候选人是否被本所提出异议的情况进行说明。对于本所提出异议的独立董事候选人，公司不得提交股东会选举。如已提交股东会审议的，应当取消该提案。</w:t>
      </w:r>
    </w:p>
    <w:p w14:paraId="3E98892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3.5.13 独立董事在任职后出现不符合任职资格或独立性要求的，应当立即停止履职并辞去职务。独立董事未按期提出辞任的，董事会知悉或者应当知悉该事实发生后应当立即按规定解除其职务。</w:t>
      </w:r>
    </w:p>
    <w:p w14:paraId="2E3219A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独立董事连续两次未能亲自出席董事会会议，也不委托其他独立董事代为出席的，董事会应当在该事实发生之日起30日内提议召开股东会解除该独立董事职务。</w:t>
      </w:r>
    </w:p>
    <w:p w14:paraId="7B059AC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因独立董事提出辞任或者被解除职务导致董事会或者其专门委员会中独立董事所占的比例不符合法律法规或者公司章程的规定，或者独立董事中欠缺会计专业人士的，上市公司应当自前述事实发生之日起60日内完成补选。</w:t>
      </w:r>
    </w:p>
    <w:p w14:paraId="3161F9A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独立董事在任期届满前被解除职务并认为解除职务理由不当的，可以提出异议和理由，上市公司应当及时予以披露。</w:t>
      </w:r>
    </w:p>
    <w:p w14:paraId="699C2654">
      <w:pPr>
        <w:widowControl/>
        <w:shd w:val="clear" w:fill="FFFFFF"/>
        <w:spacing w:line="560" w:lineRule="exact"/>
        <w:ind w:right="0" w:firstLine="601"/>
        <w:rPr>
          <w:rFonts w:ascii="仿宋_GB2312" w:hAnsi="仿宋_GB2312" w:eastAsia="仿宋_GB2312" w:cs="Times New Roman"/>
          <w:color w:val="000000"/>
          <w:kern w:val="0"/>
          <w:sz w:val="30"/>
          <w:szCs w:val="30"/>
        </w:rPr>
      </w:pPr>
      <w:bookmarkStart w:id="19" w:name="OLE_LINK2"/>
      <w:bookmarkEnd w:id="19"/>
      <w:bookmarkStart w:id="20" w:name="OLE_LINK1"/>
      <w:bookmarkEnd w:id="20"/>
      <w:r>
        <w:rPr>
          <w:rFonts w:ascii="仿宋_GB2312" w:hAnsi="仿宋_GB2312" w:eastAsia="仿宋_GB2312" w:cs="Times New Roman"/>
          <w:color w:val="000000"/>
          <w:kern w:val="0"/>
          <w:sz w:val="30"/>
          <w:szCs w:val="30"/>
        </w:rPr>
        <w:t>3.5.14 独立董事在任期届满前提出辞任的，除按照本指引第3.2.8条、第3.2.9条的有关规定执行外，还应当在辞职报告中对任何与其辞任有关或者其认为有必要引起上市公司股东和债权人注意的情况进行说明。</w:t>
      </w:r>
    </w:p>
    <w:p w14:paraId="3E930CA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上市公司应当对独立董事辞任的原因及关注事项予以披露。</w:t>
      </w:r>
    </w:p>
    <w:p w14:paraId="3FB543A3">
      <w:pPr>
        <w:widowControl/>
        <w:shd w:val="clear" w:fill="FFFFFF"/>
        <w:spacing w:line="560" w:lineRule="exact"/>
        <w:ind w:right="0" w:firstLine="601"/>
        <w:rPr>
          <w:rFonts w:ascii="仿宋_GB2312" w:hAnsi="仿宋_GB2312" w:eastAsia="仿宋_GB2312" w:cs="Times New Roman"/>
          <w:color w:val="000000"/>
          <w:kern w:val="0"/>
          <w:sz w:val="30"/>
          <w:szCs w:val="30"/>
        </w:rPr>
      </w:pPr>
      <w:bookmarkStart w:id="21" w:name="OLE_LINK1"/>
      <w:bookmarkEnd w:id="21"/>
      <w:bookmarkStart w:id="22" w:name="OLE_LINK2"/>
      <w:bookmarkEnd w:id="22"/>
      <w:r>
        <w:rPr>
          <w:rFonts w:ascii="仿宋_GB2312" w:hAnsi="仿宋_GB2312" w:eastAsia="仿宋_GB2312" w:cs="Times New Roman"/>
          <w:color w:val="000000"/>
          <w:kern w:val="0"/>
          <w:sz w:val="30"/>
          <w:szCs w:val="30"/>
        </w:rPr>
        <w:t>3.5.15 独立董事履行下列职责：</w:t>
      </w:r>
    </w:p>
    <w:p w14:paraId="39161FB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（一）参与董事会决策并对所议事项发表明确意见；</w:t>
      </w:r>
    </w:p>
    <w:p w14:paraId="313B8D0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对本指引第2.2.7条、第2.2.14条、第2.2.15条、第3.5.16条所列上市公司与其控股股东、实际控制人、董事、高级管理人员之间的潜在重大利益冲突事项进行监督，促使董事会决策符合公司整体利益，保护中小股东的合法权益；</w:t>
      </w:r>
    </w:p>
    <w:p w14:paraId="58080A2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（三）对上市公司经营发展提供专业、客观的建议，促进提升董事会决策水平；</w:t>
      </w:r>
    </w:p>
    <w:p w14:paraId="14400C2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（四）法律法规、本所相关规定及公司章程规定的其他职责。</w:t>
      </w:r>
    </w:p>
    <w:p w14:paraId="0294FF3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应当独立公正地履行职责，不受上市公司及其主要股东、实际控制人等单位或者个人的影响。如发现所审议事项存在影响其独立性的情况，应当向公司申明并实行回避。任职期间出现明显影响独立性情形的，应当及时通知公司，提出解决措施，必要时应当提出辞任。</w:t>
      </w:r>
    </w:p>
    <w:p w14:paraId="3F6D81E6">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3.5.16 下列事项应当经上市公司全体独立董事过半数同意后，提交董事会审议：</w:t>
      </w:r>
    </w:p>
    <w:p w14:paraId="3E4E906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（一）应当披露的关联交易；</w:t>
      </w:r>
    </w:p>
    <w:p w14:paraId="3036B99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（二）上市公司及相关方变更或者豁免承诺的方案；</w:t>
      </w:r>
    </w:p>
    <w:p w14:paraId="2D62C882">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（三）被收购上市公司董事会针对收购所作出的决策及采取的措施；</w:t>
      </w:r>
    </w:p>
    <w:p w14:paraId="1BC3F4B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（四）法律法规、本所相关规定及公司章程规定的其他事项。</w:t>
      </w:r>
    </w:p>
    <w:p w14:paraId="68C0502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3.5.17 独立董事行使下列特别职权：</w:t>
      </w:r>
    </w:p>
    <w:p w14:paraId="6C4B1D2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 xml:space="preserve">（一）独立聘请中介机构，对上市公司具体事项进行审计、咨询或者核查； </w:t>
      </w:r>
    </w:p>
    <w:p w14:paraId="665EDA0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（二）向董事会提议召开临时股东会；</w:t>
      </w:r>
    </w:p>
    <w:p w14:paraId="43E801F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（三）提议召开董事会会议；</w:t>
      </w:r>
    </w:p>
    <w:p w14:paraId="34ABCC6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（四）依法公开向股东征集股东权利；</w:t>
      </w:r>
    </w:p>
    <w:p w14:paraId="4B100B6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（五）对可能损害上市公司或者中小股东权益的事项发表独立意见；</w:t>
      </w:r>
    </w:p>
    <w:p w14:paraId="1E9F5AB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（六）法律法规、本所相关规定及公司章程规定的其他职权。</w:t>
      </w:r>
    </w:p>
    <w:p w14:paraId="255C5D7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独立董事行使前款第（一）项至第（三）项职权的，应当经全体独立董事过半数同意。</w:t>
      </w:r>
    </w:p>
    <w:p w14:paraId="56DE882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独立董事行使本条第一款所列职权的，上市公司应当及时披露。上述职权不能正常行使的，上市公司应当披露具体情况和理由。</w:t>
      </w:r>
    </w:p>
    <w:p w14:paraId="38A5318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独立董事聘请中介机构的费用及其他行使职权时所需的费用由上市公司承担。</w:t>
      </w:r>
    </w:p>
    <w:p w14:paraId="7BDD9DD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3.5.18 上市公司应当为独立董事履行职责提供必要的工作条件和人员支持，保障独立董事享有与其他董事同等的知情权。</w:t>
      </w:r>
    </w:p>
    <w:p w14:paraId="1CD8A75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行使职权的，公司董事、高级管理人员等相关人员应当予以配合，不得拒绝、阻碍或者隐瞒相关信息，不得干预其独立行使职权。独立董事依法行使职权遭遇阻碍的，可向董事会说明情况，要求董事、高级管理人员等相关人员予以配合，并将受到阻碍的具体情形和解决状况记入工作记录；仍不能消除障碍的，可以向本所报告。</w:t>
      </w:r>
    </w:p>
    <w:p w14:paraId="46723F9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独立董事履职事项涉及披露信息的，上市公司应当及时办理披露事宜；上市公司不予披露的，独立董事可以直接申请披露，或者向本所报告。</w:t>
      </w:r>
    </w:p>
    <w:p w14:paraId="295C44C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3.5.19 董事会会议召开前，独立董事可以与董事会秘书进行沟通，董事会及相关人员应当对独立董事提出的问题、要求和意见认真研究，及时向独立董事反馈议案修改等落实情况。</w:t>
      </w:r>
    </w:p>
    <w:p w14:paraId="720DB9F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hint="eastAsia" w:ascii="仿宋_GB2312" w:hAnsi="仿宋_GB2312" w:eastAsia="仿宋_GB2312" w:cs="Times New Roman"/>
          <w:color w:val="000000"/>
          <w:kern w:val="0"/>
          <w:sz w:val="30"/>
          <w:szCs w:val="30"/>
        </w:rPr>
        <w:t>董事会秘书应当协助独立董事履行职责，确保独立董事与其他董事、高级管理人员及其他相关人员之间的信息畅通，确保独立董事能够获取足够的资源和必要的专业意见。</w:t>
      </w:r>
    </w:p>
    <w:p w14:paraId="2977D0B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3.5.20 独立董事对董事会议案投反对票或者弃权票的，应当说明具体理由及依据、议案所涉事项的合法合规性、可能存在的风险以及对上市公司和中小股东权益的影响等。上市公司在披露董事会决议时，应当同时披露独立董事的异议意见，并在董事会决议和会议记录中载明。</w:t>
      </w:r>
    </w:p>
    <w:p w14:paraId="0F25E78C">
      <w:pPr>
        <w:widowControl/>
        <w:shd w:val="clear" w:fill="FFFFFF"/>
        <w:spacing w:line="560" w:lineRule="exact"/>
        <w:ind w:right="0" w:firstLine="601"/>
        <w:rPr>
          <w:rFonts w:ascii="仿宋_GB2312" w:hAnsi="仿宋_GB2312" w:eastAsia="仿宋_GB2312" w:cs="Times New Roman"/>
          <w:color w:val="000000"/>
          <w:kern w:val="0"/>
          <w:sz w:val="30"/>
          <w:szCs w:val="30"/>
        </w:rPr>
      </w:pPr>
      <w:bookmarkStart w:id="23" w:name="OLE_LINK5"/>
      <w:bookmarkEnd w:id="23"/>
      <w:r>
        <w:rPr>
          <w:rFonts w:ascii="仿宋_GB2312" w:hAnsi="仿宋_GB2312" w:eastAsia="仿宋_GB2312" w:cs="Times New Roman"/>
          <w:color w:val="000000"/>
          <w:kern w:val="0"/>
          <w:sz w:val="30"/>
          <w:szCs w:val="30"/>
        </w:rPr>
        <w:t>3.5.21 独立董事应当持续关注本指引第2.2.7条、第2.2.14条、第2.2.15条、第3.5.16条所列事项相关的董事会决议执行情况，发现违反法律法规、本所相关规定及公司章程规定，或者违反股东会和董事会决议情形的，应当及时向董事会报告，并可以要求上市公司作出书面说明。涉及披露事项的，上市公司应当及时披露。上市公司未作出说明或者及时披露的，独立董事可以向本所报告。</w:t>
      </w:r>
    </w:p>
    <w:p w14:paraId="26142FEE">
      <w:pPr>
        <w:widowControl/>
        <w:shd w:val="clear" w:fill="FFFFFF"/>
        <w:spacing w:line="560" w:lineRule="exact"/>
        <w:ind w:right="0" w:firstLine="601"/>
        <w:rPr>
          <w:rFonts w:ascii="仿宋_GB2312" w:hAnsi="仿宋_GB2312" w:eastAsia="仿宋_GB2312" w:cs="Times New Roman"/>
          <w:color w:val="000000"/>
          <w:kern w:val="0"/>
          <w:sz w:val="30"/>
          <w:szCs w:val="30"/>
        </w:rPr>
      </w:pPr>
      <w:bookmarkStart w:id="24" w:name="OLE_LINK5"/>
      <w:bookmarkEnd w:id="24"/>
      <w:r>
        <w:rPr>
          <w:rFonts w:ascii="仿宋_GB2312" w:hAnsi="仿宋_GB2312" w:eastAsia="仿宋_GB2312" w:cs="Times New Roman"/>
          <w:color w:val="000000"/>
          <w:kern w:val="0"/>
          <w:sz w:val="30"/>
          <w:szCs w:val="30"/>
        </w:rPr>
        <w:t>3.5.22 独立董事应当在上市公司董事会专门委员会中依照法律法规、本所相关规定及公司章程规定履行职责。独立董事成员应当亲自出席专门委员会会议，因故不能亲自出席会议的，应当事先审阅会议材料，形成明确意见，并书面委托其他独立董事成员代为出席。独立董事履职中关注到专门委员会职责范围内的上市公司重大事项，可以依照程序及时提请专门委员会进行讨论和审议。</w:t>
      </w:r>
    </w:p>
    <w:p w14:paraId="16B94D3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3.5.23 上市公司应当定期或者不定期召开独立董事专门会议，本指引第3.5.16条、第3.5.17条第一款第（一）项至第（三）项所列事项，应当经独立董事专门会议审议。</w:t>
      </w:r>
    </w:p>
    <w:p w14:paraId="3B26391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未在董事会中设置提名委员会、薪酬与考核委员会的，由独立董事专门会议按照本指引第3.5.10条对被提名人任职资格进行审查，就本指引第2.2.14条第一款、第2.2.15条第一款所列事项向董事会提出建议。独立董事专门会议可以根据需要研究讨论上市公司其他事项。</w:t>
      </w:r>
    </w:p>
    <w:p w14:paraId="57D8674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独立董事专门会议应当由过半数独立董事共同推举一名独立董事召集和主持；召集人不履职或者不能履职时，两名及以上独立董事可以自行召集并推举一名代表主持。</w:t>
      </w:r>
    </w:p>
    <w:p w14:paraId="7430685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上市公司应当为独立董事专门会议召开提供便利和支持。</w:t>
      </w:r>
    </w:p>
    <w:p w14:paraId="61039AE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3.5.24 独立董事对重大事项出具的独立意见至少应当包括下列内容：</w:t>
      </w:r>
    </w:p>
    <w:p w14:paraId="0CDD688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（一）重大事项的基本情况；</w:t>
      </w:r>
    </w:p>
    <w:p w14:paraId="39B7C5A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（二）发表意见的依据，包括所履行的程序、核查的文件、现场检查的内容等；</w:t>
      </w:r>
    </w:p>
    <w:p w14:paraId="4A7074F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（三）重大事项的合法合规性；</w:t>
      </w:r>
    </w:p>
    <w:p w14:paraId="5356C1F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（四）对上市公司和中小股东权益的影响、可能存在的风险以及公司采取的措施是否有效；</w:t>
      </w:r>
    </w:p>
    <w:p w14:paraId="1CA7DD6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（五）发表的结论性意见。对重大事项提出保留意见、反对意见或者无法发表意见的，相关独立董事应当明确说明理由、无法发表意见的障碍。</w:t>
      </w:r>
    </w:p>
    <w:p w14:paraId="51BEB42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独立董事应当对出具的独立意见签字确认，并将上述意见及时报告董事会，与公司相关公告同时披露。</w:t>
      </w:r>
    </w:p>
    <w:p w14:paraId="258D51C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3.5.25 独立董事每年在上市公司的现场工作时间应当不少于15日。</w:t>
      </w:r>
    </w:p>
    <w:p w14:paraId="3AD943D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除按规定出席股东会、董事会及其专门委员会、独立董事专门会议外，独立董事可以通过定期获取上市公司运营情况等资料、听取管理层汇报、与内部审计机构负责人和承办上市公司审计业务的会计师事务所等中介机构沟通、实地考察、与中小股东沟通等多种方式履行职责。</w:t>
      </w:r>
    </w:p>
    <w:p w14:paraId="49A0E1E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3.5.26 公司股东间或者董事间发生冲突、对公司经营管理造成重大影响的，独立董事应当主动履行职责，维护公司整体利益。</w:t>
      </w:r>
    </w:p>
    <w:p w14:paraId="7991005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3.5.27 出现下列情形之一的，独立董事应当及时向本所报告：</w:t>
      </w:r>
    </w:p>
    <w:p w14:paraId="0B130B4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（一）被公司免职，本人认为免职理由不当的；</w:t>
      </w:r>
    </w:p>
    <w:p w14:paraId="795656D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（二）由于公司存在妨碍独立董事依法行使职权的情形，致使独立董事辞任的；</w:t>
      </w:r>
    </w:p>
    <w:p w14:paraId="7019D81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（三）董事会会议材料不完整或论证不充分，两名及以上独立董事书面要求延期召开董事会会议或者延期审议相关事项的提议未被采纳的；</w:t>
      </w:r>
    </w:p>
    <w:p w14:paraId="38ACECD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（四）对公司或者其董事、高级管理人员涉嫌违法违规行为向董事会报告后，董事会未采取有效措施的；</w:t>
      </w:r>
    </w:p>
    <w:p w14:paraId="2646B84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（五）严重妨碍独立董事履行职责的其他情形。</w:t>
      </w:r>
    </w:p>
    <w:p w14:paraId="766D6BB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3.5.28 独立董事应当制作工作记录，详细记录履行职责的情况。独立董事履行职责过程中获取的资料、相关会议记录、与上市公司及中介机构工作人员的通讯记录等，构成工作记录的组成部分。对于工作记录中的重要内容，独立董事可以要求董事会秘书等相关人员签字确认，上市公司及相关人员应当予以配合。</w:t>
      </w:r>
    </w:p>
    <w:p w14:paraId="4D7CAD8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独立董事工作记录及上市公司向独立董事提供的资料，应当至少保存十年。</w:t>
      </w:r>
    </w:p>
    <w:p w14:paraId="2BF50DF6">
      <w:pPr>
        <w:widowControl/>
        <w:shd w:val="clear" w:fill="FFFFFF"/>
        <w:spacing w:line="560" w:lineRule="exact"/>
        <w:ind w:right="0" w:firstLine="601"/>
        <w:rPr>
          <w:rFonts w:ascii="仿宋_GB2312" w:hAnsi="仿宋_GB2312" w:eastAsia="仿宋_GB2312" w:cs="Times New Roman"/>
          <w:color w:val="000000"/>
          <w:kern w:val="0"/>
          <w:sz w:val="30"/>
          <w:szCs w:val="30"/>
        </w:rPr>
      </w:pPr>
      <w:bookmarkStart w:id="25" w:name="OLE_LINK3"/>
      <w:bookmarkEnd w:id="25"/>
      <w:bookmarkStart w:id="26" w:name="OLE_LINK4"/>
      <w:bookmarkEnd w:id="26"/>
      <w:r>
        <w:rPr>
          <w:rFonts w:ascii="仿宋_GB2312" w:hAnsi="仿宋_GB2312" w:eastAsia="仿宋_GB2312" w:cs="Times New Roman"/>
          <w:color w:val="000000"/>
          <w:kern w:val="0"/>
          <w:sz w:val="30"/>
          <w:szCs w:val="30"/>
        </w:rPr>
        <w:t>3.5.29 独立董事应当向上市公司年度股东会提交述职报告，独立董事年度述职报告最迟应当在上市公司发出年度股东会通知时披露，述职报告应当包括以下内容：</w:t>
      </w:r>
    </w:p>
    <w:p w14:paraId="3997F58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（一）全年出席董事会方式、次数及投票情况，出席股东会次数；</w:t>
      </w:r>
    </w:p>
    <w:p w14:paraId="6DE257B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（二）参与董事会专门委员会、独立董事专门会议工作情况；</w:t>
      </w:r>
    </w:p>
    <w:p w14:paraId="7A7EAE2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（三）对本指引第2.2.7条、第2.2.14条、第2.2.15条、第3.5.16条所列事项进行审议和行使本指引第3.5.17条第一款所列独立董事特别职权的情况；</w:t>
      </w:r>
    </w:p>
    <w:p w14:paraId="4A42C71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（四）与内部审计机构及承办上市公司审计业务的会计师事务所就公司财务、业务状况进行沟通的重大事项、方式及结果等情况；</w:t>
      </w:r>
    </w:p>
    <w:p w14:paraId="0C0E1F0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（五）与中小股东的沟通交流情况；</w:t>
      </w:r>
    </w:p>
    <w:p w14:paraId="7558883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（六）在上市公司现场工作的时间、内容等情况；</w:t>
      </w:r>
    </w:p>
    <w:p w14:paraId="2559304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（七）履行职责的其他情况。</w:t>
      </w:r>
    </w:p>
    <w:p w14:paraId="2286862C">
      <w:pPr>
        <w:widowControl/>
        <w:shd w:val="clear" w:fill="FFFFFF"/>
        <w:spacing w:line="560" w:lineRule="exact"/>
        <w:ind w:right="0" w:firstLine="601"/>
        <w:rPr>
          <w:rFonts w:ascii="仿宋_GB2312" w:hAnsi="仿宋_GB2312" w:eastAsia="仿宋_GB2312" w:cs="Times New Roman"/>
          <w:color w:val="000000"/>
          <w:kern w:val="0"/>
          <w:sz w:val="30"/>
          <w:szCs w:val="30"/>
        </w:rPr>
      </w:pPr>
    </w:p>
    <w:p w14:paraId="004C17E3">
      <w:pPr>
        <w:pStyle w:val="2"/>
        <w:spacing w:line="560" w:lineRule="exact"/>
        <w:ind w:left="0" w:firstLine="0"/>
        <w:rPr>
          <w:rFonts w:ascii="黑体" w:hAnsi="黑体" w:eastAsia="黑体" w:cs="黑体"/>
          <w:kern w:val="0"/>
        </w:rPr>
      </w:pPr>
      <w:bookmarkStart w:id="27" w:name="OLE_LINK4"/>
      <w:bookmarkEnd w:id="27"/>
      <w:bookmarkStart w:id="28" w:name="__RefHeading___Toc189646145"/>
      <w:bookmarkEnd w:id="28"/>
      <w:bookmarkStart w:id="29" w:name="OLE_LINK3"/>
      <w:bookmarkEnd w:id="29"/>
      <w:r>
        <w:rPr>
          <w:rFonts w:ascii="黑体" w:hAnsi="黑体" w:eastAsia="黑体" w:cs="黑体"/>
          <w:kern w:val="0"/>
        </w:rPr>
        <w:t>第四章 控股股东和实际控制人</w:t>
      </w:r>
    </w:p>
    <w:p w14:paraId="098630C2">
      <w:pPr>
        <w:pStyle w:val="3"/>
        <w:spacing w:line="560" w:lineRule="exact"/>
        <w:ind w:left="0" w:firstLine="0"/>
        <w:rPr>
          <w:rFonts w:ascii="仿宋_GB2312" w:hAnsi="仿宋_GB2312"/>
        </w:rPr>
      </w:pPr>
      <w:bookmarkStart w:id="30" w:name="__RefHeading___Toc189646146"/>
      <w:bookmarkEnd w:id="30"/>
      <w:r>
        <w:rPr>
          <w:rFonts w:ascii="仿宋_GB2312" w:hAnsi="仿宋_GB2312"/>
        </w:rPr>
        <w:t>第一节 总体要求</w:t>
      </w:r>
    </w:p>
    <w:p w14:paraId="5DAA4B3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4.1.1 控股股东和实际控制人应当遵守诚实信用原则，依法行使股东权利、履行股东义务，依规签署并恪守有关声明和承诺，不得隐瞒其控股股东、实际控制人身份，逃避相关义务和责任。</w:t>
      </w:r>
    </w:p>
    <w:p w14:paraId="2EBA6E4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控股股东和实际控制人应当维护公司独立性，不得滥用股东权利、控制地位或者利用关联关系损害上市公司和其他股东的合法权益，不得利用对公司的控制地位牟取非法利益。</w:t>
      </w:r>
    </w:p>
    <w:p w14:paraId="6C55D4B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上市公司的控股股东、实际控制人不担任公司董事但实际执行公司事务的，对公司负有忠实义务、勤勉义务。</w:t>
      </w:r>
    </w:p>
    <w:p w14:paraId="02A5E81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4.1.2 控股股东和实际控制人应当指定其相关部门和人员负责信息披露工作，及时向上市公司告知相关部门和人员的联系信息。</w:t>
      </w:r>
    </w:p>
    <w:p w14:paraId="3F7CA10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控股股东和实际控制人应当配合公司的信息披露工作和内幕信息知情人登记工作，不得向公司隐瞒或者要求、协助公司隐瞒重要信息。</w:t>
      </w:r>
    </w:p>
    <w:p w14:paraId="68247EE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和实际控制人应当配合本所、公司完成与信息披露相关的问询、调查以及查证工作，收到公司书面询证函件的，应当及时向相关各方了解真实情况，在期限内以书面方式答复，并提供有关证明材料，保证相关信息和资料的真实、准确和完整。</w:t>
      </w:r>
    </w:p>
    <w:p w14:paraId="70B9C2D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4.1.3 控股股东、实际控制人应当在相关制度中至少明确以下内容：</w:t>
      </w:r>
    </w:p>
    <w:p w14:paraId="1D6BC49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（一）涉及上市公司的重大信息的范围；</w:t>
      </w:r>
    </w:p>
    <w:p w14:paraId="59866F3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（二）未披露重大信息的报告流程；</w:t>
      </w:r>
    </w:p>
    <w:p w14:paraId="58C7AD7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（三）内幕信息知情人登记制度；</w:t>
      </w:r>
    </w:p>
    <w:p w14:paraId="2BE1EB7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（四）未披露重大信息保密措施；</w:t>
      </w:r>
    </w:p>
    <w:p w14:paraId="6EAC7EC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（五）对外发布信息的流程；</w:t>
      </w:r>
    </w:p>
    <w:p w14:paraId="5596C7C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（六）配合上市公司信息披露工作的程序；</w:t>
      </w:r>
    </w:p>
    <w:p w14:paraId="44232ED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（七）相关人员在信息披露事务中的职责与权限；</w:t>
      </w:r>
    </w:p>
    <w:p w14:paraId="7165885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（八）其他信息披露管理制度。</w:t>
      </w:r>
    </w:p>
    <w:p w14:paraId="52D297B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4.1.4 控股股东和实际控制人及其相关人员应当对其知悉的上市公司未披露的重大信息予以保密，不得提前泄露，不得利用该信息从事内幕交易、操纵市场等行为牟取利益。一旦出现泄露应当立即通知公司，并督促公司立即公告。</w:t>
      </w:r>
    </w:p>
    <w:p w14:paraId="3097EF0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控股股东、实际控制人为履行法定职责要求公司提供有关对外投资、财务预算数据、财务决算数据等未披露信息时，应当做好内幕信息知情人登记，并承担保密义务。</w:t>
      </w:r>
    </w:p>
    <w:p w14:paraId="2589750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除前款规定外，控股股东、实际控制人不得调用、查阅公司未披露的财务、业务等信息。</w:t>
      </w:r>
    </w:p>
    <w:p w14:paraId="1A97673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4.1.5 对上市公司违法行为负有责任的控股股东和实际控制人，应当主动、依法将其持有的公司股权及其他资产用于赔偿中小投资者。</w:t>
      </w:r>
    </w:p>
    <w:p w14:paraId="28ACA18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4.1.6 公司控股股东和实际控制人在境内外同时发行证券及其衍生品种的，在境外市场披露涉及上市公司的重大信息的，应当同时通过上市公司在境内市场披露。</w:t>
      </w:r>
    </w:p>
    <w:p w14:paraId="0170F3B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4.1.7 上市公司控股股东和实际控制人的董事、监事和高级管理人员应当遵守并促使相关控股股东和实际控制人遵守法律法规、本所相关规定和公司章程的规定。</w:t>
      </w:r>
    </w:p>
    <w:p w14:paraId="60EE811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4.1.8 上市公司无控股股东和实际控制人的，公司第一大股东及其实际控制人应当参照适用《股票上市规则》和本指引关于控股股东和实际控制人的规定。</w:t>
      </w:r>
    </w:p>
    <w:p w14:paraId="48418E2D">
      <w:pPr>
        <w:pStyle w:val="3"/>
        <w:spacing w:line="560" w:lineRule="exact"/>
        <w:ind w:left="0" w:firstLine="0"/>
        <w:rPr>
          <w:rFonts w:ascii="仿宋_GB2312" w:hAnsi="仿宋_GB2312"/>
        </w:rPr>
      </w:pPr>
      <w:bookmarkStart w:id="31" w:name="__RefHeading___Toc189646147"/>
      <w:bookmarkEnd w:id="31"/>
      <w:r>
        <w:rPr>
          <w:rFonts w:ascii="仿宋_GB2312" w:hAnsi="仿宋_GB2312"/>
        </w:rPr>
        <w:t>第二节 独立性</w:t>
      </w:r>
    </w:p>
    <w:p w14:paraId="160B49F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4.2.1 控股股东、实际控制人应当维护上市公司的独立性，采取切实措施保障公司资产完整、人员独立、财务独立、机构独立和业务独立。</w:t>
      </w:r>
    </w:p>
    <w:p w14:paraId="5333CC4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控股股东、实际控制人依照法律法规或者有权机关授权履行国有资本出资人职责的，从其规定。</w:t>
      </w:r>
    </w:p>
    <w:p w14:paraId="593CFC8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4.2.2 控股股东、实际控制人应当维护上市公司资产完整，不得通过以下方式影响公司资产的完整性：</w:t>
      </w:r>
    </w:p>
    <w:p w14:paraId="10D3362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（一）与生产型公司共用与生产经营有关的生产系统、辅助生产系统和配套设施；</w:t>
      </w:r>
    </w:p>
    <w:p w14:paraId="2FD3F09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（二）与非生产型公司共用与经营有关的业务体系及相关资产；</w:t>
      </w:r>
    </w:p>
    <w:p w14:paraId="742D26F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（三）以显失公平的方式与公司共用商标、专利、非专利技术等；</w:t>
      </w:r>
    </w:p>
    <w:p w14:paraId="47D5B98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（四）以无偿或者以明显不公平的条件占有、使用、收益或者处分公司的资产；</w:t>
      </w:r>
    </w:p>
    <w:p w14:paraId="52FE564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（五）未按照法律规定及合同约定及时办理投入或者转让给公司资产的过户手续；</w:t>
      </w:r>
    </w:p>
    <w:p w14:paraId="1179D67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（六）法律法规、本所相关规定或者认定的其他情形。</w:t>
      </w:r>
    </w:p>
    <w:p w14:paraId="67F23F4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4.2.3 控股股东、实际控制人应当维护上市公司人员独立，不得通过以下方式影响公司人员的独立性：</w:t>
      </w:r>
    </w:p>
    <w:p w14:paraId="19A2A47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（一）通过行使提案权、表决权等法律法规、本所相关规定及公司章程规定的股东权利以外的方式，影响公司人事任免或者限制公司董事、高级管理人员履行职责；</w:t>
      </w:r>
    </w:p>
    <w:p w14:paraId="19A7934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（二）聘任公司高级管理人员在控股股东、实际控制人或者其控制的企业担任除董事、监事以外的其他行政职务；</w:t>
      </w:r>
    </w:p>
    <w:p w14:paraId="1361B6E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（三）要求公司人员为其无偿提供服务；</w:t>
      </w:r>
    </w:p>
    <w:p w14:paraId="1EB6972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（四）向公司高级管理人员支付薪金或者其他报酬；</w:t>
      </w:r>
    </w:p>
    <w:p w14:paraId="344010C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（五）指使公司董事、高级管理人员以及其他在上市公司任职的人员实施损害公司利益的决策或者行为；</w:t>
      </w:r>
    </w:p>
    <w:p w14:paraId="68AEFFD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（六）法律法规、本所相关规定或者认定的其他情形。</w:t>
      </w:r>
    </w:p>
    <w:p w14:paraId="661375C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4.2.4 控股股东、实际控制人应当维护上市公司财务独立，不得通过以下方式影响公司财务的独立性：</w:t>
      </w:r>
    </w:p>
    <w:p w14:paraId="3A1AF74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（一）与公司共用或者借用公司银行账户等金融类账户，或者将公司资金以任何方式存入控股股东、实际控制人及其关联人控制的账户；</w:t>
      </w:r>
    </w:p>
    <w:p w14:paraId="2D31802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（二）通过各种方式非经营性占用公司资金；</w:t>
      </w:r>
    </w:p>
    <w:p w14:paraId="227DC8D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（三）要求公司违法违规提供担保；</w:t>
      </w:r>
    </w:p>
    <w:p w14:paraId="1FB5399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（四）将公司财务核算体系纳入控股股东、实际控制人管理系统之内，如共用财务会计核算系统或者控股股东、实际控制人可以通过财务会计核算系统直接查询公司经营情况、财务状况等信息；</w:t>
      </w:r>
    </w:p>
    <w:p w14:paraId="04CEB6A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（五）法律法规、本所相关规定或者认定的其他情形。</w:t>
      </w:r>
    </w:p>
    <w:p w14:paraId="00A6E45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4.2.5 控股股东、实际控制人控制的财务公司为上市公司提供日常金融服务的，应当按照法律法规及本所相关规定，督促财务公司以及相关各方配合上市公司履行关联交易的决策程序和信息披露义务，监督财务公司规范运作，保证上市公司存储在财务公司资金的安全，不得利用支配地位强制上市公司接受财务公司的服务。</w:t>
      </w:r>
    </w:p>
    <w:p w14:paraId="6167FFA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4.2.6 上市公司控股股东、实际控制人及其他关联人不得以下列方式占用公司资金：</w:t>
      </w:r>
    </w:p>
    <w:p w14:paraId="3386FDC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（一）要求公司为其垫付、承担工资、福利、保险、广告等费用、成本和其他支出；</w:t>
      </w:r>
    </w:p>
    <w:p w14:paraId="4C772A4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（二）要求公司有偿或者无偿、直接或者间接拆借资金给其使用（含委托贷款）；</w:t>
      </w:r>
    </w:p>
    <w:p w14:paraId="359D8BC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（三）要求公司委托其进行投资活动；</w:t>
      </w:r>
    </w:p>
    <w:p w14:paraId="1656572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（四）要求公司为其开具没有真实交易背景的商业承兑汇票，</w:t>
      </w:r>
      <w:r>
        <w:rPr>
          <w:rFonts w:ascii="仿宋_GB2312" w:hAnsi="仿宋_GB2312" w:eastAsia="仿宋_GB2312" w:cs="仿宋_GB2312"/>
          <w:sz w:val="30"/>
          <w:szCs w:val="30"/>
          <w:shd w:val="clear" w:fill="FFFFFF"/>
        </w:rPr>
        <w:t>以及在没有商品和劳务对价情况下或者明显有悖商业逻辑情况下以采购款、资产转让款、预付款等方式提供资金；</w:t>
      </w:r>
    </w:p>
    <w:p w14:paraId="3C3DA6F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（五）要求公司代其偿还债务；</w:t>
      </w:r>
    </w:p>
    <w:p w14:paraId="29A1BD3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（六）法律法规、本所相关规定或者认定的其他情形。</w:t>
      </w:r>
    </w:p>
    <w:p w14:paraId="7798434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控股股东、实际控制人及其他关联人不得以“期间占用、期末归还”或者“小金额、多批次”等形式占用公司资金。</w:t>
      </w:r>
    </w:p>
    <w:p w14:paraId="3BA2D8D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4.2.7 控股股东、实际控制人应当维护上市公司机构独立，支持公司董事会及其专门委员会、业务经营部门或者其他机构及其人员的独立运作，不得干预公司机构的设立、调整或者撤销，或者对公司董事会及其专门委员会和其他机构及其人员行使职权进行限制或者施加其他不正当影响。</w:t>
      </w:r>
    </w:p>
    <w:p w14:paraId="0C39BFD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4.2.8 控股股东、实际控制人应当维护上市公司业务独立，支持并配合公司建立独立的生产经营模式</w:t>
      </w:r>
      <w:r>
        <w:rPr>
          <w:rFonts w:hint="eastAsia" w:ascii="仿宋_GB2312" w:hAnsi="仿宋_GB2312" w:eastAsia="仿宋_GB2312" w:cs="Times New Roman"/>
          <w:color w:val="000000"/>
          <w:kern w:val="0"/>
          <w:sz w:val="30"/>
          <w:szCs w:val="30"/>
          <w:lang w:eastAsia="zh-CN"/>
        </w:rPr>
        <w:t>。</w:t>
      </w:r>
    </w:p>
    <w:p w14:paraId="1840DE62">
      <w:pPr>
        <w:widowControl/>
        <w:shd w:val="clear" w:fill="FFFFFF"/>
        <w:spacing w:line="560" w:lineRule="exact"/>
        <w:ind w:right="0" w:firstLine="601"/>
        <w:rPr>
          <w:rFonts w:hint="eastAsia" w:ascii="仿宋_GB2312" w:hAnsi="仿宋_GB2312" w:eastAsia="仿宋_GB2312" w:cs="Times New Roman"/>
          <w:color w:val="000000"/>
          <w:kern w:val="0"/>
          <w:sz w:val="30"/>
          <w:szCs w:val="30"/>
        </w:rPr>
      </w:pPr>
      <w:r>
        <w:rPr>
          <w:rFonts w:hint="eastAsia" w:ascii="仿宋_GB2312" w:hAnsi="仿宋_GB2312" w:eastAsia="仿宋_GB2312" w:cs="Times New Roman"/>
          <w:color w:val="000000"/>
          <w:kern w:val="0"/>
          <w:sz w:val="30"/>
          <w:szCs w:val="30"/>
        </w:rPr>
        <w:t>控股股东、实际控制人及其控制的其他单位从事与公司相同或者相近业务的，应当及时披露相关业务情况、对公司的影响、防范利益冲突的举措等，但不得从事可能对公司产生重大不利影响的相同或者相近业务。</w:t>
      </w:r>
    </w:p>
    <w:p w14:paraId="534286A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hint="eastAsia" w:ascii="仿宋_GB2312" w:hAnsi="仿宋_GB2312" w:eastAsia="仿宋_GB2312" w:cs="Times New Roman"/>
          <w:color w:val="000000"/>
          <w:kern w:val="0"/>
          <w:sz w:val="30"/>
          <w:szCs w:val="30"/>
        </w:rPr>
        <w:t>控股股东、实际控制人</w:t>
      </w:r>
      <w:r>
        <w:rPr>
          <w:rFonts w:ascii="仿宋_GB2312" w:hAnsi="仿宋_GB2312" w:eastAsia="仿宋_GB2312" w:cs="Times New Roman"/>
          <w:color w:val="000000"/>
          <w:kern w:val="0"/>
          <w:sz w:val="30"/>
          <w:szCs w:val="30"/>
        </w:rPr>
        <w:t>不得利用其对公司的控制地位，牟取属于公司的商业机会。</w:t>
      </w:r>
    </w:p>
    <w:p w14:paraId="39E1EB3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4.2.9 控股股东、实际控制人应当维护上市公司在提供担保方面的独立决策，支持并配合公司依法依规履行对外担保事项的内部决策程序与信息披露义务，不得强令、指使或者要求公司及相关人员违规对外提供担保。</w:t>
      </w:r>
    </w:p>
    <w:p w14:paraId="00D71F3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控股股东、实际控制人强令、指使或者要求公司从事违规担保行为的，公司及其董事、高级管理人员应当拒绝，不得协助、配合、默许。</w:t>
      </w:r>
    </w:p>
    <w:p w14:paraId="4D62478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4.2.10 控股股东、实际控制人与上市公司发生关联交易，应当遵循平等、自愿、等价、有偿的原则，并签署书面协议，不得要求公司与其进行显失公平的关联交易，不得要求公司无偿或者以明显不公平的条件为其提供商品、服务或者其他资产，不得通过任何方式影响公司的独立决策，不得通过欺诈、虚假陈述或者其他不正当行为等方式损害公司和中小股东的合法权益。</w:t>
      </w:r>
    </w:p>
    <w:p w14:paraId="5D1D1638">
      <w:pPr>
        <w:pStyle w:val="3"/>
        <w:spacing w:line="560" w:lineRule="exact"/>
        <w:ind w:left="0" w:firstLine="0"/>
        <w:rPr>
          <w:rFonts w:ascii="仿宋_GB2312" w:hAnsi="仿宋_GB2312"/>
        </w:rPr>
      </w:pPr>
      <w:bookmarkStart w:id="32" w:name="__RefHeading___Toc189646148"/>
      <w:bookmarkEnd w:id="32"/>
      <w:r>
        <w:rPr>
          <w:rFonts w:ascii="仿宋_GB2312" w:hAnsi="仿宋_GB2312"/>
        </w:rPr>
        <w:t>第三节 控股股东和实际控制人行为规范</w:t>
      </w:r>
    </w:p>
    <w:p w14:paraId="227C9A8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4.3.1 控股股东、实际控制人不得通过关联交易、资产重组、对外投资、担保、利润分配和其他方式直接或者间接侵占上市公司资金、资产，损害公司及其他股东的利益。</w:t>
      </w:r>
    </w:p>
    <w:p w14:paraId="4E63923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4.3.2 控股股东、实际控制人应当配合上市公司通过网络投票、累积投票、征集投票权等方式保障其他股东的提案权、表决权等权利，不得以任何理由或者方式限制、阻挠其他股东合法权利的行使。</w:t>
      </w:r>
    </w:p>
    <w:p w14:paraId="5457967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控股股东、实际控制人提出议案时应当充分考虑并说明议案对公司和中小股东利益的影响。</w:t>
      </w:r>
    </w:p>
    <w:p w14:paraId="66F5C7C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4.3.3 控股股东、实际控制人及其一致行动人买卖上市公司股票，应当遵守法律法规及本所相关规定，恪守有关声明和承诺，不得利用他人账户或者通过向他人提供资金的方式买卖公司股票。</w:t>
      </w:r>
    </w:p>
    <w:p w14:paraId="149EAB2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4.3.4 控股股东、实际控制人应当采取有效措施保证其作出的承诺能够有效施行，对于存在较大履约风险的承诺事项，控股股东、实际控制人应当提供履约担保。担保人或者履约担保标的物发生变化导致无法或者可能无法履行担保义务的，控股股东、实际控制人应当及时告知上市公司，并予以披露，同时提供新的履约担保。</w:t>
      </w:r>
    </w:p>
    <w:p w14:paraId="6335A6F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除另有规定外，控股股东、实际控制人在相关承诺尚未履行完毕前转让所持公司股份的，不得影响相关承诺的履行。</w:t>
      </w:r>
    </w:p>
    <w:p w14:paraId="4C2BFD8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4.3.5 控股股东、实际控制人应当维持控制权稳定。确有必要转让上市公司股权导致控制权变动的，应当保证交易公允、公平、合理、具有可行性，不得利用控制权转让炒作股价，不得损害公司及其他股东的合法权益。</w:t>
      </w:r>
    </w:p>
    <w:p w14:paraId="29C5534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控股股东、实际控制人质押其所持有或者实际支配的公司股票的，应当维持公司控制权和生产经营稳定。</w:t>
      </w:r>
    </w:p>
    <w:p w14:paraId="4952B0B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4.3.6 控股股东、实际控制人转让控制权之前，应当对拟受让人的主体资格、诚信状况、受让意图、履约能力、是否存在不得转让控制权的情形等情况进行合理调查。</w:t>
      </w:r>
    </w:p>
    <w:p w14:paraId="53B6B51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实际控制人在转让控制权之前，存在占用公司资金、要求公司违法违规提供担保等违规情形的，应当将占用资金全部归还、违规担保全部解除，但转让控制权所得资金用以清偿占用资金、解除违规担保的除外。</w:t>
      </w:r>
    </w:p>
    <w:p w14:paraId="25B5DCD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控股股东、实际控制人转让公司控制权时，应当关注、协调新老股东更换，确保公司董事会以及公司管理层平稳过渡。</w:t>
      </w:r>
    </w:p>
    <w:p w14:paraId="536CFD1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4.3.7 控股股东、实际控制人应当向上市公司提供实际控制人及其一致行动人的基本情况，配合公司逐级披露公司与实际控制人之间的股权和控制关系。</w:t>
      </w:r>
    </w:p>
    <w:p w14:paraId="749088E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通过投资关系、协议或者其他安排共同控制公司的，除按前款规定提供信息以外，还应当书面告知公司实施共同控制的方式和内容。</w:t>
      </w:r>
    </w:p>
    <w:p w14:paraId="1911833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通过接受委托或者信托等方式拥有公司权益的控股股东、实际控制人，应当及时将委托人情况、委托或者信托合同以及其他资产管理安排的主要内容书面告知公司，配合公司履行信息披露义务。</w:t>
      </w:r>
    </w:p>
    <w:p w14:paraId="660C2AA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契约型基金、信托计划或者资产管理计划成为公司控股股东或者实际控制人的，除应当履行前款规定义务外，还应当在权益变动文件中穿透披露至最终投资者。</w:t>
      </w:r>
    </w:p>
    <w:p w14:paraId="7B1CB3F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4.3.8 媒体上出现与控股股东、实际控制人有关的报道或者传闻，且可能对上市公司股票及其衍生品种交易价格产生较大影响的，控股股东、实际控制人应当主动了解真实情况，及时将相关信息告知公司并答复公司的询证。</w:t>
      </w:r>
    </w:p>
    <w:p w14:paraId="63B3404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控股股东、实际控制人及其相关人员在接受媒体采访和投资者调研，或者与其他机构和个人进行沟通时，不得提供、传播与公司相关的未披露的重大信息，或者提供、传播虚假信息、进行误导性陈述等。</w:t>
      </w:r>
    </w:p>
    <w:p w14:paraId="5288139C">
      <w:pPr>
        <w:widowControl/>
        <w:shd w:val="clear" w:fill="FFFFFF"/>
        <w:spacing w:line="560" w:lineRule="exact"/>
        <w:rPr>
          <w:rFonts w:ascii="仿宋_GB2312" w:hAnsi="仿宋_GB2312" w:eastAsia="仿宋_GB2312" w:cs="Times New Roman"/>
          <w:b/>
          <w:bCs/>
          <w:color w:val="000000"/>
          <w:kern w:val="0"/>
          <w:sz w:val="30"/>
          <w:szCs w:val="30"/>
        </w:rPr>
      </w:pPr>
    </w:p>
    <w:p w14:paraId="0FBBF733">
      <w:pPr>
        <w:pStyle w:val="2"/>
        <w:spacing w:line="560" w:lineRule="exact"/>
        <w:ind w:left="0" w:firstLine="0"/>
        <w:rPr>
          <w:rFonts w:ascii="黑体" w:hAnsi="黑体" w:eastAsia="黑体" w:cs="黑体"/>
          <w:kern w:val="0"/>
        </w:rPr>
      </w:pPr>
      <w:bookmarkStart w:id="33" w:name="__RefHeading___Toc189646149"/>
      <w:bookmarkEnd w:id="33"/>
      <w:r>
        <w:rPr>
          <w:rFonts w:ascii="黑体" w:hAnsi="黑体" w:eastAsia="黑体" w:cs="黑体"/>
          <w:kern w:val="0"/>
        </w:rPr>
        <w:t>第五章 内部控制</w:t>
      </w:r>
    </w:p>
    <w:p w14:paraId="36314F53">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5.1 上市公司应当完善内部控制制度，确保董事会及其专门委员会、股东会等机构合法运作和科学决策，建立有效的激励约束机制，树立风险防范意识，培育良好的企业精神和内部控制文化，创造全体职工充分了解并履行职责的环境。</w:t>
      </w:r>
    </w:p>
    <w:p w14:paraId="0A37157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公司应当建立健全印章管理制度，明确印章的保管职责和使用审批权限，并指定专人保管印章和登记使用情况。</w:t>
      </w:r>
    </w:p>
    <w:p w14:paraId="76B2378D">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公司董事会应当对公司内部控制制度的制定和有效执行负责。</w:t>
      </w:r>
    </w:p>
    <w:p w14:paraId="7E0D6E7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5.2 上市公司的内部控制制度应当涵盖经营活动的所有环节，包括销货及收款、采购及付款、存货管理、固定资产管理、货币资金管理、担保与融资、投资管理、研发管理、人力资源管理等环节。</w:t>
      </w:r>
    </w:p>
    <w:p w14:paraId="26C1D66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除涵盖经营活动各个环节外，公司的内部控制制度还应当包括各方面专项管理制度，包括印章使用管理、票据领用管理、预算管理、资产管理、职务授权及代理制度、信息系统管理与信息披露管理制度等。</w:t>
      </w:r>
    </w:p>
    <w:p w14:paraId="2D56CA6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5.3 上市公司的人员应当独立于控股股东。公司的高级管理人员在控股股东不得担任除董事、监事以外的其他行政职务。控股股东高级管理人员兼任公司董事的，应当保证有足够的时间和精力承担公司的工作。</w:t>
      </w:r>
    </w:p>
    <w:p w14:paraId="1D6B9513">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hint="eastAsia" w:ascii="仿宋_GB2312" w:hAnsi="仿宋_GB2312" w:eastAsia="仿宋_GB2312" w:cs="Times New Roman"/>
          <w:color w:val="000000"/>
          <w:kern w:val="0"/>
          <w:sz w:val="30"/>
          <w:szCs w:val="30"/>
        </w:rPr>
        <w:t>控股股东、实际控制人同时担任公司董事长和总经理的，公司应当合理确定董事会和总经理的职权，说明该项安排的合理性以及保持公司独立性的措施。</w:t>
      </w:r>
    </w:p>
    <w:p w14:paraId="35397016">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5.4 上市公司的资产应当独立完整、权属清晰，不被董事、高级管理人员、控股股东、实际控制人及其他关联人占用或者支配。</w:t>
      </w:r>
    </w:p>
    <w:p w14:paraId="3FF1A18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5.5 上市公司应当建立健全独立的财务核算体系，能够独立作出财务决策，具有规范的财务会计制度和对分公司、子公司的财务管理制度。</w:t>
      </w:r>
    </w:p>
    <w:p w14:paraId="5E99FA6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5.6 上市公司应当加强对关联交易、提供担保、募集资金使用、重大投资、信息披露等活动的控制，按照本所相关规定的要求建立相应控制政策和程序。</w:t>
      </w:r>
    </w:p>
    <w:p w14:paraId="08AE549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5.7 上市公司应当制定内部审计制度，明确内部审计工作的领导体制、职责权限、人员配备、经费保障、审计结果运用和责任追究等。</w:t>
      </w:r>
    </w:p>
    <w:p w14:paraId="074F527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公司内部审计制度经董事会批准后实施，并对外披露。</w:t>
      </w:r>
    </w:p>
    <w:p w14:paraId="4ECEBB72">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5.8 上市公司应当设立内部审计机构，对公司业务活动、风险管理、内部控制、财务信息等事项进行监督检查。</w:t>
      </w:r>
    </w:p>
    <w:p w14:paraId="0F49C112">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内部审计机构对董事会负责，向董事会审计委员会报告工作。内部审计机构在监督检查过程中，应当接受审计委员会的监督指导。内部审计机构发现公司重大问题或线索，应当立即向审计委员会直接报告。</w:t>
      </w:r>
    </w:p>
    <w:p w14:paraId="41ACB43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内部审计机构应当保持独立性，不得置于财务部门的领导之下，或者与财务部门合署办公。审计委员会参与对内部审计负责人的考核。</w:t>
      </w:r>
    </w:p>
    <w:p w14:paraId="06CA574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5.9 董事会审计委员会监督及评估内部审计工作，应当履行下列职责：</w:t>
      </w:r>
    </w:p>
    <w:p w14:paraId="6FB8F5B0">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（一）指导和监督内部审计制度的建立和实施；</w:t>
      </w:r>
    </w:p>
    <w:p w14:paraId="7084964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（二）审阅公司年度内部审计工作计划；</w:t>
      </w:r>
    </w:p>
    <w:p w14:paraId="7E6E996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（三）督促公司内部审计计划的实施；</w:t>
      </w:r>
    </w:p>
    <w:p w14:paraId="3EDC22C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（四）指导内部审计机构的有效运作。公司内部审计机构应当向审计委员会报告工作，内部审计机构提交给管理层的各类审计报告、审计问题的整改计划和整改情况应当同时报送审计委员会；</w:t>
      </w:r>
    </w:p>
    <w:p w14:paraId="12A97967">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（五）向董事会报告内部审计工作进度、质量以及发现的重大问题等；</w:t>
      </w:r>
    </w:p>
    <w:p w14:paraId="77C1BA09">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（六）协调内部审计机构与会计师事务所、国家审计机构等外部审计单位之间的关系。</w:t>
      </w:r>
    </w:p>
    <w:p w14:paraId="735B75C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5.10 上市公司内部审计机构应当履行下列主要职责：</w:t>
      </w:r>
    </w:p>
    <w:p w14:paraId="54E5256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（一）对公司各内部机构、控股子公司以及对公司具有重大影响的参股公司的内部控制制度的完整性、合理性及其实施的有效性进行检查和评估；</w:t>
      </w:r>
    </w:p>
    <w:p w14:paraId="555156D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对公司各内部机构、控股子公司以及对公司具有重大影响的参股公司的会计资料及其他有关经济资料，以及所反映的财务收支及有关经济活动的合法性、合规性、真实性和完整性进行审计，包括但不限于财务报告、业绩预告、业绩快报、自愿披露的预测性财务信息等；</w:t>
      </w:r>
    </w:p>
    <w:p w14:paraId="69F8A15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（三）协助建立健全反舞弊机制，确定反舞弊的重点领域、关键环节和主要内容，并在内部审计过程中关注和检查可能存在的舞弊行为；</w:t>
      </w:r>
    </w:p>
    <w:p w14:paraId="7B890A9A">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（四）至少每季度向审计委员会报告一次，内容包括但不限于内部审计计划的执行情况以及内部审计工作中发现的问题；</w:t>
      </w:r>
    </w:p>
    <w:p w14:paraId="03AA258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（五）每一年度结束后向审计委员会提交内部审计工作报告；</w:t>
      </w:r>
    </w:p>
    <w:p w14:paraId="5117A316">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对公司内部控制缺陷及实施中存在的问题，督促相关责任部门制定整改措施和整改时间，并进行内部控制的后续审查，监督整改措施的落实情况，如发现内部控制存在重大缺陷或者重大风险，应当及时向审计委员会报告。</w:t>
      </w:r>
    </w:p>
    <w:p w14:paraId="42AAC60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5.11 上市公司应当根据自身经营特点和实际状况，制定公司内部控制自查制度和年度内部控制自查计划。</w:t>
      </w:r>
    </w:p>
    <w:p w14:paraId="4EE2C26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5.12 审计委员会与会计师事务所、国家审计机构等外部审计单位进行沟通时，内部审计机构应积极配合，提供必要的支持和协作。</w:t>
      </w:r>
    </w:p>
    <w:p w14:paraId="1B4C792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5.13 内部审计人员获取的审计证据应当具备充分性、相关性和可靠性。内部审计人员应当将获取审计证据的名称、来源、内容、时间等信息清晰、完整地记录在工作底稿中。内部审计机构应当建立工作底稿制度，并依据有关法律法规的规定，建立相应的档案管理制度，明确内部审计工作报告、工作底稿及相关资料的保存时间。</w:t>
      </w:r>
    </w:p>
    <w:p w14:paraId="66460585">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5.14 除法律法规另有规定外，董事会审计委员会应当督导内部审计机构至少每半年对下列事项进行一次检查，出具检查报告并提交审计委员会。检查发现上市公司存在违法违规、运作不规范等情形的，应当及时向本所报告：</w:t>
      </w:r>
    </w:p>
    <w:p w14:paraId="5DBFF679">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（一）公司募集资金使用、提供担保、关联交易、证券投资与衍生品交易、提供财务资助、购买或者出售资产、对外投资等重大事件的实施情况；</w:t>
      </w:r>
    </w:p>
    <w:p w14:paraId="6E34129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（二）公司大额资金往来以及与董事、高级管理人员、控股股东、实际控制人及其关联人资金往来情况。</w:t>
      </w:r>
    </w:p>
    <w:p w14:paraId="61E13442">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应当根据内部审计机构提交的内部审计报告及相关资料，对公司内部控制有效性出具书面的评估意见，并向董事会报告。董事会或者审计委员会认为公司内部控制存在重大缺陷或者重大风险的，或者保荐人、会计师事务所指出公司内部控制有效性存在重大缺陷的，董事会应当及时向本所报告并予以披露。公司应当在公告中披露内部控制存在的重大缺陷或者重大风险、已经或者可能导致的后果，以及已采取或者拟采取的措施。</w:t>
      </w:r>
    </w:p>
    <w:p w14:paraId="5004AF62">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 xml:space="preserve">5.15 </w:t>
      </w:r>
      <w:bookmarkStart w:id="34" w:name="OLE_LINK11"/>
      <w:bookmarkStart w:id="35" w:name="OLE_LINK10"/>
      <w:r>
        <w:rPr>
          <w:rFonts w:ascii="仿宋_GB2312" w:hAnsi="仿宋_GB2312" w:eastAsia="仿宋_GB2312" w:cs="Times New Roman"/>
          <w:color w:val="000000"/>
          <w:kern w:val="0"/>
          <w:sz w:val="30"/>
          <w:szCs w:val="30"/>
        </w:rPr>
        <w:t>上市公司内部控制评价的具体组织实施工作由内部审计机构负责。公司根据内部审计机构出具、审计委员会审议后的评价报告及相关资料，出具年度内部控制评价报告。</w:t>
      </w:r>
      <w:bookmarkEnd w:id="34"/>
      <w:bookmarkEnd w:id="35"/>
      <w:r>
        <w:rPr>
          <w:rFonts w:ascii="仿宋_GB2312" w:hAnsi="仿宋_GB2312" w:eastAsia="仿宋_GB2312" w:cs="Times New Roman"/>
          <w:color w:val="000000"/>
          <w:kern w:val="0"/>
          <w:sz w:val="30"/>
          <w:szCs w:val="30"/>
        </w:rPr>
        <w:t>内部控制评价报告应当包括下列内容：</w:t>
      </w:r>
    </w:p>
    <w:p w14:paraId="5C38989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（一）董事会对内部控制评价报告真实性的声明；</w:t>
      </w:r>
    </w:p>
    <w:p w14:paraId="31E633E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（二）内部控制评价工作的总体情况；</w:t>
      </w:r>
    </w:p>
    <w:p w14:paraId="21F380F6">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（三）内部控制评价的依据、范围、程序和方法；</w:t>
      </w:r>
    </w:p>
    <w:p w14:paraId="17A7C01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（四）内部控制存在的缺陷及其认定情况；</w:t>
      </w:r>
    </w:p>
    <w:p w14:paraId="0990AC0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（五）对上一年度内部控制缺陷的整改情况；</w:t>
      </w:r>
    </w:p>
    <w:p w14:paraId="2E8BC21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（六）对本年度内部控制缺陷拟采取的整改措施；</w:t>
      </w:r>
    </w:p>
    <w:p w14:paraId="70455CB6">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（七）内部控制有效性的结论。</w:t>
      </w:r>
    </w:p>
    <w:p w14:paraId="4B0DFA4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会计师事务所应当参照主管部门相关规定对公司内部控制评价报告进行核实评价。</w:t>
      </w:r>
    </w:p>
    <w:p w14:paraId="0F0D28E6">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5.16 董事会、审计委员会应当根据上市公司内部审计机构出具的评价报告及相关材料，评价公司内部控制的建立和实施情况，审议形成年度内部控制评价报告。董事会应当在审议年度报告等事项的同时，对公司内部控制评价报告形成决议。</w:t>
      </w:r>
    </w:p>
    <w:p w14:paraId="6546E51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公司应当在披露年度报告的同时，披露年度内部控制评价报告，并同时披露会计师事务所出具的内部控制审计报告。</w:t>
      </w:r>
    </w:p>
    <w:p w14:paraId="2E496566">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5.17 如会计师事务所对上市公司内部控制有效性出具非标准审计报告，或者指出公司非财务报告内部控制存在重大缺陷的，公司董事会应当针对所涉及事项作出专项说明，专项说明至少应当包括下列内容：</w:t>
      </w:r>
    </w:p>
    <w:p w14:paraId="618C7882">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（一）所涉及事项的基本情况；</w:t>
      </w:r>
    </w:p>
    <w:p w14:paraId="5EF1B606">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（二）该事项对公司内部控制有效性的影响程度；</w:t>
      </w:r>
    </w:p>
    <w:p w14:paraId="52F2F44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（三）公司董事会及其审计委员会对该事项的意见以及所依据的材料；</w:t>
      </w:r>
    </w:p>
    <w:p w14:paraId="3D7173A7">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（四）消除该事项及其影响的具体措施。</w:t>
      </w:r>
    </w:p>
    <w:p w14:paraId="35AC6E2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 xml:space="preserve">5.18 </w:t>
      </w:r>
      <w:bookmarkStart w:id="36" w:name="OLE_LINK17"/>
      <w:r>
        <w:rPr>
          <w:rFonts w:ascii="仿宋_GB2312" w:hAnsi="仿宋_GB2312" w:eastAsia="仿宋_GB2312" w:cs="Times New Roman"/>
          <w:color w:val="000000"/>
          <w:kern w:val="0"/>
          <w:sz w:val="30"/>
          <w:szCs w:val="30"/>
        </w:rPr>
        <w:t>上市公司应当重点加强对控股子公司的管理控制，主要包括：</w:t>
      </w:r>
    </w:p>
    <w:bookmarkEnd w:id="36"/>
    <w:p w14:paraId="08E790E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（一）建立对各控股子公司的控制制度，明确向控股子公司委派的董事、监事及重要高级管理人员的选任方式和职责权限等；</w:t>
      </w:r>
    </w:p>
    <w:p w14:paraId="693C9A5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（二）根据上市公司的战略规划，协调控股子公司的经营策略和风险管理策略，督促控股子公司据以制定相关业务经营计划、风险管理程序和内部控制制度；</w:t>
      </w:r>
    </w:p>
    <w:p w14:paraId="4A2F979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（三）制定控股子公司的业绩考核与激励约束制度；</w:t>
      </w:r>
    </w:p>
    <w:p w14:paraId="05B599F2">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制定控股子公司重大事项的内部报告制度，及时向上市公司报告重大业务事件、重大财务事件以及其他可能对上市公司股票及其衍生品种交易价格产生较大影响的信息，并严格按照授权规定将重大事件报上市公司董事会审议或者股东会审议；</w:t>
      </w:r>
    </w:p>
    <w:p w14:paraId="46B8EB4E">
      <w:pPr>
        <w:widowControl/>
        <w:shd w:val="clear" w:fill="FFFFFF"/>
        <w:spacing w:line="560" w:lineRule="exact"/>
        <w:ind w:right="0" w:firstLine="600"/>
        <w:rPr>
          <w:rFonts w:ascii="仿宋_GB2312" w:hAnsi="仿宋_GB2312" w:eastAsia="仿宋_GB2312" w:cs="Times New Roman"/>
          <w:color w:val="000000"/>
          <w:kern w:val="0"/>
          <w:sz w:val="30"/>
          <w:szCs w:val="30"/>
        </w:rPr>
      </w:pPr>
      <w:bookmarkStart w:id="37" w:name="OLE_LINK16"/>
      <w:bookmarkEnd w:id="37"/>
      <w:r>
        <w:rPr>
          <w:rFonts w:ascii="仿宋_GB2312" w:hAnsi="仿宋_GB2312" w:eastAsia="仿宋_GB2312" w:cs="Times New Roman"/>
          <w:color w:val="000000"/>
          <w:kern w:val="0"/>
          <w:sz w:val="30"/>
          <w:szCs w:val="30"/>
        </w:rPr>
        <w:t>（五）要求控股子公司及时向上市公司董事会秘书报送其董事会决议、股东会决议等重要文件；</w:t>
      </w:r>
    </w:p>
    <w:p w14:paraId="1BC7914B">
      <w:pPr>
        <w:widowControl/>
        <w:shd w:val="clear" w:fill="FFFFFF"/>
        <w:spacing w:line="560" w:lineRule="exact"/>
        <w:ind w:right="0" w:firstLine="600"/>
        <w:rPr>
          <w:rFonts w:ascii="仿宋_GB2312" w:hAnsi="仿宋_GB2312" w:eastAsia="仿宋_GB2312" w:cs="Times New Roman"/>
          <w:color w:val="000000"/>
          <w:kern w:val="0"/>
          <w:sz w:val="30"/>
          <w:szCs w:val="30"/>
        </w:rPr>
      </w:pPr>
      <w:bookmarkStart w:id="38" w:name="OLE_LINK16"/>
      <w:bookmarkEnd w:id="38"/>
      <w:r>
        <w:rPr>
          <w:rFonts w:ascii="仿宋_GB2312" w:hAnsi="仿宋_GB2312" w:eastAsia="仿宋_GB2312" w:cs="Times New Roman"/>
          <w:color w:val="000000"/>
          <w:kern w:val="0"/>
          <w:sz w:val="30"/>
          <w:szCs w:val="30"/>
        </w:rPr>
        <w:t>（六）定期取得并分析各控股子公司的季度或者月度报告，包括营运报告、产销量报表、资产负债表、利润表、现金流量表、向他人提供资金及对外担保报表等，并根据相关规定，委托会计师事务所审计控股子公司的财务报告；</w:t>
      </w:r>
    </w:p>
    <w:p w14:paraId="19E4661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（七）对控股子公司内部控制制度的实施及其检查监督工作进行评价。</w:t>
      </w:r>
    </w:p>
    <w:p w14:paraId="31E268B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上市公司存在多级下属企业的，应当相应建立和完善对各级下属企业的管理控制制度。</w:t>
      </w:r>
    </w:p>
    <w:p w14:paraId="088A8BF2">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上市公司对分公司和具有重大影响的参股公司的内部控制制度应当比照上述要求作出安排。</w:t>
      </w:r>
    </w:p>
    <w:p w14:paraId="4BCB73E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5.19 上市公司应当建立健全信息披露内部控制制度，建立公告核稿、校验及披露错误追责问责的机制，配备充足的、具备胜任能力的人员，确保信息披露真实、准确、完整。</w:t>
      </w:r>
    </w:p>
    <w:p w14:paraId="6195CAB1">
      <w:pPr>
        <w:widowControl/>
        <w:shd w:val="clear" w:fill="FFFFFF"/>
        <w:spacing w:line="560" w:lineRule="exact"/>
        <w:ind w:right="0" w:firstLine="601"/>
        <w:rPr>
          <w:rFonts w:ascii="仿宋_GB2312" w:hAnsi="仿宋_GB2312" w:eastAsia="仿宋_GB2312" w:cs="Times New Roman"/>
          <w:color w:val="000000"/>
          <w:kern w:val="0"/>
          <w:sz w:val="30"/>
          <w:szCs w:val="30"/>
        </w:rPr>
      </w:pPr>
    </w:p>
    <w:p w14:paraId="0A680586">
      <w:pPr>
        <w:pStyle w:val="2"/>
        <w:spacing w:line="560" w:lineRule="exact"/>
        <w:ind w:left="0" w:firstLine="0"/>
        <w:rPr>
          <w:rFonts w:ascii="黑体" w:hAnsi="黑体" w:eastAsia="黑体" w:cs="黑体"/>
          <w:kern w:val="0"/>
        </w:rPr>
      </w:pPr>
      <w:bookmarkStart w:id="39" w:name="__RefHeading___Toc189646150"/>
      <w:bookmarkEnd w:id="39"/>
      <w:r>
        <w:rPr>
          <w:rFonts w:ascii="黑体" w:hAnsi="黑体" w:eastAsia="黑体" w:cs="黑体"/>
          <w:kern w:val="0"/>
        </w:rPr>
        <w:t>第六章 重点规范事项</w:t>
      </w:r>
    </w:p>
    <w:p w14:paraId="64915DFA">
      <w:pPr>
        <w:pStyle w:val="3"/>
        <w:spacing w:line="560" w:lineRule="exact"/>
        <w:ind w:left="0" w:firstLine="0"/>
        <w:rPr>
          <w:rFonts w:ascii="仿宋_GB2312" w:hAnsi="仿宋_GB2312"/>
        </w:rPr>
      </w:pPr>
      <w:bookmarkStart w:id="40" w:name="__RefHeading___Toc189646151"/>
      <w:bookmarkEnd w:id="40"/>
      <w:r>
        <w:rPr>
          <w:rFonts w:ascii="仿宋_GB2312" w:hAnsi="仿宋_GB2312"/>
        </w:rPr>
        <w:t>第一节 提供财务资助</w:t>
      </w:r>
    </w:p>
    <w:p w14:paraId="3304EB2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6.1.1 上市公司及其控股子公司提供财务资助（含有息或无息借款、委托贷款等），适用本节规定，但下列情形除外：</w:t>
      </w:r>
    </w:p>
    <w:p w14:paraId="4C6C0F2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（一）公司是以对外提供借款、贷款等融资业务为其主营业务的持有金融牌照的主体；</w:t>
      </w:r>
    </w:p>
    <w:p w14:paraId="51138C2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（二）资助对象为上市公司合并报表范围内，且该控股子公司其他股东中不包含上市公司的控股股东、实际控制人及其关联人；</w:t>
      </w:r>
    </w:p>
    <w:p w14:paraId="2BAF3ED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（三）中国证监会或者本所认定的其他情形。</w:t>
      </w:r>
    </w:p>
    <w:p w14:paraId="6C68C3E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6.1.2 上市公司应当建立健全有关财务资助的内部控制制度，在公司章程或者公司其他规章制度中明确股东会、董事会审批提供财务资助的审批权限、审议程序以及违反审批权限、审议程序的责任追究机制，采取充分、有效的风险防范措施。</w:t>
      </w:r>
    </w:p>
    <w:p w14:paraId="1EF7CEE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6.1.3 公司董事会审议财务资助事项时，应当充分关注提供财务资助的原因，在对被资助对象的资产质量、经营情况、行业前景、偿债能力、信用状况、第三方担保及履约能力情况等进行全面评估的基础上，披露该财务资助事项的风险和公允性，以及董事会对被资助对象偿还债务能力的判断。</w:t>
      </w:r>
    </w:p>
    <w:p w14:paraId="096EB72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保荐人或者独立财务顾问（如有）应当对财务资助事项的合法合规性、公允性及存在的风险等发表意见。</w:t>
      </w:r>
    </w:p>
    <w:p w14:paraId="28ED594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6.1.4 上市公司应当充分披露所采取的风险防范措施，包括被资助对象或者其他第三方是否就财务资助事项提供担保等。第三方就财务资助事项提供担保的，公司应当披露该第三方的基本情况及其担保履约能力情况。</w:t>
      </w:r>
    </w:p>
    <w:p w14:paraId="1F64020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6.1.5 上市公司不得为本所《股票上市规则》规定的关联人提供资金等财务资助，但向非由公司控股股东、实际控制人控制的关联参股公司提供财务资助，且该参股公司的其他股东按出资比例提供同等条件财务资助的情形除外。上市公司董事会审议财务资助事项，应当经全体非关联董事的过半数审议通过，还应当经出席董事会会议的非关联董事的三分之二以上董事审议通过，并提交股东会审议。</w:t>
      </w:r>
    </w:p>
    <w:p w14:paraId="23D3565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6.1.6 上市公司提供财务资助，应当与被资助对象等有关方签署协议，约定被资助对象应当遵守的条件、财务资助的金额、期限、违约责任等内容。</w:t>
      </w:r>
    </w:p>
    <w:p w14:paraId="1211D6F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6.1.7 对于已披露的财务资助事项，上市公司还应当在出现以下情形之一时，及时披露相关情况及拟采取的补救措施，并充分说明董事会关于被资助对象偿债能力和该项财务资助收回风险的判断：</w:t>
      </w:r>
    </w:p>
    <w:p w14:paraId="0E559C8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（一）被资助对象在约定资助期限到期后未能及时还款的；</w:t>
      </w:r>
    </w:p>
    <w:p w14:paraId="5977085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（二）被资助对象或者就财务资助事项提供担保的第三方出现财务困难、资不抵债、现金流转困难、破产及其他严重影响还款能力情形的；</w:t>
      </w:r>
    </w:p>
    <w:p w14:paraId="61EE4E3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（三）本所认定的其他情形。</w:t>
      </w:r>
    </w:p>
    <w:p w14:paraId="48FC01E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逾期财务资助款项收回前，公司不得向同一对象追加提供财务资助。</w:t>
      </w:r>
    </w:p>
    <w:p w14:paraId="472C0DA9">
      <w:pPr>
        <w:pStyle w:val="3"/>
        <w:spacing w:line="560" w:lineRule="exact"/>
        <w:ind w:left="0" w:firstLine="0"/>
        <w:rPr>
          <w:rFonts w:ascii="仿宋_GB2312" w:hAnsi="仿宋_GB2312"/>
        </w:rPr>
      </w:pPr>
      <w:bookmarkStart w:id="41" w:name="__RefHeading___Toc189646152"/>
      <w:bookmarkEnd w:id="41"/>
      <w:r>
        <w:rPr>
          <w:rFonts w:ascii="仿宋_GB2312" w:hAnsi="仿宋_GB2312"/>
        </w:rPr>
        <w:t>第二节 提供担保</w:t>
      </w:r>
    </w:p>
    <w:p w14:paraId="058BEBA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6.2.1 上市公司为他人提供担保，包括为其控股子公司提供担保，适用本节规定，但以提供担保为其主营业务的持有金融牌照的上市公司及其控股子公司的除外。</w:t>
      </w:r>
    </w:p>
    <w:p w14:paraId="54D6FDD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6.2.2 上市公司应当按照法律法规及本所相关规定，在公司章程中明确股东会、董事会关于提供担保事项的审批权限，以及违反审批权限和审议程序的责任追究机制，并严格执行提供担保审议程序。</w:t>
      </w:r>
    </w:p>
    <w:p w14:paraId="2529754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未经董事会或者股东会审议通过，公司不得提供担保。</w:t>
      </w:r>
    </w:p>
    <w:p w14:paraId="277F0A9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 xml:space="preserve">6.2.3 上市公司应当建立健全印章保管与使用管理制度，指定专人保管印章和登记使用情况，明确与担保事项相关的印章使用审批权限，做好与担保事项相关的印章使用登记。 </w:t>
      </w:r>
    </w:p>
    <w:p w14:paraId="3F95186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公司印章保管人员应当按照印章保管与使用管理制度管理印章，拒绝违反制度使用印章的要求。公司印章保管或者使用出现异常的，公司印章保管人员应当及时向董事会报告。</w:t>
      </w:r>
    </w:p>
    <w:p w14:paraId="53A69F6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6.2.4 上市公司对外担保时应当采取必要措施核查被担保人的资信状况，并在审慎判断被担保方偿还债务能力的基础上，决定是否提供担保。</w:t>
      </w:r>
    </w:p>
    <w:p w14:paraId="4AD4125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为控股股东、实际控制人及其关联人提供担保的，应当要求对方提供反担保。公司董事会应当建立定期核查制度，每年度对上市公司全部担保行为进行核查，核实公司是否存在违规担保行为并及时披露核查结果。</w:t>
      </w:r>
    </w:p>
    <w:p w14:paraId="7CD1EEF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6.2.5 上市公司向其控股子公司提供担保，如每年发生数量众多、需要经常订立担保协议而难以就每份协议提交董事会或者股东会审议的，上市公司可以对资产负债率为70%以上以及资产负债率低于70%的两类子公司分别预计未来12个月的新增担保总额度，并提交股东会审议。</w:t>
      </w:r>
    </w:p>
    <w:p w14:paraId="24E17BC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前述担保事项实际发生时，上市公司应当及时披露。任一时点的担保余额不得超过股东会审议通过的担保额度。</w:t>
      </w:r>
    </w:p>
    <w:p w14:paraId="1FE537C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6.2.6 上市公司向其合营或者联营企业提供担保且被担保人不是上市公司的董事、高级管理人员、持股5%以上的股东、控股股东或实际控制人的关联人，如每年发生数量众多、需要经常订立担保协议而难以就每份协议提交董事会或者股东会审议的，上市公司可以对未来12个月内拟提供担保的具体对象及其对应新增担保额度进行合理预计，并提交股东会审议。</w:t>
      </w:r>
    </w:p>
    <w:p w14:paraId="2A52314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前述担保事项实际发生时，上市公司应当及时披露，任一时点的担保余额不得超过股东会审议通过的担保额度。</w:t>
      </w:r>
    </w:p>
    <w:p w14:paraId="52F7018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6.2.7 上市公司向其合营或者联营企业进行担保额度预计，同时满足以下条件的，可以在其合营或联营企业之间进行担保额度调剂：</w:t>
      </w:r>
    </w:p>
    <w:p w14:paraId="162E7CE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（一）获调剂方的单笔调剂金额不超过上市公司最近一期经审计净资产的10%；</w:t>
      </w:r>
    </w:p>
    <w:p w14:paraId="26BEC34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（二）在调剂发生时资产负债率超过70%的担保对象，仅能从资产负债率超过70%（股东会审议担保额度时）的担保对象处获得担保额度；</w:t>
      </w:r>
    </w:p>
    <w:p w14:paraId="25E738D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（三）在调剂发生时，获调剂方不存在逾期未偿还负债等情况。</w:t>
      </w:r>
    </w:p>
    <w:p w14:paraId="75E5040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前款调剂事项实际发生时，上市公司应当及时披露。</w:t>
      </w:r>
    </w:p>
    <w:p w14:paraId="49B881C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6.2.8 上市公司应当持续关注被担保人的财务状况及偿债能力等，如发现被担保人经营状况严重恶化或者发生公司解散、分立等重大事项的，公司董事会应当及时采取有效措施，将损失降低到最小程度。</w:t>
      </w:r>
    </w:p>
    <w:p w14:paraId="06A1F45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提供担保的债务到期后，公司应当督促被担保人在限定时间内履行偿债义务。若被担保人未能按时履行义务，公司应当及时采取必要的应对措施。</w:t>
      </w:r>
    </w:p>
    <w:p w14:paraId="75564ED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6.2.9 上市公司担保的债务到期后需展期并继续由其提供担保的，应当作为新的对外担保，重新履行审议程序和信息披露义务。</w:t>
      </w:r>
    </w:p>
    <w:p w14:paraId="2CAA124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6.2.10 上市公司控股子公司为上市公司合并报表范围内的法人或者其他组织提供担保的，上市公司应当在控股子公司履行审议程序后及时披露，按照本所《股票上市规则》应当提交上市公司股东会审议的担保事项除外。</w:t>
      </w:r>
    </w:p>
    <w:p w14:paraId="3D95169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上市公司控股子公司为前款规定主体以外的其他主体提供担保的，视同上市公司提供担保，应当遵守本节相关规定。</w:t>
      </w:r>
    </w:p>
    <w:p w14:paraId="53FFFEE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6.2.11 上市公司及其控股子公司提供反担保应当比照担保的相关规定执行，以其提供的反担保金额为标准履行相应审议程序和信息披露义务，但上市公司及其控股子公司为以自身债务为基础的担保提供反担保的除外。</w:t>
      </w:r>
    </w:p>
    <w:p w14:paraId="18C2600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6.2.12 因控股股东、实际控制人及其他关联人不及时偿还上市公司对其提供的担保而形成的债务，占用、转移公司资金、资产或者其他资源而给上市公司造成损失或者可能造成损失的，公司董事会应当及时采取追讨、诉讼、财产保全、责令提供担保等保护性措施避免或者减少损失，并追究有关人员的责任。</w:t>
      </w:r>
    </w:p>
    <w:p w14:paraId="2AF61C2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6.2.13 上市公司发生违规担保行为的，应当及时披露，并采取合理、有效措施解除或者改正违规担保行为，降低公司损失，维护公司及中小股东的利益，并追究有关人员的责任。</w:t>
      </w:r>
    </w:p>
    <w:p w14:paraId="27A08889">
      <w:pPr>
        <w:pStyle w:val="3"/>
        <w:spacing w:line="560" w:lineRule="exact"/>
        <w:ind w:left="0" w:firstLine="0"/>
        <w:rPr>
          <w:rFonts w:ascii="仿宋_GB2312" w:hAnsi="仿宋_GB2312"/>
        </w:rPr>
      </w:pPr>
      <w:bookmarkStart w:id="42" w:name="__RefHeading___Toc189646153"/>
      <w:bookmarkEnd w:id="42"/>
      <w:r>
        <w:rPr>
          <w:rFonts w:ascii="仿宋_GB2312" w:hAnsi="仿宋_GB2312"/>
        </w:rPr>
        <w:t>第三节 募集资金管理</w:t>
      </w:r>
    </w:p>
    <w:p w14:paraId="4C274B5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6.3.1 本规则适用于上市公司通过发行股票或者其他具有股权性质的证券，向投资者募集并用于特定用途的资金监管，但不包括上市公司为实施股权激励计划募集的资金监管。</w:t>
      </w:r>
    </w:p>
    <w:p w14:paraId="3D06B3D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本指引所称超募资金是指实际募集资金净额超过计划募集资金金额的部分。</w:t>
      </w:r>
    </w:p>
    <w:p w14:paraId="6258BEF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6.3.2 上市公司募集资金应当专款专用。上市公司使用募集资金应当符合国家产业政策和相关法律法规，践行可持续发展理念，履行社会责任，原则上应当用于主营业务，有利于增强公司竞争能力和创新能力。</w:t>
      </w:r>
    </w:p>
    <w:p w14:paraId="05CFFE84">
      <w:pPr>
        <w:widowControl/>
        <w:ind w:right="0" w:firstLine="600"/>
        <w:rPr>
          <w:rFonts w:ascii="仿宋_GB2312" w:hAnsi="仿宋_GB2312" w:eastAsia="仿宋_GB2312" w:cs="Times New Roman"/>
          <w:color w:val="000000"/>
          <w:kern w:val="0"/>
          <w:sz w:val="30"/>
          <w:szCs w:val="30"/>
        </w:rPr>
      </w:pPr>
      <w:r>
        <w:rPr>
          <w:rFonts w:ascii="仿宋_GB2312" w:hAnsi="仿宋_GB2312" w:eastAsia="仿宋_GB2312"/>
          <w:sz w:val="30"/>
          <w:szCs w:val="30"/>
        </w:rPr>
        <w:t>《监管规则适用指引——上市类第1号》对上市公司发行股份、可转换公司债券购买资产并募集配套资金用途另有规定的，从其规定。</w:t>
      </w:r>
    </w:p>
    <w:p w14:paraId="120791E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应当建立并完善募集资金存放、管理、使用、改变用途、监督和责任追究的内部控制制度，明确募集资金使用的分级审批权限、决策程序、风险控制措施及信息披露要求，规范使用募集资金。上市公司应当将募集资金内部控制制度及时在本所网站上披露。</w:t>
      </w:r>
    </w:p>
    <w:p w14:paraId="777F1BD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6.3.3 上市公司应当审慎使用募集资金，按照招股说明书或者其他公开发行募集文件所列用途使用，不得擅自改变用途。</w:t>
      </w:r>
    </w:p>
    <w:p w14:paraId="4B9FFF6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上市公司应当真实、准确、完整地披露募集资金的实际使用情况。出现严重影响募集资金投资计划正常进行的情形时，应当及时公告。</w:t>
      </w:r>
    </w:p>
    <w:p w14:paraId="52BB9DF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募集资金投资项目通过上市公司的子公司或者上市公司控制的其他企业实施的，上市公司应当确保该子公司或者受控制的其他企业遵守本节规定。</w:t>
      </w:r>
    </w:p>
    <w:p w14:paraId="6E73FA0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6.3.4 上市公司董事会应当持续关注募集资金存放、管理和使用情况，有效防范投资风险，提高募集资金使用效益。</w:t>
      </w:r>
    </w:p>
    <w:p w14:paraId="3F97AE2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公司的董事和高级管理人员应当勤勉尽责，确保上市公司募集资金安全，不得操控上市公司擅自或者变相改变募集资金用途。</w:t>
      </w:r>
    </w:p>
    <w:p w14:paraId="4EF106C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6.3.5 上市公司会计部门应当对募集资金的使用情况设立台账，详细记录募集资金的支出情况和募集资金项目的投入情况。</w:t>
      </w:r>
    </w:p>
    <w:p w14:paraId="705881B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公司内部审计机构应当至少每半年对募集资金的存放与使用情况检查一次，并及时向审计委员会报告检查结果。</w:t>
      </w:r>
    </w:p>
    <w:p w14:paraId="6B35414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公司审计委员会认为公司募集资金管理存在违规情形、重大风险或者内部审计机构没有按前款规定提交检查结果报告的，应当及时向董事会报告。董事会应当在收到报告后及时向本所报告并公告。</w:t>
      </w:r>
    </w:p>
    <w:p w14:paraId="3E936C4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6.3.6 上市公司应当审慎选择商业银行并开设募集资金专项账户（以下简称专户），募集资金应当存放于经董事会批准设立的专户集中管理，专户不得存放非募集资金或者用作其他用途。</w:t>
      </w:r>
    </w:p>
    <w:p w14:paraId="10BA50A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公司存在两次以上融资的，应当分别设置募集资金专户。超募资金也应当存放于募集资金专户管理。</w:t>
      </w:r>
    </w:p>
    <w:p w14:paraId="2048619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募集资金投资境外项目的，应当符合本节规定。公司及保荐人或者独立财务顾问应当采取有效措施，确保投资于境外项目的募集资金的安全性和使用规范性，并在《公司募集资金存放、管理与实际使用情况的专项报告》（以下简称《募集资金专项报告》）中披露相关具体措施和实际效果。</w:t>
      </w:r>
    </w:p>
    <w:p w14:paraId="177D999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6.3.7 上市公司应当在募集资金到账后1个月内与保荐人或者独立财务顾问、存放募集资金的商业银行（以下简称商业银行）签订募集资金专户存储三方监管协议并及时公告。相关协议签订后，公司可以使用募集资金。该协议至少应当包括以下内容：</w:t>
      </w:r>
    </w:p>
    <w:p w14:paraId="5833293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（一）公司应当将募集资金集中存放于募集资金专户；</w:t>
      </w:r>
    </w:p>
    <w:p w14:paraId="009E6F7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（二）募集资金专户账号、该专户涉及的募集资金项目、存放金额；</w:t>
      </w:r>
    </w:p>
    <w:p w14:paraId="6FDABA0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（三）商业银行应当每月向公司提供募集资金专户银行对账单，并抄送保荐人或者独立财务顾问；</w:t>
      </w:r>
    </w:p>
    <w:p w14:paraId="66498BF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（四）公司1次或者12个月以内累计从募集资金专户支取的金额超过5000万元且达到发行募集资金总额扣除发行费用后的净额（以下简称募集资金净额）的20%的，公司应当及时通知保荐人或者独立财务顾问；</w:t>
      </w:r>
    </w:p>
    <w:p w14:paraId="7B5AA7F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（五）保荐人或者独立财务顾问可以随时到商业银行查询募集资金专户资料；</w:t>
      </w:r>
    </w:p>
    <w:p w14:paraId="1C9BDA8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（六）保荐人或者独立财务顾问的督导职责、商业银行的告知及配合职责、保荐人或者独立财务顾问和商业银行对公司募集资金使用的监管方式；</w:t>
      </w:r>
    </w:p>
    <w:p w14:paraId="028FC5D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（七）公司、商业银行、保荐人或者独立财务顾问的违约责任；</w:t>
      </w:r>
    </w:p>
    <w:p w14:paraId="7C1544B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（八）商业银行3次未及时向保荐人或者独立财务顾问出具对账单，以及存在未配合保荐人或者独立财务顾问查询与调查专户资料情形的，公司可以终止协议并注销该募集资金专户。</w:t>
      </w:r>
    </w:p>
    <w:p w14:paraId="7C64480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上述协议在有效期届满前提前终止的，公司应当自协议终止之日起两周内与相关当事人签订新的协议并及时公告。</w:t>
      </w:r>
    </w:p>
    <w:p w14:paraId="69CABDD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6.3.8 上市公司募集资金原则上应当用于主营业务。除金融类企业外，募集资金不得用于持有财务性投资，不得直接或者间接投资于以买卖有价证券为主要业务的公司。募集资金使用不得有如下行为：</w:t>
      </w:r>
    </w:p>
    <w:p w14:paraId="0893151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（一）通过质押、委托贷款或者其他方式变相改变募集资金用途；</w:t>
      </w:r>
    </w:p>
    <w:p w14:paraId="29529BA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（二）将募集资金直接或者间接提供给控股股东、实际控制人及其他关联人使用，为关联人利用募投项目获取不正当利益提供便利；</w:t>
      </w:r>
    </w:p>
    <w:p w14:paraId="795B587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（三）违反募集资金管理规定的其他行为。</w:t>
      </w:r>
    </w:p>
    <w:p w14:paraId="24ED368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前款所称财务性投资的理解和适用，参照《&lt;上市公司证券发行注册管理办法&gt;第九条、第十条、第十一条、第十三条、第四十条、第五十七条、第六十条有关规定的适用意见——证券期货法律适用意见第18号》有关规定执行。</w:t>
      </w:r>
    </w:p>
    <w:p w14:paraId="66BE63F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公司发现控股股东、实际控制人及其他关联人占用募集资金的，应当及时要求归还，并披露占用发生的原因、对公司的影响、清偿整改方案及整改进展情况。</w:t>
      </w:r>
    </w:p>
    <w:p w14:paraId="5FF5B31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6.3.9 募集资金投资项目出现下列情形之一的，上市公司应当及时对该项目的可行性、预计收益等重新进行论证，决定是否继续实施该项目：</w:t>
      </w:r>
    </w:p>
    <w:p w14:paraId="397ED76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（一）募集资金投资项目涉及的市场环境发生重大变化的；</w:t>
      </w:r>
    </w:p>
    <w:p w14:paraId="3AAC65E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（二）募集资金到账后，募集资金投资项目搁置时间超过一年的；</w:t>
      </w:r>
    </w:p>
    <w:p w14:paraId="3E7BE2F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（三）超过募集资金投资计划的完成期限且募集资金投入金额未达到相关计划金额50%的；</w:t>
      </w:r>
    </w:p>
    <w:p w14:paraId="795B166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（四）募集资金投资项目出现其他异常情形的。</w:t>
      </w:r>
    </w:p>
    <w:p w14:paraId="00555C4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上市公司存在前款规定情形的，应当及时披露。需要调整募集资金投资计划的，应当同时披露调整后的募集资金投资计划；涉及改变募集资金投资项目的，适用改变募集资金用途的相关审议程序。</w:t>
      </w:r>
    </w:p>
    <w:p w14:paraId="2CF05F7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上市公司应当在年度报告和半年度报告中披露</w:t>
      </w:r>
      <w:r>
        <w:rPr>
          <w:rFonts w:ascii="仿宋_GB2312" w:hAnsi="仿宋_GB2312" w:eastAsia="仿宋_GB2312"/>
          <w:sz w:val="30"/>
          <w:szCs w:val="30"/>
        </w:rPr>
        <w:t>报告期内上市公司募投项目重新论证的具体情况</w:t>
      </w:r>
      <w:r>
        <w:rPr>
          <w:rFonts w:ascii="仿宋_GB2312" w:hAnsi="仿宋_GB2312" w:eastAsia="仿宋_GB2312" w:cs="Times New Roman"/>
          <w:color w:val="000000"/>
          <w:kern w:val="0"/>
          <w:sz w:val="30"/>
          <w:szCs w:val="30"/>
        </w:rPr>
        <w:t>。</w:t>
      </w:r>
    </w:p>
    <w:p w14:paraId="5AEC86F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6.3.10 募集资金投资项目预计无法在原定期限内完成，上市公司拟延期实施的，应当及时经董事会审议通过，保荐人或者独立财务顾问应当发表明确意见。上市公司应当及时披露未按期完成的具体原因，说明募集资金目前的存放和在账情况、是否存在影响募集资金使用计划正常推进的情形、预计完成的时间及分期投资计划、保障延期后按期完成的措施等情况。</w:t>
      </w:r>
    </w:p>
    <w:p w14:paraId="7E6BAD0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6.3.11 上市公司将募集资金用作以下事项时，应当经董事会审议通过，并由保荐人或者独立财务顾问发表明确意见后及时披露：</w:t>
      </w:r>
    </w:p>
    <w:p w14:paraId="2168770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（一）以募集资金置换已投入募集资金投资项目的自筹资金；</w:t>
      </w:r>
    </w:p>
    <w:p w14:paraId="1E4FB93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（二）使用暂时闲置的募集资金进行现金管理；</w:t>
      </w:r>
    </w:p>
    <w:p w14:paraId="6F78B1B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（三）使用暂时闲置的募集资金临时补充流动资金；</w:t>
      </w:r>
    </w:p>
    <w:p w14:paraId="6C57A97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（四）改变募集资金用途；</w:t>
      </w:r>
    </w:p>
    <w:p w14:paraId="29E6487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（五）超募资金用于在建项目及新项目、回购本公司股份并依法注销。</w:t>
      </w:r>
    </w:p>
    <w:p w14:paraId="205A12E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公司存在前款第（四）项和第（五）项规定情形的，还应当经股东会审议通过。</w:t>
      </w:r>
    </w:p>
    <w:p w14:paraId="15CF073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相关事项涉及关联交易、购买资产、对外投资等的，还应当按照本所《股票上市规则》等规则的有关规定履行审议程序和信息披露义务。</w:t>
      </w:r>
    </w:p>
    <w:p w14:paraId="3BEBDB6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6.3.12 上市公司以自筹资金预先投入募投项目，募集资金到位后以募集资金置换自筹资金的，应当在募集资金转入专户后六个月内实施。</w:t>
      </w:r>
    </w:p>
    <w:p w14:paraId="01C5234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募集资金投资项目实施过程中，原则上应当以募集资金直接支付，在支付人员薪酬、购买境外产品设备等事项中以募集资金直接支付确有困难的，可以在以自筹资金支付后六个月内实施置换。</w:t>
      </w:r>
    </w:p>
    <w:p w14:paraId="0DA1511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6.3.13上市公司可以对暂时闲置的募集资金进行现金管理，现金管理应当通过募集资金专户或者公开披露的产品专用结算账户实施。通过产品专用结算账户实施现金管理的，该账户不得存放非募集资金或者用作其他用途。实施现金管理不得影响募集资金投资计划正常进行。现金管理产品应当符合以下条件：</w:t>
      </w:r>
    </w:p>
    <w:p w14:paraId="1C8E161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（一）属于结构性存款、大额存单等安全性高的产品，不得为非保本型；</w:t>
      </w:r>
    </w:p>
    <w:p w14:paraId="5CC209C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（二）流动性好，产品期限不超过十二个月；</w:t>
      </w:r>
    </w:p>
    <w:p w14:paraId="2CF0252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（三）现金管理产品不得质押。</w:t>
      </w:r>
    </w:p>
    <w:p w14:paraId="7805F6B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第一款规定的现金管理产品到期募集资金按期收回并公告后，公司才可在授权的期限和额度内再次开展现金管理。</w:t>
      </w:r>
    </w:p>
    <w:p w14:paraId="2D49779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公司开立或者注销投资产品专用结算账户的，应当及时公告。</w:t>
      </w:r>
    </w:p>
    <w:p w14:paraId="1937AC6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6.3.14 上市公司使用暂时闲置的募集资金进行现金管理的，应当在董事会审议后及时披露下列内容：</w:t>
      </w:r>
    </w:p>
    <w:p w14:paraId="23C814C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（一）本次募集资金的基本情况，包括募集时间、募集资金金额、募集资金净额、投资计划等；</w:t>
      </w:r>
    </w:p>
    <w:p w14:paraId="4CACA2D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（二）募集资金使用情况；</w:t>
      </w:r>
    </w:p>
    <w:p w14:paraId="436F9B7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（三）现金管理的额度及期限，是否存在变相改变募集资金用途的行为和保证不影响募集资金投资项目正常进行的措施；</w:t>
      </w:r>
    </w:p>
    <w:p w14:paraId="026F5A6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（四）现金管理产品的收益分配方式、投资范围及安全性；</w:t>
      </w:r>
    </w:p>
    <w:p w14:paraId="3776A19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（五）保荐人或者独立财务顾问出具的意见。</w:t>
      </w:r>
    </w:p>
    <w:p w14:paraId="5163E28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公司应当在出现产品发行主体财务状况恶化、所投资的产品面临亏损等可能会损害上市公司和投资者利益的情形时，及时披露风险提示性公告，并说明公司为确保资金安全采取的风险控制措施。</w:t>
      </w:r>
    </w:p>
    <w:p w14:paraId="2E4DDE0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6.3.15 上市公司以暂时闲置的募集资金临时用于补充流动资金的，应当通过募集资金专户实施，并符合如下要求：</w:t>
      </w:r>
    </w:p>
    <w:p w14:paraId="5871370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（一）不得变相改变募集资金用途，不得影响募集资金投资计划的正常进行；</w:t>
      </w:r>
    </w:p>
    <w:p w14:paraId="25CD338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（二）仅限于与主营业务相关的生产经营使用；</w:t>
      </w:r>
    </w:p>
    <w:p w14:paraId="183CEA9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（三）单次临时补充流动资金时间不得超过12个月；</w:t>
      </w:r>
    </w:p>
    <w:p w14:paraId="000A56E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（四）已归还已到期的前次用于暂时补充流动资金的募集资金（如适用）。</w:t>
      </w:r>
    </w:p>
    <w:p w14:paraId="3CF377D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补充流动资金到期日之前，公司应当将该部分资金归还至募集资金专户，并就募集资金归还情况及时公告。</w:t>
      </w:r>
    </w:p>
    <w:p w14:paraId="2243C89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6.3.16 上市公司存在下列情形之一的，属于改变募集资金用途，应当由董事会依法作出决议，保荐人或者独立财务顾问发表明确意见，并提交股东会审议，上市公司应当及时披露相关信息：</w:t>
      </w:r>
    </w:p>
    <w:p w14:paraId="28D232B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（一）取消或者终止原募集资金投资项目，实施新项目或者永久补充流动资金；</w:t>
      </w:r>
    </w:p>
    <w:p w14:paraId="5C147F8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（二）改变募集资金投资项目实施主体；</w:t>
      </w:r>
    </w:p>
    <w:p w14:paraId="7D17955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（三）改变募集资金投资项目实施方式；</w:t>
      </w:r>
    </w:p>
    <w:p w14:paraId="710CB78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（四）中国证监会及本所认定为改变募集资金用途的其他情形。</w:t>
      </w:r>
    </w:p>
    <w:p w14:paraId="1A07BA8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上市公司存在前款第（一）项规定情形的，保荐人或者独立财务顾问应当结合前期披露的募集资金相关文件，具体说明募集资金投资项目发生变化的主要原因及前期中介机构意见的合理性。</w:t>
      </w:r>
    </w:p>
    <w:p w14:paraId="577F4B1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上市公司依据本指引第6.3.13条、第6.3.15条、第6.3.23条第二款规定使用募集资金，超过董事会审议程序确定的额度、期限等事项，情形严重的，视为擅自改变募集资金用途。</w:t>
      </w:r>
    </w:p>
    <w:p w14:paraId="284FD93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募集资金投资项目实施主体在上市公司及全资子公司之间进行变更，或者仅涉及募投项目实施地点变更的，不视为改变募集资金用途，由董事会作出决议，无需履行股东会审议程序，保荐人或者独立财务顾问应当对此发表明确意见，上市公司应当及时披露相关信息。</w:t>
      </w:r>
    </w:p>
    <w:p w14:paraId="7304391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6.3.17 上市公司拟变更募投项目的，应当在提交董事会审议后及时公告以下内容：</w:t>
      </w:r>
    </w:p>
    <w:p w14:paraId="22E479A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（一）原募投项目基本情况及变更的具体原因；</w:t>
      </w:r>
    </w:p>
    <w:p w14:paraId="05D5B56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（二）新募投项目的基本情况、可行性分析和风险提示；</w:t>
      </w:r>
    </w:p>
    <w:p w14:paraId="07D2F8F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（三）新募投项目的投资计划；</w:t>
      </w:r>
    </w:p>
    <w:p w14:paraId="17C53B6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（四）新募投项目已经取得或者尚待有关部门审批的说明（如适用）；</w:t>
      </w:r>
    </w:p>
    <w:p w14:paraId="211CD45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（五）保荐人或者独立财务顾问对变更募投项目的意见；</w:t>
      </w:r>
    </w:p>
    <w:p w14:paraId="14E9E1D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（六）变更募投项目尚需提交股东会审议的说明；</w:t>
      </w:r>
    </w:p>
    <w:p w14:paraId="27CBD2F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（七）本所要求的其他内容。</w:t>
      </w:r>
    </w:p>
    <w:p w14:paraId="76CA843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新募投项目涉及关联交易、购买资产、对外投资的，还应当按照本所《股票上市规则》等规则的有关规定履行审议程序和信息披露义务。</w:t>
      </w:r>
    </w:p>
    <w:p w14:paraId="05B69D2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6.3.18 变更后的募投项目应当投资于主营业务。</w:t>
      </w:r>
    </w:p>
    <w:p w14:paraId="63E7D6F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上市公司应当科学、审慎地进行新募投项目的可行性分析，确信投资项目有利于增强公司竞争能力和创新能力，有效防范投资风险，提高募集资金使用效益。</w:t>
      </w:r>
    </w:p>
    <w:p w14:paraId="13CD6A1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6.3.19 上市公司变更募投项目用于收购控股股东或者实际控制人资产（包括权益）的，应当确保在收购后能够有效避免同业竞争及减少关联交易。</w:t>
      </w:r>
    </w:p>
    <w:p w14:paraId="651864B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6.3.20 除募投项目在上市公司实施重大资产重组中已全部对外转让或者置换的情形外，公司拟将募投项目对外转让或者置换的，应当在提交董事会审议后及时公告以下内容：</w:t>
      </w:r>
    </w:p>
    <w:p w14:paraId="3BB07EF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（一）对外转让或者置换募投项目的具体原因；</w:t>
      </w:r>
    </w:p>
    <w:p w14:paraId="7990588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（二）已使用募集资金投资该项目的金额；</w:t>
      </w:r>
    </w:p>
    <w:p w14:paraId="2057AD4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（三）该项目完工程度和实现效益；</w:t>
      </w:r>
    </w:p>
    <w:p w14:paraId="6041C19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（四）换入项目的基本情况、可行性分析和风险提示（如适用）；</w:t>
      </w:r>
    </w:p>
    <w:p w14:paraId="2611B7C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（五）转让或者置换的定价依据及相关收益；</w:t>
      </w:r>
    </w:p>
    <w:p w14:paraId="799CF6E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（六）保荐人或者独立财务顾问对转让或者置换募投项目的意见；</w:t>
      </w:r>
    </w:p>
    <w:p w14:paraId="253277D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（七）转让或者置换募投项目尚需提交股东会审议的说明。</w:t>
      </w:r>
    </w:p>
    <w:p w14:paraId="02FE202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6.3.21 单个募投项目完成后，上市公司将该项目节余募集资金（包括利息收入）用于其他募投项目的，应当经董事会审议通过，且经保荐人或者独立财务顾问发表明确意见后方可使用。公司应当在董事会审议后及时公告。</w:t>
      </w:r>
    </w:p>
    <w:p w14:paraId="47C817C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节余募集资金（包括利息收入）低于100万或者低于该项目募集资金承诺投资额5%的，可以免于履行前款程序，其使用情况应在年度报告中披露。</w:t>
      </w:r>
    </w:p>
    <w:p w14:paraId="6A98A21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公司单个募投项目节余募集资金（包括利息收入）用于非募投项目（包括补充流动资金）的，应当参照改变募集资金用途履行相应程序及披露义务。</w:t>
      </w:r>
    </w:p>
    <w:p w14:paraId="063A625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6.3.22 募投项目全部完成后，上市公司使用节余募集资金（包括利息收入）应当经董事会审议通过，且经保荐人或者独立财务顾问发表明确意见。公司应当在董事会审议后及时公告。节余募集资金（包括利息收入）占募集资金净额10%以上的，还应当经股东会审议通过。</w:t>
      </w:r>
    </w:p>
    <w:p w14:paraId="5C5285F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节余募集资金（包括利息收入）低于500万或者低于募集资金净额5%的，可以免于履行前款程序，其使用情况应在最近一期定期报告中披露。</w:t>
      </w:r>
    </w:p>
    <w:p w14:paraId="1F0400D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6.3.23 上市公司应当根据公司的发展规划及实际生产经营需求，妥善安排超募资金的使用计划。超募资金应当用于在建项目及新项目、回购本公司股份并依法注销。上市公司应当至迟于同一批次的募投项目整体结项时明确超募资金的具体使用计划，并按计划投入使用。使用超募资金应当由董事会依法作出决议，保荐人或者独立财务顾问应当发表明确意见，并提交股东会审议，上市公司应当及时、充分披露使用超募资金的必要性和合理性等相关信息。上市公司使用超募资金投资在建项目及新项目的，还应当充分披露相关项目的建设方案、投资周期、回报率等信息。</w:t>
      </w:r>
    </w:p>
    <w:p w14:paraId="41B689F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确有必要使用暂时闲置的超募资金进行现金管理或者临时补充流动资金的，应当说明必要性和合理性。上市公司将暂时闲置的超募资金进行现金管理或者临时补充流动资金的，额度、期限等事项应当经董事会审议通过，保荐人应当发表明确意见，上市公司应当及时披露相关信息。</w:t>
      </w:r>
    </w:p>
    <w:p w14:paraId="311285A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6.3.24 上市公司董事会应当持续关注募集资金和超募资金（如有）的实际管理与使用情况，每半年度全面核查募投项目的进展情况，编制、审议并披露《募集资金专项报告》。相关专项报告应当包括募集资金和超募资金的基本情况和本指引规定的存放、管理和使用情况。募投项目实际投资进度与投资计划存在差异的，公司应当在《募集资金专项报告》中解释具体原因。</w:t>
      </w:r>
    </w:p>
    <w:p w14:paraId="080B871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年度审计时，公司应当聘请会计师事务所对募集资金存放、管理和使用情况出具鉴证报告，并于披露年度报告时一并披露。</w:t>
      </w:r>
    </w:p>
    <w:p w14:paraId="0E97D12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6.3.25 保荐人或者独立财务顾问应当按照《证券发行上市保荐业务管理办法》的规定，对上市公司募集资金的存放、管理和使用进行持续督导，持续督导中发现异常情况的，应当及时开展现场核查。保荐人或者独立财务顾问应当至少每半年度对上市公司募集资金的存放、管理和使用情况进行一次现场核查。</w:t>
      </w:r>
      <w:r>
        <w:rPr>
          <w:rFonts w:ascii="仿宋_GB2312" w:hAnsi="仿宋_GB2312" w:eastAsia="仿宋_GB2312"/>
          <w:sz w:val="30"/>
          <w:szCs w:val="30"/>
        </w:rPr>
        <w:t>保荐机构</w:t>
      </w:r>
      <w:r>
        <w:rPr>
          <w:rFonts w:ascii="仿宋_GB2312" w:hAnsi="仿宋_GB2312" w:eastAsia="仿宋_GB2312" w:cs="Times New Roman"/>
          <w:color w:val="000000"/>
          <w:kern w:val="0"/>
          <w:sz w:val="30"/>
          <w:szCs w:val="30"/>
        </w:rPr>
        <w:t>或者独立财务顾问</w:t>
      </w:r>
      <w:r>
        <w:rPr>
          <w:rFonts w:ascii="仿宋_GB2312" w:hAnsi="仿宋_GB2312" w:eastAsia="仿宋_GB2312"/>
          <w:sz w:val="30"/>
          <w:szCs w:val="30"/>
        </w:rPr>
        <w:t>在持续督导和现场核查中</w:t>
      </w:r>
      <w:r>
        <w:rPr>
          <w:rFonts w:ascii="仿宋_GB2312" w:hAnsi="仿宋_GB2312" w:eastAsia="仿宋_GB2312" w:cs="Times New Roman"/>
          <w:color w:val="000000"/>
          <w:kern w:val="0"/>
          <w:sz w:val="30"/>
          <w:szCs w:val="30"/>
        </w:rPr>
        <w:t>发现异常情况的，应当督促公司及时整改，并及时向本所及有关监管部门报告。</w:t>
      </w:r>
    </w:p>
    <w:p w14:paraId="62D0681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每个会计年度结束后，保荐人或者独立财务顾问应当对上市公司年度募集资金存放、管理和使用情况出具专项核查报告，并于上市公司披露年度报告时一并披露。核查报告应当包括以下内容：</w:t>
      </w:r>
    </w:p>
    <w:p w14:paraId="2C12FE3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（一）募集资金的存放、管理和使用及专户余额情况；</w:t>
      </w:r>
    </w:p>
    <w:p w14:paraId="12C3CD8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（二）募集资金项目的进展情况，包括与募集资金投资计划进度的差异；</w:t>
      </w:r>
    </w:p>
    <w:p w14:paraId="5F7A271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（三）用募集资金置换已投入募集资金投资项目的自筹资金情况（如适用）；</w:t>
      </w:r>
    </w:p>
    <w:p w14:paraId="0CB2D45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（四）闲置募集资金补充流动资金的情况和效果（如适用）；</w:t>
      </w:r>
    </w:p>
    <w:p w14:paraId="144E5D0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（五）闲置募集资金现金管理的情况（如适用）；</w:t>
      </w:r>
    </w:p>
    <w:p w14:paraId="1C7B55E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（六）超募资金的使用情况（如适用）；</w:t>
      </w:r>
    </w:p>
    <w:p w14:paraId="423701A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（七）募集资金投向变更的情况（如适用）；</w:t>
      </w:r>
    </w:p>
    <w:p w14:paraId="05AE479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（八）节余募集资金使用情况（如适用）；</w:t>
      </w:r>
    </w:p>
    <w:p w14:paraId="7711572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（九）上市公司募集资金存放、管理和使用情况是否合规的结论性意见；</w:t>
      </w:r>
    </w:p>
    <w:p w14:paraId="2C328FD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（十）本所要求的其他内容。</w:t>
      </w:r>
    </w:p>
    <w:p w14:paraId="556DFCA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每个会计年度结束后，公司董事会应当在《募集资金专项报告》中披露保荐人或者独立财务顾问专项核查报告和会计师事务所鉴证报告的结论性意见。</w:t>
      </w:r>
    </w:p>
    <w:p w14:paraId="2A2521E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上市公司应当配合保荐机构的持续督导、现场核查、以及会计师事务所的审计工作，及时提供或者向银行申请提供募集资金存放、管理和使用相关的必要资料。</w:t>
      </w:r>
    </w:p>
    <w:p w14:paraId="5F4B9A7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保荐人或者独立财务顾问发现上市公司、商业银行未按约定履行募集资金专户存储三方监管协议的，应当督促公司及时整改，并及时向本所报告。</w:t>
      </w:r>
    </w:p>
    <w:p w14:paraId="3BF3C1CC">
      <w:pPr>
        <w:pStyle w:val="3"/>
        <w:spacing w:line="560" w:lineRule="exact"/>
        <w:ind w:left="0" w:firstLine="0"/>
        <w:rPr>
          <w:rFonts w:ascii="仿宋_GB2312" w:hAnsi="仿宋_GB2312"/>
        </w:rPr>
      </w:pPr>
      <w:bookmarkStart w:id="43" w:name="__RefHeading___Toc189646154"/>
      <w:bookmarkEnd w:id="43"/>
      <w:r>
        <w:rPr>
          <w:rFonts w:ascii="仿宋_GB2312" w:hAnsi="仿宋_GB2312"/>
        </w:rPr>
        <w:t>第四节 承诺及承诺履行</w:t>
      </w:r>
    </w:p>
    <w:p w14:paraId="62619AE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6.4.1 上市公司及相关信息披露义务人应当严格遵守中国证监会和本所相关规定，履行其作出的各项公开承诺，采取有效措施确保承诺的履行，不得擅自变更或者解除。</w:t>
      </w:r>
    </w:p>
    <w:p w14:paraId="1A02DBC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6.4.2 承诺人应当及时将其作出的承诺事项告知上市公司，公司应当及时披露承诺人承诺事项。</w:t>
      </w:r>
    </w:p>
    <w:p w14:paraId="6C57D2B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6.4.3 承诺人作出的承诺应当明确、具体、可执行，不得承诺根据当时情况判断明显不可能实现的事项。承诺人应当在承诺中作出履行承诺声明、明确违反承诺的责任，并切实履行承诺。</w:t>
      </w:r>
    </w:p>
    <w:p w14:paraId="1D8616F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承诺事项需要主管部门审批的，承诺人应当明确披露需要取得的审批，并明确如无法取得审批的补救措施。</w:t>
      </w:r>
    </w:p>
    <w:p w14:paraId="007CB22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承诺人应当关注自身经营、财务状况及承诺履行能力，在其经营财务状况恶化、担保人或者担保物发生变化导致或者可能导致其无法履行承诺时，应当及时告知上市公司并披露，说明有关影响承诺履行的具体情况，同时提供新的履行担保。</w:t>
      </w:r>
    </w:p>
    <w:p w14:paraId="7ED6A3A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6.4.4 承诺人作出的承诺事项应当包括下列内容：</w:t>
      </w:r>
    </w:p>
    <w:p w14:paraId="52B2DA4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（一）承诺的具体事项；</w:t>
      </w:r>
    </w:p>
    <w:p w14:paraId="172EA51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（二）履约方式、履约时限、履约能力分析、履约风险及防范对策；</w:t>
      </w:r>
    </w:p>
    <w:p w14:paraId="2870832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（三）履约担保安排，包括担保方、担保方资质、担保方式、担保协议（函）主要条款、担保责任等（如有）；</w:t>
      </w:r>
    </w:p>
    <w:p w14:paraId="4B43F91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（四）履行承诺声明和违反承诺的责任；</w:t>
      </w:r>
    </w:p>
    <w:p w14:paraId="7EB39D1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（五）中国证监会和本所要求的其他内容。</w:t>
      </w:r>
    </w:p>
    <w:p w14:paraId="69F6016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的实际控制人、股东、关联人、收购人和上市公司在首次公开发行股票、再融资、并购重组以及公司治理专项活动等过程中作出的解决同业竞争、资产注入、股权激励、解决产权瑕疵等各项承诺事项，应当有明确的履约时限，不得使用“尽快”“时机成熟时”等模糊性词语，承诺履行涉及行业政策限制的，应当在政策允许的基础上明确履约时限。</w:t>
      </w:r>
    </w:p>
    <w:p w14:paraId="7B139D8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6.4.5 上市公司应当在定期报告中按规定披露报告期内发生或者正在履行中的所有承诺事项及具体履行情况。</w:t>
      </w:r>
    </w:p>
    <w:p w14:paraId="6E5A012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6.4.6 上市公司股东、交易对方对公司或者相关资产报告年度经营业绩作出承诺的，公司董事会应当关注业绩承诺的实现情况。</w:t>
      </w:r>
    </w:p>
    <w:p w14:paraId="14D203E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公司应当在年度报告中披露上述事项，要求会计师事务所、保荐人或独立财务顾问（如适用）对此出具专项审核意见，并与年度报告同时在符合条件的媒体披露。</w:t>
      </w:r>
    </w:p>
    <w:p w14:paraId="0ECEBCE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公司追溯调整标的资产承诺期实际盈利数的，应当及时披露相关情况并明确说明调整后是否实现。</w:t>
      </w:r>
    </w:p>
    <w:p w14:paraId="718E0B0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6.4.7 上市公司控股股东、实际控制人通过处置股权等方式丧失控制权的，如该控股股东、实际控制人承诺的相关事项未履行完毕，相关承诺义务应当予以履行或者由收购人予以承接，相关事项应当明确披露。</w:t>
      </w:r>
    </w:p>
    <w:p w14:paraId="205FCFB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6.4.8 出现以下情形的，承诺人可以变更或者豁免履行承诺：</w:t>
      </w:r>
    </w:p>
    <w:p w14:paraId="4ED1F76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（一）因相关法律法规、政策变化、自然灾害等自身无法控制的客观原因导致承诺无法履行的；</w:t>
      </w:r>
    </w:p>
    <w:p w14:paraId="3473055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（二）其他确已无法履行或者履行承诺不利于维护上市公司权益的。</w:t>
      </w:r>
    </w:p>
    <w:p w14:paraId="2AC57C6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公司及承诺人应当充分披露变更或者豁免履行承诺的原因，并及时提出替代承诺或者承担豁免履行承诺义务。</w:t>
      </w:r>
    </w:p>
    <w:p w14:paraId="599700D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6.4.9 除因相关法律法规、政策变化、自然灾害等自身无法控制的客观原因外，变更、豁免承诺的方案应当经上市公司全体独立董事过半数同意后，提交董事会和股东会审议，上市公司应当向股东提供网络投票方式，承诺人及其关联人应当回避表决。变更、豁免承诺的方案未经股东会审议通过且承诺到期的，视同逾期不履行承诺。</w:t>
      </w:r>
    </w:p>
    <w:p w14:paraId="03D4FB0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6.4.10 承诺人对其所持有的上市公司股份的持有期限等追加承诺的，不得影响其已经作出承诺的履行。承诺人作出追加承诺后应当及时通知公司董事会并公告。</w:t>
      </w:r>
    </w:p>
    <w:p w14:paraId="7F58082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6.4.11 承诺人作出股份限售等承诺的，其所持股份因司法强制执行、继承、遗赠、依法分割财产等原因发生非交易过户的，受让方应当遵守原股东作出的相关承诺。</w:t>
      </w:r>
    </w:p>
    <w:p w14:paraId="673658F7">
      <w:pPr>
        <w:widowControl/>
        <w:shd w:val="clear" w:fill="FFFFFF"/>
        <w:spacing w:line="560" w:lineRule="exact"/>
        <w:ind w:right="0" w:firstLine="601"/>
        <w:rPr>
          <w:rFonts w:ascii="仿宋_GB2312" w:hAnsi="仿宋_GB2312" w:eastAsia="仿宋_GB2312" w:cs="Times New Roman"/>
          <w:sz w:val="30"/>
          <w:szCs w:val="30"/>
        </w:rPr>
      </w:pPr>
      <w:r>
        <w:rPr>
          <w:rFonts w:ascii="仿宋_GB2312" w:hAnsi="仿宋_GB2312" w:eastAsia="仿宋_GB2312" w:cs="Times New Roman"/>
          <w:color w:val="000000"/>
          <w:kern w:val="0"/>
          <w:sz w:val="30"/>
          <w:szCs w:val="30"/>
        </w:rPr>
        <w:t>6.4.12 上市公司董事会应当督促承诺人严格遵守承诺。承诺人违反承诺的，董事会应当主动、及时要求相关承诺人承担违约责任，并及时披露相关承诺人违反承诺的情况、公司采取的补救措施、违约金计算方法、董事会收回相关违约金的情况等内容。</w:t>
      </w:r>
    </w:p>
    <w:p w14:paraId="1C06C0B2">
      <w:pPr>
        <w:pStyle w:val="3"/>
        <w:spacing w:line="560" w:lineRule="exact"/>
        <w:ind w:left="0" w:firstLine="0"/>
        <w:rPr>
          <w:rFonts w:ascii="仿宋_GB2312" w:hAnsi="仿宋_GB2312"/>
        </w:rPr>
      </w:pPr>
      <w:bookmarkStart w:id="44" w:name="__RefHeading___Toc189646155"/>
      <w:bookmarkEnd w:id="44"/>
      <w:r>
        <w:rPr>
          <w:rFonts w:ascii="仿宋_GB2312" w:hAnsi="仿宋_GB2312"/>
        </w:rPr>
        <w:t>第五节 利润分配和资本公积金转增股本</w:t>
      </w:r>
    </w:p>
    <w:p w14:paraId="49B97A7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6.5.1 上市公司应当结合所处行业特点、发展阶段、自身经营模式、盈利水平、偿债能力、是否有重大资金支出安排和投资者回报等因素，选择有利于投资者分享公司成长和发展成果、取得合理投资回报的利润分配政策。</w:t>
      </w:r>
    </w:p>
    <w:p w14:paraId="3363ECA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6.5.2 上市公司制定利润分配政策时，应当按照法律法规、本所相关规定及公司章程履行决策程序。董事会应当就股东回报事宜进行专项研究论证，制定明确、清晰的股东回报规划，并详细说明规划安排的依据和理由等情况。本所鼓励上市公司在符合利润分配的条件下增加现金分红频次，稳定投资者分红预期。</w:t>
      </w:r>
    </w:p>
    <w:p w14:paraId="1BBBC58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上市公司应当在公司章程中载明以下内容：</w:t>
      </w:r>
    </w:p>
    <w:p w14:paraId="3C42A2C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（一）公司董事会、股东会对利润分配尤其是现金分红事项的决策程序和机制，对既定利润分配政策尤其是现金分红政策作出调整的具体条件、决策程序和机制，以及为充分听取中小股东意见所采取的措施。</w:t>
      </w:r>
    </w:p>
    <w:p w14:paraId="6422157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公司的利润分配政策尤其是现金分红政策的具体内容和条件，利润分配的形式，发放股票股利的条件，现金分红相对于股票股利在利润分配方式中的优先顺序，年度、中期现金分红最低金额或比例（如有）等。</w:t>
      </w:r>
    </w:p>
    <w:p w14:paraId="7A3D088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具备现金分红条件的，应当采用现金分红方式进行利润分配。</w:t>
      </w:r>
    </w:p>
    <w:p w14:paraId="6E9B30A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6.5.3 上市公司通过股东回报规划对公司未来利润分配事项作出安排的，应当充分考虑相关规划的合理性和可执行性。</w:t>
      </w:r>
    </w:p>
    <w:p w14:paraId="6FF757E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公司应当严格执行股东回报规划。确有必要根据相关规划确定的原则对利润分配事项作出调整的，应当按规定履行相应的调整决策程序，并充分披露调整的具体原因及合理性。</w:t>
      </w:r>
    </w:p>
    <w:p w14:paraId="35D4CDE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6.5.4 上市公司应当按照法律法规及本所相关规定在年度报告相关部分中详细披露现金分红政策的制定及执行情况。</w:t>
      </w:r>
    </w:p>
    <w:p w14:paraId="4290A96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6.5.5 上市公司在制定现金分红具体方案时，董事会应当认真研究和论证公司现金分红的时机、条件和最低比例、调整的条件及其决策程序要求等事宜。</w:t>
      </w:r>
    </w:p>
    <w:p w14:paraId="228683F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认为现金分红具体方案可能损害上市公司或者中小股东权益的，有权发表独立意见。董事会对独立董事的意见未采纳或者未完全采纳的，应当在董事会决议公告中披露独立董事的意见及未采纳的具体理由。</w:t>
      </w:r>
    </w:p>
    <w:p w14:paraId="26585FE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应当关注董事会执行现金分红政策和股东回报规划以及是否履行相应决策程序和信息披露等情况。审计委员会发现董事会存在未严格执行现金分红政策和股东回报规划、未严格履行相应决策程序或未能真实、准确、完整进行相应信息披露的，督促其及时改正。</w:t>
      </w:r>
    </w:p>
    <w:p w14:paraId="2FB167D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6.5.6 上市公司年度报告期内盈利且母公司报表中未分配利润为正，未进行现金分红或者拟分配的现金红利总额与当年净利润之比低于30%的，公司应当在利润分配相关公告中详细披露以下事项：</w:t>
      </w:r>
    </w:p>
    <w:p w14:paraId="6C2D913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（一）结合所处行业特点、发展阶段、自身经营模式、盈利水平、偿债能力、资金需求等因素，对于未进行现金分红或者现金分红水平较低原因的说明；</w:t>
      </w:r>
    </w:p>
    <w:p w14:paraId="4024AFA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（二）留存未分配利润的预计用途及收益情况；</w:t>
      </w:r>
    </w:p>
    <w:p w14:paraId="2D1A4C4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（三）公司在相应期间是否按照中国证监会相关规定为中小股东参与现金分红决策提供了便利；</w:t>
      </w:r>
    </w:p>
    <w:p w14:paraId="6F91CAD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（四）公司为增强投资者回报水平拟采取的措施。</w:t>
      </w:r>
    </w:p>
    <w:p w14:paraId="77640B9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上市公司母公司报表中未分配利润为负但合并报表中未分配利润为正的，公司应当在年度利润分配相关公告中披露上市公司控股子公司向母公司实施利润分配的情况，及公司为增强投资者回报水平拟采取的措施。</w:t>
      </w:r>
    </w:p>
    <w:p w14:paraId="7318520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6.5.7 非金融业上市公司年度报告期内盈利且母公司报表中未分配利润为正，最近连续两个会计年度经审计的交易性金融资产、衍生金融资产（套期保值工具除外）、债权投资、其他债权投资、其他权益工具投资、其他非流动金融资产、其他流动资产（待抵扣增值税、预缴税费、合同取得成本等与经营活动相关的资产除外）等财务报表项目金额合计占总资产的50%以上，未进行现金分红或者现金分红总额低于当年净利润50%的，应当在利润分配相关公告中，结合前述财务报表列报项目的具体情况，说明现金分红比例确定的依据，以及未来增强投资者回报的规划。</w:t>
      </w:r>
    </w:p>
    <w:p w14:paraId="4935374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6.5.8 上市公司利润分配方案中现金分红的金额达到或者超过当期净利润的100%，且达到或者超过当期末母公司报表中未分配利润的50%的，公司应当在利润分配相关公告中同时披露是否影响偿债能力、过去十二个月内是否使用过募集资金补充流动资金以及未来十二个月内是否计划使用募集资金补充流动资金等内容。</w:t>
      </w:r>
    </w:p>
    <w:p w14:paraId="1CB4883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存在下列情形之一的，应当根据公司盈利能力、融资能力及其成本、偿债能力及现金流等情况，在利润分配相关公告中披露该现金分红方案的合理性，是否导致公司营运资金不足或者影响公司正常生产经营：</w:t>
      </w:r>
    </w:p>
    <w:p w14:paraId="0DFF100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（一）最近一个会计年度的财务会计报告被出具非无保留意见的审计报告或者带与持续经营相关的重大不确定性段落的无保留意见的审计报告，且实施现金分红的；</w:t>
      </w:r>
    </w:p>
    <w:p w14:paraId="7D79035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（二）报告期末资产负债率超过80%且当期经营活动产生的现金流量净额为负，现金分红金额超过当期净利润50%的，金融业上市公司除外。</w:t>
      </w:r>
    </w:p>
    <w:p w14:paraId="5F6E90B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6.5.9 上市公司现金分红方案应当以其最近一期定期报告为基础编制。但是，有下列情形之一的除外：</w:t>
      </w:r>
    </w:p>
    <w:p w14:paraId="63727FB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上市公司因其股票、可转换公司债券等的发行上市时间安排，导致现金分红方案未能以最近一期定期报告为基础编制的，可以根据公司章程、招股说明书、募集说明书等文件中载明的股东回报规划、现金分红政策和现金分红承诺确定现金分红方案对应的定期报告期；</w:t>
      </w:r>
    </w:p>
    <w:p w14:paraId="439E41F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（二）中国证监会或者本所认可的其他需要调整现金分红方案对应定期报告期的情形。</w:t>
      </w:r>
    </w:p>
    <w:p w14:paraId="03F8C1A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存在前款规定情形的，应当披露作为现金分红方案基础的定期报告期截止日至现金分红方案披露期间，其生产经营、业绩及现金流情况是否发生重大变化，现金分红方案是否符合法律法规、本所相关规定、公司章程及公开承诺。</w:t>
      </w:r>
    </w:p>
    <w:p w14:paraId="6C7A04C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6.5.10 上市公司在报告期结束后，至利润分配、资本公积金转增股本方案公布前发生股本总额变动的，应当以最新股本总额作为分配或者转增的股本基数。</w:t>
      </w:r>
    </w:p>
    <w:p w14:paraId="577144F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公司董事会在审议利润分配、资本公积金转增股本方案时，应当明确在利润分配、资本公积金转增股本方案公布后至实施前，出现股权激励行权、可转债转股、股份回购等情形时的方案调整原则。</w:t>
      </w:r>
    </w:p>
    <w:p w14:paraId="55158E9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根据中国证监会相关规定，拟发行证券的公司存在利润分配、资本公积金转增股本方案尚未提交股东会表决或者虽经股东会表决通过但未实施的，应当在方案实施后发行。相关方案实施前，主承销商不得承销公司发行的证券。</w:t>
      </w:r>
    </w:p>
    <w:p w14:paraId="2776AEC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6.5.11 上市公司利润分配方案经股东会审议通过，或者董事会根据年度股东会审议通过的中期分红条件和上限制定具体方案后，应当及时做好资金安排，确保现金分红方案在2个月内顺利实施。</w:t>
      </w:r>
    </w:p>
    <w:p w14:paraId="1911E19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6.5.12 上市公司实施高比例送转股份（以下简称高送转）方案的，应当符合《公司法》《企业会计准则》以及公司章程等规定，并符合公司确定的利润分配政策、利润分配计划、股东长期回报规划以及作出的相关承诺。</w:t>
      </w:r>
    </w:p>
    <w:p w14:paraId="24D4E91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高送转是指上市公司每10股送红股与公积金转增股本合计达到或者超过5股。</w:t>
      </w:r>
    </w:p>
    <w:p w14:paraId="629413D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6.5.13 上市公司披露高送转方案的，其最近两年同期净利润应当持续增长，且每股送转比例不得高于上市公司最近两年同期净利润的复合增长率。</w:t>
      </w:r>
    </w:p>
    <w:p w14:paraId="46FB493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公司在报告期内实施再融资、并购重组导致净资产有较大变化的，每股送转比例可以不受前款规定的限制，但不得高于上市公司报告期末净资产较之于期初净资产的增长率。</w:t>
      </w:r>
    </w:p>
    <w:p w14:paraId="0C29169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本条第一款规定的最近两年同期净利润的复合增长率，是指（第N年净利润/第N-2年净利润绝对值）</w:t>
      </w:r>
      <w:r>
        <w:rPr>
          <w:rFonts w:ascii="仿宋_GB2312" w:hAnsi="仿宋_GB2312" w:eastAsia="仿宋_GB2312" w:cs="Times New Roman"/>
          <w:color w:val="000000"/>
          <w:kern w:val="0"/>
          <w:sz w:val="30"/>
          <w:szCs w:val="30"/>
          <w:vertAlign w:val="superscript"/>
        </w:rPr>
        <w:t>1/2</w:t>
      </w:r>
      <w:r>
        <w:rPr>
          <w:rFonts w:ascii="仿宋_GB2312" w:hAnsi="仿宋_GB2312" w:eastAsia="仿宋_GB2312" w:cs="Times New Roman"/>
          <w:color w:val="000000"/>
          <w:kern w:val="0"/>
          <w:sz w:val="30"/>
          <w:szCs w:val="30"/>
        </w:rPr>
        <w:t>-1；若分子采用第N年中期净利润的，分母相应为第N-2年同期的净利润。</w:t>
      </w:r>
    </w:p>
    <w:p w14:paraId="4264F54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6.5.14 上市公司最近两年净利润持续增长且最近三年每股收益均不低于1元，公司认为确有必要提出高送转方案的，每股送转比例可以不受前两款规定的限制，但应当充分披露高送转方案的主要考虑及其合理性，向投资者揭示风险，且其送转后每股收益不得低于0.5元。</w:t>
      </w:r>
    </w:p>
    <w:p w14:paraId="4D203A6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6.5.15 上市公司存在下列情形之一的，不得披露高送转方案：</w:t>
      </w:r>
    </w:p>
    <w:p w14:paraId="7049DE3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（一）送转股方案提出的最近一个报告期净利润或者预计净利润为负值、净利润同比下降50%以上或者送转后每股收益低于0.2元的；</w:t>
      </w:r>
    </w:p>
    <w:p w14:paraId="1BB00DC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（二）公司提议股东、控股股东及其一致行动人和董事、高级管理人员（以下简称相关股东）在前3个月存在减持情形或者后3个月存在减持计划的；</w:t>
      </w:r>
    </w:p>
    <w:p w14:paraId="3E70350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（三）公司存在限售股（股权激励限售股除外），在相关股东所持限售股解除限售前后3个月内的。</w:t>
      </w:r>
    </w:p>
    <w:p w14:paraId="102005F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公司披露高送转方案的，应当同时披露向前款第（二）项规定的相关股东问询其未来减持计划的具体过程，包括但不限于未来3个月、未来6个月的减持计划情况等，并披露相关股东的回复。</w:t>
      </w:r>
    </w:p>
    <w:p w14:paraId="31074B2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6.5.16 上市公司提出高送转方案的，应当经董事会审议通过。</w:t>
      </w:r>
    </w:p>
    <w:p w14:paraId="688F807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单独或者合计持有公司1%以上股份的股东及其一致行动人向公司提议高送转方案的，公司应当立即召开董事会审议决定是否同意股东提出的高送转方案。</w:t>
      </w:r>
    </w:p>
    <w:p w14:paraId="7D1765A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公司董事会审议高送转方案时，应当结合公司实际经营业绩情况等因素，审慎评估高送转方案的合理性与可行性，并对外披露。</w:t>
      </w:r>
    </w:p>
    <w:p w14:paraId="2AC0CE8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6.5.17 上市公司披露高送转方案的，应当按照本所公告格式的要求履行信息披露义务。</w:t>
      </w:r>
    </w:p>
    <w:p w14:paraId="3A21D34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单独或者合计持有公司1%以上股份的股东及其一致行动人直接向股东会提出高送转议案的，应当适用本指引规定，并参照前款按照本所公告格式对外披露。</w:t>
      </w:r>
    </w:p>
    <w:p w14:paraId="3F391F4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公司披露的高送转方案公告中，应当详细说明高送转方案的主要内容、股东提议高送转方案的情况及理由、董事会审议高送转方案的情况、董事及提议股东等主体的增减持情况等，并充分揭示风险。</w:t>
      </w:r>
    </w:p>
    <w:p w14:paraId="2FB681B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6.5.18 上市公司披露高送转方案，应当符合法律法规、本所相关规定及公司章程，其股份送转比例应当与业绩增长情况相匹配，不得利用高送转方案配合股东减持或者限售股解禁，不得利用高送转方案从事内幕交易、市场操纵等违法违规行为。</w:t>
      </w:r>
    </w:p>
    <w:p w14:paraId="10246D1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6.5.19 上市公司披露高送转方案时，尚未披露本期业绩预告或者业绩快报的，应当同时披露相应的业绩预告或者业绩快报。</w:t>
      </w:r>
    </w:p>
    <w:p w14:paraId="64EB3D8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6.5.20 上市公司董事会或者股东筹划高送转方案的，应当严格履行保密义务，及时登记并向本所报送内幕信息知情人名单。</w:t>
      </w:r>
    </w:p>
    <w:p w14:paraId="18D1573C">
      <w:pPr>
        <w:pStyle w:val="3"/>
        <w:spacing w:line="560" w:lineRule="exact"/>
        <w:ind w:left="0" w:firstLine="0"/>
        <w:rPr>
          <w:rFonts w:ascii="仿宋_GB2312" w:hAnsi="仿宋_GB2312"/>
        </w:rPr>
      </w:pPr>
      <w:bookmarkStart w:id="45" w:name="__RefHeading___Toc189646156"/>
      <w:bookmarkEnd w:id="45"/>
      <w:r>
        <w:rPr>
          <w:rFonts w:ascii="仿宋_GB2312" w:hAnsi="仿宋_GB2312"/>
        </w:rPr>
        <w:t>第六节 员工持股计划</w:t>
      </w:r>
    </w:p>
    <w:p w14:paraId="0DBC532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6.6.1 上市公司实施员工持股计划，应当遵循依法合规、自愿参与、风险自担原则，按照法律法规及本所相关规定履行必要的审议程序和信息披露义务。</w:t>
      </w:r>
    </w:p>
    <w:p w14:paraId="2B6EEB4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6.6.2 上市公司及相关主体不得利用员工持股计划进行内幕交易和市场操纵等违法违规行为。</w:t>
      </w:r>
    </w:p>
    <w:p w14:paraId="32B2D3A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公司公布、实施员工持股计划时，应当遵守中国证监会关于信息敏感期不得买卖股票的规定。</w:t>
      </w:r>
    </w:p>
    <w:p w14:paraId="545F412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6.6.3 上市公司筹划员工持股计划，应当做好内幕信息知情人管理工作。</w:t>
      </w:r>
    </w:p>
    <w:p w14:paraId="353CD68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员工持股计划有关各方对所知悉的员工持股计划相关信息，在依法依规披露前负有保密义务。</w:t>
      </w:r>
    </w:p>
    <w:p w14:paraId="6EDF1CE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6.6.4 上市公司员工持股计划应当经董事会审议通过。员工持股计划涉及相关董事的，相关董事应当回避表决。出席董事会的非关联董事人数不足三人的，上市公司应当将该事项直接提交股东会审议。</w:t>
      </w:r>
    </w:p>
    <w:p w14:paraId="097B056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公司应当及时公告董事会决议和员工持股计划草案摘要，并在本所网站披露员工持股计划草案全文、董事会薪酬与考核委员会意见及与资产管理机构签订的资产管理协议（如有）。</w:t>
      </w:r>
    </w:p>
    <w:p w14:paraId="4DDD18D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薪酬与考核委员会应当分别就员工持股计划是否有利于公司的持续发展，是否损害公司及全体股东利益，公司是否以摊派、强行分配等方式强制员工参加本公司持股计划发表意见。</w:t>
      </w:r>
    </w:p>
    <w:p w14:paraId="3B2544A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6.6.5 上市公司员工持股计划草案全文应当至少包括以下内容：</w:t>
      </w:r>
    </w:p>
    <w:p w14:paraId="6C636E9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（一）员工持股计划的参加对象、确定标准；</w:t>
      </w:r>
    </w:p>
    <w:p w14:paraId="5A5EA50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（二）员工持股计划的资金、股票来源；</w:t>
      </w:r>
    </w:p>
    <w:p w14:paraId="3728E96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（三）员工持股计划的最低持股期限（锁定期）、存续期限和管理模式；</w:t>
      </w:r>
    </w:p>
    <w:p w14:paraId="6CFE639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（四）员工持股计划持有人会议的召集及表决程序；</w:t>
      </w:r>
    </w:p>
    <w:p w14:paraId="19206EB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（五）员工持股计划持有人代表或机构的选任程序；</w:t>
      </w:r>
    </w:p>
    <w:p w14:paraId="2C24838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（六）员工持股计划管理机构的选任、管理协议的主要条款、管理费用的计提及支付方式（如有）；</w:t>
      </w:r>
    </w:p>
    <w:p w14:paraId="2170BE5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（七）公司融资时员工持股计划的参与方式；</w:t>
      </w:r>
    </w:p>
    <w:p w14:paraId="39652AE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（八）员工持股计划变更和终止的情形及决策程序；</w:t>
      </w:r>
    </w:p>
    <w:p w14:paraId="7ECF9A9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（九）员工出现不适合继续参加持股计划情形时，其所持股份权益的处置办法；</w:t>
      </w:r>
    </w:p>
    <w:p w14:paraId="5457AA5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（十）员工持股计划期满后所持股份的处置办法；</w:t>
      </w:r>
    </w:p>
    <w:p w14:paraId="7646311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十一）公司董事、高级管理人员参与员工持股计划的，公司应当在员工持股计划草案中披露相关人员姓名及其合计持股份额、所占比例；其他员工参与持股计划的，应当披露合计参与人数及合计持股份额、所占比例；</w:t>
      </w:r>
    </w:p>
    <w:p w14:paraId="0581085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（十二）公司或者第三方为员工参与持股计划提供奖励、资助或者补贴的，公司应当在员工持股计划草案中披露相关奖励、资助或者补贴的来源、形式等具体情况；</w:t>
      </w:r>
    </w:p>
    <w:p w14:paraId="3BC544C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十三）员工持股计划持有人对通过持股计划获得的股份权益的占有、使用、收益和处分权利的安排；员工持股计划持有人出现离职、退休、死亡或者其他不再适合参加持股计划等情形时，所持股份权益的处置办法，并在定期报告中持续披露；</w:t>
      </w:r>
    </w:p>
    <w:p w14:paraId="43A1ADD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（十四）其他重要事项。</w:t>
      </w:r>
    </w:p>
    <w:p w14:paraId="47609E4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公司应当按照重要性原则编制员工持股计划草案摘要。摘要应当包含草案全文中的实质性内容。</w:t>
      </w:r>
    </w:p>
    <w:p w14:paraId="1BB0960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6.6.6 上市公司应当聘请律师事务所就员工持股计划及其相关事项是否合法合规、是否已履行必要的决策和审批程序、是否已按照法律法规及本所相关规定履行信息披露义务发表法律意见，并在召开关于审议员工持股计划的股东会前公告法律意见书。</w:t>
      </w:r>
    </w:p>
    <w:p w14:paraId="40825EC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6.6.7 上市公司应当通过职工代表大会等程序，就公司董事会提出的员工持股计划充分征求员工意见，并及时披露征求意见情况及相关决议。</w:t>
      </w:r>
    </w:p>
    <w:p w14:paraId="79D39C2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公司员工持股计划应当经出席会议的股东所持表决权的半数以上通过。</w:t>
      </w:r>
    </w:p>
    <w:p w14:paraId="1E7CF98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员工持股计划拟选任的资产管理机构为公司股东或股东关联人的，相关主体应当在股东会表决时回避；员工持股计划涉及相关股东的，相关股东应当回避表决。</w:t>
      </w:r>
    </w:p>
    <w:p w14:paraId="33BFE3B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公司员工持股计划经公司股东会审议通过后，公司应当及时公告股东会决议，并在本所网站披露经审议通过的员工持股计划全文。</w:t>
      </w:r>
    </w:p>
    <w:p w14:paraId="1677E44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6.6.8 上市公司变更、终止员工持股计划，应当经持有人会议通过后，由公司董事会提交股东会审议通过。</w:t>
      </w:r>
    </w:p>
    <w:p w14:paraId="6B2EA73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公司应当按照分阶段披露原则，及时披露前述事项及相关决议。</w:t>
      </w:r>
    </w:p>
    <w:p w14:paraId="065D72E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6.6.9 国有控股上市公司实施员工持股计划的，应当符合国有资产监督管理机构、财政部等的相关规定。</w:t>
      </w:r>
    </w:p>
    <w:p w14:paraId="2507C19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6.6.10 上市公司应当召开员工持股计划持有人会议，明确员工持股计划实施的具体事项，并及时披露会议的召开情况及相关决议。</w:t>
      </w:r>
    </w:p>
    <w:p w14:paraId="254C21D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公司未按照既定安排实施员工持股计划的，应当及时披露具体原因。</w:t>
      </w:r>
    </w:p>
    <w:p w14:paraId="71BEEAC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6.6.11 上市公司采取二级市场购买方式实施员工持股计划的，公司明确的员工持股计划管理方或委托的资产管理机构应当在股东会审议通过员工持股计划后6个月内，根据员工持股计划的安排，完成标的股票的购买。</w:t>
      </w:r>
    </w:p>
    <w:p w14:paraId="174DA16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公司应当每月公告1次购买股票的时间、数量、价格、方式等具体情况。</w:t>
      </w:r>
    </w:p>
    <w:p w14:paraId="63DE835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6.6.12 上市公司采用回购、向特定对象发行、股东自愿赠与及法律法规允许的方式实施员工持股计划，应当按照法律法规及本所相关规定及时履行信息披露义务。</w:t>
      </w:r>
    </w:p>
    <w:p w14:paraId="3840085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6.6.13 上市公司已完成标的股票的购买或将标的股票过户至员工持股计划名下后，应当及时披露获得标的股票的时间、数量、比例等情况。</w:t>
      </w:r>
    </w:p>
    <w:p w14:paraId="2725842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6.6.14 上市公司员工持股计划所持股份发生权益变动的，应当按照法律法规及本所相关规定履行信息披露义务。</w:t>
      </w:r>
    </w:p>
    <w:p w14:paraId="7710F85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员工参与员工持股计划所获公司股份权益，应当与员工通过其他方式拥有的公司股份权益合并计算，按照法律法规及本所相关规定履行信息披露义务。</w:t>
      </w:r>
    </w:p>
    <w:p w14:paraId="53370AD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6.6.15 上市公司员工持股计划最低持股期限（锁定期）届满后已全部卖出相关股票的，应当及时披露。</w:t>
      </w:r>
    </w:p>
    <w:p w14:paraId="5D186D1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6.6.16 上市公司应当在员工持股计划届满前6个月公告到期计划持有的股票数量以及占公司股本总额的比例。</w:t>
      </w:r>
    </w:p>
    <w:p w14:paraId="3107813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6.6.17 上市公司员工持股计划存续期限届满后继续展期的，应当履行相应的决策程序并及时披露。</w:t>
      </w:r>
    </w:p>
    <w:p w14:paraId="02E0015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6.6.18 上市公司应当在年度报告、半年度报告中披露报告期内员工持股计划的实施情况：</w:t>
      </w:r>
    </w:p>
    <w:p w14:paraId="333D698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（一）报告期内持股员工的范围、人数及其变更情况；</w:t>
      </w:r>
    </w:p>
    <w:p w14:paraId="7C1874E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（二）实施员工持股计划的资金来源；</w:t>
      </w:r>
    </w:p>
    <w:p w14:paraId="7ACD882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（三）报告期内员工持股计划持有的股票总额及占上市公司股本总额的比例；</w:t>
      </w:r>
    </w:p>
    <w:p w14:paraId="39422AD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（四）因员工持股计划持有人处分权利引起的股份权益变动情况；</w:t>
      </w:r>
    </w:p>
    <w:p w14:paraId="3F3F684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（五）资产管理机构的选任及变更情况；</w:t>
      </w:r>
    </w:p>
    <w:p w14:paraId="65ED597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（六）其他应当披露的事项。</w:t>
      </w:r>
    </w:p>
    <w:p w14:paraId="12B65EF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6.6.19 员工持股计划管理机构基于该计划项下的股份行使股东权利，应当征询员工持股计划持有人的意见，并遵照其意见执行。</w:t>
      </w:r>
    </w:p>
    <w:p w14:paraId="2E39013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6.6.20 上市公司及其董事、高级管理人员或者其他员工，通过设立资产管理计划、信托计划、持股平台等形式实施员工持股计划类似方案的，参照本节相关规定履行信息披露义务。</w:t>
      </w:r>
    </w:p>
    <w:p w14:paraId="694E6F9D">
      <w:pPr>
        <w:widowControl/>
        <w:shd w:val="clear" w:fill="FFFFFF"/>
        <w:spacing w:line="560" w:lineRule="exact"/>
        <w:ind w:right="0" w:firstLine="601"/>
        <w:rPr>
          <w:rFonts w:ascii="仿宋_GB2312" w:hAnsi="仿宋_GB2312" w:eastAsia="仿宋_GB2312" w:cs="Times New Roman"/>
          <w:color w:val="000000"/>
          <w:kern w:val="0"/>
          <w:sz w:val="30"/>
          <w:szCs w:val="30"/>
        </w:rPr>
      </w:pPr>
    </w:p>
    <w:p w14:paraId="08CB4FB1">
      <w:pPr>
        <w:pStyle w:val="2"/>
        <w:spacing w:line="560" w:lineRule="exact"/>
        <w:ind w:left="0" w:firstLine="0"/>
        <w:rPr>
          <w:rFonts w:ascii="黑体" w:hAnsi="黑体" w:eastAsia="黑体" w:cs="黑体"/>
          <w:kern w:val="0"/>
        </w:rPr>
      </w:pPr>
      <w:bookmarkStart w:id="46" w:name="__RefHeading___Toc189646157"/>
      <w:bookmarkEnd w:id="46"/>
      <w:r>
        <w:rPr>
          <w:rFonts w:ascii="黑体" w:hAnsi="黑体" w:eastAsia="黑体" w:cs="黑体"/>
          <w:kern w:val="0"/>
        </w:rPr>
        <w:t>第七章 投资者关系管理</w:t>
      </w:r>
    </w:p>
    <w:p w14:paraId="6F7435D3">
      <w:pPr>
        <w:pStyle w:val="3"/>
        <w:spacing w:line="560" w:lineRule="exact"/>
        <w:ind w:left="0" w:firstLine="0"/>
        <w:rPr>
          <w:rFonts w:ascii="仿宋_GB2312" w:hAnsi="仿宋_GB2312"/>
          <w:b w:val="0"/>
          <w:bCs w:val="0"/>
        </w:rPr>
      </w:pPr>
      <w:bookmarkStart w:id="47" w:name="__RefHeading___Toc189646158"/>
      <w:bookmarkEnd w:id="47"/>
      <w:r>
        <w:rPr>
          <w:rFonts w:ascii="仿宋_GB2312" w:hAnsi="仿宋_GB2312"/>
        </w:rPr>
        <w:t>第一节 总体要求</w:t>
      </w:r>
    </w:p>
    <w:p w14:paraId="3FDB957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7.1.1 上市公司及其董事、高级管理人员和工作人员开展投资者关系管理工作，应当严格审查向外界传达的信息，遵守法律法规及本所相关规定，体现公平、公正、公开原则，客观、真实、准确、完整地介绍和反映公司的实际状况，不得出现以下情形：</w:t>
      </w:r>
    </w:p>
    <w:p w14:paraId="76E40BE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（一）透露或泄露尚未公开披露的重大信息；</w:t>
      </w:r>
    </w:p>
    <w:p w14:paraId="3446A0F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（二）发布含有虚假或者引人误解的内容，作出夸大性宣传、误导性提示；</w:t>
      </w:r>
    </w:p>
    <w:p w14:paraId="7296819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（三）对公司股票及其衍生品种价格作出预期或者承诺；</w:t>
      </w:r>
    </w:p>
    <w:p w14:paraId="698907B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（四）从事歧视、轻视等不公平对待中小股东的行为；</w:t>
      </w:r>
    </w:p>
    <w:p w14:paraId="1A92FEA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（五）从事其他违反信息披露规则或者涉嫌操纵证券市场、内幕交易等违法违规行为。</w:t>
      </w:r>
    </w:p>
    <w:p w14:paraId="59B7EE5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7.1.2 上市公司应当建立投资者关系管理机制，指定董事会秘书担任投资者关系管理负责人。</w:t>
      </w:r>
    </w:p>
    <w:p w14:paraId="07E3BAD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7.1.3 上市公司投资者关系管理工作人员应当具备履行职责所必需的专业知识，具有良好的职业素养。公司应当定期对控股股东、实际控制人、董事、高级管理人员及相关人员进行投资者关系管理的系统培训，增强其对相关法律法规、本所相关规定和公司规章制度的理解。</w:t>
      </w:r>
    </w:p>
    <w:p w14:paraId="45B7FBF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7.1.4 上市公司开展投资者关系管理活动，应当以已公开披露信息作为交流内容。</w:t>
      </w:r>
    </w:p>
    <w:p w14:paraId="0A7853E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投资者关系活动中涉及或者可能涉及股价敏感事项、未公开披露的重大信息或者可以推测出未公开披露的重大信息的提问的，公司应当告知投资者关注公司公告，并就信息披露规则进行必要的解释说明。</w:t>
      </w:r>
    </w:p>
    <w:p w14:paraId="1382DE4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公司不得以投资者关系管理活动中的交流代替信息披露。公司在投资者关系管理活动中不慎泄露未公开披露的重大信息的，应当立即依法依规发布公告，并采取其他必要措施。</w:t>
      </w:r>
    </w:p>
    <w:p w14:paraId="111F864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7.1.5 上市公司应当建立投资者关系管理档案，记载投资者关系活动参与人员、时间、地点、交流内容、未公开披露的重大信息泄密的处理过程及责任追究（如有）等情况。</w:t>
      </w:r>
    </w:p>
    <w:p w14:paraId="06A7058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投资者关系管理档案应当按照投资者关系管理的方式进行分类，将相关记录、现场录音、演示文稿、活动中提供的文档（如有）等文件资料存档并妥善保管，保存期限不得少于3年。</w:t>
      </w:r>
    </w:p>
    <w:p w14:paraId="6694F23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7.1.6 上市公司应当在定期报告中公布公司网址和咨询电话号码。当网址或者咨询电话号码发生变更后，公司应当及时进行公告。</w:t>
      </w:r>
    </w:p>
    <w:p w14:paraId="33081B7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公司应当保证咨询电话、传真和电子信箱等对外联系渠道畅通，确保咨询电话在工作时间有专人接听，并通过有效形式及时向投资者答复和反馈相关信息。</w:t>
      </w:r>
    </w:p>
    <w:p w14:paraId="7E23501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7.1.7 上市公司应当建立、健全投资者关系管理活动相关制度及程序，保证信息披露的公平性：</w:t>
      </w:r>
    </w:p>
    <w:p w14:paraId="0A01E9A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（一）公司应当制定接待和推广制度，内容应当至少包括接待和推广的组织安排、活动内容安排、人员安排、禁止擅自披露、透露或者泄露未公开重大信息的规定等；</w:t>
      </w:r>
    </w:p>
    <w:p w14:paraId="43CD556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公司应当制定信息披露备查登记制度，对接受或者邀请特定对象的调研、沟通、采访等活动予以详细记载，内容应当至少包括活动时间、地点、方式（书面或者口头）、双方当事人姓名、活动中谈论的有关公司的内容、提供的有关资料等，公司应当在定期报告中将信息披露备查登记情况予以披露；</w:t>
      </w:r>
    </w:p>
    <w:p w14:paraId="7D2E5F7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（三）公司应当公开投资者关系管理活动相关制度。</w:t>
      </w:r>
    </w:p>
    <w:p w14:paraId="19403B6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7.1.8 保荐人及其保荐代表人、财务顾问及其主办人对上市公司公平信息披露履行持续督导义务，督促公司和相关信息披露义务人严格执行公平信息披露相关制度，发现公司及相关主体存在违反本指引规定的，应当立即向本所报告并督促公司采取相应措施。</w:t>
      </w:r>
    </w:p>
    <w:p w14:paraId="44B4AA7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 xml:space="preserve">7.1.9 </w:t>
      </w:r>
      <w:bookmarkStart w:id="48" w:name="OLE_LINK6"/>
      <w:r>
        <w:rPr>
          <w:rFonts w:ascii="仿宋_GB2312" w:hAnsi="仿宋_GB2312" w:eastAsia="仿宋_GB2312" w:cs="Times New Roman"/>
          <w:color w:val="000000"/>
          <w:kern w:val="0"/>
          <w:sz w:val="30"/>
          <w:szCs w:val="30"/>
        </w:rPr>
        <w:t>上市公司应当树立回报股东意识，采取措施保护投资者特别是中小投资者利益，做好投资者关系管理，推动上市公司投资价值合理反映上市公司质量。</w:t>
      </w:r>
    </w:p>
    <w:p w14:paraId="64B0E6D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仿宋_GB2312"/>
          <w:color w:val="000000"/>
          <w:kern w:val="0"/>
          <w:sz w:val="30"/>
          <w:szCs w:val="30"/>
        </w:rPr>
        <w:t>“</w:t>
      </w:r>
      <w:r>
        <w:rPr>
          <w:rFonts w:ascii="仿宋_GB2312" w:hAnsi="仿宋_GB2312" w:eastAsia="仿宋_GB2312" w:cs="Times New Roman"/>
          <w:color w:val="000000"/>
          <w:kern w:val="0"/>
          <w:sz w:val="30"/>
          <w:szCs w:val="30"/>
        </w:rPr>
        <w:t>中证A500指数样本公司”“沪深300指数样本公司”应当制定上市公司市值管理制度，经董事会审议后披露市值管理制度的制定情况。</w:t>
      </w:r>
    </w:p>
    <w:p w14:paraId="23F1666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在每个季度最后一个交易日，确认公司是否属于长期破净公司。长期破净公司应当制定上市公司估值提升计划，在该季度结束之日起2个月内，经董事会审议后披露。已披露估值提升计划的，在计划到期前无需再次披露，经董事会评估后需要完善的除外。</w:t>
      </w:r>
    </w:p>
    <w:p w14:paraId="0E85A31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前款所称长期破净公司是指股票连续12个月每个交易日的收盘价均低于其最近一个会计年度经审计的每股净资产的上市公司。判断是否触及长期破净情形时，以公司股票收盘价与当日已披露的最近一个会计年度经审计的每股净资产进行比较。</w:t>
      </w:r>
    </w:p>
    <w:bookmarkEnd w:id="48"/>
    <w:p w14:paraId="52EB5809">
      <w:pPr>
        <w:pStyle w:val="3"/>
        <w:spacing w:line="560" w:lineRule="exact"/>
        <w:ind w:left="0" w:firstLine="0"/>
        <w:rPr>
          <w:rFonts w:ascii="仿宋_GB2312" w:hAnsi="仿宋_GB2312"/>
        </w:rPr>
      </w:pPr>
      <w:bookmarkStart w:id="49" w:name="__RefHeading___Toc189646159"/>
      <w:bookmarkEnd w:id="49"/>
      <w:r>
        <w:rPr>
          <w:rFonts w:ascii="仿宋_GB2312" w:hAnsi="仿宋_GB2312"/>
        </w:rPr>
        <w:t>第二节 投资者关系管理的形式和要求</w:t>
      </w:r>
    </w:p>
    <w:p w14:paraId="40D35F6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7.2.1 上市公司可以通过公司官方网站、本所网站和上证e互动平台、新媒体平台、电话、传真、邮箱、投资者教育基地等方式，采取股东会、投资者说明会、路演、投资者调研、证券分析师调研等形式，建立与投资者的重大事件沟通机制。</w:t>
      </w:r>
    </w:p>
    <w:p w14:paraId="6C5C75D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7.2.2 上市公司可以在官方网站设立投资者关系管理专栏，用于发布和更新投资者关系管理工作相关信息。</w:t>
      </w:r>
    </w:p>
    <w:p w14:paraId="1AA0903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7.2.3 上市公司应当为中小股东、机构投资者到公司现场参观、座谈沟通提供便利，合理、妥善地安排活动过程，做好信息隔离，不得使来访者接触到未公开披露的重大信息。</w:t>
      </w:r>
    </w:p>
    <w:p w14:paraId="3A03523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7.2.4 上市公司应当切实履行投资者投诉处理的首要责任，建立健全投诉处理机制，依法回应、妥善处理投资者诉求。</w:t>
      </w:r>
    </w:p>
    <w:p w14:paraId="3F22570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7.2.5 上市公司应当主动关注上证e互动平台收集的信息以及其他媒体关于本公司的报道，充分重视并依法履行有关本公司的媒体报道信息引发或者可能引发的信息披露义务。</w:t>
      </w:r>
    </w:p>
    <w:p w14:paraId="0C86948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7.2.6 上市公司应当通过上证e互动平台“上市公司发布”栏目尽快汇总发布投资者说明会、证券分析师调研、路演等投资者关系活动记录。活动记录至少应当包括以下内容：</w:t>
      </w:r>
    </w:p>
    <w:p w14:paraId="60512A7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（一）活动参与人员、时间、地点、形式；</w:t>
      </w:r>
    </w:p>
    <w:p w14:paraId="09F3986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（二）交流内容及具体问答记录；</w:t>
      </w:r>
    </w:p>
    <w:p w14:paraId="1A9E05C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（三）关于本次活动是否涉及应当披露重大信息的说明；</w:t>
      </w:r>
    </w:p>
    <w:p w14:paraId="0D9DF9D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（四）活动过程中所使用的演示文稿、提供的文档等附件（如有）；</w:t>
      </w:r>
    </w:p>
    <w:p w14:paraId="7D951C2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（五）本所要求的其他内容。</w:t>
      </w:r>
    </w:p>
    <w:p w14:paraId="129114FC">
      <w:pPr>
        <w:pStyle w:val="3"/>
        <w:spacing w:line="560" w:lineRule="exact"/>
        <w:ind w:left="0" w:firstLine="0"/>
        <w:rPr>
          <w:rFonts w:ascii="仿宋_GB2312" w:hAnsi="仿宋_GB2312"/>
        </w:rPr>
      </w:pPr>
      <w:bookmarkStart w:id="50" w:name="__RefHeading___Toc189646160"/>
      <w:bookmarkEnd w:id="50"/>
      <w:r>
        <w:rPr>
          <w:rFonts w:ascii="仿宋_GB2312" w:hAnsi="仿宋_GB2312"/>
        </w:rPr>
        <w:t>第三节 投资者说明会</w:t>
      </w:r>
    </w:p>
    <w:p w14:paraId="575B418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7.3.1 上市公司召开投资者说明会的，应当采取便于投资者参与的方式进行，现场召开的应当同时通过网络等渠道进行直播。公司应当在投资者说明会召开前发布公告，说明投资者关系活动的时间、方式、地点、网址、公司出席人员名单和活动主题等。投资者说明会原则上应当安排在非交易时段召开。</w:t>
      </w:r>
    </w:p>
    <w:p w14:paraId="01A1ADD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公司应当在投资者说明会召开前以及召开期间为投资者开通提问渠道，做好投资者提问征集工作，并在说明会上对投资者关注的问题予以答复。</w:t>
      </w:r>
    </w:p>
    <w:p w14:paraId="25C60B4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7.3.2 参与投资者说明会的上市公司人员应当包括公司董事长（或者总经理）、财务负责人、至少一名独立董事、董事会秘书。</w:t>
      </w:r>
    </w:p>
    <w:p w14:paraId="41D6265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公司董事会秘书为投资者说明会的具体负责人，具体负责制定和实施召开投资者说明会的工作方案。</w:t>
      </w:r>
    </w:p>
    <w:p w14:paraId="2AEBE8C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7.3.3 除依法履行信息披露义务外，上市公司应当积极召开投资者说明会，向投资者介绍情况、回答问题、听取建议。存在下列情形的，公司应当按照有关规定召开投资者说明会：</w:t>
      </w:r>
    </w:p>
    <w:p w14:paraId="7EAD5FC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（一）公司当年现金分红水平未达相关规定，需要说明原因的；</w:t>
      </w:r>
    </w:p>
    <w:p w14:paraId="01C4F63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（二）公司在披露重组预案或重组报告书后终止重组的；</w:t>
      </w:r>
    </w:p>
    <w:p w14:paraId="571A549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（三）公司证券交易出现相关规则规定的异常波动，公司核查后发现存在未披露重大事件的；</w:t>
      </w:r>
    </w:p>
    <w:p w14:paraId="5F17A4B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（四）公司相关重大事件受到市场高度关注或者质疑的；</w:t>
      </w:r>
    </w:p>
    <w:p w14:paraId="7AD1DCA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（五）公司在年度报告披露后按照中国证监会和本所相关要求应当召开年度报告业绩说明会的；</w:t>
      </w:r>
    </w:p>
    <w:p w14:paraId="117AE8C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（六）其他按照中国证监会、本所相关要求应当召开投资者说明会的情形。</w:t>
      </w:r>
    </w:p>
    <w:p w14:paraId="6DC218C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7.3.4 上市公司应当积极在定期报告披露后召开业绩说明会，对公司所处行业状况、发展战略、生产经营、财务状况、募集资金管理与使用情况、存在风险与困难等投资者关心的内容进行说明，帮助投资者了解公司情况。</w:t>
      </w:r>
    </w:p>
    <w:p w14:paraId="6EBC099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年度业绩说明会召开时，“中证A500指数样本公司”“沪深300指数样本公司”应当就市值管理制度执行情况进行专项说明，市净率低于所在行业平均水平的长期破净公司应当就估值提升计划执行情况进行专项说明。</w:t>
      </w:r>
    </w:p>
    <w:p w14:paraId="4B219A29">
      <w:pPr>
        <w:pStyle w:val="3"/>
        <w:spacing w:line="560" w:lineRule="exact"/>
        <w:ind w:left="0" w:firstLine="0"/>
        <w:rPr>
          <w:rFonts w:ascii="仿宋_GB2312" w:hAnsi="仿宋_GB2312"/>
        </w:rPr>
      </w:pPr>
      <w:bookmarkStart w:id="51" w:name="__RefHeading___Toc189646161"/>
      <w:bookmarkEnd w:id="51"/>
      <w:r>
        <w:rPr>
          <w:rFonts w:ascii="仿宋_GB2312" w:hAnsi="仿宋_GB2312"/>
        </w:rPr>
        <w:t>第四节 上市公司接受调研</w:t>
      </w:r>
    </w:p>
    <w:p w14:paraId="4270678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7.4.1 上市公司接受从事证券分析、咨询及其他证券服务业的机构及个人、从事证券投资的机构及个人（以下简称调研机构及个人）的调研时，应当妥善开展相关接待工作，并按规定履行相应的信息披露义务。</w:t>
      </w:r>
    </w:p>
    <w:p w14:paraId="033FE08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7.4.2 上市公司、调研机构及个人不得利用调研活动从事市场操纵、内幕交易或者其他违法违规行为。</w:t>
      </w:r>
    </w:p>
    <w:p w14:paraId="1CE3495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7.4.3 上市公司控股股东、实际控制人、董事、高级管理人员及其他员工在接受调研前，应当知会董事会秘书，原则上董事会秘书应当全程参加调研。</w:t>
      </w:r>
    </w:p>
    <w:p w14:paraId="3B66CE7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7.4.4 上市公司与调研机构及个人进行直接沟通的，除应邀参加证券公司研究所等机构举办的投资策略分析会等情形外，还应当要求调研机构及个人出具单位证明和身份证等资料，并要求与其签署承诺书。</w:t>
      </w:r>
    </w:p>
    <w:p w14:paraId="6E9DA97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承诺书至少应当包括下列内容：</w:t>
      </w:r>
    </w:p>
    <w:p w14:paraId="21DCA7D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（一）不打探公司未公开重大信息，未经公司许可，不与公司指定人员以外的人员进行沟通或者问询；</w:t>
      </w:r>
    </w:p>
    <w:p w14:paraId="2152F79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（二）不泄露无意中获取的未公开重大信息，不利用所获取的未公开重大信息买卖或者建议他人买卖公司股票及其衍生品种；</w:t>
      </w:r>
    </w:p>
    <w:p w14:paraId="6443E9B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（三）在投资价值分析报告等研究报告、新闻稿等文件中不使用未公开重大信息，除非公司同时披露该信息；</w:t>
      </w:r>
    </w:p>
    <w:p w14:paraId="639354F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（四）在投资价值分析报告等研究报告中涉及盈利预测和股价预测的，注明资料来源，不使用主观臆断、缺乏事实根据的资料；</w:t>
      </w:r>
    </w:p>
    <w:p w14:paraId="5E2260E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（五）在投资价值分析报告等研究报告、新闻稿等文件对外发布或者使用前知会公司；</w:t>
      </w:r>
    </w:p>
    <w:p w14:paraId="2E537E6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（六）明确违反承诺的责任。</w:t>
      </w:r>
    </w:p>
    <w:p w14:paraId="312F754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7.4.5 上市公司应当就调研过程和交流内容形成书面调研记录，参加调研的人员和董事会秘书应当签字确认。具备条件的，可以对调研过程进行录音录像。</w:t>
      </w:r>
    </w:p>
    <w:p w14:paraId="7E836DF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7.4.6 上市公司应当建立接受调研的事后核实程序，明确未公开重大信息被泄露的应对措施和处理流程，要求调研机构及个人将基于交流沟通形成的投资价值分析报告等研究报告、新闻稿等文件在发布或者使用前知会公司。</w:t>
      </w:r>
    </w:p>
    <w:p w14:paraId="5A55E4E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在核实中发现前款所述文件存在错误、误导性记载的，应当要求其改正，对方拒不改正的，公司应当及时对外公告进行说明；发现前述文件涉及未公开重大信息的，应当立即向本所报告并公告，同时要求调研机构及个人在公司正式公告前不得对外泄露该信息，并明确告知其在此期间不得买卖或者建议他人买卖公司股票及其衍生品种。</w:t>
      </w:r>
    </w:p>
    <w:p w14:paraId="12C23A8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7.4.7 媒体、市场或投资者对公司发布调研记录提出质疑的，本所可以视情况要求公司对有关问题作出解释和说明，并予以披露。</w:t>
      </w:r>
    </w:p>
    <w:p w14:paraId="49B6EC7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公司股票及其衍生品种交易出现异常的，本所可以视情况要求公司提示相关风险。</w:t>
      </w:r>
    </w:p>
    <w:p w14:paraId="7A43210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公司接受调研及发布调研记录不符合本指引要求的，本所可以要求公司改正。</w:t>
      </w:r>
    </w:p>
    <w:p w14:paraId="617B67F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7.4.8 上市公司接受新闻媒体及其他机构或者个人调研采访，参照本章规定执行。</w:t>
      </w:r>
    </w:p>
    <w:p w14:paraId="3E4FBD5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公司控股股东、实际控制人接受与公司相关的调研采访，参照本章规定执行。</w:t>
      </w:r>
    </w:p>
    <w:p w14:paraId="570D30D2">
      <w:pPr>
        <w:pStyle w:val="3"/>
        <w:spacing w:line="560" w:lineRule="exact"/>
        <w:ind w:left="0" w:firstLine="0"/>
        <w:rPr>
          <w:rFonts w:ascii="仿宋_GB2312" w:hAnsi="仿宋_GB2312"/>
        </w:rPr>
      </w:pPr>
      <w:bookmarkStart w:id="52" w:name="__RefHeading___Toc189646162"/>
      <w:bookmarkEnd w:id="52"/>
      <w:r>
        <w:rPr>
          <w:rFonts w:ascii="仿宋_GB2312" w:hAnsi="仿宋_GB2312"/>
        </w:rPr>
        <w:t>第五节 上证e互动平台</w:t>
      </w:r>
    </w:p>
    <w:p w14:paraId="3DB28A5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7.5.1 上市公司应当充分关注上证e互动平台的相关信息，重视和加强与投资者的互动和交流。公司应当指派并授权专人及时查看投资者的咨询、投诉和建议并予以回复。</w:t>
      </w:r>
    </w:p>
    <w:p w14:paraId="5DC79A0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投资者提问较多或者公司认为重要的问题，公司应当汇总梳理，并将问题和答复提交上证e互动平台的“热推问题”栏目予以展示。</w:t>
      </w:r>
    </w:p>
    <w:p w14:paraId="5644D94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7.5.2 上市公司可以通过上证e互动平台定期举行“上证e访谈”，由公司董事长、总经理、董事会秘书、财务负责人或者其他相关人员与各类投资者公开进行互动沟通。</w:t>
      </w:r>
    </w:p>
    <w:p w14:paraId="27AD467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7.5.3 上市公司在上证e互动平台发布信息的，应当谨慎、客观，以事实为依据，保证所发布信息的真实、准确、完整和公平，不得使用夸大性、宣传性、误导性语言，不得误导投资者，并充分提示相关事项可能存在的重大不确定性和风险。相关文件一旦在上证e互动平台刊载，原则上不得撤回或者替换。上市公司发现已刊载的文件存在错误或遗漏的，应当及时刊载更正后的文件，并向上证e互动平台申请在更正后的文件名上添加标注，对更正前后的文件进行区分。</w:t>
      </w:r>
    </w:p>
    <w:p w14:paraId="5473EFB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公司信息披露以其通过符合条件的媒体披露的内容为准，不得通过上证e互动平台披露未公开的重大信息。在上证e互动平台发布的信息不得与依法披露的信息相冲突。</w:t>
      </w:r>
    </w:p>
    <w:p w14:paraId="4639CD2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涉及已披露事项的，公司可以对投资者的提问进行充分、详细地说明和答复。涉及或者可能涉及未披露事项的，公司应当告知投资者关注上市公司信息披露公告，不得以互动信息等形式代替信息披露或泄露未公开重大信息。公司通过上证e互动平台违规泄露未公开的重大信息的，应当立即通过指定信息披露媒体发布正式公告。</w:t>
      </w:r>
    </w:p>
    <w:p w14:paraId="48B4A7D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7.5.4 上市公司在上证e互动平台发布信息及对涉及市场热点概念、敏感事项问题进行答复，应当谨慎、客观、具有事实依据，不得利用上证e互动平台迎合市场热点或者与市场热点不当关联，不得故意夸大相关事项对公司生产、经营、研发、销售、发展等方面的影响，不当影响公司股票及其衍生品种价格。</w:t>
      </w:r>
    </w:p>
    <w:p w14:paraId="6C40E516">
      <w:pPr>
        <w:widowControl/>
        <w:shd w:val="clear" w:fill="FFFFFF"/>
        <w:spacing w:line="560" w:lineRule="exact"/>
        <w:ind w:right="0" w:firstLine="601"/>
        <w:rPr>
          <w:rFonts w:ascii="仿宋_GB2312" w:hAnsi="仿宋_GB2312" w:eastAsia="仿宋_GB2312" w:cs="Times New Roman"/>
          <w:b/>
          <w:bCs/>
          <w:color w:val="000000"/>
          <w:kern w:val="0"/>
          <w:sz w:val="30"/>
          <w:szCs w:val="30"/>
        </w:rPr>
      </w:pPr>
    </w:p>
    <w:p w14:paraId="3370F2EA">
      <w:pPr>
        <w:pStyle w:val="2"/>
        <w:spacing w:line="560" w:lineRule="exact"/>
        <w:ind w:left="0" w:firstLine="0"/>
        <w:rPr>
          <w:rFonts w:ascii="黑体" w:hAnsi="黑体" w:eastAsia="黑体" w:cs="黑体"/>
          <w:kern w:val="0"/>
        </w:rPr>
      </w:pPr>
      <w:bookmarkStart w:id="53" w:name="__RefHeading___Toc189646163"/>
      <w:bookmarkEnd w:id="53"/>
      <w:r>
        <w:rPr>
          <w:rFonts w:ascii="黑体" w:hAnsi="黑体" w:eastAsia="黑体" w:cs="黑体"/>
          <w:kern w:val="0"/>
        </w:rPr>
        <w:t>第八章 社会责任</w:t>
      </w:r>
    </w:p>
    <w:p w14:paraId="1A203B9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8.1 上市公司应当在追求经济效益、保护股东利益的同时，积极保护债权人和职工的合法权益，诚信对待供应商、客户和消费者，践行绿色发展理念，积极从事环境保护、社区建设等公益事业，从而促进公司本身与全社会的协调、和谐发展。</w:t>
      </w:r>
    </w:p>
    <w:p w14:paraId="6D73DEB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8.2 上市公司在经营活动中，应当遵循自愿、公平、等价有偿、诚实信用的原则，遵守社会公德、商业道德，接受政府和社会公众的监督，不得依靠夸大宣传、虚假广告等不当方式牟利，不得通过贿赂、走私等非法活动牟取不正当利益，不得侵犯他人的商标权、专利权和著作权等知识产权，不得从事不正当竞争。</w:t>
      </w:r>
    </w:p>
    <w:p w14:paraId="762360E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8.3 上市公司应当根据所处行业及自身经营特点，形成符合本公司实际的社会责任战略规划及工作机制。公司的社会责任战略规划至少应当包括公司的商业伦理准则、员工保障计划及职业发展支持计划、合理利用资源及有效保护环境的技术投入及研发计划、社会发展资助计划以及对社会责任规划进行落实管理及监督的机制安排等内容。</w:t>
      </w:r>
    </w:p>
    <w:p w14:paraId="46F25E9D">
      <w:pPr>
        <w:widowControl/>
        <w:shd w:val="clear" w:fill="FFFFFF"/>
        <w:spacing w:line="560" w:lineRule="exact"/>
        <w:ind w:right="0" w:firstLine="601"/>
        <w:rPr>
          <w:rFonts w:hint="eastAsia"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8.4 在本所上市的“上证公司治理板块”样本公司、境内外同时上市的公司及金融类公司，应当在年度报告披露的同时披露公司履行社会责任的报告</w:t>
      </w:r>
      <w:r>
        <w:rPr>
          <w:rFonts w:hint="eastAsia" w:ascii="仿宋_GB2312" w:hAnsi="仿宋_GB2312" w:eastAsia="仿宋_GB2312" w:cs="Times New Roman"/>
          <w:color w:val="000000"/>
          <w:kern w:val="0"/>
          <w:sz w:val="30"/>
          <w:szCs w:val="30"/>
          <w:lang w:eastAsia="zh-CN"/>
        </w:rPr>
        <w:t>，本所另有规定的除外</w:t>
      </w:r>
      <w:r>
        <w:rPr>
          <w:rFonts w:hint="eastAsia" w:ascii="仿宋_GB2312" w:hAnsi="仿宋_GB2312" w:eastAsia="仿宋_GB2312" w:cs="Times New Roman"/>
          <w:color w:val="000000"/>
          <w:kern w:val="0"/>
          <w:sz w:val="30"/>
          <w:szCs w:val="30"/>
        </w:rPr>
        <w:t>。</w:t>
      </w:r>
    </w:p>
    <w:p w14:paraId="715E42A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本所鼓励其他有条件的上市公司，</w:t>
      </w:r>
      <w:r>
        <w:rPr>
          <w:rFonts w:hint="eastAsia" w:ascii="仿宋_GB2312" w:hAnsi="仿宋_GB2312" w:eastAsia="仿宋_GB2312" w:cs="Times New Roman"/>
          <w:color w:val="000000"/>
          <w:kern w:val="0"/>
          <w:sz w:val="30"/>
          <w:szCs w:val="30"/>
          <w:lang w:eastAsia="zh-CN"/>
        </w:rPr>
        <w:t>自愿</w:t>
      </w:r>
      <w:r>
        <w:rPr>
          <w:rFonts w:ascii="仿宋_GB2312" w:hAnsi="仿宋_GB2312" w:eastAsia="仿宋_GB2312" w:cs="Times New Roman"/>
          <w:color w:val="000000"/>
          <w:kern w:val="0"/>
          <w:sz w:val="30"/>
          <w:szCs w:val="30"/>
        </w:rPr>
        <w:t>披露社会责任报告等非财务报告。</w:t>
      </w:r>
    </w:p>
    <w:p w14:paraId="1A60671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公司披露社会责任报告的，董事会应当单独进行审议，并在本所网站披露。</w:t>
      </w:r>
    </w:p>
    <w:p w14:paraId="1A1521F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8.5 上市公司可以在社会责任报告中披露每股社会贡献值，即在公司为股东创造的基本每股收益的基础上，增加公司年内为国家创造的税收、向员工支付的工资、向银行等债权人给付的借款利息、公司对外捐赠额等为其他利益相关者创造的价值额，并扣除公司因环境污染等造成的其他社会成本，计算形成的公司为社会创造的每股增值额。</w:t>
      </w:r>
    </w:p>
    <w:p w14:paraId="214FEA4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8.6 上市公司可以根据自身特点拟定社会责任报告的具体内容，说明公司在促进社会、环境及生态、经济可持续发展等方面的工作。社会责任报告的内容至少应当包括：</w:t>
      </w:r>
    </w:p>
    <w:p w14:paraId="245CBAA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（一）关于职工保护、环境污染、商品质量、社区关系等方面的社会责任制度的建设和执行情况；</w:t>
      </w:r>
    </w:p>
    <w:p w14:paraId="29DB583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（二）履行社会责任存在的问题和不足、与本指引存在的差距及其原因；</w:t>
      </w:r>
    </w:p>
    <w:p w14:paraId="13B9D5E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（三）改进措施和具体时间安排。</w:t>
      </w:r>
    </w:p>
    <w:p w14:paraId="4D1375B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8.7 上市公司应当依据《公司法》和公司章程的规定，建立职工董事选任制度，确保职工在公司治理中享有充分的权利；支持工会依法开展工作，对工资、福利、劳动安全卫生、社会保险等涉及职工切身利益的事项，通过职工代表大会、工会会议等民主形式听取职工的意见，关心和重视职工的合理需求。</w:t>
      </w:r>
    </w:p>
    <w:p w14:paraId="0E2EE70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8.8 上市公司应当将生态环保要求融入发展战略和公司治理过程，并根据自身生产经营特点，对环境的影响程度等实际情况，履行下列环境保护责任：</w:t>
      </w:r>
    </w:p>
    <w:p w14:paraId="2BA1A28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（一）遵守环境保护法律法规与行业标准；</w:t>
      </w:r>
    </w:p>
    <w:p w14:paraId="693DD16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（二）制订执行公司环境保护计划；</w:t>
      </w:r>
    </w:p>
    <w:p w14:paraId="7E6960B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（三）高效使用能源、水资源、原材料等自然资源；</w:t>
      </w:r>
    </w:p>
    <w:p w14:paraId="04368BE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（四）合规处置污染物；</w:t>
      </w:r>
    </w:p>
    <w:p w14:paraId="62474B4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（五）建设运行有效的污染防治设施；</w:t>
      </w:r>
    </w:p>
    <w:p w14:paraId="7FB2C56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（六）足额缴纳环境保护相关税费；</w:t>
      </w:r>
    </w:p>
    <w:p w14:paraId="3D2DD26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（七）保障供应链环境安全；</w:t>
      </w:r>
    </w:p>
    <w:p w14:paraId="6FCF340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（八）其他应当履行的环境保护责任事项。</w:t>
      </w:r>
    </w:p>
    <w:p w14:paraId="64D4FB3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8.9 上市公司可以根据自身实际情况，在公司社会责任报告中披露或者单独披露如下环境信息：</w:t>
      </w:r>
    </w:p>
    <w:p w14:paraId="1FBDFCD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（一）公司环境保护方针、年度环境保护目标及成效；</w:t>
      </w:r>
    </w:p>
    <w:p w14:paraId="6A119D2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（二）公司年度资源消耗总量；</w:t>
      </w:r>
    </w:p>
    <w:p w14:paraId="13396C4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（三）公司环保投资和环境技术开发情况；</w:t>
      </w:r>
    </w:p>
    <w:p w14:paraId="0B43BED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（四）公司排放污染物种类、数量、浓度和去向；</w:t>
      </w:r>
    </w:p>
    <w:p w14:paraId="2E4DF87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（五）公司环保设施的建设和运行情况；</w:t>
      </w:r>
    </w:p>
    <w:p w14:paraId="5EF6E0E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（六）公司在生产过程中产生的废物的处理、处置情况，废弃产品的回收、综合利用情况；</w:t>
      </w:r>
    </w:p>
    <w:p w14:paraId="72A9610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（七）与环保部门签订的改善环境行为的自愿协议；</w:t>
      </w:r>
    </w:p>
    <w:p w14:paraId="7F6659C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（八）公司受到环保部门奖励的情况；</w:t>
      </w:r>
    </w:p>
    <w:p w14:paraId="2726C99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（九）企业自愿公开的其他环境信息。</w:t>
      </w:r>
    </w:p>
    <w:p w14:paraId="2661F7A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从事火力发电、钢铁冶炼、水泥生产、电解铝、矿产开发等对环境影响较大行业的公司，应当披露前款第（一）至（七）项所列的环境信息，并应当重点说明公司在环保投资和环境技术开发方面的工作情况。</w:t>
      </w:r>
    </w:p>
    <w:p w14:paraId="77AD482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8.10 上市公司发生以下与环境保护相关的重大事件，且可能对其股票及其衍生品种价格产生较大影响的，应当及时披露事件情况及对公司经营以及利益相关者可能产生的影响：</w:t>
      </w:r>
    </w:p>
    <w:p w14:paraId="03256F4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（一）公司有新、改、扩建具有重大环境影响的建设项目等重大投资行为；</w:t>
      </w:r>
    </w:p>
    <w:p w14:paraId="7C2D7B1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（二）公司因为环境违法违规被环保部门调查，或者受到重大行政处罚或刑事处罚，或者被有关人民政府或者政府部门决定限期治理或者停产、搬迁、关闭；</w:t>
      </w:r>
    </w:p>
    <w:p w14:paraId="1544C7F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（三）公司由于环境问题涉及重大诉讼或者其主要资产被查封、扣押、冻结或者被抵押、质押；</w:t>
      </w:r>
    </w:p>
    <w:p w14:paraId="509410B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（四）公司或者其主要子公司被国家环保部门列入重点排污单位；</w:t>
      </w:r>
    </w:p>
    <w:p w14:paraId="3B10308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（五）新公布的环境法律、法规、规章、行业政策可能对公司经营产生重大影响；</w:t>
      </w:r>
    </w:p>
    <w:p w14:paraId="1D0FA63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（六）可能对公司股票及其衍生品种交易价格产生较大影响的其他有关环境保护的重大事件。</w:t>
      </w:r>
    </w:p>
    <w:p w14:paraId="23B8836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8.11 上市公司应当定期指派专人检查环保政策的实施情况，对不符合公司环境保护政策的行为应当予以纠正，并采取相应补救措施。</w:t>
      </w:r>
    </w:p>
    <w:p w14:paraId="243B774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公司出现重大环境污染事故时，应当及时披露环境污染的产生原因、对公司业绩的影响、环境污染的影响情况、公司拟采取的整改措施等。</w:t>
      </w:r>
    </w:p>
    <w:p w14:paraId="15C0FED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8.12 上市公司或者其主要子公司属于环境保护部门公布的重点排污单位的，应当在环保部门公布名单后及时披露下列信息：</w:t>
      </w:r>
    </w:p>
    <w:p w14:paraId="05A12D4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（一）公司污染物的名称、排放方式、排放浓度和总量、超标、超总量情况；</w:t>
      </w:r>
    </w:p>
    <w:p w14:paraId="1BEE16C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（二）公司环保设施的建设和运行情况；</w:t>
      </w:r>
    </w:p>
    <w:p w14:paraId="4B36633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（三）公司环境污染事故应急预案；</w:t>
      </w:r>
    </w:p>
    <w:p w14:paraId="38DBA6E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（四）公司为减少污染物排放所采取的措施及今后的工作安排。</w:t>
      </w:r>
    </w:p>
    <w:p w14:paraId="41A41D7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公司不得以商业秘密为由，拒绝公开前款所列的环境信息。</w:t>
      </w:r>
    </w:p>
    <w:p w14:paraId="418EADE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在报告期内以临时报告的形式披露环境信息内容的，应当说明后续进展或者变化情况。如相关事项已在临时报告披露且后续实施无进展或者变化的，仅需披露该事项概述，并提供临时报告披露网站的相关查询索引。</w:t>
      </w:r>
    </w:p>
    <w:p w14:paraId="7E508E2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8.13 上市公司应当根据自身生产经营模式，履行下列生产及产品安全保障责任：</w:t>
      </w:r>
    </w:p>
    <w:p w14:paraId="2C5F533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（一）遵守产品安全法律法规与行业标准；</w:t>
      </w:r>
    </w:p>
    <w:p w14:paraId="5D66DEE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（二）建立安全可靠的生产环境和生产流程；</w:t>
      </w:r>
    </w:p>
    <w:p w14:paraId="1A29C47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（三）建立产品质量安全保障机制与产品安全事故应急方案；</w:t>
      </w:r>
    </w:p>
    <w:p w14:paraId="48ED634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（四）其他应当履行的生产与产品安全责任。</w:t>
      </w:r>
    </w:p>
    <w:p w14:paraId="2E4FEBD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8.14 上市公司应当根据员工构成情况，履行下列员工权益保障责任：</w:t>
      </w:r>
    </w:p>
    <w:p w14:paraId="664D046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（一）建立员工聘用解雇、薪酬福利、社会保险、工作时间等管理制度及违规处理措施；</w:t>
      </w:r>
    </w:p>
    <w:p w14:paraId="7C56CC9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（二）建立防范职业性危害的工作环境与配套安全措施；</w:t>
      </w:r>
    </w:p>
    <w:p w14:paraId="16796B5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（三）开展必要的员工知识和职业技能培训；</w:t>
      </w:r>
    </w:p>
    <w:p w14:paraId="4AC8CC4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（四）其他应当履行的员工权益保护责任。</w:t>
      </w:r>
    </w:p>
    <w:p w14:paraId="307EC3D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8.15 上市公司应当严格遵守科学伦理规范，尊重科学精神，恪守应有的价值观念、社会责任和行为规范，发挥科学技术的正面效应。</w:t>
      </w:r>
    </w:p>
    <w:p w14:paraId="0137E30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公司应当避免研究、开发和使用危害自然环境、生命健康、公共安全、伦理道德的科学技术，不得从事侵犯个人基本权利或者损害社会公共利益的研发和经营活动。</w:t>
      </w:r>
    </w:p>
    <w:p w14:paraId="70B431E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公司在生命科学、人工智能、信息技术、生态环境、新材料等科技创新领域开发或者使用创新技术的，应当遵循审慎和稳健原则，充分评估其潜在影响及可靠性。</w:t>
      </w:r>
    </w:p>
    <w:p w14:paraId="18CE4A72">
      <w:pPr>
        <w:widowControl/>
        <w:shd w:val="clear" w:fill="FFFFFF"/>
        <w:spacing w:line="560" w:lineRule="exact"/>
        <w:rPr>
          <w:rFonts w:ascii="仿宋_GB2312" w:hAnsi="仿宋_GB2312" w:eastAsia="仿宋_GB2312" w:cs="Times New Roman"/>
          <w:color w:val="000000"/>
          <w:kern w:val="0"/>
          <w:sz w:val="30"/>
          <w:szCs w:val="30"/>
        </w:rPr>
      </w:pPr>
    </w:p>
    <w:p w14:paraId="44A6B566">
      <w:pPr>
        <w:pStyle w:val="2"/>
        <w:spacing w:line="560" w:lineRule="exact"/>
        <w:ind w:left="0" w:firstLine="0"/>
        <w:rPr>
          <w:rFonts w:ascii="黑体" w:hAnsi="黑体" w:eastAsia="黑体" w:cs="黑体"/>
          <w:kern w:val="0"/>
        </w:rPr>
      </w:pPr>
      <w:bookmarkStart w:id="54" w:name="__RefHeading___Toc189646164"/>
      <w:bookmarkEnd w:id="54"/>
      <w:r>
        <w:rPr>
          <w:rFonts w:ascii="黑体" w:hAnsi="黑体" w:eastAsia="黑体" w:cs="黑体"/>
          <w:kern w:val="0"/>
        </w:rPr>
        <w:t>第九章 附则</w:t>
      </w:r>
    </w:p>
    <w:p w14:paraId="745D921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9.1 本指引中相关用词的含义，适用《</w:t>
      </w:r>
      <w:r>
        <w:rPr>
          <w:rFonts w:ascii="仿宋_GB2312" w:hAnsi="仿宋_GB2312" w:eastAsia="仿宋_GB2312"/>
          <w:sz w:val="30"/>
          <w:szCs w:val="30"/>
        </w:rPr>
        <w:t>上海证券交易所股票上市规则</w:t>
      </w:r>
      <w:r>
        <w:rPr>
          <w:rFonts w:ascii="仿宋_GB2312" w:hAnsi="仿宋_GB2312" w:eastAsia="仿宋_GB2312" w:cs="Times New Roman"/>
          <w:color w:val="000000"/>
          <w:kern w:val="0"/>
          <w:sz w:val="30"/>
          <w:szCs w:val="30"/>
        </w:rPr>
        <w:t>》第十五章的规定。</w:t>
      </w:r>
    </w:p>
    <w:p w14:paraId="1E0B99C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9.2 本指引第1.2条所规定的相关主体违反本指引的，本所按照《股票上市规则》和《上海证券交易所纪律处分和监管措施实施办法》等相关规定对其采取监管措施或者予以纪律处分。</w:t>
      </w:r>
    </w:p>
    <w:p w14:paraId="378851B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9.3 本指引由本所负责解释。</w:t>
      </w:r>
    </w:p>
    <w:p w14:paraId="36D0C78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9.4 本指引自发布之日起施行。</w:t>
      </w:r>
    </w:p>
    <w:p w14:paraId="2EEE8573">
      <w:pPr>
        <w:widowControl/>
        <w:shd w:val="clear" w:fill="FFFFFF"/>
        <w:spacing w:line="560" w:lineRule="exact"/>
        <w:ind w:right="0" w:firstLine="601"/>
        <w:jc w:val="left"/>
        <w:rPr>
          <w:rFonts w:ascii="仿宋_GB2312" w:hAnsi="仿宋_GB2312" w:eastAsia="仿宋_GB2312" w:cs="Times New Roman"/>
          <w:color w:val="000000"/>
          <w:kern w:val="0"/>
          <w:sz w:val="30"/>
          <w:szCs w:val="30"/>
        </w:rPr>
      </w:pPr>
    </w:p>
    <w:p w14:paraId="5A700EF1">
      <w:pPr>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附件：1.董事声明及承诺书</w:t>
      </w:r>
    </w:p>
    <w:p w14:paraId="2694715E">
      <w:pPr>
        <w:spacing w:line="560" w:lineRule="exact"/>
        <w:ind w:right="0" w:firstLine="15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2.高级管理人员声明及承诺书</w:t>
      </w:r>
    </w:p>
    <w:p w14:paraId="38BC71E5">
      <w:pPr>
        <w:spacing w:line="560" w:lineRule="exact"/>
        <w:ind w:right="0" w:firstLine="15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3.独立董事候选人声明与承诺</w:t>
      </w:r>
    </w:p>
    <w:p w14:paraId="3D433A7C">
      <w:pPr>
        <w:spacing w:line="560" w:lineRule="exact"/>
        <w:ind w:right="0" w:firstLine="15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4.独立董事提名人声明与承诺</w:t>
      </w:r>
    </w:p>
    <w:p w14:paraId="6D742271">
      <w:pPr>
        <w:spacing w:line="560" w:lineRule="exact"/>
        <w:ind w:right="0" w:firstLine="15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5.独立董事候选人履历表</w:t>
      </w:r>
    </w:p>
    <w:p w14:paraId="6C3C31B3">
      <w:pPr>
        <w:spacing w:line="560" w:lineRule="exact"/>
        <w:ind w:right="0" w:firstLine="15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6.控股股东、实际控制人声明及承诺书</w:t>
      </w:r>
    </w:p>
    <w:p w14:paraId="31FED79F">
      <w:pPr>
        <w:spacing w:line="560" w:lineRule="exact"/>
        <w:ind w:right="0" w:firstLine="15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7.红筹企业董事声明及承诺书</w:t>
      </w:r>
    </w:p>
    <w:p w14:paraId="7A1C2F36">
      <w:pPr>
        <w:spacing w:line="560" w:lineRule="exact"/>
        <w:ind w:right="0" w:firstLine="15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8.红筹企业高级管理人员声明及承诺书</w:t>
      </w:r>
    </w:p>
    <w:p w14:paraId="0E7EDA92">
      <w:pPr>
        <w:spacing w:line="560" w:lineRule="exact"/>
        <w:ind w:right="0" w:firstLine="15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9.红筹企业控股股东、实际控制人声明及承诺书</w:t>
      </w:r>
      <w:r>
        <w:br w:type="page"/>
      </w:r>
    </w:p>
    <w:p w14:paraId="26BBF353">
      <w:pPr>
        <w:widowControl/>
        <w:jc w:val="left"/>
        <w:rPr>
          <w:rFonts w:ascii="仿宋_GB2312" w:hAnsi="仿宋_GB2312" w:eastAsia="仿宋_GB2312"/>
          <w:b/>
          <w:bCs/>
          <w:sz w:val="30"/>
          <w:szCs w:val="30"/>
        </w:rPr>
      </w:pPr>
      <w:r>
        <w:rPr>
          <w:rFonts w:ascii="仿宋_GB2312" w:hAnsi="仿宋_GB2312" w:eastAsia="仿宋_GB2312"/>
          <w:b/>
          <w:bCs/>
          <w:sz w:val="30"/>
          <w:szCs w:val="30"/>
        </w:rPr>
        <w:t>附件1</w:t>
      </w:r>
    </w:p>
    <w:p w14:paraId="4981CBAB">
      <w:pPr>
        <w:spacing w:line="540" w:lineRule="exact"/>
        <w:rPr>
          <w:rFonts w:ascii="仿宋_GB2312" w:hAnsi="仿宋_GB2312" w:eastAsia="仿宋_GB2312"/>
          <w:b/>
          <w:bCs/>
          <w:kern w:val="2"/>
          <w:sz w:val="30"/>
          <w:szCs w:val="30"/>
        </w:rPr>
      </w:pPr>
    </w:p>
    <w:p w14:paraId="37C2CFF0">
      <w:pPr>
        <w:pStyle w:val="2"/>
        <w:ind w:left="0" w:firstLine="0"/>
        <w:rPr>
          <w:rFonts w:ascii="黑体" w:hAnsi="黑体" w:eastAsia="黑体" w:cs="黑体"/>
          <w:kern w:val="0"/>
          <w:sz w:val="44"/>
          <w:szCs w:val="36"/>
        </w:rPr>
      </w:pPr>
      <w:bookmarkStart w:id="55" w:name="__RefHeading___Toc189646165"/>
      <w:bookmarkEnd w:id="55"/>
      <w:r>
        <w:rPr>
          <w:rFonts w:ascii="黑体" w:hAnsi="黑体" w:eastAsia="黑体" w:cs="黑体"/>
          <w:kern w:val="0"/>
          <w:sz w:val="44"/>
          <w:szCs w:val="36"/>
        </w:rPr>
        <w:t>董事声明及承诺书</w:t>
      </w:r>
    </w:p>
    <w:p w14:paraId="348A26FF">
      <w:pPr>
        <w:snapToGrid w:val="0"/>
        <w:spacing w:line="540" w:lineRule="exact"/>
        <w:jc w:val="center"/>
        <w:rPr>
          <w:rFonts w:ascii="仿宋_GB2312" w:hAnsi="仿宋_GB2312" w:eastAsia="仿宋_GB2312" w:cs="黑体"/>
          <w:b/>
          <w:kern w:val="0"/>
          <w:sz w:val="30"/>
          <w:szCs w:val="30"/>
        </w:rPr>
      </w:pPr>
    </w:p>
    <w:p w14:paraId="3A26B9B9">
      <w:pPr>
        <w:snapToGrid w:val="0"/>
        <w:spacing w:line="540" w:lineRule="exact"/>
        <w:jc w:val="center"/>
        <w:rPr>
          <w:rFonts w:ascii="仿宋_GB2312" w:hAnsi="仿宋_GB2312" w:eastAsia="仿宋_GB2312"/>
          <w:sz w:val="30"/>
          <w:szCs w:val="30"/>
        </w:rPr>
      </w:pPr>
      <w:r>
        <w:rPr>
          <w:rFonts w:ascii="仿宋_GB2312" w:hAnsi="仿宋_GB2312" w:eastAsia="仿宋_GB2312"/>
          <w:b/>
          <w:sz w:val="30"/>
          <w:szCs w:val="30"/>
        </w:rPr>
        <w:t>第一部分  声明</w:t>
      </w:r>
    </w:p>
    <w:p w14:paraId="666C3402">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一、基本情况</w:t>
      </w:r>
    </w:p>
    <w:p w14:paraId="7EDC418D">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1.上市公司名称：</w:t>
      </w:r>
    </w:p>
    <w:p w14:paraId="63B3AD28">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rPr>
        <w:t>2.上市公司股票简称：  股票代码：</w:t>
      </w:r>
    </w:p>
    <w:p w14:paraId="566A6724">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3.本人姓名： 职务：</w:t>
      </w:r>
    </w:p>
    <w:p w14:paraId="0EF88268">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4.别名：</w:t>
      </w:r>
    </w:p>
    <w:p w14:paraId="5DE14651">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5.曾用名：</w:t>
      </w:r>
    </w:p>
    <w:p w14:paraId="2E4AC96B">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6.出生日期：</w:t>
      </w:r>
    </w:p>
    <w:p w14:paraId="39703171">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7.住址：</w:t>
      </w:r>
    </w:p>
    <w:p w14:paraId="5A9884B0">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8.国籍：</w:t>
      </w:r>
    </w:p>
    <w:p w14:paraId="3CE2363D">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9.拥有哪些国家或者地区的长期居留权（如适用）：</w:t>
      </w:r>
    </w:p>
    <w:p w14:paraId="7586A06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10.专业资格（如适用）：</w:t>
      </w:r>
    </w:p>
    <w:p w14:paraId="5FEC0E9F">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11.身份证号码：</w:t>
      </w:r>
    </w:p>
    <w:p w14:paraId="76235383">
      <w:pPr>
        <w:tabs>
          <w:tab w:val="left" w:pos="3075"/>
        </w:tabs>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12.护照号码（如适用）：</w:t>
      </w:r>
    </w:p>
    <w:p w14:paraId="37F1F621">
      <w:pPr>
        <w:tabs>
          <w:tab w:val="left" w:pos="3075"/>
        </w:tabs>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13.配偶及近亲属的姓名、身份证号码：</w:t>
      </w:r>
    </w:p>
    <w:p w14:paraId="1680FDB8">
      <w:pPr>
        <w:tabs>
          <w:tab w:val="left" w:pos="3075"/>
        </w:tabs>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配偶：</w:t>
      </w:r>
    </w:p>
    <w:p w14:paraId="7537353B">
      <w:pPr>
        <w:tabs>
          <w:tab w:val="left" w:pos="3075"/>
        </w:tabs>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父母：</w:t>
      </w:r>
    </w:p>
    <w:p w14:paraId="0746D189">
      <w:pPr>
        <w:tabs>
          <w:tab w:val="left" w:pos="3075"/>
        </w:tabs>
        <w:snapToGrid w:val="0"/>
        <w:spacing w:line="540" w:lineRule="exact"/>
        <w:ind w:right="0" w:firstLine="600"/>
        <w:jc w:val="left"/>
        <w:rPr>
          <w:rFonts w:ascii="仿宋_GB2312" w:hAnsi="仿宋_GB2312" w:eastAsia="仿宋_GB2312"/>
          <w:sz w:val="30"/>
          <w:szCs w:val="30"/>
        </w:rPr>
      </w:pPr>
      <w:r>
        <w:rPr>
          <w:rFonts w:ascii="仿宋_GB2312" w:hAnsi="仿宋_GB2312" w:eastAsia="仿宋_GB2312"/>
          <w:sz w:val="30"/>
          <w:szCs w:val="30"/>
        </w:rPr>
        <w:t>子女及其配偶：</w:t>
      </w:r>
    </w:p>
    <w:p w14:paraId="2F7D91D9">
      <w:pPr>
        <w:tabs>
          <w:tab w:val="left" w:pos="3075"/>
        </w:tabs>
        <w:snapToGrid w:val="0"/>
        <w:spacing w:line="540" w:lineRule="exact"/>
        <w:ind w:right="0" w:firstLine="600"/>
        <w:jc w:val="left"/>
        <w:rPr>
          <w:rFonts w:ascii="仿宋_GB2312" w:hAnsi="仿宋_GB2312" w:eastAsia="仿宋_GB2312"/>
          <w:sz w:val="30"/>
          <w:szCs w:val="30"/>
          <w:u w:val="single"/>
        </w:rPr>
      </w:pPr>
      <w:r>
        <w:rPr>
          <w:rFonts w:ascii="仿宋_GB2312" w:hAnsi="仿宋_GB2312" w:eastAsia="仿宋_GB2312"/>
          <w:sz w:val="30"/>
          <w:szCs w:val="30"/>
        </w:rPr>
        <w:t>14.最近五年的工作经历：</w:t>
      </w:r>
    </w:p>
    <w:p w14:paraId="72EDB37A">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二、是否有配偶、父母、年满18周岁具有民事行为能力的子女及其配偶、兄弟姐妹及其配偶担任本公司董事、高级管理人员？</w:t>
      </w:r>
    </w:p>
    <w:p w14:paraId="312DF434">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680E09A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7C0A1BB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三、是否在其他公司任职？</w:t>
      </w:r>
    </w:p>
    <w:p w14:paraId="272CC189">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1790400E">
      <w:pPr>
        <w:snapToGrid w:val="0"/>
        <w:spacing w:line="540" w:lineRule="exact"/>
        <w:ind w:right="0" w:firstLine="600"/>
        <w:rPr>
          <w:sz w:val="30"/>
          <w:szCs w:val="30"/>
        </w:rPr>
      </w:pPr>
      <w:r>
        <w:rPr>
          <w:rFonts w:ascii="仿宋_GB2312" w:hAnsi="仿宋_GB2312" w:eastAsia="仿宋_GB2312"/>
          <w:sz w:val="30"/>
          <w:szCs w:val="30"/>
        </w:rPr>
        <w:t>如是，请填报各公司的名称、注册资本、经营范围，以及在该公司任职的情况。</w:t>
      </w:r>
    </w:p>
    <w:p w14:paraId="115D917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四、是否负有数额较大的到期未清偿债务，或者未偿还经法院判决、裁定应当偿付的债务，或者被法院采取强制措施，或者受到仍然有效的法院判决、裁定所限制？</w:t>
      </w:r>
    </w:p>
    <w:p w14:paraId="17B8299C">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44502012">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786DF6DF">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五、是否曾担任破产清算、关停并转或有类似情况的公司、企业的董事或者厂长、经理</w:t>
      </w:r>
      <w:r>
        <w:rPr>
          <w:rFonts w:ascii="仿宋_GB2312" w:hAnsi="仿宋_GB2312" w:eastAsia="仿宋_GB2312"/>
          <w:kern w:val="2"/>
          <w:sz w:val="30"/>
          <w:szCs w:val="30"/>
        </w:rPr>
        <w:t>，并对该公司、企业破产负有个人责任</w:t>
      </w:r>
      <w:r>
        <w:rPr>
          <w:rFonts w:ascii="仿宋_GB2312" w:hAnsi="仿宋_GB2312" w:eastAsia="仿宋_GB2312"/>
          <w:sz w:val="30"/>
          <w:szCs w:val="30"/>
        </w:rPr>
        <w:t>？</w:t>
      </w:r>
    </w:p>
    <w:p w14:paraId="1B897923">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03D9373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如是，请说明具体情况和是否负有个人责任。</w:t>
      </w:r>
    </w:p>
    <w:p w14:paraId="22B9053A">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六、是否曾担任因违法而被吊销营业执照、责令关闭的公司、企业的法定代表人，</w:t>
      </w:r>
      <w:r>
        <w:rPr>
          <w:rFonts w:ascii="仿宋_GB2312" w:hAnsi="仿宋_GB2312" w:eastAsia="仿宋_GB2312"/>
          <w:kern w:val="2"/>
          <w:sz w:val="30"/>
          <w:szCs w:val="30"/>
        </w:rPr>
        <w:t>并负有个人责任</w:t>
      </w:r>
      <w:r>
        <w:rPr>
          <w:rFonts w:ascii="仿宋_GB2312" w:hAnsi="仿宋_GB2312" w:eastAsia="仿宋_GB2312"/>
          <w:sz w:val="30"/>
          <w:szCs w:val="30"/>
        </w:rPr>
        <w:t>？</w:t>
      </w:r>
    </w:p>
    <w:p w14:paraId="5682B4B2">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31E1B24D">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如是，请说明具体情况和是否负有个人责任。</w:t>
      </w:r>
    </w:p>
    <w:p w14:paraId="5DD0C3DA">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七、是否曾因贪污、贿赂、侵占财产、挪用财产、内幕交易、操纵证券、期货交易价格或者破坏社会主义市场经济秩序被判处刑罚或者正在处于有关诉讼程序中？是否曾因犯罪被剥夺政治权利？</w:t>
      </w:r>
    </w:p>
    <w:p w14:paraId="0EDF95B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30BBF06A">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2F899DE3">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八、是否曾因违反《中华人民共和国证券法》《上市公司信息披露管理办法》《证券市场禁入规定》等证券市场有关法律、行政法规、部门规章而受到行政处罚？</w:t>
      </w:r>
    </w:p>
    <w:p w14:paraId="3DE97C20">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167B4FF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1C3455BF">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九、是否存在《中华人民共和国公司法》《中华人民共和国公务员法》等法律、行政法规、部门规章和其他规范性文件规定的不得担任公司董事的其他情形？</w:t>
      </w:r>
    </w:p>
    <w:p w14:paraId="33B508AB">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2C91011A">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3051EC70">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 xml:space="preserve">十、除第七、八条以外，是否曾因违反其他法律、行政法规而受到刑事、行政处罚？ </w:t>
      </w:r>
    </w:p>
    <w:p w14:paraId="7D3D4F9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2B056C8C">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48D9FDC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十一、是否因涉嫌违反证券市场法律、行政法规、部门规章的规定正受到中国证监会的调查或者涉及有关行政程序？是否曾因违反证券交易所相关规定受到纪律处分？</w:t>
      </w:r>
    </w:p>
    <w:p w14:paraId="1509A48C">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6C30A515">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1512E452">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十二、您及您的配偶、父母、子女及其配偶是否持有本公司股票及其衍生品种？</w:t>
      </w:r>
    </w:p>
    <w:p w14:paraId="6581938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54AB3C98">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144690E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十三、过去或者现在是否在上市公司或其控股子公司拥有除前项以外的其他利益？</w:t>
      </w:r>
    </w:p>
    <w:p w14:paraId="3C85CE59">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06B65E38">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37D7D71F">
      <w:pPr>
        <w:spacing w:line="540" w:lineRule="exact"/>
        <w:ind w:right="0" w:firstLine="600"/>
        <w:rPr>
          <w:rFonts w:ascii="仿宋_GB2312" w:hAnsi="仿宋_GB2312" w:eastAsia="仿宋_GB2312"/>
          <w:kern w:val="2"/>
          <w:sz w:val="30"/>
          <w:szCs w:val="30"/>
        </w:rPr>
      </w:pPr>
      <w:r>
        <w:rPr>
          <w:rFonts w:ascii="仿宋_GB2312" w:hAnsi="仿宋_GB2312" w:eastAsia="仿宋_GB2312"/>
          <w:sz w:val="30"/>
          <w:szCs w:val="30"/>
        </w:rPr>
        <w:t>十四、</w:t>
      </w:r>
      <w:r>
        <w:rPr>
          <w:rFonts w:ascii="仿宋_GB2312" w:hAnsi="仿宋_GB2312" w:eastAsia="仿宋_GB2312"/>
          <w:kern w:val="2"/>
          <w:sz w:val="30"/>
          <w:szCs w:val="30"/>
        </w:rPr>
        <w:t>是否已明确知悉作为上市公司的董事，就公司向股东和社会公众提供虚假或者隐瞒重要事实的财务会计报告，或者对依法应当披露的其他重要信息不按照规定披露，严重损害股东或者其他人利益，或者有其他严重情节的，对其负有直接责任的主管人员和其他直接责任人员，将被追究刑事责任？</w:t>
      </w:r>
    </w:p>
    <w:p w14:paraId="77E18E8E">
      <w:pPr>
        <w:spacing w:line="540" w:lineRule="exact"/>
        <w:ind w:right="0" w:firstLine="600"/>
        <w:rPr>
          <w:rFonts w:ascii="仿宋_GB2312" w:hAnsi="仿宋_GB2312" w:eastAsia="仿宋_GB2312"/>
          <w:kern w:val="2"/>
          <w:sz w:val="30"/>
          <w:szCs w:val="30"/>
        </w:rPr>
      </w:pPr>
      <w:r>
        <w:rPr>
          <w:rFonts w:ascii="仿宋_GB2312" w:hAnsi="仿宋_GB2312" w:eastAsia="仿宋_GB2312"/>
          <w:kern w:val="2"/>
          <w:sz w:val="30"/>
          <w:szCs w:val="30"/>
        </w:rPr>
        <w:t>是□  否□</w:t>
      </w:r>
    </w:p>
    <w:p w14:paraId="5FE0B102">
      <w:pPr>
        <w:spacing w:line="540" w:lineRule="exact"/>
        <w:ind w:right="0" w:firstLine="600"/>
        <w:rPr>
          <w:rFonts w:ascii="仿宋_GB2312" w:hAnsi="仿宋_GB2312" w:eastAsia="仿宋_GB2312"/>
          <w:kern w:val="2"/>
          <w:sz w:val="30"/>
          <w:szCs w:val="30"/>
        </w:rPr>
      </w:pPr>
      <w:r>
        <w:rPr>
          <w:rFonts w:ascii="仿宋_GB2312" w:hAnsi="仿宋_GB2312" w:eastAsia="仿宋_GB2312"/>
          <w:kern w:val="2"/>
          <w:sz w:val="30"/>
          <w:szCs w:val="30"/>
        </w:rPr>
        <w:t>十五、是否已明确知悉作为上市公司的董事，违背对公司的忠实义务，利用职务便利，操纵上市公司从事下列行为之一，致使上市公司利益遭受特别重大损失的，将被追究刑事责任：</w:t>
      </w:r>
    </w:p>
    <w:p w14:paraId="5AE895C3">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（一）无偿向其他单位或者个人提供资金、商品、服务或者其他资产的；</w:t>
      </w:r>
    </w:p>
    <w:p w14:paraId="655304FF">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（二）以明显不公平的条件，提供或者接受资金、商品、服务或者其他资产的；</w:t>
      </w:r>
    </w:p>
    <w:p w14:paraId="4655A539">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（三）向明显不具有清偿能力的单位或者个人提供资金、商品、服务或者其他资产的；</w:t>
      </w:r>
    </w:p>
    <w:p w14:paraId="676C0C67">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（四）向明显不具有清偿能力的单位或者个人提供担保，或者无正当理由为其他单位或者个人提供担保的；</w:t>
      </w:r>
    </w:p>
    <w:p w14:paraId="76C4FD31">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（五）无正当理由放弃债权、承担债务的；</w:t>
      </w:r>
    </w:p>
    <w:p w14:paraId="26EF12A6">
      <w:pPr>
        <w:spacing w:line="540" w:lineRule="exact"/>
        <w:ind w:right="0" w:firstLine="600"/>
        <w:rPr>
          <w:rFonts w:ascii="仿宋_GB2312" w:hAnsi="仿宋_GB2312" w:eastAsia="仿宋_GB2312"/>
          <w:kern w:val="2"/>
          <w:sz w:val="30"/>
          <w:szCs w:val="30"/>
        </w:rPr>
      </w:pPr>
      <w:r>
        <w:rPr>
          <w:rFonts w:ascii="仿宋_GB2312" w:hAnsi="仿宋_GB2312" w:eastAsia="仿宋_GB2312"/>
          <w:bCs/>
          <w:kern w:val="2"/>
          <w:sz w:val="30"/>
          <w:szCs w:val="30"/>
        </w:rPr>
        <w:t xml:space="preserve">（六）采用其他方式损害上市公司利益的。 </w:t>
      </w:r>
    </w:p>
    <w:p w14:paraId="37BA0CF2">
      <w:pPr>
        <w:snapToGrid w:val="0"/>
        <w:spacing w:line="540" w:lineRule="exact"/>
        <w:ind w:right="0" w:firstLine="600"/>
        <w:rPr>
          <w:rFonts w:ascii="仿宋_GB2312" w:hAnsi="仿宋_GB2312" w:eastAsia="仿宋_GB2312"/>
          <w:kern w:val="2"/>
          <w:sz w:val="30"/>
          <w:szCs w:val="30"/>
        </w:rPr>
      </w:pPr>
      <w:r>
        <w:rPr>
          <w:rFonts w:ascii="仿宋_GB2312" w:hAnsi="仿宋_GB2312" w:eastAsia="仿宋_GB2312"/>
          <w:kern w:val="2"/>
          <w:sz w:val="30"/>
          <w:szCs w:val="30"/>
        </w:rPr>
        <w:t>是□  否□</w:t>
      </w:r>
    </w:p>
    <w:p w14:paraId="52BD9C8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十六、除上述问题所涉及的信息外，是否有需要声明的其他事项，而不声明该等事项可能影响您对上述问题回答的真实性、完整性或者准确性？</w:t>
      </w:r>
    </w:p>
    <w:p w14:paraId="556FA8BB">
      <w:pPr>
        <w:snapToGrid w:val="0"/>
        <w:spacing w:line="540" w:lineRule="exact"/>
        <w:ind w:right="0" w:firstLine="600"/>
        <w:rPr>
          <w:rFonts w:ascii="仿宋_GB2312" w:hAnsi="仿宋_GB2312" w:eastAsia="仿宋_GB2312" w:cs="Times New Roman"/>
          <w:kern w:val="2"/>
          <w:sz w:val="30"/>
          <w:szCs w:val="30"/>
        </w:rPr>
      </w:pPr>
      <w:r>
        <w:rPr>
          <w:rFonts w:ascii="仿宋_GB2312" w:hAnsi="仿宋_GB2312" w:eastAsia="仿宋_GB2312" w:cs="Times New Roman"/>
          <w:kern w:val="2"/>
          <w:sz w:val="30"/>
          <w:szCs w:val="30"/>
        </w:rPr>
        <w:t>是□否□</w:t>
      </w:r>
    </w:p>
    <w:p w14:paraId="357592E4">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620D1394">
      <w:pPr>
        <w:snapToGrid w:val="0"/>
        <w:spacing w:line="540" w:lineRule="exact"/>
        <w:rPr>
          <w:rFonts w:ascii="仿宋_GB2312" w:hAnsi="仿宋_GB2312" w:eastAsia="仿宋_GB2312"/>
          <w:sz w:val="30"/>
          <w:szCs w:val="30"/>
        </w:rPr>
      </w:pPr>
    </w:p>
    <w:p w14:paraId="5640FED5">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本人（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董事。</w:t>
      </w:r>
    </w:p>
    <w:p w14:paraId="7AA2D7DD">
      <w:pPr>
        <w:snapToGrid w:val="0"/>
        <w:spacing w:line="540" w:lineRule="exact"/>
        <w:ind w:right="0" w:firstLine="425"/>
        <w:rPr>
          <w:rFonts w:ascii="仿宋_GB2312" w:hAnsi="仿宋_GB2312" w:eastAsia="仿宋_GB2312"/>
          <w:sz w:val="30"/>
          <w:szCs w:val="30"/>
        </w:rPr>
      </w:pPr>
      <w:r>
        <w:rPr>
          <w:rFonts w:ascii="仿宋_GB2312" w:hAnsi="仿宋_GB2312" w:eastAsia="仿宋_GB2312"/>
          <w:sz w:val="30"/>
          <w:szCs w:val="30"/>
        </w:rPr>
        <w:tab/>
      </w:r>
      <w:r>
        <w:rPr>
          <w:rFonts w:ascii="仿宋_GB2312" w:hAnsi="仿宋_GB2312" w:eastAsia="仿宋_GB2312"/>
          <w:sz w:val="30"/>
          <w:szCs w:val="30"/>
        </w:rPr>
        <w:tab/>
      </w:r>
      <w:r>
        <w:rPr>
          <w:rFonts w:ascii="仿宋_GB2312" w:hAnsi="仿宋_GB2312" w:eastAsia="仿宋_GB2312"/>
          <w:sz w:val="30"/>
          <w:szCs w:val="30"/>
        </w:rPr>
        <w:tab/>
      </w:r>
      <w:r>
        <w:rPr>
          <w:rFonts w:ascii="仿宋_GB2312" w:hAnsi="仿宋_GB2312" w:eastAsia="仿宋_GB2312"/>
          <w:sz w:val="30"/>
          <w:szCs w:val="30"/>
        </w:rPr>
        <w:tab/>
      </w:r>
      <w:r>
        <w:rPr>
          <w:rFonts w:ascii="仿宋_GB2312" w:hAnsi="仿宋_GB2312" w:eastAsia="仿宋_GB2312"/>
          <w:sz w:val="30"/>
          <w:szCs w:val="30"/>
        </w:rPr>
        <w:tab/>
      </w:r>
      <w:r>
        <w:rPr>
          <w:rFonts w:ascii="仿宋_GB2312" w:hAnsi="仿宋_GB2312" w:eastAsia="仿宋_GB2312"/>
          <w:sz w:val="30"/>
          <w:szCs w:val="30"/>
        </w:rPr>
        <w:tab/>
      </w:r>
      <w:r>
        <w:rPr>
          <w:rFonts w:ascii="仿宋_GB2312" w:hAnsi="仿宋_GB2312" w:eastAsia="仿宋_GB2312"/>
          <w:sz w:val="30"/>
          <w:szCs w:val="30"/>
        </w:rPr>
        <w:tab/>
      </w:r>
      <w:r>
        <w:rPr>
          <w:rFonts w:ascii="仿宋_GB2312" w:hAnsi="仿宋_GB2312" w:eastAsia="仿宋_GB2312"/>
          <w:sz w:val="30"/>
          <w:szCs w:val="30"/>
        </w:rPr>
        <w:tab/>
      </w:r>
      <w:r>
        <w:rPr>
          <w:rFonts w:ascii="仿宋_GB2312" w:hAnsi="仿宋_GB2312" w:eastAsia="仿宋_GB2312"/>
          <w:sz w:val="30"/>
          <w:szCs w:val="30"/>
        </w:rPr>
        <w:tab/>
      </w:r>
      <w:r>
        <w:rPr>
          <w:rFonts w:ascii="仿宋_GB2312" w:hAnsi="仿宋_GB2312" w:eastAsia="仿宋_GB2312"/>
          <w:sz w:val="30"/>
          <w:szCs w:val="30"/>
        </w:rPr>
        <w:tab/>
      </w:r>
      <w:r>
        <w:rPr>
          <w:rFonts w:ascii="仿宋_GB2312" w:hAnsi="仿宋_GB2312" w:eastAsia="仿宋_GB2312"/>
          <w:sz w:val="30"/>
          <w:szCs w:val="30"/>
        </w:rPr>
        <w:t>声明人（签名）：</w:t>
      </w:r>
    </w:p>
    <w:p w14:paraId="3AC852F3">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日  期：</w:t>
      </w:r>
    </w:p>
    <w:p w14:paraId="38AC2525">
      <w:pPr>
        <w:snapToGrid w:val="0"/>
        <w:spacing w:line="540" w:lineRule="exact"/>
        <w:rPr>
          <w:rFonts w:ascii="仿宋_GB2312" w:hAnsi="仿宋_GB2312" w:eastAsia="仿宋_GB2312"/>
          <w:sz w:val="30"/>
          <w:szCs w:val="30"/>
        </w:rPr>
      </w:pPr>
    </w:p>
    <w:p w14:paraId="74F67843">
      <w:pPr>
        <w:snapToGrid w:val="0"/>
        <w:spacing w:line="540" w:lineRule="exact"/>
        <w:rPr>
          <w:rFonts w:ascii="仿宋_GB2312" w:hAnsi="仿宋_GB2312" w:eastAsia="仿宋_GB2312"/>
          <w:sz w:val="30"/>
          <w:szCs w:val="30"/>
        </w:rPr>
      </w:pPr>
    </w:p>
    <w:p w14:paraId="7B49009B">
      <w:pPr>
        <w:snapToGrid w:val="0"/>
        <w:spacing w:line="540" w:lineRule="exact"/>
        <w:ind w:right="0" w:firstLine="420"/>
        <w:rPr>
          <w:rFonts w:ascii="仿宋_GB2312" w:hAnsi="仿宋_GB2312" w:eastAsia="仿宋_GB2312"/>
          <w:sz w:val="30"/>
          <w:szCs w:val="30"/>
        </w:rPr>
      </w:pPr>
      <w:r>
        <w:rPr>
          <w:rFonts w:ascii="仿宋_GB2312" w:hAnsi="仿宋_GB2312" w:eastAsia="仿宋_GB2312"/>
          <w:sz w:val="30"/>
          <w:szCs w:val="30"/>
        </w:rPr>
        <w:t>此项声明于 年 月 日在（地点）作出。</w:t>
      </w:r>
    </w:p>
    <w:p w14:paraId="5E2A7A71">
      <w:pPr>
        <w:snapToGrid w:val="0"/>
        <w:spacing w:line="540" w:lineRule="exact"/>
        <w:ind w:right="0" w:firstLine="425"/>
        <w:rPr>
          <w:rFonts w:ascii="仿宋_GB2312" w:hAnsi="仿宋_GB2312" w:eastAsia="仿宋_GB2312"/>
          <w:sz w:val="30"/>
          <w:szCs w:val="30"/>
        </w:rPr>
      </w:pPr>
      <w:r>
        <w:rPr>
          <w:rFonts w:ascii="仿宋_GB2312" w:hAnsi="仿宋_GB2312" w:eastAsia="仿宋_GB2312"/>
          <w:sz w:val="30"/>
          <w:szCs w:val="30"/>
        </w:rPr>
        <w:t>见证律师：</w:t>
      </w:r>
    </w:p>
    <w:p w14:paraId="4452F3FC">
      <w:pPr>
        <w:snapToGrid w:val="0"/>
        <w:spacing w:line="540" w:lineRule="exact"/>
        <w:ind w:right="0" w:firstLine="425"/>
        <w:rPr>
          <w:rFonts w:ascii="仿宋_GB2312" w:hAnsi="仿宋_GB2312" w:eastAsia="仿宋_GB2312"/>
          <w:sz w:val="30"/>
          <w:szCs w:val="30"/>
        </w:rPr>
      </w:pPr>
      <w:r>
        <w:rPr>
          <w:rFonts w:ascii="仿宋_GB2312" w:hAnsi="仿宋_GB2312" w:eastAsia="仿宋_GB2312"/>
          <w:sz w:val="30"/>
          <w:szCs w:val="30"/>
        </w:rPr>
        <w:t>日期：</w:t>
      </w:r>
    </w:p>
    <w:p w14:paraId="101EFF95">
      <w:pPr>
        <w:snapToGrid w:val="0"/>
        <w:spacing w:line="560" w:lineRule="exact"/>
        <w:ind w:right="0" w:firstLine="425"/>
        <w:rPr>
          <w:rFonts w:ascii="仿宋_GB2312" w:hAnsi="仿宋_GB2312" w:eastAsia="仿宋_GB2312"/>
          <w:sz w:val="30"/>
          <w:szCs w:val="30"/>
        </w:rPr>
      </w:pPr>
    </w:p>
    <w:p w14:paraId="66121F45">
      <w:pPr>
        <w:snapToGrid w:val="0"/>
        <w:spacing w:line="560" w:lineRule="exact"/>
        <w:ind w:right="0" w:firstLine="425"/>
        <w:rPr>
          <w:rFonts w:ascii="仿宋_GB2312" w:hAnsi="仿宋_GB2312" w:eastAsia="仿宋_GB2312"/>
          <w:sz w:val="30"/>
          <w:szCs w:val="30"/>
        </w:rPr>
      </w:pPr>
      <w:r>
        <w:br w:type="page"/>
      </w:r>
    </w:p>
    <w:p w14:paraId="558CE95C">
      <w:pPr>
        <w:snapToGrid w:val="0"/>
        <w:spacing w:line="560" w:lineRule="exact"/>
        <w:jc w:val="center"/>
        <w:rPr>
          <w:rFonts w:ascii="仿宋_GB2312" w:hAnsi="仿宋_GB2312" w:eastAsia="仿宋_GB2312"/>
          <w:b/>
          <w:sz w:val="30"/>
          <w:szCs w:val="30"/>
        </w:rPr>
      </w:pPr>
    </w:p>
    <w:p w14:paraId="6483EFC1">
      <w:pPr>
        <w:snapToGrid w:val="0"/>
        <w:spacing w:line="560" w:lineRule="exact"/>
        <w:jc w:val="center"/>
        <w:rPr>
          <w:rFonts w:ascii="仿宋_GB2312" w:hAnsi="仿宋_GB2312" w:eastAsia="仿宋_GB2312"/>
          <w:b/>
          <w:sz w:val="30"/>
          <w:szCs w:val="30"/>
        </w:rPr>
      </w:pPr>
      <w:r>
        <w:rPr>
          <w:rFonts w:ascii="仿宋_GB2312" w:hAnsi="仿宋_GB2312" w:eastAsia="仿宋_GB2312"/>
          <w:b/>
          <w:sz w:val="30"/>
          <w:szCs w:val="30"/>
        </w:rPr>
        <w:t>第二部分  承诺</w:t>
      </w:r>
    </w:p>
    <w:p w14:paraId="170704BF">
      <w:pPr>
        <w:snapToGrid w:val="0"/>
        <w:spacing w:line="560" w:lineRule="exact"/>
        <w:jc w:val="center"/>
        <w:rPr>
          <w:rFonts w:ascii="仿宋_GB2312" w:hAnsi="仿宋_GB2312" w:eastAsia="仿宋_GB2312"/>
          <w:b/>
          <w:sz w:val="30"/>
          <w:szCs w:val="30"/>
        </w:rPr>
      </w:pPr>
    </w:p>
    <w:p w14:paraId="3155D0E7">
      <w:pPr>
        <w:snapToGrid w:val="0"/>
        <w:spacing w:line="560" w:lineRule="exact"/>
        <w:ind w:left="425" w:right="0" w:hanging="425"/>
        <w:rPr>
          <w:rFonts w:ascii="仿宋_GB2312" w:hAnsi="仿宋_GB2312" w:eastAsia="仿宋_GB2312"/>
          <w:sz w:val="30"/>
          <w:szCs w:val="30"/>
        </w:rPr>
      </w:pPr>
      <w:r>
        <w:rPr>
          <w:rFonts w:ascii="仿宋_GB2312" w:hAnsi="仿宋_GB2312" w:eastAsia="仿宋_GB2312"/>
          <w:sz w:val="30"/>
          <w:szCs w:val="30"/>
        </w:rPr>
        <w:t>本人（正楷体）向上海证券交易所承诺：</w:t>
      </w:r>
    </w:p>
    <w:p w14:paraId="12A675CB">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一、本人在履行上市公司董事的职责时，将遵守并促使本公司和本人的授权人遵守国家法律、法规和规章等有关规定，履行忠实义务和勤勉义务；</w:t>
      </w:r>
    </w:p>
    <w:p w14:paraId="768DB584">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二、本人在履行上市公司董事的职责时，将遵守并促使本公司和本人的授权人遵守中国证监会发布的部门规章、规范性文件等有关要求；</w:t>
      </w:r>
    </w:p>
    <w:p w14:paraId="59515C91">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三、本人在履行上市公司董事的职责时，将遵守并促使本公司和本人的授权人遵守《上海证券交易所股票上市规则》和上海证券交易所的其他规定；</w:t>
      </w:r>
    </w:p>
    <w:p w14:paraId="4EC71772">
      <w:pPr>
        <w:pStyle w:val="6"/>
        <w:snapToGrid w:val="0"/>
        <w:spacing w:before="0" w:after="0" w:line="560" w:lineRule="exact"/>
        <w:ind w:right="0" w:firstLine="600"/>
        <w:rPr>
          <w:rFonts w:ascii="仿宋_GB2312" w:hAnsi="仿宋_GB2312" w:eastAsia="仿宋_GB2312"/>
          <w:sz w:val="30"/>
          <w:szCs w:val="30"/>
        </w:rPr>
      </w:pPr>
      <w:r>
        <w:rPr>
          <w:rFonts w:ascii="仿宋_GB2312" w:hAnsi="仿宋_GB2312" w:eastAsia="仿宋_GB2312"/>
          <w:sz w:val="30"/>
          <w:szCs w:val="30"/>
        </w:rPr>
        <w:t>四、本人在履行上市公司董事的职责时，将遵守</w:t>
      </w:r>
      <w:r>
        <w:rPr>
          <w:rFonts w:ascii="仿宋_GB2312" w:hAnsi="仿宋_GB2312" w:eastAsia="仿宋_GB2312" w:cs="宋体"/>
          <w:sz w:val="30"/>
          <w:szCs w:val="30"/>
        </w:rPr>
        <w:t>并促使本公司和本人的授权人遵守</w:t>
      </w:r>
      <w:r>
        <w:rPr>
          <w:rFonts w:ascii="仿宋_GB2312" w:hAnsi="仿宋_GB2312" w:eastAsia="仿宋_GB2312"/>
          <w:sz w:val="30"/>
          <w:szCs w:val="30"/>
        </w:rPr>
        <w:t>《公司章程》；</w:t>
      </w:r>
    </w:p>
    <w:p w14:paraId="1D74A448">
      <w:pPr>
        <w:pStyle w:val="6"/>
        <w:snapToGrid w:val="0"/>
        <w:spacing w:before="0" w:after="0" w:line="560" w:lineRule="exact"/>
        <w:ind w:right="0" w:firstLine="600"/>
        <w:rPr>
          <w:rFonts w:ascii="仿宋_GB2312" w:hAnsi="仿宋_GB2312" w:eastAsia="仿宋_GB2312"/>
          <w:sz w:val="30"/>
          <w:szCs w:val="30"/>
        </w:rPr>
      </w:pPr>
      <w:r>
        <w:rPr>
          <w:rFonts w:ascii="仿宋_GB2312" w:hAnsi="仿宋_GB2312" w:eastAsia="仿宋_GB2312"/>
          <w:sz w:val="30"/>
          <w:szCs w:val="30"/>
        </w:rPr>
        <w:t>五、本人接受上海证券交易所的监管，包括及时、如实地答复上海证券交易所向本人提出的任何问题，及时提供《上海证券交易所股票上市规则》</w:t>
      </w:r>
      <w:r>
        <w:rPr>
          <w:rFonts w:ascii="仿宋_GB2312" w:hAnsi="仿宋_GB2312" w:eastAsia="仿宋_GB2312" w:cs="宋体"/>
          <w:sz w:val="30"/>
          <w:szCs w:val="30"/>
        </w:rPr>
        <w:t>《上海证券交易所上市公司自律监管指引第1号——规范运作》等</w:t>
      </w:r>
      <w:r>
        <w:rPr>
          <w:rFonts w:ascii="仿宋_GB2312" w:hAnsi="仿宋_GB2312" w:eastAsia="仿宋_GB2312"/>
          <w:sz w:val="30"/>
          <w:szCs w:val="30"/>
        </w:rPr>
        <w:t>规定应当报送的资料及要求提供的其他文件的正本或者副本，并出席本人被要求出席的任何会议；</w:t>
      </w:r>
    </w:p>
    <w:p w14:paraId="5B11DA20">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六、本人授权上海证券交易所将本人提供的承诺与声明的资料向中国证监会报告；</w:t>
      </w:r>
    </w:p>
    <w:p w14:paraId="4F810C01">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七、本人如违反上述承诺，愿意承担由此引起的一切法律责任；</w:t>
      </w:r>
    </w:p>
    <w:p w14:paraId="5FD22F0E">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八、本人在执行职务过程中，如果与上海证券交易所发生争议提起诉讼时，由上海证券交易所住所地法院管辖。</w:t>
      </w:r>
    </w:p>
    <w:p w14:paraId="2241D8DD">
      <w:pPr>
        <w:snapToGrid w:val="0"/>
        <w:spacing w:line="560" w:lineRule="exact"/>
        <w:ind w:right="0" w:firstLine="600"/>
        <w:rPr>
          <w:rFonts w:ascii="仿宋_GB2312" w:hAnsi="仿宋_GB2312" w:eastAsia="仿宋_GB2312"/>
          <w:sz w:val="30"/>
          <w:szCs w:val="30"/>
        </w:rPr>
      </w:pPr>
    </w:p>
    <w:p w14:paraId="4EB68E70">
      <w:pPr>
        <w:snapToGrid w:val="0"/>
        <w:spacing w:line="560" w:lineRule="exact"/>
        <w:ind w:right="0" w:firstLine="600"/>
        <w:rPr>
          <w:rFonts w:ascii="仿宋_GB2312" w:hAnsi="仿宋_GB2312" w:eastAsia="仿宋_GB2312"/>
          <w:sz w:val="30"/>
          <w:szCs w:val="30"/>
        </w:rPr>
      </w:pPr>
    </w:p>
    <w:p w14:paraId="2663734C">
      <w:pPr>
        <w:snapToGrid w:val="0"/>
        <w:spacing w:line="560" w:lineRule="exact"/>
        <w:ind w:left="4615" w:right="0" w:firstLine="5"/>
        <w:rPr>
          <w:rFonts w:ascii="仿宋_GB2312" w:hAnsi="仿宋_GB2312" w:eastAsia="仿宋_GB2312"/>
          <w:sz w:val="30"/>
          <w:szCs w:val="30"/>
        </w:rPr>
      </w:pPr>
      <w:r>
        <w:rPr>
          <w:rFonts w:ascii="仿宋_GB2312" w:hAnsi="仿宋_GB2312" w:eastAsia="仿宋_GB2312"/>
          <w:sz w:val="30"/>
          <w:szCs w:val="30"/>
        </w:rPr>
        <w:t xml:space="preserve">承诺人（签名）：  </w:t>
      </w:r>
    </w:p>
    <w:p w14:paraId="277C363B">
      <w:pPr>
        <w:snapToGrid w:val="0"/>
        <w:spacing w:line="560" w:lineRule="exact"/>
        <w:ind w:left="1984" w:right="0" w:firstLine="2631"/>
        <w:rPr>
          <w:rFonts w:ascii="仿宋_GB2312" w:hAnsi="仿宋_GB2312" w:eastAsia="仿宋_GB2312"/>
          <w:sz w:val="30"/>
          <w:szCs w:val="30"/>
        </w:rPr>
      </w:pPr>
      <w:r>
        <w:rPr>
          <w:rFonts w:ascii="仿宋_GB2312" w:hAnsi="仿宋_GB2312" w:eastAsia="仿宋_GB2312"/>
          <w:sz w:val="30"/>
          <w:szCs w:val="30"/>
        </w:rPr>
        <w:t>日    期：</w:t>
      </w:r>
    </w:p>
    <w:p w14:paraId="24B851B6">
      <w:pPr>
        <w:snapToGrid w:val="0"/>
        <w:spacing w:line="560" w:lineRule="exact"/>
        <w:rPr>
          <w:rFonts w:ascii="仿宋_GB2312" w:hAnsi="仿宋_GB2312" w:eastAsia="仿宋_GB2312"/>
          <w:sz w:val="30"/>
          <w:szCs w:val="30"/>
        </w:rPr>
      </w:pPr>
    </w:p>
    <w:p w14:paraId="2305B916">
      <w:pPr>
        <w:snapToGrid w:val="0"/>
        <w:spacing w:line="560" w:lineRule="exact"/>
        <w:rPr>
          <w:rFonts w:ascii="仿宋_GB2312" w:hAnsi="仿宋_GB2312" w:eastAsia="仿宋_GB2312"/>
          <w:sz w:val="30"/>
          <w:szCs w:val="30"/>
        </w:rPr>
      </w:pPr>
      <w:r>
        <w:rPr>
          <w:rFonts w:ascii="仿宋_GB2312" w:hAnsi="仿宋_GB2312" w:eastAsia="仿宋_GB2312"/>
          <w:sz w:val="30"/>
          <w:szCs w:val="30"/>
        </w:rPr>
        <w:t>此项承诺于 年 月 日在（地点）作出。</w:t>
      </w:r>
    </w:p>
    <w:p w14:paraId="7B695B4E">
      <w:pPr>
        <w:snapToGrid w:val="0"/>
        <w:spacing w:line="560" w:lineRule="exact"/>
        <w:rPr>
          <w:rFonts w:ascii="仿宋_GB2312" w:hAnsi="仿宋_GB2312" w:eastAsia="仿宋_GB2312"/>
          <w:sz w:val="30"/>
          <w:szCs w:val="30"/>
        </w:rPr>
      </w:pPr>
      <w:r>
        <w:rPr>
          <w:rFonts w:ascii="仿宋_GB2312" w:hAnsi="仿宋_GB2312" w:eastAsia="仿宋_GB2312"/>
          <w:sz w:val="30"/>
          <w:szCs w:val="30"/>
        </w:rPr>
        <w:t>见证律师：</w:t>
      </w:r>
    </w:p>
    <w:p w14:paraId="619EEA21">
      <w:pPr>
        <w:snapToGrid w:val="0"/>
        <w:spacing w:line="560" w:lineRule="exact"/>
        <w:rPr>
          <w:rFonts w:ascii="仿宋_GB2312" w:hAnsi="仿宋_GB2312" w:eastAsia="仿宋_GB2312"/>
          <w:sz w:val="30"/>
          <w:szCs w:val="30"/>
        </w:rPr>
      </w:pPr>
      <w:r>
        <w:rPr>
          <w:rFonts w:ascii="仿宋_GB2312" w:hAnsi="仿宋_GB2312" w:eastAsia="仿宋_GB2312"/>
          <w:sz w:val="30"/>
          <w:szCs w:val="30"/>
        </w:rPr>
        <w:t>日期：</w:t>
      </w:r>
      <w:r>
        <w:br w:type="page"/>
      </w:r>
    </w:p>
    <w:p w14:paraId="3FD6F183">
      <w:pPr>
        <w:widowControl/>
        <w:jc w:val="left"/>
        <w:rPr>
          <w:rFonts w:ascii="仿宋_GB2312" w:hAnsi="仿宋_GB2312" w:eastAsia="仿宋_GB2312"/>
          <w:sz w:val="30"/>
          <w:szCs w:val="30"/>
        </w:rPr>
      </w:pPr>
    </w:p>
    <w:p w14:paraId="15E7DEBF">
      <w:pPr>
        <w:pStyle w:val="38"/>
        <w:jc w:val="center"/>
        <w:rPr>
          <w:rFonts w:ascii="仿宋_GB2312" w:hAnsi="仿宋_GB2312" w:eastAsia="仿宋_GB2312" w:cs="宋体"/>
          <w:b/>
          <w:kern w:val="2"/>
          <w:sz w:val="30"/>
          <w:szCs w:val="30"/>
        </w:rPr>
      </w:pPr>
      <w:r>
        <w:rPr>
          <w:rFonts w:ascii="仿宋_GB2312" w:hAnsi="仿宋_GB2312" w:eastAsia="仿宋_GB2312" w:cs="宋体"/>
          <w:b/>
          <w:kern w:val="2"/>
          <w:sz w:val="30"/>
          <w:szCs w:val="30"/>
        </w:rPr>
        <w:t>第三部分  补充信息</w:t>
      </w:r>
    </w:p>
    <w:p w14:paraId="06F67B1D">
      <w:pPr>
        <w:snapToGrid w:val="0"/>
        <w:spacing w:line="540" w:lineRule="exact"/>
        <w:rPr>
          <w:rFonts w:ascii="仿宋_GB2312" w:hAnsi="仿宋_GB2312" w:eastAsia="仿宋_GB2312"/>
          <w:sz w:val="30"/>
          <w:szCs w:val="30"/>
        </w:rPr>
      </w:pPr>
      <w:r>
        <w:rPr>
          <w:rFonts w:ascii="仿宋_GB2312" w:hAnsi="仿宋_GB2312" w:eastAsia="仿宋_GB2312"/>
          <w:sz w:val="30"/>
          <w:szCs w:val="30"/>
        </w:rPr>
        <w:t>一、基本情况</w:t>
      </w:r>
    </w:p>
    <w:p w14:paraId="122E6E53">
      <w:pPr>
        <w:tabs>
          <w:tab w:val="left" w:pos="3075"/>
        </w:tabs>
        <w:snapToGrid w:val="0"/>
        <w:spacing w:line="540" w:lineRule="exact"/>
        <w:rPr>
          <w:rFonts w:ascii="仿宋_GB2312" w:hAnsi="仿宋_GB2312" w:eastAsia="仿宋_GB2312"/>
          <w:sz w:val="30"/>
          <w:szCs w:val="30"/>
        </w:rPr>
      </w:pPr>
      <w:r>
        <w:rPr>
          <w:rFonts w:ascii="仿宋_GB2312" w:hAnsi="仿宋_GB2312" w:eastAsia="仿宋_GB2312"/>
          <w:sz w:val="30"/>
          <w:szCs w:val="30"/>
        </w:rPr>
        <w:t>1.军官证号码（如适用）：</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61FD8E38">
      <w:pPr>
        <w:tabs>
          <w:tab w:val="left" w:pos="3075"/>
        </w:tabs>
        <w:snapToGrid w:val="0"/>
        <w:spacing w:line="540" w:lineRule="exact"/>
        <w:rPr>
          <w:rFonts w:ascii="仿宋_GB2312" w:hAnsi="仿宋_GB2312" w:eastAsia="仿宋_GB2312"/>
          <w:sz w:val="30"/>
          <w:szCs w:val="30"/>
        </w:rPr>
      </w:pPr>
      <w:r>
        <w:rPr>
          <w:rFonts w:ascii="仿宋_GB2312" w:hAnsi="仿宋_GB2312" w:eastAsia="仿宋_GB2312"/>
          <w:sz w:val="30"/>
          <w:szCs w:val="30"/>
        </w:rPr>
        <w:t>2.士兵证号码（如适用）：</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4033346B">
      <w:pPr>
        <w:tabs>
          <w:tab w:val="left" w:pos="3075"/>
        </w:tabs>
        <w:snapToGrid w:val="0"/>
        <w:spacing w:line="540" w:lineRule="exact"/>
        <w:rPr>
          <w:rFonts w:ascii="仿宋_GB2312" w:hAnsi="仿宋_GB2312" w:eastAsia="仿宋_GB2312"/>
          <w:sz w:val="30"/>
          <w:szCs w:val="30"/>
        </w:rPr>
      </w:pPr>
      <w:r>
        <w:rPr>
          <w:rFonts w:ascii="仿宋_GB2312" w:hAnsi="仿宋_GB2312" w:eastAsia="仿宋_GB2312"/>
          <w:sz w:val="30"/>
          <w:szCs w:val="30"/>
        </w:rPr>
        <w:t>3.其他证件号码（如适用）：</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7F5F6CBA">
      <w:pPr>
        <w:snapToGrid w:val="0"/>
        <w:spacing w:line="540" w:lineRule="exact"/>
        <w:rPr>
          <w:rFonts w:ascii="仿宋_GB2312" w:hAnsi="仿宋_GB2312" w:eastAsia="仿宋_GB2312"/>
          <w:sz w:val="30"/>
          <w:szCs w:val="30"/>
        </w:rPr>
      </w:pPr>
      <w:r>
        <w:rPr>
          <w:rFonts w:ascii="仿宋_GB2312" w:hAnsi="仿宋_GB2312" w:eastAsia="仿宋_GB2312"/>
          <w:sz w:val="30"/>
          <w:szCs w:val="30"/>
        </w:rPr>
        <w:t>4.性别：</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rPr>
        <w:t>民族：</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3FD0169A">
      <w:pPr>
        <w:snapToGrid w:val="0"/>
        <w:spacing w:line="540" w:lineRule="exact"/>
        <w:rPr>
          <w:rFonts w:ascii="仿宋_GB2312" w:hAnsi="仿宋_GB2312" w:eastAsia="仿宋_GB2312"/>
          <w:sz w:val="30"/>
          <w:szCs w:val="30"/>
        </w:rPr>
      </w:pPr>
      <w:r>
        <w:rPr>
          <w:rFonts w:ascii="仿宋_GB2312" w:hAnsi="仿宋_GB2312" w:eastAsia="仿宋_GB2312"/>
          <w:sz w:val="30"/>
          <w:szCs w:val="30"/>
        </w:rPr>
        <w:t>5.政治面貌：</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48C34D50">
      <w:pPr>
        <w:snapToGrid w:val="0"/>
        <w:spacing w:line="540" w:lineRule="exact"/>
        <w:rPr>
          <w:rFonts w:ascii="仿宋_GB2312" w:hAnsi="仿宋_GB2312" w:eastAsia="仿宋_GB2312"/>
          <w:sz w:val="30"/>
          <w:szCs w:val="30"/>
        </w:rPr>
      </w:pPr>
      <w:r>
        <w:rPr>
          <w:rFonts w:ascii="仿宋_GB2312" w:hAnsi="仿宋_GB2312" w:eastAsia="仿宋_GB2312"/>
          <w:sz w:val="30"/>
          <w:szCs w:val="30"/>
        </w:rPr>
        <w:t>6.Email：</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5DB36011">
      <w:pPr>
        <w:snapToGrid w:val="0"/>
        <w:spacing w:line="540" w:lineRule="exact"/>
        <w:rPr>
          <w:rFonts w:ascii="仿宋_GB2312" w:hAnsi="仿宋_GB2312" w:eastAsia="仿宋_GB2312"/>
          <w:sz w:val="30"/>
          <w:szCs w:val="30"/>
        </w:rPr>
      </w:pPr>
      <w:r>
        <w:rPr>
          <w:rFonts w:ascii="仿宋_GB2312" w:hAnsi="仿宋_GB2312" w:eastAsia="仿宋_GB2312"/>
          <w:sz w:val="30"/>
          <w:szCs w:val="30"/>
        </w:rPr>
        <w:t>7.移动电话：</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69A6B35B">
      <w:pPr>
        <w:snapToGrid w:val="0"/>
        <w:spacing w:line="540" w:lineRule="exact"/>
        <w:rPr>
          <w:rFonts w:ascii="仿宋_GB2312" w:hAnsi="仿宋_GB2312" w:eastAsia="仿宋_GB2312"/>
          <w:sz w:val="30"/>
          <w:szCs w:val="30"/>
        </w:rPr>
      </w:pPr>
      <w:r>
        <w:rPr>
          <w:rFonts w:ascii="仿宋_GB2312" w:hAnsi="仿宋_GB2312" w:eastAsia="仿宋_GB2312"/>
          <w:sz w:val="30"/>
          <w:szCs w:val="30"/>
        </w:rPr>
        <w:t>8.备用电话：</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23CD372A">
      <w:pPr>
        <w:snapToGrid w:val="0"/>
        <w:spacing w:line="540" w:lineRule="exact"/>
        <w:rPr>
          <w:rFonts w:ascii="仿宋_GB2312" w:hAnsi="仿宋_GB2312" w:eastAsia="仿宋_GB2312"/>
          <w:sz w:val="30"/>
          <w:szCs w:val="30"/>
        </w:rPr>
      </w:pPr>
      <w:r>
        <w:rPr>
          <w:rFonts w:ascii="仿宋_GB2312" w:hAnsi="仿宋_GB2312" w:eastAsia="仿宋_GB2312"/>
          <w:sz w:val="30"/>
          <w:szCs w:val="30"/>
        </w:rPr>
        <w:t>9.社会关系：</w:t>
      </w:r>
    </w:p>
    <w:tbl>
      <w:tblPr>
        <w:tblStyle w:val="13"/>
        <w:tblW w:w="8593" w:type="dxa"/>
        <w:tblInd w:w="0" w:type="dxa"/>
        <w:tblLayout w:type="fixed"/>
        <w:tblCellMar>
          <w:top w:w="0" w:type="dxa"/>
          <w:left w:w="108" w:type="dxa"/>
          <w:bottom w:w="0" w:type="dxa"/>
          <w:right w:w="108" w:type="dxa"/>
        </w:tblCellMar>
      </w:tblPr>
      <w:tblGrid>
        <w:gridCol w:w="718"/>
        <w:gridCol w:w="1510"/>
        <w:gridCol w:w="1523"/>
        <w:gridCol w:w="697"/>
        <w:gridCol w:w="1074"/>
        <w:gridCol w:w="1086"/>
        <w:gridCol w:w="1985"/>
      </w:tblGrid>
      <w:tr w14:paraId="7CFF7BA3">
        <w:tblPrEx>
          <w:tblCellMar>
            <w:top w:w="0" w:type="dxa"/>
            <w:left w:w="108" w:type="dxa"/>
            <w:bottom w:w="0" w:type="dxa"/>
            <w:right w:w="108" w:type="dxa"/>
          </w:tblCellMar>
        </w:tblPrEx>
        <w:tc>
          <w:tcPr>
            <w:tcW w:w="718" w:type="dxa"/>
            <w:tcBorders>
              <w:top w:val="single" w:color="000000" w:sz="4" w:space="0"/>
              <w:left w:val="single" w:color="000000" w:sz="4" w:space="0"/>
              <w:bottom w:val="single" w:color="000000" w:sz="4" w:space="0"/>
              <w:right w:val="single" w:color="000000" w:sz="4" w:space="0"/>
            </w:tcBorders>
            <w:vAlign w:val="center"/>
          </w:tcPr>
          <w:p w14:paraId="5F15C0EF">
            <w:pPr>
              <w:jc w:val="center"/>
              <w:rPr>
                <w:rFonts w:ascii="仿宋_GB2312" w:hAnsi="仿宋_GB2312" w:eastAsia="仿宋_GB2312"/>
              </w:rPr>
            </w:pPr>
            <w:r>
              <w:rPr>
                <w:rFonts w:ascii="仿宋_GB2312" w:hAnsi="仿宋_GB2312" w:eastAsia="仿宋_GB2312"/>
              </w:rPr>
              <w:t>姓名</w:t>
            </w:r>
          </w:p>
        </w:tc>
        <w:tc>
          <w:tcPr>
            <w:tcW w:w="1510" w:type="dxa"/>
            <w:tcBorders>
              <w:top w:val="single" w:color="000000" w:sz="4" w:space="0"/>
              <w:left w:val="single" w:color="000000" w:sz="4" w:space="0"/>
              <w:bottom w:val="single" w:color="000000" w:sz="4" w:space="0"/>
              <w:right w:val="single" w:color="000000" w:sz="4" w:space="0"/>
            </w:tcBorders>
            <w:vAlign w:val="center"/>
          </w:tcPr>
          <w:p w14:paraId="68475BF4">
            <w:pPr>
              <w:jc w:val="center"/>
              <w:rPr>
                <w:rFonts w:ascii="仿宋_GB2312" w:hAnsi="仿宋_GB2312" w:eastAsia="仿宋_GB2312"/>
              </w:rPr>
            </w:pPr>
            <w:r>
              <w:rPr>
                <w:rFonts w:ascii="仿宋_GB2312" w:hAnsi="仿宋_GB2312" w:eastAsia="仿宋_GB2312"/>
              </w:rPr>
              <w:t>身份证件类型</w:t>
            </w:r>
          </w:p>
        </w:tc>
        <w:tc>
          <w:tcPr>
            <w:tcW w:w="1523" w:type="dxa"/>
            <w:tcBorders>
              <w:top w:val="single" w:color="000000" w:sz="4" w:space="0"/>
              <w:left w:val="single" w:color="000000" w:sz="4" w:space="0"/>
              <w:bottom w:val="single" w:color="000000" w:sz="4" w:space="0"/>
              <w:right w:val="single" w:color="000000" w:sz="4" w:space="0"/>
            </w:tcBorders>
            <w:vAlign w:val="center"/>
          </w:tcPr>
          <w:p w14:paraId="02885C87">
            <w:pPr>
              <w:jc w:val="center"/>
              <w:rPr>
                <w:rFonts w:ascii="仿宋_GB2312" w:hAnsi="仿宋_GB2312" w:eastAsia="仿宋_GB2312"/>
              </w:rPr>
            </w:pPr>
            <w:r>
              <w:rPr>
                <w:rFonts w:ascii="仿宋_GB2312" w:hAnsi="仿宋_GB2312" w:eastAsia="仿宋_GB2312"/>
              </w:rPr>
              <w:t>身份证件号码</w:t>
            </w:r>
          </w:p>
        </w:tc>
        <w:tc>
          <w:tcPr>
            <w:tcW w:w="697" w:type="dxa"/>
            <w:tcBorders>
              <w:top w:val="single" w:color="000000" w:sz="4" w:space="0"/>
              <w:left w:val="single" w:color="000000" w:sz="4" w:space="0"/>
              <w:bottom w:val="single" w:color="000000" w:sz="4" w:space="0"/>
              <w:right w:val="single" w:color="000000" w:sz="4" w:space="0"/>
            </w:tcBorders>
            <w:vAlign w:val="center"/>
          </w:tcPr>
          <w:p w14:paraId="78526A43">
            <w:pPr>
              <w:jc w:val="center"/>
              <w:rPr>
                <w:rFonts w:ascii="仿宋_GB2312" w:hAnsi="仿宋_GB2312" w:eastAsia="仿宋_GB2312"/>
              </w:rPr>
            </w:pPr>
            <w:r>
              <w:rPr>
                <w:rFonts w:ascii="仿宋_GB2312" w:hAnsi="仿宋_GB2312" w:eastAsia="仿宋_GB2312"/>
              </w:rPr>
              <w:t>关系</w:t>
            </w:r>
          </w:p>
        </w:tc>
        <w:tc>
          <w:tcPr>
            <w:tcW w:w="1074" w:type="dxa"/>
            <w:tcBorders>
              <w:top w:val="single" w:color="000000" w:sz="4" w:space="0"/>
              <w:left w:val="single" w:color="000000" w:sz="4" w:space="0"/>
              <w:bottom w:val="single" w:color="000000" w:sz="4" w:space="0"/>
              <w:right w:val="single" w:color="000000" w:sz="4" w:space="0"/>
            </w:tcBorders>
            <w:vAlign w:val="center"/>
          </w:tcPr>
          <w:p w14:paraId="60996FE6">
            <w:pPr>
              <w:jc w:val="center"/>
              <w:rPr>
                <w:rFonts w:ascii="仿宋_GB2312" w:hAnsi="仿宋_GB2312" w:eastAsia="仿宋_GB2312"/>
              </w:rPr>
            </w:pPr>
            <w:r>
              <w:rPr>
                <w:rFonts w:ascii="仿宋_GB2312" w:hAnsi="仿宋_GB2312" w:eastAsia="仿宋_GB2312"/>
              </w:rPr>
              <w:t>工作单位</w:t>
            </w:r>
          </w:p>
        </w:tc>
        <w:tc>
          <w:tcPr>
            <w:tcW w:w="1086" w:type="dxa"/>
            <w:tcBorders>
              <w:top w:val="single" w:color="000000" w:sz="4" w:space="0"/>
              <w:left w:val="single" w:color="000000" w:sz="4" w:space="0"/>
              <w:bottom w:val="single" w:color="000000" w:sz="4" w:space="0"/>
              <w:right w:val="single" w:color="000000" w:sz="4" w:space="0"/>
            </w:tcBorders>
            <w:vAlign w:val="center"/>
          </w:tcPr>
          <w:p w14:paraId="0D739E4B">
            <w:pPr>
              <w:jc w:val="center"/>
              <w:rPr>
                <w:rFonts w:ascii="仿宋_GB2312" w:hAnsi="仿宋_GB2312" w:eastAsia="仿宋_GB2312"/>
              </w:rPr>
            </w:pPr>
            <w:r>
              <w:rPr>
                <w:rFonts w:ascii="仿宋_GB2312" w:hAnsi="仿宋_GB2312" w:eastAsia="仿宋_GB2312"/>
              </w:rPr>
              <w:t>联系电话</w:t>
            </w:r>
          </w:p>
        </w:tc>
        <w:tc>
          <w:tcPr>
            <w:tcW w:w="1985" w:type="dxa"/>
            <w:tcBorders>
              <w:top w:val="single" w:color="000000" w:sz="4" w:space="0"/>
              <w:left w:val="single" w:color="000000" w:sz="4" w:space="0"/>
              <w:bottom w:val="single" w:color="000000" w:sz="4" w:space="0"/>
              <w:right w:val="single" w:color="000000" w:sz="4" w:space="0"/>
            </w:tcBorders>
            <w:vAlign w:val="center"/>
          </w:tcPr>
          <w:p w14:paraId="6395C36A">
            <w:pPr>
              <w:jc w:val="center"/>
              <w:rPr>
                <w:rFonts w:ascii="仿宋_GB2312" w:hAnsi="仿宋_GB2312" w:eastAsia="仿宋_GB2312"/>
              </w:rPr>
            </w:pPr>
            <w:r>
              <w:rPr>
                <w:rFonts w:ascii="仿宋_GB2312" w:hAnsi="仿宋_GB2312" w:eastAsia="仿宋_GB2312"/>
              </w:rPr>
              <w:t>是否拥有哪些国家或者地区的长期居留权</w:t>
            </w:r>
          </w:p>
        </w:tc>
      </w:tr>
      <w:tr w14:paraId="029B2636">
        <w:tblPrEx>
          <w:tblCellMar>
            <w:top w:w="0" w:type="dxa"/>
            <w:left w:w="108" w:type="dxa"/>
            <w:bottom w:w="0" w:type="dxa"/>
            <w:right w:w="108" w:type="dxa"/>
          </w:tblCellMar>
        </w:tblPrEx>
        <w:tc>
          <w:tcPr>
            <w:tcW w:w="718" w:type="dxa"/>
            <w:tcBorders>
              <w:top w:val="single" w:color="000000" w:sz="4" w:space="0"/>
              <w:left w:val="single" w:color="000000" w:sz="4" w:space="0"/>
              <w:bottom w:val="single" w:color="000000" w:sz="4" w:space="0"/>
              <w:right w:val="single" w:color="000000" w:sz="4" w:space="0"/>
            </w:tcBorders>
            <w:vAlign w:val="center"/>
          </w:tcPr>
          <w:p w14:paraId="5D0EC3C9">
            <w:pPr>
              <w:ind w:right="0" w:firstLine="480"/>
              <w:rPr>
                <w:color w:val="333399"/>
              </w:rPr>
            </w:pPr>
            <w:r>
              <w:rPr>
                <w:color w:val="333399"/>
              </w:rPr>
              <w:t>　</w:t>
            </w:r>
          </w:p>
        </w:tc>
        <w:tc>
          <w:tcPr>
            <w:tcW w:w="1510" w:type="dxa"/>
            <w:tcBorders>
              <w:top w:val="single" w:color="000000" w:sz="4" w:space="0"/>
              <w:left w:val="single" w:color="000000" w:sz="4" w:space="0"/>
              <w:bottom w:val="single" w:color="000000" w:sz="4" w:space="0"/>
              <w:right w:val="single" w:color="000000" w:sz="4" w:space="0"/>
            </w:tcBorders>
            <w:vAlign w:val="center"/>
          </w:tcPr>
          <w:p w14:paraId="0657E069">
            <w:pPr>
              <w:ind w:right="0" w:firstLine="480"/>
              <w:rPr>
                <w:color w:val="333399"/>
              </w:rPr>
            </w:pPr>
            <w:r>
              <w:rPr>
                <w:color w:val="333399"/>
              </w:rPr>
              <w:t>　</w:t>
            </w:r>
          </w:p>
        </w:tc>
        <w:tc>
          <w:tcPr>
            <w:tcW w:w="1523" w:type="dxa"/>
            <w:tcBorders>
              <w:top w:val="single" w:color="000000" w:sz="4" w:space="0"/>
              <w:left w:val="single" w:color="000000" w:sz="4" w:space="0"/>
              <w:bottom w:val="single" w:color="000000" w:sz="4" w:space="0"/>
              <w:right w:val="single" w:color="000000" w:sz="4" w:space="0"/>
            </w:tcBorders>
            <w:vAlign w:val="center"/>
          </w:tcPr>
          <w:p w14:paraId="5E4EC587">
            <w:pPr>
              <w:ind w:right="0" w:firstLine="480"/>
              <w:rPr>
                <w:color w:val="333399"/>
              </w:rPr>
            </w:pPr>
            <w:r>
              <w:rPr>
                <w:color w:val="333399"/>
              </w:rPr>
              <w:t>　</w:t>
            </w:r>
          </w:p>
        </w:tc>
        <w:tc>
          <w:tcPr>
            <w:tcW w:w="697" w:type="dxa"/>
            <w:tcBorders>
              <w:top w:val="single" w:color="000000" w:sz="4" w:space="0"/>
              <w:left w:val="single" w:color="000000" w:sz="4" w:space="0"/>
              <w:bottom w:val="single" w:color="000000" w:sz="4" w:space="0"/>
              <w:right w:val="single" w:color="000000" w:sz="4" w:space="0"/>
            </w:tcBorders>
            <w:vAlign w:val="center"/>
          </w:tcPr>
          <w:p w14:paraId="4A046B7C">
            <w:pPr>
              <w:ind w:right="0" w:firstLine="480"/>
              <w:rPr>
                <w:color w:val="333399"/>
              </w:rPr>
            </w:pPr>
            <w:r>
              <w:rPr>
                <w:color w:val="333399"/>
              </w:rPr>
              <w:t>　</w:t>
            </w:r>
          </w:p>
        </w:tc>
        <w:tc>
          <w:tcPr>
            <w:tcW w:w="1074" w:type="dxa"/>
            <w:tcBorders>
              <w:top w:val="single" w:color="000000" w:sz="4" w:space="0"/>
              <w:left w:val="single" w:color="000000" w:sz="4" w:space="0"/>
              <w:bottom w:val="single" w:color="000000" w:sz="4" w:space="0"/>
              <w:right w:val="single" w:color="000000" w:sz="4" w:space="0"/>
            </w:tcBorders>
            <w:vAlign w:val="center"/>
          </w:tcPr>
          <w:p w14:paraId="657F3F66">
            <w:pPr>
              <w:ind w:right="0" w:firstLine="480"/>
              <w:rPr>
                <w:color w:val="333399"/>
              </w:rPr>
            </w:pPr>
            <w:r>
              <w:rPr>
                <w:color w:val="333399"/>
              </w:rPr>
              <w:t>　</w:t>
            </w:r>
          </w:p>
        </w:tc>
        <w:tc>
          <w:tcPr>
            <w:tcW w:w="1086" w:type="dxa"/>
            <w:tcBorders>
              <w:top w:val="single" w:color="000000" w:sz="4" w:space="0"/>
              <w:left w:val="single" w:color="000000" w:sz="4" w:space="0"/>
              <w:bottom w:val="single" w:color="000000" w:sz="4" w:space="0"/>
              <w:right w:val="single" w:color="000000" w:sz="4" w:space="0"/>
            </w:tcBorders>
            <w:vAlign w:val="center"/>
          </w:tcPr>
          <w:p w14:paraId="58183764">
            <w:pPr>
              <w:ind w:right="0" w:firstLine="480"/>
              <w:rPr>
                <w:color w:val="333399"/>
              </w:rPr>
            </w:pPr>
            <w:r>
              <w:rPr>
                <w:color w:val="333399"/>
              </w:rPr>
              <w:t>　</w:t>
            </w:r>
          </w:p>
        </w:tc>
        <w:tc>
          <w:tcPr>
            <w:tcW w:w="1985" w:type="dxa"/>
            <w:tcBorders>
              <w:top w:val="single" w:color="000000" w:sz="4" w:space="0"/>
              <w:left w:val="single" w:color="000000" w:sz="4" w:space="0"/>
              <w:bottom w:val="single" w:color="000000" w:sz="4" w:space="0"/>
              <w:right w:val="single" w:color="000000" w:sz="4" w:space="0"/>
            </w:tcBorders>
            <w:vAlign w:val="center"/>
          </w:tcPr>
          <w:p w14:paraId="15E8994C">
            <w:pPr>
              <w:ind w:right="0" w:firstLine="480"/>
              <w:rPr>
                <w:color w:val="333399"/>
              </w:rPr>
            </w:pPr>
            <w:r>
              <w:rPr>
                <w:color w:val="333399"/>
              </w:rPr>
              <w:t>　　　　</w:t>
            </w:r>
          </w:p>
        </w:tc>
      </w:tr>
      <w:tr w14:paraId="1BDCA9E3">
        <w:tblPrEx>
          <w:tblCellMar>
            <w:top w:w="0" w:type="dxa"/>
            <w:left w:w="108" w:type="dxa"/>
            <w:bottom w:w="0" w:type="dxa"/>
            <w:right w:w="108" w:type="dxa"/>
          </w:tblCellMar>
        </w:tblPrEx>
        <w:tc>
          <w:tcPr>
            <w:tcW w:w="718" w:type="dxa"/>
            <w:tcBorders>
              <w:top w:val="single" w:color="000000" w:sz="4" w:space="0"/>
              <w:left w:val="single" w:color="000000" w:sz="4" w:space="0"/>
              <w:bottom w:val="single" w:color="000000" w:sz="4" w:space="0"/>
              <w:right w:val="single" w:color="000000" w:sz="4" w:space="0"/>
            </w:tcBorders>
            <w:vAlign w:val="center"/>
          </w:tcPr>
          <w:p w14:paraId="61A270B5">
            <w:pPr>
              <w:ind w:right="0" w:firstLine="480"/>
              <w:rPr>
                <w:color w:val="333399"/>
              </w:rPr>
            </w:pPr>
            <w:r>
              <w:rPr>
                <w:color w:val="333399"/>
              </w:rPr>
              <w:t>　</w:t>
            </w:r>
          </w:p>
        </w:tc>
        <w:tc>
          <w:tcPr>
            <w:tcW w:w="1510" w:type="dxa"/>
            <w:tcBorders>
              <w:top w:val="single" w:color="000000" w:sz="4" w:space="0"/>
              <w:left w:val="single" w:color="000000" w:sz="4" w:space="0"/>
              <w:bottom w:val="single" w:color="000000" w:sz="4" w:space="0"/>
              <w:right w:val="single" w:color="000000" w:sz="4" w:space="0"/>
            </w:tcBorders>
            <w:vAlign w:val="center"/>
          </w:tcPr>
          <w:p w14:paraId="143F893F">
            <w:pPr>
              <w:ind w:right="0" w:firstLine="480"/>
              <w:rPr>
                <w:color w:val="333399"/>
              </w:rPr>
            </w:pPr>
            <w:r>
              <w:rPr>
                <w:color w:val="333399"/>
              </w:rPr>
              <w:t>　</w:t>
            </w:r>
          </w:p>
        </w:tc>
        <w:tc>
          <w:tcPr>
            <w:tcW w:w="1523" w:type="dxa"/>
            <w:tcBorders>
              <w:top w:val="single" w:color="000000" w:sz="4" w:space="0"/>
              <w:left w:val="single" w:color="000000" w:sz="4" w:space="0"/>
              <w:bottom w:val="single" w:color="000000" w:sz="4" w:space="0"/>
              <w:right w:val="single" w:color="000000" w:sz="4" w:space="0"/>
            </w:tcBorders>
            <w:vAlign w:val="center"/>
          </w:tcPr>
          <w:p w14:paraId="251FDE29">
            <w:pPr>
              <w:ind w:right="0" w:firstLine="480"/>
              <w:rPr>
                <w:color w:val="333399"/>
              </w:rPr>
            </w:pPr>
            <w:r>
              <w:rPr>
                <w:color w:val="333399"/>
              </w:rPr>
              <w:t>　</w:t>
            </w:r>
          </w:p>
        </w:tc>
        <w:tc>
          <w:tcPr>
            <w:tcW w:w="697" w:type="dxa"/>
            <w:tcBorders>
              <w:top w:val="single" w:color="000000" w:sz="4" w:space="0"/>
              <w:left w:val="single" w:color="000000" w:sz="4" w:space="0"/>
              <w:bottom w:val="single" w:color="000000" w:sz="4" w:space="0"/>
              <w:right w:val="single" w:color="000000" w:sz="4" w:space="0"/>
            </w:tcBorders>
            <w:vAlign w:val="center"/>
          </w:tcPr>
          <w:p w14:paraId="40496ED1">
            <w:pPr>
              <w:ind w:right="0" w:firstLine="480"/>
              <w:rPr>
                <w:color w:val="333399"/>
              </w:rPr>
            </w:pPr>
            <w:r>
              <w:rPr>
                <w:color w:val="333399"/>
              </w:rPr>
              <w:t>　</w:t>
            </w:r>
          </w:p>
        </w:tc>
        <w:tc>
          <w:tcPr>
            <w:tcW w:w="1074" w:type="dxa"/>
            <w:tcBorders>
              <w:top w:val="single" w:color="000000" w:sz="4" w:space="0"/>
              <w:left w:val="single" w:color="000000" w:sz="4" w:space="0"/>
              <w:bottom w:val="single" w:color="000000" w:sz="4" w:space="0"/>
              <w:right w:val="single" w:color="000000" w:sz="4" w:space="0"/>
            </w:tcBorders>
            <w:vAlign w:val="center"/>
          </w:tcPr>
          <w:p w14:paraId="7F566968">
            <w:pPr>
              <w:ind w:right="0" w:firstLine="480"/>
              <w:rPr>
                <w:color w:val="333399"/>
              </w:rPr>
            </w:pPr>
            <w:r>
              <w:rPr>
                <w:color w:val="333399"/>
              </w:rPr>
              <w:t>　</w:t>
            </w:r>
          </w:p>
        </w:tc>
        <w:tc>
          <w:tcPr>
            <w:tcW w:w="1086" w:type="dxa"/>
            <w:tcBorders>
              <w:top w:val="single" w:color="000000" w:sz="4" w:space="0"/>
              <w:left w:val="single" w:color="000000" w:sz="4" w:space="0"/>
              <w:bottom w:val="single" w:color="000000" w:sz="4" w:space="0"/>
              <w:right w:val="single" w:color="000000" w:sz="4" w:space="0"/>
            </w:tcBorders>
            <w:vAlign w:val="center"/>
          </w:tcPr>
          <w:p w14:paraId="05729622">
            <w:pPr>
              <w:ind w:right="0" w:firstLine="480"/>
              <w:rPr>
                <w:color w:val="333399"/>
              </w:rPr>
            </w:pPr>
            <w:r>
              <w:rPr>
                <w:color w:val="333399"/>
              </w:rPr>
              <w:t>　</w:t>
            </w:r>
          </w:p>
        </w:tc>
        <w:tc>
          <w:tcPr>
            <w:tcW w:w="1985" w:type="dxa"/>
            <w:tcBorders>
              <w:top w:val="single" w:color="000000" w:sz="4" w:space="0"/>
              <w:left w:val="single" w:color="000000" w:sz="4" w:space="0"/>
              <w:bottom w:val="single" w:color="000000" w:sz="4" w:space="0"/>
              <w:right w:val="single" w:color="000000" w:sz="4" w:space="0"/>
            </w:tcBorders>
            <w:vAlign w:val="center"/>
          </w:tcPr>
          <w:p w14:paraId="7FC57351">
            <w:pPr>
              <w:ind w:right="0" w:firstLine="480"/>
              <w:rPr>
                <w:color w:val="333399"/>
              </w:rPr>
            </w:pPr>
            <w:r>
              <w:rPr>
                <w:color w:val="333399"/>
              </w:rPr>
              <w:t>　　　　</w:t>
            </w:r>
          </w:p>
        </w:tc>
      </w:tr>
    </w:tbl>
    <w:p w14:paraId="57B7570C">
      <w:pPr>
        <w:snapToGrid w:val="0"/>
        <w:spacing w:line="540" w:lineRule="exact"/>
        <w:rPr>
          <w:rFonts w:ascii="仿宋_GB2312" w:hAnsi="仿宋_GB2312" w:eastAsia="仿宋_GB2312"/>
          <w:sz w:val="30"/>
          <w:szCs w:val="30"/>
        </w:rPr>
      </w:pPr>
      <w:r>
        <w:rPr>
          <w:rFonts w:ascii="仿宋_GB2312" w:hAnsi="仿宋_GB2312" w:eastAsia="仿宋_GB2312"/>
          <w:sz w:val="30"/>
          <w:szCs w:val="30"/>
        </w:rPr>
        <w:t>10.控制的法人</w:t>
      </w:r>
    </w:p>
    <w:tbl>
      <w:tblPr>
        <w:tblStyle w:val="13"/>
        <w:tblW w:w="8522" w:type="dxa"/>
        <w:tblInd w:w="0" w:type="dxa"/>
        <w:tblLayout w:type="fixed"/>
        <w:tblCellMar>
          <w:top w:w="0" w:type="dxa"/>
          <w:left w:w="108" w:type="dxa"/>
          <w:bottom w:w="0" w:type="dxa"/>
          <w:right w:w="108" w:type="dxa"/>
        </w:tblCellMar>
      </w:tblPr>
      <w:tblGrid>
        <w:gridCol w:w="4261"/>
        <w:gridCol w:w="4261"/>
      </w:tblGrid>
      <w:tr w14:paraId="5F464D7B">
        <w:tblPrEx>
          <w:tblCellMar>
            <w:top w:w="0" w:type="dxa"/>
            <w:left w:w="108" w:type="dxa"/>
            <w:bottom w:w="0" w:type="dxa"/>
            <w:right w:w="108" w:type="dxa"/>
          </w:tblCellMar>
        </w:tblPrEx>
        <w:tc>
          <w:tcPr>
            <w:tcW w:w="4261" w:type="dxa"/>
            <w:tcBorders>
              <w:top w:val="single" w:color="000000" w:sz="4" w:space="0"/>
              <w:left w:val="single" w:color="000000" w:sz="4" w:space="0"/>
              <w:bottom w:val="single" w:color="000000" w:sz="4" w:space="0"/>
              <w:right w:val="single" w:color="000000" w:sz="4" w:space="0"/>
            </w:tcBorders>
            <w:vAlign w:val="center"/>
          </w:tcPr>
          <w:p w14:paraId="5EC5BC10">
            <w:pPr>
              <w:jc w:val="center"/>
              <w:rPr>
                <w:rFonts w:ascii="仿宋_GB2312" w:hAnsi="仿宋_GB2312" w:eastAsia="仿宋_GB2312"/>
              </w:rPr>
            </w:pPr>
            <w:r>
              <w:rPr>
                <w:rFonts w:ascii="仿宋_GB2312" w:hAnsi="仿宋_GB2312" w:eastAsia="仿宋_GB2312"/>
              </w:rPr>
              <w:t>全称</w:t>
            </w:r>
          </w:p>
        </w:tc>
        <w:tc>
          <w:tcPr>
            <w:tcW w:w="4261" w:type="dxa"/>
            <w:tcBorders>
              <w:top w:val="single" w:color="000000" w:sz="4" w:space="0"/>
              <w:left w:val="single" w:color="000000" w:sz="4" w:space="0"/>
              <w:bottom w:val="single" w:color="000000" w:sz="4" w:space="0"/>
              <w:right w:val="single" w:color="000000" w:sz="4" w:space="0"/>
            </w:tcBorders>
            <w:vAlign w:val="center"/>
          </w:tcPr>
          <w:p w14:paraId="423AFA21">
            <w:pPr>
              <w:jc w:val="center"/>
              <w:rPr>
                <w:rFonts w:ascii="仿宋_GB2312" w:hAnsi="仿宋_GB2312" w:eastAsia="仿宋_GB2312"/>
              </w:rPr>
            </w:pPr>
            <w:r>
              <w:rPr>
                <w:rFonts w:ascii="仿宋_GB2312" w:hAnsi="仿宋_GB2312" w:eastAsia="仿宋_GB2312"/>
              </w:rPr>
              <w:t>统一社会信用代码/社会组织机构代码</w:t>
            </w:r>
          </w:p>
        </w:tc>
      </w:tr>
      <w:tr w14:paraId="37C1EDBF">
        <w:tblPrEx>
          <w:tblCellMar>
            <w:top w:w="0" w:type="dxa"/>
            <w:left w:w="108" w:type="dxa"/>
            <w:bottom w:w="0" w:type="dxa"/>
            <w:right w:w="108" w:type="dxa"/>
          </w:tblCellMar>
        </w:tblPrEx>
        <w:tc>
          <w:tcPr>
            <w:tcW w:w="4261" w:type="dxa"/>
            <w:tcBorders>
              <w:top w:val="single" w:color="000000" w:sz="4" w:space="0"/>
              <w:left w:val="single" w:color="000000" w:sz="4" w:space="0"/>
              <w:bottom w:val="single" w:color="000000" w:sz="4" w:space="0"/>
              <w:right w:val="single" w:color="000000" w:sz="4" w:space="0"/>
            </w:tcBorders>
            <w:vAlign w:val="center"/>
          </w:tcPr>
          <w:p w14:paraId="1E35EA19">
            <w:pPr>
              <w:tabs>
                <w:tab w:val="left" w:pos="1353"/>
              </w:tabs>
              <w:ind w:right="0" w:firstLine="480"/>
              <w:jc w:val="left"/>
              <w:rPr>
                <w:color w:val="333399"/>
              </w:rPr>
            </w:pPr>
            <w:r>
              <w:rPr>
                <w:color w:val="333399"/>
              </w:rPr>
              <w:t>　</w:t>
            </w:r>
          </w:p>
        </w:tc>
        <w:tc>
          <w:tcPr>
            <w:tcW w:w="4261" w:type="dxa"/>
            <w:tcBorders>
              <w:top w:val="single" w:color="000000" w:sz="4" w:space="0"/>
              <w:left w:val="single" w:color="000000" w:sz="4" w:space="0"/>
              <w:bottom w:val="single" w:color="000000" w:sz="4" w:space="0"/>
              <w:right w:val="single" w:color="000000" w:sz="4" w:space="0"/>
            </w:tcBorders>
            <w:vAlign w:val="center"/>
          </w:tcPr>
          <w:p w14:paraId="5BC4FC5F">
            <w:pPr>
              <w:ind w:right="0" w:firstLine="480"/>
              <w:rPr>
                <w:color w:val="333399"/>
              </w:rPr>
            </w:pPr>
            <w:r>
              <w:rPr>
                <w:color w:val="333399"/>
              </w:rPr>
              <w:t>　</w:t>
            </w:r>
          </w:p>
        </w:tc>
      </w:tr>
      <w:tr w14:paraId="6FF038D4">
        <w:tblPrEx>
          <w:tblCellMar>
            <w:top w:w="0" w:type="dxa"/>
            <w:left w:w="108" w:type="dxa"/>
            <w:bottom w:w="0" w:type="dxa"/>
            <w:right w:w="108" w:type="dxa"/>
          </w:tblCellMar>
        </w:tblPrEx>
        <w:tc>
          <w:tcPr>
            <w:tcW w:w="4261" w:type="dxa"/>
            <w:tcBorders>
              <w:top w:val="single" w:color="000000" w:sz="4" w:space="0"/>
              <w:left w:val="single" w:color="000000" w:sz="4" w:space="0"/>
              <w:bottom w:val="single" w:color="000000" w:sz="4" w:space="0"/>
              <w:right w:val="single" w:color="000000" w:sz="4" w:space="0"/>
            </w:tcBorders>
            <w:vAlign w:val="center"/>
          </w:tcPr>
          <w:p w14:paraId="364D1E64">
            <w:pPr>
              <w:tabs>
                <w:tab w:val="left" w:pos="1353"/>
              </w:tabs>
              <w:ind w:right="0" w:firstLine="480"/>
              <w:jc w:val="left"/>
              <w:rPr>
                <w:color w:val="333399"/>
              </w:rPr>
            </w:pPr>
            <w:r>
              <w:rPr>
                <w:color w:val="333399"/>
              </w:rPr>
              <w:t>　</w:t>
            </w:r>
          </w:p>
        </w:tc>
        <w:tc>
          <w:tcPr>
            <w:tcW w:w="4261" w:type="dxa"/>
            <w:tcBorders>
              <w:top w:val="single" w:color="000000" w:sz="4" w:space="0"/>
              <w:left w:val="single" w:color="000000" w:sz="4" w:space="0"/>
              <w:bottom w:val="single" w:color="000000" w:sz="4" w:space="0"/>
              <w:right w:val="single" w:color="000000" w:sz="4" w:space="0"/>
            </w:tcBorders>
            <w:vAlign w:val="center"/>
          </w:tcPr>
          <w:p w14:paraId="3FE0D5AA">
            <w:pPr>
              <w:ind w:right="0" w:firstLine="480"/>
              <w:rPr>
                <w:color w:val="333399"/>
              </w:rPr>
            </w:pPr>
            <w:r>
              <w:rPr>
                <w:color w:val="333399"/>
              </w:rPr>
              <w:t>　</w:t>
            </w:r>
          </w:p>
        </w:tc>
      </w:tr>
    </w:tbl>
    <w:p w14:paraId="20B763CA">
      <w:pPr>
        <w:snapToGrid w:val="0"/>
        <w:spacing w:line="540" w:lineRule="exact"/>
        <w:rPr>
          <w:rFonts w:ascii="仿宋_GB2312" w:hAnsi="仿宋_GB2312" w:eastAsia="仿宋_GB2312"/>
          <w:sz w:val="30"/>
          <w:szCs w:val="30"/>
        </w:rPr>
      </w:pPr>
      <w:r>
        <w:rPr>
          <w:rFonts w:ascii="仿宋_GB2312" w:hAnsi="仿宋_GB2312" w:eastAsia="仿宋_GB2312"/>
          <w:sz w:val="30"/>
          <w:szCs w:val="30"/>
        </w:rPr>
        <w:t>11.教育情况：</w:t>
      </w:r>
    </w:p>
    <w:p w14:paraId="60CFFD72">
      <w:pPr>
        <w:snapToGrid w:val="0"/>
        <w:spacing w:line="540" w:lineRule="exact"/>
        <w:rPr>
          <w:rFonts w:ascii="仿宋_GB2312" w:hAnsi="仿宋_GB2312" w:eastAsia="仿宋_GB2312"/>
          <w:sz w:val="30"/>
          <w:szCs w:val="30"/>
          <w:u w:val="single"/>
        </w:rPr>
      </w:pPr>
      <w:r>
        <w:rPr>
          <w:rFonts w:ascii="仿宋_GB2312" w:hAnsi="仿宋_GB2312" w:eastAsia="仿宋_GB2312"/>
          <w:sz w:val="30"/>
          <w:szCs w:val="30"/>
        </w:rPr>
        <w:t>最高学历：</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28C43907">
      <w:pPr>
        <w:snapToGrid w:val="0"/>
        <w:spacing w:line="540" w:lineRule="exact"/>
        <w:rPr>
          <w:rFonts w:ascii="仿宋_GB2312" w:hAnsi="仿宋_GB2312" w:eastAsia="仿宋_GB2312"/>
          <w:sz w:val="30"/>
          <w:szCs w:val="30"/>
          <w:u w:val="single"/>
        </w:rPr>
      </w:pPr>
      <w:r>
        <w:rPr>
          <w:rFonts w:ascii="仿宋_GB2312" w:hAnsi="仿宋_GB2312" w:eastAsia="仿宋_GB2312"/>
          <w:sz w:val="30"/>
          <w:szCs w:val="30"/>
        </w:rPr>
        <w:t>学位：</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00CC11B1">
      <w:pPr>
        <w:snapToGrid w:val="0"/>
        <w:spacing w:line="540" w:lineRule="exact"/>
        <w:rPr>
          <w:rFonts w:ascii="仿宋_GB2312" w:hAnsi="仿宋_GB2312" w:eastAsia="仿宋_GB2312"/>
          <w:sz w:val="30"/>
          <w:szCs w:val="30"/>
          <w:u w:val="single"/>
        </w:rPr>
      </w:pPr>
      <w:r>
        <w:rPr>
          <w:rFonts w:ascii="仿宋_GB2312" w:hAnsi="仿宋_GB2312" w:eastAsia="仿宋_GB2312"/>
          <w:sz w:val="30"/>
          <w:szCs w:val="30"/>
          <w:u w:val="single"/>
        </w:rPr>
        <w:t>专业：</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tbl>
      <w:tblPr>
        <w:tblStyle w:val="13"/>
        <w:tblW w:w="8522" w:type="dxa"/>
        <w:tblInd w:w="0" w:type="dxa"/>
        <w:tblLayout w:type="fixed"/>
        <w:tblCellMar>
          <w:top w:w="0" w:type="dxa"/>
          <w:left w:w="108" w:type="dxa"/>
          <w:bottom w:w="0" w:type="dxa"/>
          <w:right w:w="108" w:type="dxa"/>
        </w:tblCellMar>
      </w:tblPr>
      <w:tblGrid>
        <w:gridCol w:w="1704"/>
        <w:gridCol w:w="1704"/>
        <w:gridCol w:w="1704"/>
        <w:gridCol w:w="1705"/>
        <w:gridCol w:w="1705"/>
      </w:tblGrid>
      <w:tr w14:paraId="25D75F99">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tcPr>
          <w:p w14:paraId="517A4F2A">
            <w:pPr>
              <w:jc w:val="center"/>
              <w:rPr>
                <w:rFonts w:ascii="仿宋_GB2312" w:hAnsi="仿宋_GB2312" w:eastAsia="仿宋_GB2312"/>
              </w:rPr>
            </w:pPr>
            <w:r>
              <w:rPr>
                <w:rFonts w:ascii="仿宋_GB2312" w:hAnsi="仿宋_GB2312" w:eastAsia="仿宋_GB2312"/>
              </w:rPr>
              <w:t>学习开始日期</w:t>
            </w:r>
          </w:p>
        </w:tc>
        <w:tc>
          <w:tcPr>
            <w:tcW w:w="1704" w:type="dxa"/>
            <w:tcBorders>
              <w:top w:val="single" w:color="000000" w:sz="4" w:space="0"/>
              <w:left w:val="single" w:color="000000" w:sz="4" w:space="0"/>
              <w:bottom w:val="single" w:color="000000" w:sz="4" w:space="0"/>
              <w:right w:val="single" w:color="000000" w:sz="4" w:space="0"/>
            </w:tcBorders>
          </w:tcPr>
          <w:p w14:paraId="2F171378">
            <w:pPr>
              <w:jc w:val="center"/>
              <w:rPr>
                <w:rFonts w:ascii="仿宋_GB2312" w:hAnsi="仿宋_GB2312" w:eastAsia="仿宋_GB2312"/>
              </w:rPr>
            </w:pPr>
            <w:r>
              <w:rPr>
                <w:rFonts w:ascii="仿宋_GB2312" w:hAnsi="仿宋_GB2312" w:eastAsia="仿宋_GB2312"/>
              </w:rPr>
              <w:t>学习结束日期</w:t>
            </w:r>
          </w:p>
        </w:tc>
        <w:tc>
          <w:tcPr>
            <w:tcW w:w="1704" w:type="dxa"/>
            <w:tcBorders>
              <w:top w:val="single" w:color="000000" w:sz="4" w:space="0"/>
              <w:left w:val="single" w:color="000000" w:sz="4" w:space="0"/>
              <w:bottom w:val="single" w:color="000000" w:sz="4" w:space="0"/>
              <w:right w:val="single" w:color="000000" w:sz="4" w:space="0"/>
            </w:tcBorders>
          </w:tcPr>
          <w:p w14:paraId="303CA417">
            <w:pPr>
              <w:jc w:val="center"/>
              <w:rPr>
                <w:rFonts w:ascii="仿宋_GB2312" w:hAnsi="仿宋_GB2312" w:eastAsia="仿宋_GB2312"/>
              </w:rPr>
            </w:pPr>
            <w:r>
              <w:rPr>
                <w:rFonts w:ascii="仿宋_GB2312" w:hAnsi="仿宋_GB2312" w:eastAsia="仿宋_GB2312"/>
              </w:rPr>
              <w:t>毕业院校</w:t>
            </w:r>
          </w:p>
        </w:tc>
        <w:tc>
          <w:tcPr>
            <w:tcW w:w="1705" w:type="dxa"/>
            <w:tcBorders>
              <w:top w:val="single" w:color="000000" w:sz="4" w:space="0"/>
              <w:left w:val="single" w:color="000000" w:sz="4" w:space="0"/>
              <w:bottom w:val="single" w:color="000000" w:sz="4" w:space="0"/>
              <w:right w:val="single" w:color="000000" w:sz="4" w:space="0"/>
            </w:tcBorders>
          </w:tcPr>
          <w:p w14:paraId="03872F55">
            <w:pPr>
              <w:jc w:val="center"/>
              <w:rPr>
                <w:rFonts w:ascii="仿宋_GB2312" w:hAnsi="仿宋_GB2312" w:eastAsia="仿宋_GB2312"/>
              </w:rPr>
            </w:pPr>
            <w:r>
              <w:rPr>
                <w:rFonts w:ascii="仿宋_GB2312" w:hAnsi="仿宋_GB2312" w:eastAsia="仿宋_GB2312"/>
              </w:rPr>
              <w:t>专业</w:t>
            </w:r>
          </w:p>
        </w:tc>
        <w:tc>
          <w:tcPr>
            <w:tcW w:w="1705" w:type="dxa"/>
            <w:tcBorders>
              <w:top w:val="single" w:color="000000" w:sz="4" w:space="0"/>
              <w:left w:val="single" w:color="000000" w:sz="4" w:space="0"/>
              <w:bottom w:val="single" w:color="000000" w:sz="4" w:space="0"/>
              <w:right w:val="single" w:color="000000" w:sz="4" w:space="0"/>
            </w:tcBorders>
          </w:tcPr>
          <w:p w14:paraId="46C14BB3">
            <w:pPr>
              <w:jc w:val="center"/>
              <w:rPr>
                <w:rFonts w:ascii="仿宋_GB2312" w:hAnsi="仿宋_GB2312" w:eastAsia="仿宋_GB2312"/>
              </w:rPr>
            </w:pPr>
            <w:r>
              <w:rPr>
                <w:rFonts w:ascii="仿宋_GB2312" w:hAnsi="仿宋_GB2312" w:eastAsia="仿宋_GB2312"/>
              </w:rPr>
              <w:t>海外教育</w:t>
            </w:r>
          </w:p>
        </w:tc>
      </w:tr>
      <w:tr w14:paraId="21D4727B">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tcPr>
          <w:p w14:paraId="45C6AB51">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tcPr>
          <w:p w14:paraId="37B3FD28">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tcPr>
          <w:p w14:paraId="53BC1B46">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tcPr>
          <w:p w14:paraId="7030DB63">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tcPr>
          <w:p w14:paraId="23AD495F">
            <w:pPr>
              <w:ind w:right="0" w:firstLine="480"/>
              <w:rPr>
                <w:color w:val="333399"/>
              </w:rPr>
            </w:pPr>
            <w:r>
              <w:rPr>
                <w:color w:val="333399"/>
              </w:rPr>
              <w:t>　</w:t>
            </w:r>
          </w:p>
        </w:tc>
      </w:tr>
      <w:tr w14:paraId="06DA0BDE">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tcPr>
          <w:p w14:paraId="4660168A">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tcPr>
          <w:p w14:paraId="66818205">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tcPr>
          <w:p w14:paraId="782375C5">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tcPr>
          <w:p w14:paraId="0B028FD8">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tcPr>
          <w:p w14:paraId="597851C7">
            <w:pPr>
              <w:ind w:right="0" w:firstLine="480"/>
              <w:rPr>
                <w:color w:val="333399"/>
              </w:rPr>
            </w:pPr>
            <w:r>
              <w:rPr>
                <w:color w:val="333399"/>
              </w:rPr>
              <w:t>　</w:t>
            </w:r>
          </w:p>
        </w:tc>
      </w:tr>
    </w:tbl>
    <w:p w14:paraId="1477F6E4">
      <w:pPr>
        <w:snapToGrid w:val="0"/>
        <w:spacing w:line="540" w:lineRule="exact"/>
        <w:rPr>
          <w:rFonts w:ascii="仿宋_GB2312" w:hAnsi="仿宋_GB2312" w:eastAsia="仿宋_GB2312"/>
          <w:sz w:val="30"/>
          <w:szCs w:val="30"/>
        </w:rPr>
      </w:pPr>
      <w:r>
        <w:rPr>
          <w:rFonts w:ascii="仿宋_GB2312" w:hAnsi="仿宋_GB2312" w:eastAsia="仿宋_GB2312"/>
          <w:sz w:val="30"/>
          <w:szCs w:val="30"/>
        </w:rPr>
        <w:t>12.工作经历：</w:t>
      </w:r>
    </w:p>
    <w:p w14:paraId="11F42203">
      <w:pPr>
        <w:rPr>
          <w:rFonts w:ascii="仿宋_GB2312" w:hAnsi="仿宋_GB2312" w:eastAsia="仿宋_GB2312"/>
          <w:sz w:val="30"/>
          <w:szCs w:val="30"/>
          <w:u w:val="single"/>
        </w:rPr>
      </w:pPr>
      <w:r>
        <w:rPr>
          <w:rFonts w:ascii="仿宋_GB2312" w:hAnsi="仿宋_GB2312" w:eastAsia="仿宋_GB2312"/>
          <w:sz w:val="30"/>
          <w:szCs w:val="30"/>
        </w:rPr>
        <w:t>当前任职开始日期：</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3625EE08">
      <w:pPr>
        <w:rPr>
          <w:rFonts w:ascii="仿宋_GB2312" w:hAnsi="仿宋_GB2312" w:eastAsia="仿宋_GB2312"/>
          <w:sz w:val="30"/>
          <w:szCs w:val="30"/>
          <w:u w:val="single"/>
        </w:rPr>
      </w:pPr>
      <w:r>
        <w:rPr>
          <w:rFonts w:ascii="仿宋_GB2312" w:hAnsi="仿宋_GB2312" w:eastAsia="仿宋_GB2312"/>
          <w:sz w:val="30"/>
          <w:szCs w:val="30"/>
        </w:rPr>
        <w:t>上任伊始原定任职结束日期：</w:t>
      </w:r>
      <w:r>
        <w:rPr>
          <w:rFonts w:ascii="仿宋_GB2312" w:hAnsi="仿宋_GB2312" w:eastAsia="仿宋_GB2312"/>
          <w:sz w:val="30"/>
          <w:szCs w:val="30"/>
          <w:u w:val="single"/>
        </w:rPr>
        <w:tab/>
      </w:r>
      <w:r>
        <w:rPr>
          <w:rFonts w:ascii="仿宋_GB2312" w:hAnsi="仿宋_GB2312" w:eastAsia="仿宋_GB2312"/>
          <w:kern w:val="0"/>
          <w:sz w:val="30"/>
          <w:szCs w:val="30"/>
          <w:u w:val="single"/>
        </w:rPr>
        <w:tab/>
      </w:r>
    </w:p>
    <w:p w14:paraId="4E210A77">
      <w:pPr>
        <w:rPr>
          <w:rFonts w:ascii="仿宋_GB2312" w:hAnsi="仿宋_GB2312" w:eastAsia="仿宋_GB2312"/>
          <w:sz w:val="30"/>
          <w:szCs w:val="30"/>
          <w:u w:val="single"/>
        </w:rPr>
      </w:pPr>
      <w:r>
        <w:rPr>
          <w:rFonts w:ascii="仿宋_GB2312" w:hAnsi="仿宋_GB2312" w:eastAsia="仿宋_GB2312"/>
          <w:sz w:val="30"/>
          <w:szCs w:val="30"/>
        </w:rPr>
        <w:t>实际离职日期：</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p>
    <w:p w14:paraId="5A6BC85F">
      <w:pPr>
        <w:rPr>
          <w:rFonts w:ascii="仿宋_GB2312" w:hAnsi="仿宋_GB2312" w:eastAsia="仿宋_GB2312"/>
          <w:sz w:val="30"/>
          <w:szCs w:val="30"/>
          <w:u w:val="single"/>
        </w:rPr>
      </w:pPr>
      <w:r>
        <w:rPr>
          <w:rFonts w:ascii="仿宋_GB2312" w:hAnsi="仿宋_GB2312" w:eastAsia="仿宋_GB2312"/>
          <w:sz w:val="30"/>
          <w:szCs w:val="30"/>
        </w:rPr>
        <w:t>上市公司职务：</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6B85B85A">
      <w:pPr>
        <w:rPr>
          <w:rFonts w:ascii="仿宋_GB2312" w:hAnsi="仿宋_GB2312" w:eastAsia="仿宋_GB2312"/>
          <w:sz w:val="30"/>
          <w:szCs w:val="30"/>
          <w:u w:val="single"/>
        </w:rPr>
      </w:pPr>
      <w:r>
        <w:rPr>
          <w:rFonts w:ascii="仿宋_GB2312" w:hAnsi="仿宋_GB2312" w:eastAsia="仿宋_GB2312"/>
          <w:sz w:val="30"/>
          <w:szCs w:val="30"/>
          <w:u w:val="single"/>
        </w:rPr>
        <w:t>社会职务：</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tbl>
      <w:tblPr>
        <w:tblStyle w:val="13"/>
        <w:tblW w:w="8522" w:type="dxa"/>
        <w:tblInd w:w="0" w:type="dxa"/>
        <w:tblLayout w:type="fixed"/>
        <w:tblCellMar>
          <w:top w:w="0" w:type="dxa"/>
          <w:left w:w="108" w:type="dxa"/>
          <w:bottom w:w="0" w:type="dxa"/>
          <w:right w:w="108" w:type="dxa"/>
        </w:tblCellMar>
      </w:tblPr>
      <w:tblGrid>
        <w:gridCol w:w="1704"/>
        <w:gridCol w:w="1704"/>
        <w:gridCol w:w="1704"/>
        <w:gridCol w:w="1705"/>
        <w:gridCol w:w="1705"/>
      </w:tblGrid>
      <w:tr w14:paraId="27FEA37D">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vAlign w:val="center"/>
          </w:tcPr>
          <w:p w14:paraId="138C18C8">
            <w:pPr>
              <w:jc w:val="center"/>
              <w:rPr>
                <w:rFonts w:ascii="仿宋_GB2312" w:hAnsi="仿宋_GB2312" w:eastAsia="仿宋_GB2312"/>
              </w:rPr>
            </w:pPr>
            <w:r>
              <w:rPr>
                <w:rFonts w:ascii="仿宋_GB2312" w:hAnsi="仿宋_GB2312" w:eastAsia="仿宋_GB2312"/>
              </w:rPr>
              <w:t>工作开始日期</w:t>
            </w:r>
          </w:p>
        </w:tc>
        <w:tc>
          <w:tcPr>
            <w:tcW w:w="1704" w:type="dxa"/>
            <w:tcBorders>
              <w:top w:val="single" w:color="000000" w:sz="4" w:space="0"/>
              <w:left w:val="single" w:color="000000" w:sz="4" w:space="0"/>
              <w:bottom w:val="single" w:color="000000" w:sz="4" w:space="0"/>
              <w:right w:val="single" w:color="000000" w:sz="4" w:space="0"/>
            </w:tcBorders>
            <w:vAlign w:val="center"/>
          </w:tcPr>
          <w:p w14:paraId="7C74A606">
            <w:pPr>
              <w:jc w:val="center"/>
              <w:rPr>
                <w:rFonts w:ascii="仿宋_GB2312" w:hAnsi="仿宋_GB2312" w:eastAsia="仿宋_GB2312"/>
              </w:rPr>
            </w:pPr>
            <w:r>
              <w:rPr>
                <w:rFonts w:ascii="仿宋_GB2312" w:hAnsi="仿宋_GB2312" w:eastAsia="仿宋_GB2312"/>
              </w:rPr>
              <w:t>工作结束日期</w:t>
            </w:r>
          </w:p>
        </w:tc>
        <w:tc>
          <w:tcPr>
            <w:tcW w:w="1704" w:type="dxa"/>
            <w:tcBorders>
              <w:top w:val="single" w:color="000000" w:sz="4" w:space="0"/>
              <w:left w:val="single" w:color="000000" w:sz="4" w:space="0"/>
              <w:bottom w:val="single" w:color="000000" w:sz="4" w:space="0"/>
              <w:right w:val="single" w:color="000000" w:sz="4" w:space="0"/>
            </w:tcBorders>
            <w:vAlign w:val="center"/>
          </w:tcPr>
          <w:p w14:paraId="09344731">
            <w:pPr>
              <w:jc w:val="center"/>
              <w:rPr>
                <w:rFonts w:ascii="仿宋_GB2312" w:hAnsi="仿宋_GB2312" w:eastAsia="仿宋_GB2312"/>
              </w:rPr>
            </w:pPr>
            <w:r>
              <w:rPr>
                <w:rFonts w:ascii="仿宋_GB2312" w:hAnsi="仿宋_GB2312" w:eastAsia="仿宋_GB2312"/>
              </w:rPr>
              <w:t>工作单位</w:t>
            </w:r>
          </w:p>
        </w:tc>
        <w:tc>
          <w:tcPr>
            <w:tcW w:w="1705" w:type="dxa"/>
            <w:tcBorders>
              <w:top w:val="single" w:color="000000" w:sz="4" w:space="0"/>
              <w:left w:val="single" w:color="000000" w:sz="4" w:space="0"/>
              <w:bottom w:val="single" w:color="000000" w:sz="4" w:space="0"/>
              <w:right w:val="single" w:color="000000" w:sz="4" w:space="0"/>
            </w:tcBorders>
            <w:vAlign w:val="center"/>
          </w:tcPr>
          <w:p w14:paraId="49622642">
            <w:pPr>
              <w:jc w:val="center"/>
              <w:rPr>
                <w:rFonts w:ascii="仿宋_GB2312" w:hAnsi="仿宋_GB2312" w:eastAsia="仿宋_GB2312"/>
              </w:rPr>
            </w:pPr>
            <w:r>
              <w:rPr>
                <w:rFonts w:ascii="仿宋_GB2312" w:hAnsi="仿宋_GB2312" w:eastAsia="仿宋_GB2312"/>
              </w:rPr>
              <w:t>职位</w:t>
            </w:r>
          </w:p>
        </w:tc>
        <w:tc>
          <w:tcPr>
            <w:tcW w:w="1705" w:type="dxa"/>
            <w:tcBorders>
              <w:top w:val="single" w:color="000000" w:sz="4" w:space="0"/>
              <w:left w:val="single" w:color="000000" w:sz="4" w:space="0"/>
              <w:bottom w:val="single" w:color="000000" w:sz="4" w:space="0"/>
              <w:right w:val="single" w:color="000000" w:sz="4" w:space="0"/>
            </w:tcBorders>
            <w:vAlign w:val="center"/>
          </w:tcPr>
          <w:p w14:paraId="2D2E0B2A">
            <w:pPr>
              <w:jc w:val="center"/>
              <w:rPr>
                <w:rFonts w:ascii="仿宋_GB2312" w:hAnsi="仿宋_GB2312" w:eastAsia="仿宋_GB2312"/>
              </w:rPr>
            </w:pPr>
            <w:r>
              <w:rPr>
                <w:rFonts w:ascii="仿宋_GB2312" w:hAnsi="仿宋_GB2312" w:eastAsia="仿宋_GB2312"/>
              </w:rPr>
              <w:t>海外工作</w:t>
            </w:r>
          </w:p>
        </w:tc>
      </w:tr>
      <w:tr w14:paraId="4C45572F">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vAlign w:val="center"/>
          </w:tcPr>
          <w:p w14:paraId="4EF5218F">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4395E343">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1A3A92E4">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vAlign w:val="center"/>
          </w:tcPr>
          <w:p w14:paraId="6327462D">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vAlign w:val="center"/>
          </w:tcPr>
          <w:p w14:paraId="7F69846A">
            <w:pPr>
              <w:ind w:right="0" w:firstLine="480"/>
              <w:rPr>
                <w:color w:val="333399"/>
              </w:rPr>
            </w:pPr>
            <w:r>
              <w:rPr>
                <w:color w:val="333399"/>
              </w:rPr>
              <w:t>　</w:t>
            </w:r>
          </w:p>
        </w:tc>
      </w:tr>
      <w:tr w14:paraId="3F028878">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vAlign w:val="center"/>
          </w:tcPr>
          <w:p w14:paraId="4652747D">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6F89D040">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7CA1D62F">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vAlign w:val="center"/>
          </w:tcPr>
          <w:p w14:paraId="1E881A58">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vAlign w:val="center"/>
          </w:tcPr>
          <w:p w14:paraId="0F03A1E5">
            <w:pPr>
              <w:ind w:right="0" w:firstLine="480"/>
              <w:rPr>
                <w:color w:val="333399"/>
              </w:rPr>
            </w:pPr>
            <w:r>
              <w:rPr>
                <w:color w:val="333399"/>
              </w:rPr>
              <w:t>　</w:t>
            </w:r>
          </w:p>
        </w:tc>
      </w:tr>
    </w:tbl>
    <w:p w14:paraId="4898C4E2">
      <w:pPr>
        <w:snapToGrid w:val="0"/>
        <w:spacing w:line="540" w:lineRule="exact"/>
        <w:rPr>
          <w:rFonts w:ascii="仿宋_GB2312" w:hAnsi="仿宋_GB2312" w:eastAsia="仿宋_GB2312"/>
          <w:sz w:val="30"/>
          <w:szCs w:val="30"/>
        </w:rPr>
      </w:pPr>
    </w:p>
    <w:p w14:paraId="49DE081C">
      <w:pPr>
        <w:snapToGrid w:val="0"/>
        <w:spacing w:line="540" w:lineRule="exact"/>
        <w:rPr>
          <w:rFonts w:ascii="仿宋_GB2312" w:hAnsi="仿宋_GB2312" w:eastAsia="仿宋_GB2312"/>
          <w:sz w:val="30"/>
          <w:szCs w:val="30"/>
        </w:rPr>
      </w:pPr>
      <w:r>
        <w:rPr>
          <w:rFonts w:ascii="仿宋_GB2312" w:hAnsi="仿宋_GB2312" w:eastAsia="仿宋_GB2312"/>
          <w:sz w:val="30"/>
          <w:szCs w:val="30"/>
        </w:rPr>
        <w:t>二、A股账户信息</w:t>
      </w:r>
    </w:p>
    <w:tbl>
      <w:tblPr>
        <w:tblStyle w:val="13"/>
        <w:tblW w:w="8522" w:type="dxa"/>
        <w:tblInd w:w="0" w:type="dxa"/>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14:paraId="79CA4C61">
        <w:tblPrEx>
          <w:tblCellMar>
            <w:top w:w="0" w:type="dxa"/>
            <w:left w:w="108" w:type="dxa"/>
            <w:bottom w:w="0" w:type="dxa"/>
            <w:right w:w="108" w:type="dxa"/>
          </w:tblCellMar>
        </w:tblPrEx>
        <w:tc>
          <w:tcPr>
            <w:tcW w:w="1065" w:type="dxa"/>
            <w:tcBorders>
              <w:top w:val="single" w:color="000000" w:sz="4" w:space="0"/>
              <w:left w:val="single" w:color="000000" w:sz="4" w:space="0"/>
              <w:bottom w:val="single" w:color="000000" w:sz="4" w:space="0"/>
              <w:right w:val="single" w:color="000000" w:sz="4" w:space="0"/>
            </w:tcBorders>
            <w:vAlign w:val="center"/>
          </w:tcPr>
          <w:p w14:paraId="13C0E87A">
            <w:pPr>
              <w:jc w:val="center"/>
              <w:rPr>
                <w:rFonts w:ascii="仿宋_GB2312" w:hAnsi="仿宋_GB2312" w:eastAsia="仿宋_GB2312"/>
              </w:rPr>
            </w:pPr>
            <w:r>
              <w:rPr>
                <w:rFonts w:ascii="仿宋_GB2312" w:hAnsi="仿宋_GB2312" w:eastAsia="仿宋_GB2312"/>
              </w:rPr>
              <w:t>股东账号</w:t>
            </w:r>
          </w:p>
        </w:tc>
        <w:tc>
          <w:tcPr>
            <w:tcW w:w="1065" w:type="dxa"/>
            <w:tcBorders>
              <w:top w:val="single" w:color="000000" w:sz="4" w:space="0"/>
              <w:left w:val="single" w:color="000000" w:sz="4" w:space="0"/>
              <w:bottom w:val="single" w:color="000000" w:sz="4" w:space="0"/>
              <w:right w:val="single" w:color="000000" w:sz="4" w:space="0"/>
            </w:tcBorders>
            <w:vAlign w:val="center"/>
          </w:tcPr>
          <w:p w14:paraId="239CE96C">
            <w:pPr>
              <w:jc w:val="center"/>
              <w:rPr>
                <w:rFonts w:ascii="仿宋_GB2312" w:hAnsi="仿宋_GB2312" w:eastAsia="仿宋_GB2312"/>
              </w:rPr>
            </w:pPr>
            <w:r>
              <w:rPr>
                <w:rFonts w:ascii="仿宋_GB2312" w:hAnsi="仿宋_GB2312" w:eastAsia="仿宋_GB2312"/>
              </w:rPr>
              <w:t>开户身份证件类型</w:t>
            </w:r>
          </w:p>
        </w:tc>
        <w:tc>
          <w:tcPr>
            <w:tcW w:w="1065" w:type="dxa"/>
            <w:tcBorders>
              <w:top w:val="single" w:color="000000" w:sz="4" w:space="0"/>
              <w:left w:val="single" w:color="000000" w:sz="4" w:space="0"/>
              <w:bottom w:val="single" w:color="000000" w:sz="4" w:space="0"/>
              <w:right w:val="single" w:color="000000" w:sz="4" w:space="0"/>
            </w:tcBorders>
            <w:vAlign w:val="center"/>
          </w:tcPr>
          <w:p w14:paraId="613B0208">
            <w:pPr>
              <w:jc w:val="center"/>
              <w:rPr>
                <w:rFonts w:ascii="仿宋_GB2312" w:hAnsi="仿宋_GB2312" w:eastAsia="仿宋_GB2312"/>
              </w:rPr>
            </w:pPr>
            <w:r>
              <w:rPr>
                <w:rFonts w:ascii="仿宋_GB2312" w:hAnsi="仿宋_GB2312" w:eastAsia="仿宋_GB2312"/>
              </w:rPr>
              <w:t>开户身份证件号码</w:t>
            </w:r>
          </w:p>
        </w:tc>
        <w:tc>
          <w:tcPr>
            <w:tcW w:w="1065" w:type="dxa"/>
            <w:tcBorders>
              <w:top w:val="single" w:color="000000" w:sz="4" w:space="0"/>
              <w:left w:val="single" w:color="000000" w:sz="4" w:space="0"/>
              <w:bottom w:val="single" w:color="000000" w:sz="4" w:space="0"/>
              <w:right w:val="single" w:color="000000" w:sz="4" w:space="0"/>
            </w:tcBorders>
            <w:vAlign w:val="center"/>
          </w:tcPr>
          <w:p w14:paraId="2A42E0EA">
            <w:pPr>
              <w:jc w:val="center"/>
              <w:rPr>
                <w:rFonts w:ascii="仿宋_GB2312" w:hAnsi="仿宋_GB2312" w:eastAsia="仿宋_GB2312"/>
              </w:rPr>
            </w:pPr>
            <w:r>
              <w:rPr>
                <w:rFonts w:ascii="仿宋_GB2312" w:hAnsi="仿宋_GB2312" w:eastAsia="仿宋_GB2312"/>
              </w:rPr>
              <w:t>开户名称</w:t>
            </w:r>
          </w:p>
        </w:tc>
        <w:tc>
          <w:tcPr>
            <w:tcW w:w="1065" w:type="dxa"/>
            <w:tcBorders>
              <w:top w:val="single" w:color="000000" w:sz="4" w:space="0"/>
              <w:left w:val="single" w:color="000000" w:sz="4" w:space="0"/>
              <w:bottom w:val="single" w:color="000000" w:sz="4" w:space="0"/>
              <w:right w:val="single" w:color="000000" w:sz="4" w:space="0"/>
            </w:tcBorders>
            <w:vAlign w:val="center"/>
          </w:tcPr>
          <w:p w14:paraId="6537927B">
            <w:pPr>
              <w:jc w:val="center"/>
              <w:rPr>
                <w:rFonts w:ascii="仿宋_GB2312" w:hAnsi="仿宋_GB2312" w:eastAsia="仿宋_GB2312"/>
              </w:rPr>
            </w:pPr>
            <w:r>
              <w:rPr>
                <w:rFonts w:ascii="仿宋_GB2312" w:hAnsi="仿宋_GB2312" w:eastAsia="仿宋_GB2312"/>
              </w:rPr>
              <w:t>一码通号码</w:t>
            </w:r>
          </w:p>
        </w:tc>
        <w:tc>
          <w:tcPr>
            <w:tcW w:w="1065" w:type="dxa"/>
            <w:tcBorders>
              <w:top w:val="single" w:color="000000" w:sz="4" w:space="0"/>
              <w:left w:val="single" w:color="000000" w:sz="4" w:space="0"/>
              <w:bottom w:val="single" w:color="000000" w:sz="4" w:space="0"/>
              <w:right w:val="single" w:color="000000" w:sz="4" w:space="0"/>
            </w:tcBorders>
            <w:vAlign w:val="center"/>
          </w:tcPr>
          <w:p w14:paraId="7757EAD4">
            <w:pPr>
              <w:jc w:val="center"/>
              <w:rPr>
                <w:rFonts w:ascii="仿宋_GB2312" w:hAnsi="仿宋_GB2312" w:eastAsia="仿宋_GB2312"/>
              </w:rPr>
            </w:pPr>
            <w:r>
              <w:rPr>
                <w:rFonts w:ascii="仿宋_GB2312" w:hAnsi="仿宋_GB2312" w:eastAsia="仿宋_GB2312"/>
              </w:rPr>
              <w:t>限售比例/额度</w:t>
            </w:r>
          </w:p>
        </w:tc>
        <w:tc>
          <w:tcPr>
            <w:tcW w:w="1066" w:type="dxa"/>
            <w:tcBorders>
              <w:top w:val="single" w:color="000000" w:sz="4" w:space="0"/>
              <w:left w:val="single" w:color="000000" w:sz="4" w:space="0"/>
              <w:bottom w:val="single" w:color="000000" w:sz="4" w:space="0"/>
              <w:right w:val="single" w:color="000000" w:sz="4" w:space="0"/>
            </w:tcBorders>
            <w:vAlign w:val="center"/>
          </w:tcPr>
          <w:p w14:paraId="21EB2A87">
            <w:pPr>
              <w:jc w:val="center"/>
              <w:rPr>
                <w:rFonts w:ascii="仿宋_GB2312" w:hAnsi="仿宋_GB2312" w:eastAsia="仿宋_GB2312"/>
              </w:rPr>
            </w:pPr>
            <w:r>
              <w:rPr>
                <w:rFonts w:ascii="仿宋_GB2312" w:hAnsi="仿宋_GB2312" w:eastAsia="仿宋_GB2312"/>
              </w:rPr>
              <w:t>数据来源</w:t>
            </w:r>
          </w:p>
        </w:tc>
        <w:tc>
          <w:tcPr>
            <w:tcW w:w="1066" w:type="dxa"/>
            <w:tcBorders>
              <w:top w:val="single" w:color="000000" w:sz="4" w:space="0"/>
              <w:left w:val="single" w:color="000000" w:sz="4" w:space="0"/>
              <w:bottom w:val="single" w:color="000000" w:sz="4" w:space="0"/>
              <w:right w:val="single" w:color="000000" w:sz="4" w:space="0"/>
            </w:tcBorders>
            <w:vAlign w:val="center"/>
          </w:tcPr>
          <w:p w14:paraId="3A6B0BA6">
            <w:pPr>
              <w:jc w:val="center"/>
              <w:rPr>
                <w:rFonts w:ascii="仿宋_GB2312" w:hAnsi="仿宋_GB2312" w:eastAsia="仿宋_GB2312"/>
              </w:rPr>
            </w:pPr>
            <w:r>
              <w:rPr>
                <w:rFonts w:ascii="仿宋_GB2312" w:hAnsi="仿宋_GB2312" w:eastAsia="仿宋_GB2312"/>
              </w:rPr>
              <w:t>账号状态</w:t>
            </w:r>
          </w:p>
        </w:tc>
      </w:tr>
      <w:tr w14:paraId="355933C1">
        <w:tblPrEx>
          <w:tblCellMar>
            <w:top w:w="0" w:type="dxa"/>
            <w:left w:w="108" w:type="dxa"/>
            <w:bottom w:w="0" w:type="dxa"/>
            <w:right w:w="108" w:type="dxa"/>
          </w:tblCellMar>
        </w:tblPrEx>
        <w:tc>
          <w:tcPr>
            <w:tcW w:w="1065" w:type="dxa"/>
            <w:tcBorders>
              <w:top w:val="single" w:color="000000" w:sz="4" w:space="0"/>
              <w:left w:val="single" w:color="000000" w:sz="4" w:space="0"/>
              <w:bottom w:val="single" w:color="000000" w:sz="4" w:space="0"/>
              <w:right w:val="single" w:color="000000" w:sz="4" w:space="0"/>
            </w:tcBorders>
            <w:vAlign w:val="center"/>
          </w:tcPr>
          <w:p w14:paraId="24A8E880">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08B9B723">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349F2FF2">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040E3064">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105AEE0E">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22E351AA">
            <w:pPr>
              <w:ind w:right="0" w:firstLine="480"/>
              <w:jc w:val="center"/>
            </w:pPr>
            <w:r>
              <w:t>-</w:t>
            </w:r>
          </w:p>
        </w:tc>
        <w:tc>
          <w:tcPr>
            <w:tcW w:w="1066" w:type="dxa"/>
            <w:tcBorders>
              <w:top w:val="single" w:color="000000" w:sz="4" w:space="0"/>
              <w:left w:val="single" w:color="000000" w:sz="4" w:space="0"/>
              <w:bottom w:val="single" w:color="000000" w:sz="4" w:space="0"/>
              <w:right w:val="single" w:color="000000" w:sz="4" w:space="0"/>
            </w:tcBorders>
            <w:vAlign w:val="center"/>
          </w:tcPr>
          <w:p w14:paraId="60838182">
            <w:pPr>
              <w:ind w:right="0" w:firstLine="480"/>
              <w:jc w:val="center"/>
            </w:pPr>
            <w:r>
              <w:t>-</w:t>
            </w:r>
          </w:p>
        </w:tc>
        <w:tc>
          <w:tcPr>
            <w:tcW w:w="1066" w:type="dxa"/>
            <w:tcBorders>
              <w:top w:val="single" w:color="000000" w:sz="4" w:space="0"/>
              <w:left w:val="single" w:color="000000" w:sz="4" w:space="0"/>
              <w:bottom w:val="single" w:color="000000" w:sz="4" w:space="0"/>
              <w:right w:val="single" w:color="000000" w:sz="4" w:space="0"/>
            </w:tcBorders>
            <w:vAlign w:val="center"/>
          </w:tcPr>
          <w:p w14:paraId="4CEDB19C">
            <w:pPr>
              <w:ind w:right="0" w:firstLine="480"/>
              <w:jc w:val="center"/>
            </w:pPr>
            <w:r>
              <w:t>-</w:t>
            </w:r>
          </w:p>
        </w:tc>
      </w:tr>
      <w:tr w14:paraId="38B3E495">
        <w:tblPrEx>
          <w:tblCellMar>
            <w:top w:w="0" w:type="dxa"/>
            <w:left w:w="108" w:type="dxa"/>
            <w:bottom w:w="0" w:type="dxa"/>
            <w:right w:w="108" w:type="dxa"/>
          </w:tblCellMar>
        </w:tblPrEx>
        <w:tc>
          <w:tcPr>
            <w:tcW w:w="1065" w:type="dxa"/>
            <w:tcBorders>
              <w:top w:val="single" w:color="000000" w:sz="4" w:space="0"/>
              <w:left w:val="single" w:color="000000" w:sz="4" w:space="0"/>
              <w:bottom w:val="single" w:color="000000" w:sz="4" w:space="0"/>
              <w:right w:val="single" w:color="000000" w:sz="4" w:space="0"/>
            </w:tcBorders>
            <w:vAlign w:val="center"/>
          </w:tcPr>
          <w:p w14:paraId="2C749C70">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5AAD38FF">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45935974">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4D5A5E53">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6250555F">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70FB5DD2">
            <w:pPr>
              <w:ind w:right="0" w:firstLine="480"/>
              <w:jc w:val="center"/>
            </w:pPr>
            <w:r>
              <w:t>-</w:t>
            </w:r>
          </w:p>
        </w:tc>
        <w:tc>
          <w:tcPr>
            <w:tcW w:w="1066" w:type="dxa"/>
            <w:tcBorders>
              <w:top w:val="single" w:color="000000" w:sz="4" w:space="0"/>
              <w:left w:val="single" w:color="000000" w:sz="4" w:space="0"/>
              <w:bottom w:val="single" w:color="000000" w:sz="4" w:space="0"/>
              <w:right w:val="single" w:color="000000" w:sz="4" w:space="0"/>
            </w:tcBorders>
            <w:vAlign w:val="center"/>
          </w:tcPr>
          <w:p w14:paraId="5668A7DE">
            <w:pPr>
              <w:ind w:right="0" w:firstLine="480"/>
              <w:jc w:val="center"/>
            </w:pPr>
            <w:r>
              <w:t>-</w:t>
            </w:r>
          </w:p>
        </w:tc>
        <w:tc>
          <w:tcPr>
            <w:tcW w:w="1066" w:type="dxa"/>
            <w:tcBorders>
              <w:top w:val="single" w:color="000000" w:sz="4" w:space="0"/>
              <w:left w:val="single" w:color="000000" w:sz="4" w:space="0"/>
              <w:bottom w:val="single" w:color="000000" w:sz="4" w:space="0"/>
              <w:right w:val="single" w:color="000000" w:sz="4" w:space="0"/>
            </w:tcBorders>
            <w:vAlign w:val="center"/>
          </w:tcPr>
          <w:p w14:paraId="73023C14">
            <w:pPr>
              <w:ind w:right="0" w:firstLine="480"/>
              <w:jc w:val="center"/>
            </w:pPr>
            <w:r>
              <w:t>-</w:t>
            </w:r>
          </w:p>
        </w:tc>
      </w:tr>
    </w:tbl>
    <w:p w14:paraId="7813D72D"/>
    <w:p w14:paraId="43754B05"/>
    <w:p w14:paraId="2F3F38B0"/>
    <w:p w14:paraId="6127C70C">
      <w:pPr>
        <w:pStyle w:val="38"/>
        <w:snapToGrid w:val="0"/>
        <w:spacing w:line="560" w:lineRule="exact"/>
        <w:rPr>
          <w:rFonts w:ascii="仿宋_GB2312" w:hAnsi="仿宋_GB2312" w:eastAsia="仿宋_GB2312" w:cs="宋体"/>
          <w:b/>
          <w:sz w:val="30"/>
          <w:szCs w:val="30"/>
        </w:rPr>
      </w:pPr>
      <w:r>
        <w:rPr>
          <w:rFonts w:ascii="仿宋_GB2312" w:hAnsi="仿宋_GB2312" w:eastAsia="仿宋_GB2312" w:cs="宋体"/>
          <w:b/>
          <w:sz w:val="30"/>
          <w:szCs w:val="30"/>
        </w:rPr>
        <w:t>说明：</w:t>
      </w:r>
    </w:p>
    <w:p w14:paraId="50B076F8">
      <w:pPr>
        <w:pStyle w:val="38"/>
        <w:snapToGrid w:val="0"/>
        <w:spacing w:line="560" w:lineRule="exact"/>
        <w:ind w:right="0" w:firstLine="600"/>
        <w:rPr>
          <w:rFonts w:ascii="仿宋_GB2312" w:hAnsi="仿宋_GB2312" w:eastAsia="仿宋_GB2312" w:cs="宋体"/>
          <w:sz w:val="30"/>
          <w:szCs w:val="30"/>
        </w:rPr>
      </w:pPr>
      <w:r>
        <w:rPr>
          <w:rFonts w:ascii="仿宋_GB2312" w:hAnsi="仿宋_GB2312" w:eastAsia="仿宋_GB2312" w:cs="宋体"/>
          <w:sz w:val="30"/>
          <w:szCs w:val="30"/>
        </w:rPr>
        <w:t>1.董事、高级管理人员应当按照《上海证券交易所股票上市规则》《上海证券交易所上市公司自律监管指引第1号——规范运作》的规定向本所呈报声明及承诺书。</w:t>
      </w:r>
    </w:p>
    <w:p w14:paraId="0C774E74">
      <w:pPr>
        <w:pStyle w:val="38"/>
        <w:snapToGrid w:val="0"/>
        <w:spacing w:line="560" w:lineRule="exact"/>
        <w:ind w:right="0" w:firstLine="600"/>
        <w:rPr>
          <w:rFonts w:ascii="仿宋_GB2312" w:hAnsi="仿宋_GB2312" w:eastAsia="仿宋_GB2312" w:cs="宋体"/>
          <w:sz w:val="30"/>
          <w:szCs w:val="30"/>
        </w:rPr>
      </w:pPr>
      <w:r>
        <w:rPr>
          <w:rFonts w:ascii="仿宋_GB2312" w:hAnsi="仿宋_GB2312" w:eastAsia="仿宋_GB2312" w:cs="宋体"/>
          <w:sz w:val="30"/>
          <w:szCs w:val="30"/>
        </w:rPr>
        <w:t>2.请回答所有的问题，若回答问题的空格不够填写，请另附纸张填写，并装订在后。</w:t>
      </w:r>
    </w:p>
    <w:p w14:paraId="57B16A46">
      <w:pPr>
        <w:pStyle w:val="38"/>
        <w:snapToGrid w:val="0"/>
        <w:spacing w:line="560" w:lineRule="exact"/>
        <w:ind w:right="0" w:firstLine="600"/>
        <w:rPr>
          <w:rFonts w:ascii="仿宋_GB2312" w:hAnsi="仿宋_GB2312" w:eastAsia="仿宋_GB2312" w:cs="宋体"/>
          <w:sz w:val="30"/>
          <w:szCs w:val="30"/>
        </w:rPr>
      </w:pPr>
      <w:r>
        <w:rPr>
          <w:rFonts w:ascii="仿宋_GB2312" w:hAnsi="仿宋_GB2312" w:eastAsia="仿宋_GB2312" w:cs="宋体"/>
          <w:sz w:val="30"/>
          <w:szCs w:val="30"/>
        </w:rPr>
        <w:t>3.未真实、完整、准确、及时地填写声明部分和承诺部分，或者未遵守承诺的，则属违反《上海证券交易所股票上市规则》的情形，本所将根据《上海证券交易所股票上市规则》予以相应惩戒。</w:t>
      </w:r>
    </w:p>
    <w:p w14:paraId="0BFA202A">
      <w:pPr>
        <w:pStyle w:val="38"/>
        <w:snapToGrid w:val="0"/>
        <w:spacing w:line="560" w:lineRule="exact"/>
        <w:ind w:right="0" w:firstLine="600"/>
        <w:rPr>
          <w:rFonts w:ascii="仿宋_GB2312" w:hAnsi="仿宋_GB2312" w:eastAsia="仿宋_GB2312" w:cs="宋体"/>
          <w:sz w:val="30"/>
          <w:szCs w:val="30"/>
        </w:rPr>
      </w:pPr>
      <w:r>
        <w:rPr>
          <w:rFonts w:ascii="仿宋_GB2312" w:hAnsi="仿宋_GB2312" w:eastAsia="仿宋_GB2312" w:cs="宋体"/>
          <w:sz w:val="30"/>
          <w:szCs w:val="30"/>
        </w:rPr>
        <w:t>4.若对填写事项有疑问，请咨询本所或者律师。</w:t>
      </w:r>
    </w:p>
    <w:p w14:paraId="286AE698">
      <w:pPr>
        <w:snapToGrid w:val="0"/>
        <w:spacing w:line="560" w:lineRule="exact"/>
        <w:jc w:val="center"/>
        <w:rPr>
          <w:rFonts w:ascii="仿宋_GB2312" w:hAnsi="仿宋_GB2312" w:eastAsia="仿宋_GB2312" w:cs="宋体"/>
          <w:sz w:val="30"/>
          <w:szCs w:val="30"/>
        </w:rPr>
      </w:pPr>
      <w:r>
        <w:br w:type="page"/>
      </w:r>
    </w:p>
    <w:p w14:paraId="36321A0C">
      <w:pPr>
        <w:spacing w:line="540" w:lineRule="exact"/>
        <w:rPr>
          <w:rFonts w:ascii="仿宋_GB2312" w:hAnsi="仿宋_GB2312" w:eastAsia="仿宋_GB2312"/>
          <w:b/>
          <w:bCs/>
          <w:sz w:val="30"/>
          <w:szCs w:val="30"/>
        </w:rPr>
      </w:pPr>
      <w:r>
        <w:rPr>
          <w:rFonts w:ascii="仿宋_GB2312" w:hAnsi="仿宋_GB2312" w:eastAsia="仿宋_GB2312" w:cs="仿宋_GB2312"/>
          <w:b/>
          <w:bCs/>
          <w:sz w:val="30"/>
          <w:szCs w:val="30"/>
        </w:rPr>
        <w:t xml:space="preserve"> </w:t>
      </w:r>
      <w:r>
        <w:rPr>
          <w:rFonts w:ascii="仿宋_GB2312" w:hAnsi="仿宋_GB2312" w:eastAsia="仿宋_GB2312"/>
          <w:b/>
          <w:bCs/>
          <w:sz w:val="30"/>
          <w:szCs w:val="30"/>
        </w:rPr>
        <w:t>附件2</w:t>
      </w:r>
    </w:p>
    <w:p w14:paraId="42B45071">
      <w:pPr>
        <w:spacing w:line="540" w:lineRule="exact"/>
        <w:rPr>
          <w:rFonts w:ascii="仿宋_GB2312" w:hAnsi="仿宋_GB2312" w:eastAsia="仿宋_GB2312"/>
          <w:b/>
          <w:bCs/>
          <w:sz w:val="30"/>
          <w:szCs w:val="30"/>
        </w:rPr>
      </w:pPr>
    </w:p>
    <w:p w14:paraId="3B18775D">
      <w:pPr>
        <w:pStyle w:val="2"/>
        <w:spacing w:line="540" w:lineRule="exact"/>
        <w:ind w:left="0" w:firstLine="0"/>
        <w:rPr>
          <w:rFonts w:ascii="黑体" w:hAnsi="黑体" w:eastAsia="黑体"/>
          <w:kern w:val="2"/>
          <w:sz w:val="44"/>
        </w:rPr>
      </w:pPr>
      <w:bookmarkStart w:id="56" w:name="__RefHeading___Toc189646166"/>
      <w:bookmarkEnd w:id="56"/>
      <w:r>
        <w:rPr>
          <w:rFonts w:ascii="黑体" w:hAnsi="黑体" w:eastAsia="黑体"/>
          <w:kern w:val="2"/>
          <w:sz w:val="44"/>
        </w:rPr>
        <w:t>高级管理人员声明及承诺书</w:t>
      </w:r>
    </w:p>
    <w:p w14:paraId="2E1EED1D">
      <w:pPr>
        <w:snapToGrid w:val="0"/>
        <w:spacing w:line="540" w:lineRule="exact"/>
        <w:jc w:val="center"/>
        <w:rPr>
          <w:rFonts w:ascii="仿宋_GB2312" w:hAnsi="仿宋_GB2312" w:eastAsia="仿宋_GB2312"/>
          <w:b/>
          <w:kern w:val="2"/>
          <w:sz w:val="30"/>
          <w:szCs w:val="30"/>
        </w:rPr>
      </w:pPr>
    </w:p>
    <w:p w14:paraId="22C7EF2B">
      <w:pPr>
        <w:snapToGrid w:val="0"/>
        <w:spacing w:line="540" w:lineRule="exact"/>
        <w:jc w:val="center"/>
        <w:rPr>
          <w:rFonts w:ascii="仿宋_GB2312" w:hAnsi="仿宋_GB2312" w:eastAsia="仿宋_GB2312"/>
          <w:b/>
          <w:sz w:val="30"/>
          <w:szCs w:val="30"/>
        </w:rPr>
      </w:pPr>
      <w:r>
        <w:rPr>
          <w:rFonts w:ascii="仿宋_GB2312" w:hAnsi="仿宋_GB2312" w:eastAsia="仿宋_GB2312"/>
          <w:b/>
          <w:sz w:val="30"/>
          <w:szCs w:val="30"/>
        </w:rPr>
        <w:t>第一部分  声  明</w:t>
      </w:r>
    </w:p>
    <w:p w14:paraId="602B1A1A">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一、基本情况</w:t>
      </w:r>
    </w:p>
    <w:p w14:paraId="48E881A3">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1.上市公司名称：</w:t>
      </w:r>
    </w:p>
    <w:p w14:paraId="4FD582F9">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rPr>
        <w:t>2.上市公司股票简称： 股票代码：</w:t>
      </w:r>
    </w:p>
    <w:p w14:paraId="1C226A7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3.本人姓名：职务：</w:t>
      </w:r>
    </w:p>
    <w:p w14:paraId="05561FF2">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4.别名：</w:t>
      </w:r>
    </w:p>
    <w:p w14:paraId="7E91C822">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5.曾用名：</w:t>
      </w:r>
    </w:p>
    <w:p w14:paraId="18F735C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6.出生日期：</w:t>
      </w:r>
    </w:p>
    <w:p w14:paraId="5D4095F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7.住址：</w:t>
      </w:r>
    </w:p>
    <w:p w14:paraId="29CD5948">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8.国籍：</w:t>
      </w:r>
    </w:p>
    <w:p w14:paraId="40C9D19F">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9.拥有哪些国家或者地区的长期居留权（如适用）：</w:t>
      </w:r>
    </w:p>
    <w:p w14:paraId="39273BCD">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10.专业资格（如适用）：</w:t>
      </w:r>
    </w:p>
    <w:p w14:paraId="48A96F8D">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11.身份证号码：</w:t>
      </w:r>
    </w:p>
    <w:p w14:paraId="46247F0C">
      <w:pPr>
        <w:tabs>
          <w:tab w:val="left" w:pos="3075"/>
        </w:tabs>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12.护照号码（如适用）：</w:t>
      </w:r>
    </w:p>
    <w:p w14:paraId="28024139">
      <w:pPr>
        <w:tabs>
          <w:tab w:val="left" w:pos="3075"/>
        </w:tabs>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rPr>
        <w:t>13.配偶及近亲属的姓名、身份证号码：</w:t>
      </w:r>
    </w:p>
    <w:p w14:paraId="6C88FDF4">
      <w:pPr>
        <w:tabs>
          <w:tab w:val="left" w:pos="3075"/>
        </w:tabs>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配偶：</w:t>
      </w:r>
    </w:p>
    <w:p w14:paraId="017233BB">
      <w:pPr>
        <w:tabs>
          <w:tab w:val="left" w:pos="3075"/>
        </w:tabs>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父母：</w:t>
      </w:r>
    </w:p>
    <w:p w14:paraId="15CB80DA">
      <w:pPr>
        <w:tabs>
          <w:tab w:val="left" w:pos="3075"/>
        </w:tabs>
        <w:snapToGrid w:val="0"/>
        <w:spacing w:line="540" w:lineRule="exact"/>
        <w:ind w:right="0" w:firstLine="600"/>
        <w:jc w:val="left"/>
        <w:rPr>
          <w:rFonts w:ascii="仿宋_GB2312" w:hAnsi="仿宋_GB2312" w:eastAsia="仿宋_GB2312"/>
          <w:sz w:val="30"/>
          <w:szCs w:val="30"/>
        </w:rPr>
      </w:pPr>
      <w:r>
        <w:rPr>
          <w:rFonts w:ascii="仿宋_GB2312" w:hAnsi="仿宋_GB2312" w:eastAsia="仿宋_GB2312"/>
          <w:sz w:val="30"/>
          <w:szCs w:val="30"/>
        </w:rPr>
        <w:t>子女及其配偶：</w:t>
      </w:r>
    </w:p>
    <w:p w14:paraId="4AD1A3F4">
      <w:pPr>
        <w:tabs>
          <w:tab w:val="left" w:pos="3075"/>
        </w:tabs>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rPr>
        <w:t>14．最近五年的工作经历：</w:t>
      </w:r>
    </w:p>
    <w:p w14:paraId="2E219E4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二、是否有配偶、父母、年满18周岁具有民事行为能力的子女及其配偶、兄弟姐妹及其配偶担任本公司董事、高级管理人员？</w:t>
      </w:r>
    </w:p>
    <w:p w14:paraId="54607814">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0144E213">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7C3EB66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三、是否在其他公司任职？</w:t>
      </w:r>
    </w:p>
    <w:p w14:paraId="6D80BC68">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1C41B02E">
      <w:pPr>
        <w:snapToGrid w:val="0"/>
        <w:spacing w:line="540" w:lineRule="exact"/>
        <w:ind w:right="0" w:firstLine="600"/>
        <w:rPr>
          <w:sz w:val="30"/>
          <w:szCs w:val="30"/>
        </w:rPr>
      </w:pPr>
      <w:r>
        <w:rPr>
          <w:rFonts w:ascii="仿宋_GB2312" w:hAnsi="仿宋_GB2312" w:eastAsia="仿宋_GB2312"/>
          <w:sz w:val="30"/>
          <w:szCs w:val="30"/>
        </w:rPr>
        <w:t>如是，请填报各公司的名称、注册资本、经营范围，以及在该公司任职的情况。</w:t>
      </w:r>
    </w:p>
    <w:p w14:paraId="14EBEC65">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四、是否负有数额较大的到期未清偿债务，或者未偿还经法院判决、裁定应当偿付的债务，或者被法院采取强制措施，或者受到仍然有效的法院判决、裁定所限制？</w:t>
      </w:r>
    </w:p>
    <w:p w14:paraId="35A14E9C">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68C1AA7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25A6808B">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五、是否曾担任破产清算、关停并转或有类似情况的公司、企业的董事或者厂长、经理，并对该公司、企业破产负有个人责任？</w:t>
      </w:r>
    </w:p>
    <w:p w14:paraId="1B7938ED">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1E8F4275">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如是，请说明具体情况和是否负有个人责任。</w:t>
      </w:r>
    </w:p>
    <w:p w14:paraId="0CE8456A">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六、是否曾担任因违法而被吊销营业执照、责令关闭的公司、企业的法定代表人，并</w:t>
      </w:r>
      <w:r>
        <w:rPr>
          <w:rFonts w:ascii="仿宋_GB2312" w:hAnsi="仿宋_GB2312" w:eastAsia="仿宋_GB2312"/>
          <w:kern w:val="2"/>
          <w:sz w:val="30"/>
          <w:szCs w:val="30"/>
        </w:rPr>
        <w:t>负有个人责任</w:t>
      </w:r>
      <w:r>
        <w:rPr>
          <w:rFonts w:ascii="仿宋_GB2312" w:hAnsi="仿宋_GB2312" w:eastAsia="仿宋_GB2312"/>
          <w:sz w:val="30"/>
          <w:szCs w:val="30"/>
        </w:rPr>
        <w:t>？</w:t>
      </w:r>
    </w:p>
    <w:p w14:paraId="12EF30D2">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1C5F17DF">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如是，请说明具体情况和是否负有个人责任。</w:t>
      </w:r>
    </w:p>
    <w:p w14:paraId="15AA222B">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七、是否曾因贪污、贿赂、侵占财产、挪用财产或者破坏社会主义市场经济秩序被判处刑罚或者正在处于有关诉讼程序中？是否曾因犯罪被剥夺政治权利？</w:t>
      </w:r>
    </w:p>
    <w:p w14:paraId="679348C0">
      <w:pPr>
        <w:snapToGrid w:val="0"/>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是□否□</w:t>
      </w:r>
    </w:p>
    <w:p w14:paraId="2148994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5D57858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八、是否曾因违反《中华人民共和国证券法》《上市公司信息披露管理办法》《证券市场禁入规定》等证券市场有关法律、行政法规、部门规章而受到行政处罚？</w:t>
      </w:r>
    </w:p>
    <w:p w14:paraId="55A95C18">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12E7960A">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47A87471">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九、是否存在《中华人民共和国公司法》《中华人民共和国公务员法》等法律、行政法规、部门规章和其他规范性文件规定的不得担任公司高级管理人员的其他情形？</w:t>
      </w:r>
    </w:p>
    <w:p w14:paraId="46E9343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4A06D7BF">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63D94DC4">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 xml:space="preserve">十、除第七、八条以外，是否曾因违反其他法律、行政法规而受到刑事、行政处罚？ </w:t>
      </w:r>
    </w:p>
    <w:p w14:paraId="7EA31D92">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7640A63B">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28F9454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十一、是否因涉嫌违反证券市场法律、行政法规、部门规章的规定正受到中国证监会的调查或者涉及有关行政程序？是否曾因违反证券交易所相关规定而受到纪律处分？</w:t>
      </w:r>
    </w:p>
    <w:p w14:paraId="17BBFCC0">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62CF75BC">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2B26B06D">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十二、您及您的配偶、父母、子女及其配偶是否持有本公司股票及其衍生品种？</w:t>
      </w:r>
    </w:p>
    <w:p w14:paraId="0DCFFC7F">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0D54E5C4">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6FB79215">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十三、过去或者现在是否在上市公司或其控股子公司拥有除前项以外的其他利益？</w:t>
      </w:r>
    </w:p>
    <w:p w14:paraId="3C3ED9A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7A17A789">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798B0BBF">
      <w:pPr>
        <w:spacing w:line="540" w:lineRule="exact"/>
        <w:ind w:right="0" w:firstLine="480"/>
        <w:rPr>
          <w:rFonts w:ascii="仿宋_GB2312" w:hAnsi="仿宋_GB2312" w:eastAsia="仿宋_GB2312"/>
          <w:kern w:val="2"/>
          <w:sz w:val="30"/>
          <w:szCs w:val="30"/>
        </w:rPr>
      </w:pPr>
      <w:r>
        <w:rPr>
          <w:rFonts w:ascii="仿宋_GB2312" w:hAnsi="仿宋_GB2312" w:eastAsia="仿宋_GB2312"/>
          <w:sz w:val="30"/>
          <w:szCs w:val="30"/>
        </w:rPr>
        <w:t>十四、</w:t>
      </w:r>
      <w:r>
        <w:rPr>
          <w:rFonts w:ascii="仿宋_GB2312" w:hAnsi="仿宋_GB2312" w:eastAsia="仿宋_GB2312"/>
          <w:kern w:val="2"/>
          <w:sz w:val="30"/>
          <w:szCs w:val="30"/>
        </w:rPr>
        <w:t>是否已明确知悉作为上市公司的高级管理人员，就公司向股东和社会公众提供虚假或者隐瞒重要事实的财务会计报告，或者对依法应当披露的其他重要信息不按照规定披露，严重损害股东或者其他人利益，或者有其他严重情节的，对其负有直接责任的主管人员和其他直接责任人员，将被追究刑事责任？</w:t>
      </w:r>
    </w:p>
    <w:p w14:paraId="6C390BBF">
      <w:pPr>
        <w:spacing w:line="540" w:lineRule="exact"/>
        <w:ind w:right="0" w:firstLine="600"/>
        <w:rPr>
          <w:rFonts w:ascii="仿宋_GB2312" w:hAnsi="仿宋_GB2312" w:eastAsia="仿宋_GB2312"/>
          <w:kern w:val="2"/>
          <w:sz w:val="30"/>
          <w:szCs w:val="30"/>
        </w:rPr>
      </w:pPr>
      <w:r>
        <w:rPr>
          <w:rFonts w:ascii="仿宋_GB2312" w:hAnsi="仿宋_GB2312" w:eastAsia="仿宋_GB2312"/>
          <w:kern w:val="2"/>
          <w:sz w:val="30"/>
          <w:szCs w:val="30"/>
        </w:rPr>
        <w:t>是□  否□</w:t>
      </w:r>
    </w:p>
    <w:p w14:paraId="78341DC1">
      <w:pPr>
        <w:spacing w:line="540" w:lineRule="exact"/>
        <w:ind w:right="0" w:firstLine="480"/>
        <w:rPr>
          <w:rFonts w:ascii="仿宋_GB2312" w:hAnsi="仿宋_GB2312" w:eastAsia="仿宋_GB2312"/>
          <w:kern w:val="2"/>
          <w:sz w:val="30"/>
          <w:szCs w:val="30"/>
        </w:rPr>
      </w:pPr>
      <w:r>
        <w:rPr>
          <w:rFonts w:ascii="仿宋_GB2312" w:hAnsi="仿宋_GB2312" w:eastAsia="仿宋_GB2312"/>
          <w:kern w:val="2"/>
          <w:sz w:val="30"/>
          <w:szCs w:val="30"/>
        </w:rPr>
        <w:t>十五、是否已明确知悉作为上市公司的高级管理人员，违背对公司的忠实义务，利用职务便利，操纵上市公司从事下列行为之一，致使上市公司利益遭受特别重大损失的，将被追究刑事责任：</w:t>
      </w:r>
    </w:p>
    <w:p w14:paraId="2DF72059">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（一）无偿向其他单位或者个人提供资金、商品、服务或者其他资产的；</w:t>
      </w:r>
    </w:p>
    <w:p w14:paraId="71939FAA">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（二）以明显不公平的条件，提供或者接受资金、商品、服务或者其他资产的；</w:t>
      </w:r>
    </w:p>
    <w:p w14:paraId="554417E7">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（三）向明显不具有清偿能力的单位或者个人提供资金、商品、服务或者其他资产的；</w:t>
      </w:r>
    </w:p>
    <w:p w14:paraId="54B5EF63">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（四）向明显不具有清偿能力的单位或者个人提供担保，或者无正当理由为其他单位或者个人提供担保的；</w:t>
      </w:r>
    </w:p>
    <w:p w14:paraId="7ADFF727">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（五）无正当理由放弃债权、承担债务的；</w:t>
      </w:r>
    </w:p>
    <w:p w14:paraId="2A303983">
      <w:pPr>
        <w:spacing w:line="540" w:lineRule="exact"/>
        <w:ind w:right="0" w:firstLine="600"/>
        <w:rPr>
          <w:rFonts w:ascii="仿宋_GB2312" w:hAnsi="仿宋_GB2312" w:eastAsia="仿宋_GB2312"/>
          <w:kern w:val="2"/>
          <w:sz w:val="30"/>
          <w:szCs w:val="30"/>
        </w:rPr>
      </w:pPr>
      <w:r>
        <w:rPr>
          <w:rFonts w:ascii="仿宋_GB2312" w:hAnsi="仿宋_GB2312" w:eastAsia="仿宋_GB2312"/>
          <w:bCs/>
          <w:kern w:val="2"/>
          <w:sz w:val="30"/>
          <w:szCs w:val="30"/>
        </w:rPr>
        <w:t xml:space="preserve">（六）采用其他方式损害上市公司利益的。 </w:t>
      </w:r>
    </w:p>
    <w:p w14:paraId="57F82892">
      <w:pPr>
        <w:snapToGrid w:val="0"/>
        <w:spacing w:line="540" w:lineRule="exact"/>
        <w:ind w:right="0" w:firstLine="600"/>
        <w:rPr>
          <w:rFonts w:ascii="仿宋_GB2312" w:hAnsi="仿宋_GB2312" w:eastAsia="仿宋_GB2312"/>
          <w:kern w:val="2"/>
          <w:sz w:val="30"/>
          <w:szCs w:val="30"/>
        </w:rPr>
      </w:pPr>
      <w:r>
        <w:rPr>
          <w:rFonts w:ascii="仿宋_GB2312" w:hAnsi="仿宋_GB2312" w:eastAsia="仿宋_GB2312"/>
          <w:kern w:val="2"/>
          <w:sz w:val="30"/>
          <w:szCs w:val="30"/>
        </w:rPr>
        <w:t>是□  否□</w:t>
      </w:r>
    </w:p>
    <w:p w14:paraId="24D69919">
      <w:pPr>
        <w:snapToGrid w:val="0"/>
        <w:spacing w:line="540" w:lineRule="exact"/>
        <w:ind w:right="0" w:firstLine="600"/>
        <w:rPr>
          <w:rFonts w:ascii="仿宋_GB2312" w:hAnsi="仿宋_GB2312" w:eastAsia="仿宋_GB2312"/>
          <w:sz w:val="30"/>
          <w:szCs w:val="30"/>
        </w:rPr>
      </w:pPr>
      <w:r>
        <w:rPr>
          <w:rFonts w:ascii="仿宋_GB2312" w:hAnsi="仿宋_GB2312" w:eastAsia="仿宋_GB2312"/>
          <w:kern w:val="2"/>
          <w:sz w:val="30"/>
          <w:szCs w:val="30"/>
        </w:rPr>
        <w:t>十六、</w:t>
      </w:r>
      <w:r>
        <w:rPr>
          <w:rFonts w:ascii="仿宋_GB2312" w:hAnsi="仿宋_GB2312" w:eastAsia="仿宋_GB2312"/>
          <w:sz w:val="30"/>
          <w:szCs w:val="30"/>
        </w:rPr>
        <w:t>除上述问题所涉及的信息外，是否有需要声明的其他事项，而不声明该等事项可能影响您对上述问题回答的真实性、完整性或者准确性？</w:t>
      </w:r>
    </w:p>
    <w:p w14:paraId="27AEAABE">
      <w:pPr>
        <w:snapToGrid w:val="0"/>
        <w:spacing w:line="540" w:lineRule="exact"/>
        <w:ind w:right="0" w:firstLine="600"/>
        <w:rPr>
          <w:rFonts w:ascii="仿宋_GB2312" w:hAnsi="仿宋_GB2312" w:eastAsia="仿宋_GB2312"/>
          <w:kern w:val="2"/>
          <w:sz w:val="30"/>
          <w:szCs w:val="30"/>
        </w:rPr>
      </w:pPr>
      <w:r>
        <w:rPr>
          <w:rFonts w:ascii="仿宋_GB2312" w:hAnsi="仿宋_GB2312" w:eastAsia="仿宋_GB2312"/>
          <w:kern w:val="2"/>
          <w:sz w:val="30"/>
          <w:szCs w:val="30"/>
        </w:rPr>
        <w:t>是□否□</w:t>
      </w:r>
    </w:p>
    <w:p w14:paraId="4DD394C0">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3E1AB8A2">
      <w:pPr>
        <w:snapToGrid w:val="0"/>
        <w:spacing w:line="540" w:lineRule="exact"/>
        <w:rPr>
          <w:rFonts w:ascii="仿宋_GB2312" w:hAnsi="仿宋_GB2312" w:eastAsia="仿宋_GB2312"/>
          <w:sz w:val="30"/>
          <w:szCs w:val="30"/>
        </w:rPr>
      </w:pPr>
    </w:p>
    <w:p w14:paraId="138F334C">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本人（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高级管理人员。</w:t>
      </w:r>
    </w:p>
    <w:p w14:paraId="2F17920C">
      <w:pPr>
        <w:snapToGrid w:val="0"/>
        <w:spacing w:line="540" w:lineRule="exact"/>
        <w:ind w:right="0" w:firstLine="600"/>
        <w:rPr>
          <w:rFonts w:ascii="仿宋_GB2312" w:hAnsi="仿宋_GB2312" w:eastAsia="仿宋_GB2312"/>
          <w:sz w:val="30"/>
          <w:szCs w:val="30"/>
        </w:rPr>
      </w:pPr>
    </w:p>
    <w:p w14:paraId="60273E06">
      <w:pPr>
        <w:snapToGrid w:val="0"/>
        <w:spacing w:line="540" w:lineRule="exact"/>
        <w:ind w:left="4440" w:right="0" w:firstLine="600"/>
        <w:rPr>
          <w:rFonts w:ascii="仿宋_GB2312" w:hAnsi="仿宋_GB2312" w:eastAsia="仿宋_GB2312"/>
          <w:sz w:val="30"/>
          <w:szCs w:val="30"/>
        </w:rPr>
      </w:pPr>
      <w:r>
        <w:rPr>
          <w:rFonts w:ascii="仿宋_GB2312" w:hAnsi="仿宋_GB2312" w:eastAsia="仿宋_GB2312"/>
          <w:sz w:val="30"/>
          <w:szCs w:val="30"/>
        </w:rPr>
        <w:t>声明人（签名）：</w:t>
      </w:r>
    </w:p>
    <w:p w14:paraId="62106FC1">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日    期：</w:t>
      </w:r>
    </w:p>
    <w:p w14:paraId="21C1D0CD">
      <w:pPr>
        <w:snapToGrid w:val="0"/>
        <w:spacing w:line="540" w:lineRule="exact"/>
        <w:rPr>
          <w:rFonts w:ascii="仿宋_GB2312" w:hAnsi="仿宋_GB2312" w:eastAsia="仿宋_GB2312"/>
          <w:sz w:val="30"/>
          <w:szCs w:val="30"/>
        </w:rPr>
      </w:pPr>
    </w:p>
    <w:p w14:paraId="506CF501">
      <w:pPr>
        <w:snapToGrid w:val="0"/>
        <w:spacing w:line="540" w:lineRule="exact"/>
        <w:ind w:right="0" w:firstLine="425"/>
        <w:rPr>
          <w:rFonts w:ascii="仿宋_GB2312" w:hAnsi="仿宋_GB2312" w:eastAsia="仿宋_GB2312"/>
          <w:sz w:val="30"/>
          <w:szCs w:val="30"/>
        </w:rPr>
      </w:pPr>
      <w:r>
        <w:rPr>
          <w:rFonts w:ascii="仿宋_GB2312" w:hAnsi="仿宋_GB2312" w:eastAsia="仿宋_GB2312"/>
          <w:sz w:val="30"/>
          <w:szCs w:val="30"/>
        </w:rPr>
        <w:t>此项声明于 年 月 日在（地点）作出。</w:t>
      </w:r>
    </w:p>
    <w:p w14:paraId="45771ADA">
      <w:pPr>
        <w:snapToGrid w:val="0"/>
        <w:spacing w:line="540" w:lineRule="exact"/>
        <w:ind w:right="0" w:firstLine="425"/>
        <w:rPr>
          <w:rFonts w:ascii="仿宋_GB2312" w:hAnsi="仿宋_GB2312" w:eastAsia="仿宋_GB2312"/>
          <w:sz w:val="30"/>
          <w:szCs w:val="30"/>
        </w:rPr>
      </w:pPr>
      <w:r>
        <w:rPr>
          <w:rFonts w:ascii="仿宋_GB2312" w:hAnsi="仿宋_GB2312" w:eastAsia="仿宋_GB2312"/>
          <w:sz w:val="30"/>
          <w:szCs w:val="30"/>
        </w:rPr>
        <w:t>见证律师：</w:t>
      </w:r>
    </w:p>
    <w:p w14:paraId="21EE9B94">
      <w:pPr>
        <w:snapToGrid w:val="0"/>
        <w:spacing w:line="540" w:lineRule="exact"/>
        <w:ind w:right="0" w:firstLine="425"/>
        <w:rPr>
          <w:rFonts w:ascii="仿宋_GB2312" w:hAnsi="仿宋_GB2312" w:eastAsia="仿宋_GB2312"/>
          <w:sz w:val="30"/>
          <w:szCs w:val="30"/>
        </w:rPr>
      </w:pPr>
      <w:r>
        <w:rPr>
          <w:rFonts w:ascii="仿宋_GB2312" w:hAnsi="仿宋_GB2312" w:eastAsia="仿宋_GB2312"/>
          <w:sz w:val="30"/>
          <w:szCs w:val="30"/>
        </w:rPr>
        <w:t>日期：</w:t>
      </w:r>
    </w:p>
    <w:p w14:paraId="097CDF15">
      <w:pPr>
        <w:snapToGrid w:val="0"/>
        <w:spacing w:line="560" w:lineRule="exact"/>
        <w:jc w:val="center"/>
        <w:rPr>
          <w:rFonts w:ascii="仿宋_GB2312" w:hAnsi="仿宋_GB2312" w:eastAsia="仿宋_GB2312"/>
          <w:sz w:val="30"/>
          <w:szCs w:val="30"/>
        </w:rPr>
      </w:pPr>
    </w:p>
    <w:p w14:paraId="48E11047">
      <w:pPr>
        <w:snapToGrid w:val="0"/>
        <w:spacing w:line="560" w:lineRule="exact"/>
        <w:jc w:val="center"/>
        <w:rPr>
          <w:rFonts w:ascii="仿宋_GB2312" w:hAnsi="仿宋_GB2312" w:eastAsia="仿宋_GB2312"/>
          <w:sz w:val="30"/>
          <w:szCs w:val="30"/>
        </w:rPr>
      </w:pPr>
      <w:r>
        <w:br w:type="page"/>
      </w:r>
    </w:p>
    <w:p w14:paraId="2359E3A4">
      <w:pPr>
        <w:snapToGrid w:val="0"/>
        <w:spacing w:line="560" w:lineRule="exact"/>
        <w:jc w:val="center"/>
        <w:rPr>
          <w:rFonts w:ascii="仿宋_GB2312" w:hAnsi="仿宋_GB2312" w:eastAsia="仿宋_GB2312"/>
          <w:b/>
          <w:sz w:val="30"/>
          <w:szCs w:val="30"/>
        </w:rPr>
      </w:pPr>
    </w:p>
    <w:p w14:paraId="74AE8AEB">
      <w:pPr>
        <w:snapToGrid w:val="0"/>
        <w:spacing w:line="560" w:lineRule="exact"/>
        <w:jc w:val="center"/>
        <w:rPr>
          <w:rFonts w:ascii="仿宋_GB2312" w:hAnsi="仿宋_GB2312" w:eastAsia="仿宋_GB2312"/>
          <w:b/>
          <w:sz w:val="30"/>
          <w:szCs w:val="30"/>
        </w:rPr>
      </w:pPr>
      <w:r>
        <w:rPr>
          <w:rFonts w:ascii="仿宋_GB2312" w:hAnsi="仿宋_GB2312" w:eastAsia="仿宋_GB2312"/>
          <w:b/>
          <w:sz w:val="30"/>
          <w:szCs w:val="30"/>
        </w:rPr>
        <w:t>第二部分  承诺</w:t>
      </w:r>
    </w:p>
    <w:p w14:paraId="2FE74C0D">
      <w:pPr>
        <w:snapToGrid w:val="0"/>
        <w:spacing w:line="560" w:lineRule="exact"/>
        <w:jc w:val="center"/>
        <w:rPr>
          <w:rFonts w:ascii="仿宋_GB2312" w:hAnsi="仿宋_GB2312" w:eastAsia="仿宋_GB2312"/>
          <w:b/>
          <w:sz w:val="30"/>
          <w:szCs w:val="30"/>
        </w:rPr>
      </w:pPr>
    </w:p>
    <w:p w14:paraId="09565767">
      <w:pPr>
        <w:snapToGrid w:val="0"/>
        <w:spacing w:line="560" w:lineRule="exact"/>
        <w:rPr>
          <w:rFonts w:ascii="仿宋_GB2312" w:hAnsi="仿宋_GB2312" w:eastAsia="仿宋_GB2312"/>
          <w:sz w:val="30"/>
          <w:szCs w:val="30"/>
        </w:rPr>
      </w:pPr>
      <w:r>
        <w:rPr>
          <w:rFonts w:ascii="仿宋_GB2312" w:hAnsi="仿宋_GB2312" w:eastAsia="仿宋_GB2312"/>
          <w:sz w:val="30"/>
          <w:szCs w:val="30"/>
        </w:rPr>
        <w:t>本人（正楷体）向上海证券交易所承诺：</w:t>
      </w:r>
    </w:p>
    <w:p w14:paraId="340385AA">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一、本人在履行上市公司高级管理人员的职责时，将遵守并促使本公司遵守国家法律、法规和规章等有关规定，履行忠实义务和勤勉义务；</w:t>
      </w:r>
    </w:p>
    <w:p w14:paraId="1AA3530C">
      <w:pPr>
        <w:numPr>
          <w:ilvl w:val="0"/>
          <w:numId w:val="2"/>
        </w:numPr>
        <w:tabs>
          <w:tab w:val="left" w:pos="1080"/>
        </w:tabs>
        <w:snapToGrid w:val="0"/>
        <w:spacing w:line="560" w:lineRule="exact"/>
        <w:ind w:left="0" w:right="0" w:firstLine="540"/>
        <w:rPr>
          <w:rFonts w:ascii="仿宋_GB2312" w:hAnsi="仿宋_GB2312" w:eastAsia="仿宋_GB2312"/>
          <w:sz w:val="30"/>
          <w:szCs w:val="30"/>
        </w:rPr>
      </w:pPr>
      <w:r>
        <w:rPr>
          <w:rFonts w:ascii="仿宋_GB2312" w:hAnsi="仿宋_GB2312" w:eastAsia="仿宋_GB2312"/>
          <w:sz w:val="30"/>
          <w:szCs w:val="30"/>
        </w:rPr>
        <w:t>本人在履行上市公司高级管理人员的职责时，将遵守并促使本公司遵守中国证监会发布的部门规章、规范性文件等有关要求；</w:t>
      </w:r>
    </w:p>
    <w:p w14:paraId="523B6B9E">
      <w:pPr>
        <w:snapToGrid w:val="0"/>
        <w:spacing w:line="560" w:lineRule="exact"/>
        <w:ind w:right="0" w:firstLine="600"/>
        <w:rPr>
          <w:rFonts w:ascii="仿宋_GB2312" w:hAnsi="仿宋_GB2312" w:eastAsia="仿宋_GB2312"/>
          <w:b/>
          <w:sz w:val="30"/>
          <w:szCs w:val="30"/>
        </w:rPr>
      </w:pPr>
      <w:r>
        <w:rPr>
          <w:rFonts w:ascii="仿宋_GB2312" w:hAnsi="仿宋_GB2312" w:eastAsia="仿宋_GB2312"/>
          <w:sz w:val="30"/>
          <w:szCs w:val="30"/>
        </w:rPr>
        <w:t>三、本人在履行上市公司高级管理人员的职责时，将遵守并促使本公司遵守《上海证券交易所股票上市规则》和上海证券交易所发布的其他规定；</w:t>
      </w:r>
    </w:p>
    <w:p w14:paraId="58B7CDA2">
      <w:pPr>
        <w:snapToGrid w:val="0"/>
        <w:spacing w:line="560" w:lineRule="exact"/>
        <w:ind w:right="0" w:firstLine="711"/>
        <w:rPr>
          <w:rFonts w:ascii="仿宋_GB2312" w:hAnsi="仿宋_GB2312" w:eastAsia="仿宋_GB2312"/>
          <w:sz w:val="30"/>
          <w:szCs w:val="30"/>
        </w:rPr>
      </w:pPr>
      <w:r>
        <w:rPr>
          <w:rFonts w:ascii="仿宋_GB2312" w:hAnsi="仿宋_GB2312" w:eastAsia="仿宋_GB2312"/>
          <w:sz w:val="30"/>
          <w:szCs w:val="30"/>
        </w:rPr>
        <w:t>四、本人在履行上市公司高级管理人员的职责时，将遵守并促使本公司遵守《公司章程》；</w:t>
      </w:r>
    </w:p>
    <w:p w14:paraId="7BEA7185">
      <w:pPr>
        <w:snapToGrid w:val="0"/>
        <w:spacing w:line="560" w:lineRule="exact"/>
        <w:ind w:right="0" w:firstLine="711"/>
        <w:rPr>
          <w:rFonts w:ascii="仿宋_GB2312" w:hAnsi="仿宋_GB2312" w:eastAsia="仿宋_GB2312"/>
          <w:b/>
          <w:sz w:val="30"/>
          <w:szCs w:val="30"/>
        </w:rPr>
      </w:pPr>
      <w:r>
        <w:rPr>
          <w:rFonts w:ascii="仿宋_GB2312" w:hAnsi="仿宋_GB2312" w:eastAsia="仿宋_GB2312"/>
          <w:sz w:val="30"/>
          <w:szCs w:val="30"/>
        </w:rPr>
        <w:t>五、本人在履行上市公司高级管理人员的职责时，将及时向董事会和董事会秘书报告公司经营和财务等方面出现的可能对公司股票及其衍生品种交易价格产生较大影响的事项和《上海证券交易所股票上市规则》规定的其他重大事项；</w:t>
      </w:r>
    </w:p>
    <w:p w14:paraId="54C86B17">
      <w:pPr>
        <w:snapToGrid w:val="0"/>
        <w:spacing w:line="560" w:lineRule="exact"/>
        <w:ind w:right="0" w:firstLine="711"/>
        <w:rPr>
          <w:rFonts w:ascii="仿宋_GB2312" w:hAnsi="仿宋_GB2312" w:eastAsia="仿宋_GB2312"/>
          <w:b/>
          <w:sz w:val="30"/>
          <w:szCs w:val="30"/>
        </w:rPr>
      </w:pPr>
      <w:r>
        <w:rPr>
          <w:rFonts w:ascii="仿宋_GB2312" w:hAnsi="仿宋_GB2312" w:eastAsia="仿宋_GB2312"/>
          <w:sz w:val="30"/>
          <w:szCs w:val="30"/>
        </w:rPr>
        <w:t>六、本人接受上海证券交易所的监管，包括及时、如实地答复上海证券交易所向本人提出的任何问题，提供《上海证券交易所股票上市规则》《上海证券交易所上市公司自律监管指引第1号——规范运作》等规定应当报送的资料及要求提供的其他文件的正本或副本，并出席本人被要求出席的会议；</w:t>
      </w:r>
    </w:p>
    <w:p w14:paraId="3C3678B0">
      <w:pPr>
        <w:snapToGrid w:val="0"/>
        <w:spacing w:line="560" w:lineRule="exact"/>
        <w:ind w:right="0" w:firstLine="675"/>
        <w:rPr>
          <w:rFonts w:ascii="仿宋_GB2312" w:hAnsi="仿宋_GB2312" w:eastAsia="仿宋_GB2312"/>
          <w:sz w:val="30"/>
          <w:szCs w:val="30"/>
        </w:rPr>
      </w:pPr>
      <w:r>
        <w:rPr>
          <w:rFonts w:ascii="仿宋_GB2312" w:hAnsi="仿宋_GB2312" w:eastAsia="仿宋_GB2312"/>
          <w:sz w:val="30"/>
          <w:szCs w:val="30"/>
        </w:rPr>
        <w:t>七、本人授权上海证券交易所将本人提供的承诺与声明的资料向中国证监会报告；</w:t>
      </w:r>
    </w:p>
    <w:p w14:paraId="50AB27C2">
      <w:pPr>
        <w:snapToGrid w:val="0"/>
        <w:spacing w:line="560" w:lineRule="exact"/>
        <w:ind w:right="0" w:firstLine="675"/>
        <w:rPr>
          <w:rFonts w:ascii="仿宋_GB2312" w:hAnsi="仿宋_GB2312" w:eastAsia="仿宋_GB2312"/>
          <w:sz w:val="30"/>
          <w:szCs w:val="30"/>
        </w:rPr>
      </w:pPr>
      <w:r>
        <w:rPr>
          <w:rFonts w:ascii="仿宋_GB2312" w:hAnsi="仿宋_GB2312" w:eastAsia="仿宋_GB2312"/>
          <w:sz w:val="30"/>
          <w:szCs w:val="30"/>
        </w:rPr>
        <w:t>八、本人如违反上述承诺，愿意承担由此引起的一切法律责任；</w:t>
      </w:r>
    </w:p>
    <w:p w14:paraId="728407B3">
      <w:pPr>
        <w:snapToGrid w:val="0"/>
        <w:spacing w:line="560" w:lineRule="exact"/>
        <w:ind w:right="0" w:firstLine="675"/>
        <w:rPr>
          <w:rFonts w:ascii="仿宋_GB2312" w:hAnsi="仿宋_GB2312" w:eastAsia="仿宋_GB2312"/>
          <w:sz w:val="30"/>
          <w:szCs w:val="30"/>
        </w:rPr>
      </w:pPr>
      <w:r>
        <w:rPr>
          <w:rFonts w:ascii="仿宋_GB2312" w:hAnsi="仿宋_GB2312" w:eastAsia="仿宋_GB2312"/>
          <w:sz w:val="30"/>
          <w:szCs w:val="30"/>
        </w:rPr>
        <w:t>九、本人在执行职务过程中，如果与上海证券交易所发生争议提起诉讼时，由上海证券交易所住所地法院管辖。</w:t>
      </w:r>
    </w:p>
    <w:p w14:paraId="3238F3F1">
      <w:pPr>
        <w:snapToGrid w:val="0"/>
        <w:spacing w:line="560" w:lineRule="exact"/>
        <w:ind w:right="0" w:firstLine="675"/>
        <w:rPr>
          <w:rFonts w:ascii="仿宋_GB2312" w:hAnsi="仿宋_GB2312" w:eastAsia="仿宋_GB2312"/>
          <w:sz w:val="30"/>
          <w:szCs w:val="30"/>
        </w:rPr>
      </w:pPr>
    </w:p>
    <w:p w14:paraId="170FE00F">
      <w:pPr>
        <w:snapToGrid w:val="0"/>
        <w:spacing w:line="560" w:lineRule="exact"/>
        <w:rPr>
          <w:rFonts w:ascii="仿宋_GB2312" w:hAnsi="仿宋_GB2312" w:eastAsia="仿宋_GB2312"/>
          <w:sz w:val="30"/>
          <w:szCs w:val="30"/>
        </w:rPr>
      </w:pPr>
    </w:p>
    <w:p w14:paraId="0D151C87">
      <w:pPr>
        <w:snapToGrid w:val="0"/>
        <w:spacing w:line="560" w:lineRule="exact"/>
        <w:ind w:left="3355" w:right="0" w:firstLine="425"/>
        <w:rPr>
          <w:rFonts w:ascii="仿宋_GB2312" w:hAnsi="仿宋_GB2312" w:eastAsia="仿宋_GB2312"/>
          <w:sz w:val="30"/>
          <w:szCs w:val="30"/>
        </w:rPr>
      </w:pPr>
      <w:r>
        <w:rPr>
          <w:rFonts w:ascii="仿宋_GB2312" w:hAnsi="仿宋_GB2312" w:eastAsia="仿宋_GB2312"/>
          <w:sz w:val="30"/>
          <w:szCs w:val="30"/>
        </w:rPr>
        <w:t xml:space="preserve">承诺人（签名）：     </w:t>
      </w:r>
    </w:p>
    <w:p w14:paraId="28B0281F">
      <w:pPr>
        <w:snapToGrid w:val="0"/>
        <w:spacing w:line="560" w:lineRule="exact"/>
        <w:ind w:left="3355" w:right="0" w:firstLine="425"/>
        <w:rPr>
          <w:rFonts w:ascii="仿宋_GB2312" w:hAnsi="仿宋_GB2312" w:eastAsia="仿宋_GB2312"/>
          <w:sz w:val="30"/>
          <w:szCs w:val="30"/>
        </w:rPr>
      </w:pPr>
      <w:r>
        <w:rPr>
          <w:rFonts w:ascii="仿宋_GB2312" w:hAnsi="仿宋_GB2312" w:eastAsia="仿宋_GB2312"/>
          <w:sz w:val="30"/>
          <w:szCs w:val="30"/>
        </w:rPr>
        <w:t>日  期：</w:t>
      </w:r>
    </w:p>
    <w:p w14:paraId="7C76482F">
      <w:pPr>
        <w:snapToGrid w:val="0"/>
        <w:spacing w:line="560" w:lineRule="exact"/>
        <w:rPr>
          <w:rFonts w:ascii="仿宋_GB2312" w:hAnsi="仿宋_GB2312" w:eastAsia="仿宋_GB2312"/>
          <w:sz w:val="30"/>
          <w:szCs w:val="30"/>
        </w:rPr>
      </w:pPr>
    </w:p>
    <w:p w14:paraId="14517547">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此项承诺于年月日在（地点）作出。</w:t>
      </w:r>
    </w:p>
    <w:p w14:paraId="0ADF686B">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见证律师：</w:t>
      </w:r>
    </w:p>
    <w:p w14:paraId="6A00ED88">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日期：</w:t>
      </w:r>
      <w:r>
        <w:br w:type="page"/>
      </w:r>
    </w:p>
    <w:p w14:paraId="49D198CC">
      <w:pPr>
        <w:widowControl/>
        <w:jc w:val="left"/>
        <w:rPr>
          <w:rFonts w:ascii="仿宋_GB2312" w:hAnsi="仿宋_GB2312" w:eastAsia="仿宋_GB2312"/>
          <w:sz w:val="30"/>
          <w:szCs w:val="30"/>
        </w:rPr>
      </w:pPr>
    </w:p>
    <w:p w14:paraId="2A6E5E2F">
      <w:pPr>
        <w:pStyle w:val="38"/>
        <w:jc w:val="center"/>
        <w:rPr>
          <w:rFonts w:ascii="仿宋_GB2312" w:hAnsi="仿宋_GB2312" w:eastAsia="仿宋_GB2312"/>
          <w:b/>
          <w:sz w:val="30"/>
          <w:szCs w:val="30"/>
        </w:rPr>
      </w:pPr>
      <w:r>
        <w:rPr>
          <w:rFonts w:ascii="仿宋_GB2312" w:hAnsi="仿宋_GB2312" w:eastAsia="仿宋_GB2312"/>
          <w:b/>
          <w:sz w:val="30"/>
          <w:szCs w:val="30"/>
        </w:rPr>
        <w:t>第三部分  补充信息</w:t>
      </w:r>
    </w:p>
    <w:p w14:paraId="21CD1E9B">
      <w:pPr>
        <w:snapToGrid w:val="0"/>
        <w:spacing w:line="540" w:lineRule="exact"/>
        <w:rPr>
          <w:rFonts w:ascii="仿宋_GB2312" w:hAnsi="仿宋_GB2312" w:eastAsia="仿宋_GB2312"/>
          <w:sz w:val="30"/>
          <w:szCs w:val="30"/>
        </w:rPr>
      </w:pPr>
      <w:r>
        <w:rPr>
          <w:rFonts w:ascii="仿宋_GB2312" w:hAnsi="仿宋_GB2312" w:eastAsia="仿宋_GB2312"/>
          <w:sz w:val="30"/>
          <w:szCs w:val="30"/>
        </w:rPr>
        <w:t>一、基本情况</w:t>
      </w:r>
    </w:p>
    <w:p w14:paraId="4E8472B5">
      <w:pPr>
        <w:tabs>
          <w:tab w:val="left" w:pos="3075"/>
        </w:tabs>
        <w:snapToGrid w:val="0"/>
        <w:spacing w:line="540" w:lineRule="exact"/>
        <w:rPr>
          <w:rFonts w:ascii="仿宋_GB2312" w:hAnsi="仿宋_GB2312" w:eastAsia="仿宋_GB2312"/>
          <w:sz w:val="30"/>
          <w:szCs w:val="30"/>
        </w:rPr>
      </w:pPr>
      <w:r>
        <w:rPr>
          <w:rFonts w:ascii="仿宋_GB2312" w:hAnsi="仿宋_GB2312" w:eastAsia="仿宋_GB2312"/>
          <w:sz w:val="30"/>
          <w:szCs w:val="30"/>
        </w:rPr>
        <w:t>1.军官证号码（如适用）：</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6DADFD31">
      <w:pPr>
        <w:tabs>
          <w:tab w:val="left" w:pos="3075"/>
        </w:tabs>
        <w:snapToGrid w:val="0"/>
        <w:spacing w:line="540" w:lineRule="exact"/>
        <w:rPr>
          <w:rFonts w:ascii="仿宋_GB2312" w:hAnsi="仿宋_GB2312" w:eastAsia="仿宋_GB2312"/>
          <w:sz w:val="30"/>
          <w:szCs w:val="30"/>
        </w:rPr>
      </w:pPr>
      <w:r>
        <w:rPr>
          <w:rFonts w:ascii="仿宋_GB2312" w:hAnsi="仿宋_GB2312" w:eastAsia="仿宋_GB2312"/>
          <w:sz w:val="30"/>
          <w:szCs w:val="30"/>
        </w:rPr>
        <w:t>2.士兵证号码（如适用）：</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74FBC8BF">
      <w:pPr>
        <w:tabs>
          <w:tab w:val="left" w:pos="3075"/>
        </w:tabs>
        <w:snapToGrid w:val="0"/>
        <w:spacing w:line="540" w:lineRule="exact"/>
        <w:rPr>
          <w:rFonts w:ascii="仿宋_GB2312" w:hAnsi="仿宋_GB2312" w:eastAsia="仿宋_GB2312"/>
          <w:sz w:val="30"/>
          <w:szCs w:val="30"/>
        </w:rPr>
      </w:pPr>
      <w:r>
        <w:rPr>
          <w:rFonts w:ascii="仿宋_GB2312" w:hAnsi="仿宋_GB2312" w:eastAsia="仿宋_GB2312"/>
          <w:sz w:val="30"/>
          <w:szCs w:val="30"/>
        </w:rPr>
        <w:t>3.其他证件号码（如适用）：</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301A528B">
      <w:pPr>
        <w:snapToGrid w:val="0"/>
        <w:spacing w:line="540" w:lineRule="exact"/>
        <w:rPr>
          <w:rFonts w:ascii="仿宋_GB2312" w:hAnsi="仿宋_GB2312" w:eastAsia="仿宋_GB2312"/>
          <w:sz w:val="30"/>
          <w:szCs w:val="30"/>
        </w:rPr>
      </w:pPr>
      <w:r>
        <w:rPr>
          <w:rFonts w:ascii="仿宋_GB2312" w:hAnsi="仿宋_GB2312" w:eastAsia="仿宋_GB2312"/>
          <w:sz w:val="30"/>
          <w:szCs w:val="30"/>
        </w:rPr>
        <w:t>4.性别：</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rPr>
        <w:t>民族：</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333BDF97">
      <w:pPr>
        <w:snapToGrid w:val="0"/>
        <w:spacing w:line="540" w:lineRule="exact"/>
        <w:rPr>
          <w:rFonts w:ascii="仿宋_GB2312" w:hAnsi="仿宋_GB2312" w:eastAsia="仿宋_GB2312"/>
          <w:sz w:val="30"/>
          <w:szCs w:val="30"/>
        </w:rPr>
      </w:pPr>
      <w:r>
        <w:rPr>
          <w:rFonts w:ascii="仿宋_GB2312" w:hAnsi="仿宋_GB2312" w:eastAsia="仿宋_GB2312"/>
          <w:sz w:val="30"/>
          <w:szCs w:val="30"/>
        </w:rPr>
        <w:t>5.政治面貌：</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54893673">
      <w:pPr>
        <w:snapToGrid w:val="0"/>
        <w:spacing w:line="540" w:lineRule="exact"/>
        <w:rPr>
          <w:rFonts w:ascii="仿宋_GB2312" w:hAnsi="仿宋_GB2312" w:eastAsia="仿宋_GB2312"/>
          <w:sz w:val="30"/>
          <w:szCs w:val="30"/>
        </w:rPr>
      </w:pPr>
      <w:r>
        <w:rPr>
          <w:rFonts w:ascii="仿宋_GB2312" w:hAnsi="仿宋_GB2312" w:eastAsia="仿宋_GB2312"/>
          <w:sz w:val="30"/>
          <w:szCs w:val="30"/>
        </w:rPr>
        <w:t>6.Email：</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60A82054">
      <w:pPr>
        <w:snapToGrid w:val="0"/>
        <w:spacing w:line="540" w:lineRule="exact"/>
        <w:rPr>
          <w:rFonts w:ascii="仿宋_GB2312" w:hAnsi="仿宋_GB2312" w:eastAsia="仿宋_GB2312"/>
          <w:sz w:val="30"/>
          <w:szCs w:val="30"/>
        </w:rPr>
      </w:pPr>
      <w:r>
        <w:rPr>
          <w:rFonts w:ascii="仿宋_GB2312" w:hAnsi="仿宋_GB2312" w:eastAsia="仿宋_GB2312"/>
          <w:sz w:val="30"/>
          <w:szCs w:val="30"/>
        </w:rPr>
        <w:t>7.移动电话：</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05679242">
      <w:pPr>
        <w:snapToGrid w:val="0"/>
        <w:spacing w:line="540" w:lineRule="exact"/>
        <w:rPr>
          <w:rFonts w:ascii="仿宋_GB2312" w:hAnsi="仿宋_GB2312" w:eastAsia="仿宋_GB2312"/>
          <w:sz w:val="30"/>
          <w:szCs w:val="30"/>
        </w:rPr>
      </w:pPr>
      <w:r>
        <w:rPr>
          <w:rFonts w:ascii="仿宋_GB2312" w:hAnsi="仿宋_GB2312" w:eastAsia="仿宋_GB2312"/>
          <w:sz w:val="30"/>
          <w:szCs w:val="30"/>
        </w:rPr>
        <w:t>8.备用电话：</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07023783">
      <w:pPr>
        <w:snapToGrid w:val="0"/>
        <w:spacing w:line="540" w:lineRule="exact"/>
        <w:rPr>
          <w:rFonts w:ascii="仿宋_GB2312" w:hAnsi="仿宋_GB2312" w:eastAsia="仿宋_GB2312"/>
          <w:sz w:val="30"/>
          <w:szCs w:val="30"/>
        </w:rPr>
      </w:pPr>
      <w:r>
        <w:rPr>
          <w:rFonts w:ascii="仿宋_GB2312" w:hAnsi="仿宋_GB2312" w:eastAsia="仿宋_GB2312"/>
          <w:sz w:val="30"/>
          <w:szCs w:val="30"/>
        </w:rPr>
        <w:t>9.社会关系：</w:t>
      </w:r>
    </w:p>
    <w:tbl>
      <w:tblPr>
        <w:tblStyle w:val="13"/>
        <w:tblW w:w="8593" w:type="dxa"/>
        <w:tblInd w:w="0" w:type="dxa"/>
        <w:tblLayout w:type="fixed"/>
        <w:tblCellMar>
          <w:top w:w="0" w:type="dxa"/>
          <w:left w:w="108" w:type="dxa"/>
          <w:bottom w:w="0" w:type="dxa"/>
          <w:right w:w="108" w:type="dxa"/>
        </w:tblCellMar>
      </w:tblPr>
      <w:tblGrid>
        <w:gridCol w:w="718"/>
        <w:gridCol w:w="1512"/>
        <w:gridCol w:w="1525"/>
        <w:gridCol w:w="688"/>
        <w:gridCol w:w="1075"/>
        <w:gridCol w:w="1087"/>
        <w:gridCol w:w="1988"/>
      </w:tblGrid>
      <w:tr w14:paraId="0C920442">
        <w:tblPrEx>
          <w:tblCellMar>
            <w:top w:w="0" w:type="dxa"/>
            <w:left w:w="108" w:type="dxa"/>
            <w:bottom w:w="0" w:type="dxa"/>
            <w:right w:w="108" w:type="dxa"/>
          </w:tblCellMar>
        </w:tblPrEx>
        <w:tc>
          <w:tcPr>
            <w:tcW w:w="718" w:type="dxa"/>
            <w:tcBorders>
              <w:top w:val="single" w:color="000000" w:sz="4" w:space="0"/>
              <w:left w:val="single" w:color="000000" w:sz="4" w:space="0"/>
              <w:bottom w:val="single" w:color="000000" w:sz="4" w:space="0"/>
              <w:right w:val="single" w:color="000000" w:sz="4" w:space="0"/>
            </w:tcBorders>
            <w:vAlign w:val="center"/>
          </w:tcPr>
          <w:p w14:paraId="6C454C6B">
            <w:pPr>
              <w:jc w:val="center"/>
              <w:rPr>
                <w:rFonts w:ascii="仿宋_GB2312" w:hAnsi="仿宋_GB2312" w:eastAsia="仿宋_GB2312"/>
              </w:rPr>
            </w:pPr>
            <w:r>
              <w:rPr>
                <w:rFonts w:ascii="仿宋_GB2312" w:hAnsi="仿宋_GB2312" w:eastAsia="仿宋_GB2312"/>
              </w:rPr>
              <w:t>姓名</w:t>
            </w:r>
          </w:p>
        </w:tc>
        <w:tc>
          <w:tcPr>
            <w:tcW w:w="1512" w:type="dxa"/>
            <w:tcBorders>
              <w:top w:val="single" w:color="000000" w:sz="4" w:space="0"/>
              <w:left w:val="single" w:color="000000" w:sz="4" w:space="0"/>
              <w:bottom w:val="single" w:color="000000" w:sz="4" w:space="0"/>
              <w:right w:val="single" w:color="000000" w:sz="4" w:space="0"/>
            </w:tcBorders>
            <w:vAlign w:val="center"/>
          </w:tcPr>
          <w:p w14:paraId="437E5F29">
            <w:pPr>
              <w:jc w:val="center"/>
              <w:rPr>
                <w:rFonts w:ascii="仿宋_GB2312" w:hAnsi="仿宋_GB2312" w:eastAsia="仿宋_GB2312"/>
              </w:rPr>
            </w:pPr>
            <w:r>
              <w:rPr>
                <w:rFonts w:ascii="仿宋_GB2312" w:hAnsi="仿宋_GB2312" w:eastAsia="仿宋_GB2312"/>
              </w:rPr>
              <w:t>身份证件类型</w:t>
            </w:r>
          </w:p>
        </w:tc>
        <w:tc>
          <w:tcPr>
            <w:tcW w:w="1525" w:type="dxa"/>
            <w:tcBorders>
              <w:top w:val="single" w:color="000000" w:sz="4" w:space="0"/>
              <w:left w:val="single" w:color="000000" w:sz="4" w:space="0"/>
              <w:bottom w:val="single" w:color="000000" w:sz="4" w:space="0"/>
              <w:right w:val="single" w:color="000000" w:sz="4" w:space="0"/>
            </w:tcBorders>
            <w:vAlign w:val="center"/>
          </w:tcPr>
          <w:p w14:paraId="541E0755">
            <w:pPr>
              <w:jc w:val="center"/>
              <w:rPr>
                <w:rFonts w:ascii="仿宋_GB2312" w:hAnsi="仿宋_GB2312" w:eastAsia="仿宋_GB2312"/>
              </w:rPr>
            </w:pPr>
            <w:r>
              <w:rPr>
                <w:rFonts w:ascii="仿宋_GB2312" w:hAnsi="仿宋_GB2312" w:eastAsia="仿宋_GB2312"/>
              </w:rPr>
              <w:t>身份证件号码</w:t>
            </w:r>
          </w:p>
        </w:tc>
        <w:tc>
          <w:tcPr>
            <w:tcW w:w="688" w:type="dxa"/>
            <w:tcBorders>
              <w:top w:val="single" w:color="000000" w:sz="4" w:space="0"/>
              <w:left w:val="single" w:color="000000" w:sz="4" w:space="0"/>
              <w:bottom w:val="single" w:color="000000" w:sz="4" w:space="0"/>
              <w:right w:val="single" w:color="000000" w:sz="4" w:space="0"/>
            </w:tcBorders>
            <w:vAlign w:val="center"/>
          </w:tcPr>
          <w:p w14:paraId="229B7518">
            <w:pPr>
              <w:jc w:val="center"/>
              <w:rPr>
                <w:rFonts w:ascii="仿宋_GB2312" w:hAnsi="仿宋_GB2312" w:eastAsia="仿宋_GB2312"/>
              </w:rPr>
            </w:pPr>
            <w:r>
              <w:rPr>
                <w:rFonts w:ascii="仿宋_GB2312" w:hAnsi="仿宋_GB2312" w:eastAsia="仿宋_GB2312"/>
              </w:rPr>
              <w:t>关系</w:t>
            </w:r>
          </w:p>
        </w:tc>
        <w:tc>
          <w:tcPr>
            <w:tcW w:w="1075" w:type="dxa"/>
            <w:tcBorders>
              <w:top w:val="single" w:color="000000" w:sz="4" w:space="0"/>
              <w:left w:val="single" w:color="000000" w:sz="4" w:space="0"/>
              <w:bottom w:val="single" w:color="000000" w:sz="4" w:space="0"/>
              <w:right w:val="single" w:color="000000" w:sz="4" w:space="0"/>
            </w:tcBorders>
            <w:vAlign w:val="center"/>
          </w:tcPr>
          <w:p w14:paraId="3F3058C3">
            <w:pPr>
              <w:jc w:val="center"/>
              <w:rPr>
                <w:rFonts w:ascii="仿宋_GB2312" w:hAnsi="仿宋_GB2312" w:eastAsia="仿宋_GB2312"/>
              </w:rPr>
            </w:pPr>
            <w:r>
              <w:rPr>
                <w:rFonts w:ascii="仿宋_GB2312" w:hAnsi="仿宋_GB2312" w:eastAsia="仿宋_GB2312"/>
              </w:rPr>
              <w:t>工作单位</w:t>
            </w:r>
          </w:p>
        </w:tc>
        <w:tc>
          <w:tcPr>
            <w:tcW w:w="1087" w:type="dxa"/>
            <w:tcBorders>
              <w:top w:val="single" w:color="000000" w:sz="4" w:space="0"/>
              <w:left w:val="single" w:color="000000" w:sz="4" w:space="0"/>
              <w:bottom w:val="single" w:color="000000" w:sz="4" w:space="0"/>
              <w:right w:val="single" w:color="000000" w:sz="4" w:space="0"/>
            </w:tcBorders>
            <w:vAlign w:val="center"/>
          </w:tcPr>
          <w:p w14:paraId="0898A277">
            <w:pPr>
              <w:jc w:val="center"/>
              <w:rPr>
                <w:rFonts w:ascii="仿宋_GB2312" w:hAnsi="仿宋_GB2312" w:eastAsia="仿宋_GB2312"/>
              </w:rPr>
            </w:pPr>
            <w:r>
              <w:rPr>
                <w:rFonts w:ascii="仿宋_GB2312" w:hAnsi="仿宋_GB2312" w:eastAsia="仿宋_GB2312"/>
              </w:rPr>
              <w:t>联系电话</w:t>
            </w:r>
          </w:p>
        </w:tc>
        <w:tc>
          <w:tcPr>
            <w:tcW w:w="1988" w:type="dxa"/>
            <w:tcBorders>
              <w:top w:val="single" w:color="000000" w:sz="4" w:space="0"/>
              <w:left w:val="single" w:color="000000" w:sz="4" w:space="0"/>
              <w:bottom w:val="single" w:color="000000" w:sz="4" w:space="0"/>
              <w:right w:val="single" w:color="000000" w:sz="4" w:space="0"/>
            </w:tcBorders>
            <w:vAlign w:val="center"/>
          </w:tcPr>
          <w:p w14:paraId="705F120A">
            <w:pPr>
              <w:jc w:val="center"/>
              <w:rPr>
                <w:rFonts w:ascii="仿宋_GB2312" w:hAnsi="仿宋_GB2312" w:eastAsia="仿宋_GB2312"/>
              </w:rPr>
            </w:pPr>
            <w:r>
              <w:rPr>
                <w:rFonts w:ascii="仿宋_GB2312" w:hAnsi="仿宋_GB2312" w:eastAsia="仿宋_GB2312"/>
              </w:rPr>
              <w:t>是否拥有哪些国家或者地区的长期居留权</w:t>
            </w:r>
          </w:p>
        </w:tc>
      </w:tr>
      <w:tr w14:paraId="0875E9F7">
        <w:tblPrEx>
          <w:tblCellMar>
            <w:top w:w="0" w:type="dxa"/>
            <w:left w:w="108" w:type="dxa"/>
            <w:bottom w:w="0" w:type="dxa"/>
            <w:right w:w="108" w:type="dxa"/>
          </w:tblCellMar>
        </w:tblPrEx>
        <w:tc>
          <w:tcPr>
            <w:tcW w:w="718" w:type="dxa"/>
            <w:tcBorders>
              <w:top w:val="single" w:color="000000" w:sz="4" w:space="0"/>
              <w:left w:val="single" w:color="000000" w:sz="4" w:space="0"/>
              <w:bottom w:val="single" w:color="000000" w:sz="4" w:space="0"/>
              <w:right w:val="single" w:color="000000" w:sz="4" w:space="0"/>
            </w:tcBorders>
            <w:vAlign w:val="center"/>
          </w:tcPr>
          <w:p w14:paraId="70A21369">
            <w:pPr>
              <w:rPr>
                <w:color w:val="333399"/>
              </w:rPr>
            </w:pPr>
            <w:r>
              <w:rPr>
                <w:color w:val="333399"/>
              </w:rPr>
              <w:t>　</w:t>
            </w:r>
          </w:p>
        </w:tc>
        <w:tc>
          <w:tcPr>
            <w:tcW w:w="1512" w:type="dxa"/>
            <w:tcBorders>
              <w:top w:val="single" w:color="000000" w:sz="4" w:space="0"/>
              <w:left w:val="single" w:color="000000" w:sz="4" w:space="0"/>
              <w:bottom w:val="single" w:color="000000" w:sz="4" w:space="0"/>
              <w:right w:val="single" w:color="000000" w:sz="4" w:space="0"/>
            </w:tcBorders>
            <w:vAlign w:val="center"/>
          </w:tcPr>
          <w:p w14:paraId="0F3863BD">
            <w:pPr>
              <w:rPr>
                <w:color w:val="333399"/>
              </w:rPr>
            </w:pPr>
            <w:r>
              <w:rPr>
                <w:color w:val="333399"/>
              </w:rPr>
              <w:t>　</w:t>
            </w:r>
          </w:p>
        </w:tc>
        <w:tc>
          <w:tcPr>
            <w:tcW w:w="1525" w:type="dxa"/>
            <w:tcBorders>
              <w:top w:val="single" w:color="000000" w:sz="4" w:space="0"/>
              <w:left w:val="single" w:color="000000" w:sz="4" w:space="0"/>
              <w:bottom w:val="single" w:color="000000" w:sz="4" w:space="0"/>
              <w:right w:val="single" w:color="000000" w:sz="4" w:space="0"/>
            </w:tcBorders>
            <w:vAlign w:val="center"/>
          </w:tcPr>
          <w:p w14:paraId="7C353AC8">
            <w:pPr>
              <w:rPr>
                <w:color w:val="333399"/>
              </w:rPr>
            </w:pPr>
            <w:r>
              <w:rPr>
                <w:color w:val="333399"/>
              </w:rPr>
              <w:t>　</w:t>
            </w:r>
          </w:p>
        </w:tc>
        <w:tc>
          <w:tcPr>
            <w:tcW w:w="688" w:type="dxa"/>
            <w:tcBorders>
              <w:top w:val="single" w:color="000000" w:sz="4" w:space="0"/>
              <w:left w:val="single" w:color="000000" w:sz="4" w:space="0"/>
              <w:bottom w:val="single" w:color="000000" w:sz="4" w:space="0"/>
              <w:right w:val="single" w:color="000000" w:sz="4" w:space="0"/>
            </w:tcBorders>
            <w:vAlign w:val="center"/>
          </w:tcPr>
          <w:p w14:paraId="419F6D4E">
            <w:pPr>
              <w:rPr>
                <w:color w:val="333399"/>
              </w:rPr>
            </w:pPr>
            <w:r>
              <w:rPr>
                <w:color w:val="333399"/>
              </w:rPr>
              <w:t>　</w:t>
            </w:r>
          </w:p>
        </w:tc>
        <w:tc>
          <w:tcPr>
            <w:tcW w:w="1075" w:type="dxa"/>
            <w:tcBorders>
              <w:top w:val="single" w:color="000000" w:sz="4" w:space="0"/>
              <w:left w:val="single" w:color="000000" w:sz="4" w:space="0"/>
              <w:bottom w:val="single" w:color="000000" w:sz="4" w:space="0"/>
              <w:right w:val="single" w:color="000000" w:sz="4" w:space="0"/>
            </w:tcBorders>
            <w:vAlign w:val="center"/>
          </w:tcPr>
          <w:p w14:paraId="57486D9B">
            <w:pPr>
              <w:rPr>
                <w:color w:val="333399"/>
              </w:rPr>
            </w:pPr>
            <w:r>
              <w:rPr>
                <w:color w:val="333399"/>
              </w:rPr>
              <w:t>　</w:t>
            </w:r>
          </w:p>
        </w:tc>
        <w:tc>
          <w:tcPr>
            <w:tcW w:w="1087" w:type="dxa"/>
            <w:tcBorders>
              <w:top w:val="single" w:color="000000" w:sz="4" w:space="0"/>
              <w:left w:val="single" w:color="000000" w:sz="4" w:space="0"/>
              <w:bottom w:val="single" w:color="000000" w:sz="4" w:space="0"/>
              <w:right w:val="single" w:color="000000" w:sz="4" w:space="0"/>
            </w:tcBorders>
            <w:vAlign w:val="center"/>
          </w:tcPr>
          <w:p w14:paraId="24BFB974">
            <w:pPr>
              <w:rPr>
                <w:color w:val="333399"/>
              </w:rPr>
            </w:pPr>
            <w:r>
              <w:rPr>
                <w:color w:val="333399"/>
              </w:rPr>
              <w:t>　</w:t>
            </w:r>
          </w:p>
        </w:tc>
        <w:tc>
          <w:tcPr>
            <w:tcW w:w="1988" w:type="dxa"/>
            <w:tcBorders>
              <w:top w:val="single" w:color="000000" w:sz="4" w:space="0"/>
              <w:left w:val="single" w:color="000000" w:sz="4" w:space="0"/>
              <w:bottom w:val="single" w:color="000000" w:sz="4" w:space="0"/>
              <w:right w:val="single" w:color="000000" w:sz="4" w:space="0"/>
            </w:tcBorders>
            <w:vAlign w:val="center"/>
          </w:tcPr>
          <w:p w14:paraId="672B5B6D">
            <w:r>
              <w:rPr>
                <w:color w:val="333399"/>
              </w:rPr>
              <w:t>　</w:t>
            </w:r>
            <w:r>
              <w:rPr>
                <w:color w:val="333399"/>
                <w:u w:val="single"/>
              </w:rPr>
              <w:t>　　　</w:t>
            </w:r>
          </w:p>
        </w:tc>
      </w:tr>
      <w:tr w14:paraId="4C759656">
        <w:tblPrEx>
          <w:tblCellMar>
            <w:top w:w="0" w:type="dxa"/>
            <w:left w:w="108" w:type="dxa"/>
            <w:bottom w:w="0" w:type="dxa"/>
            <w:right w:w="108" w:type="dxa"/>
          </w:tblCellMar>
        </w:tblPrEx>
        <w:tc>
          <w:tcPr>
            <w:tcW w:w="718" w:type="dxa"/>
            <w:tcBorders>
              <w:top w:val="single" w:color="000000" w:sz="4" w:space="0"/>
              <w:left w:val="single" w:color="000000" w:sz="4" w:space="0"/>
              <w:bottom w:val="single" w:color="000000" w:sz="4" w:space="0"/>
              <w:right w:val="single" w:color="000000" w:sz="4" w:space="0"/>
            </w:tcBorders>
            <w:vAlign w:val="center"/>
          </w:tcPr>
          <w:p w14:paraId="1A9E0DCF">
            <w:pPr>
              <w:rPr>
                <w:color w:val="333399"/>
              </w:rPr>
            </w:pPr>
            <w:r>
              <w:rPr>
                <w:color w:val="333399"/>
              </w:rPr>
              <w:t>　</w:t>
            </w:r>
          </w:p>
        </w:tc>
        <w:tc>
          <w:tcPr>
            <w:tcW w:w="1512" w:type="dxa"/>
            <w:tcBorders>
              <w:top w:val="single" w:color="000000" w:sz="4" w:space="0"/>
              <w:left w:val="single" w:color="000000" w:sz="4" w:space="0"/>
              <w:bottom w:val="single" w:color="000000" w:sz="4" w:space="0"/>
              <w:right w:val="single" w:color="000000" w:sz="4" w:space="0"/>
            </w:tcBorders>
            <w:vAlign w:val="center"/>
          </w:tcPr>
          <w:p w14:paraId="5CAFE52E">
            <w:pPr>
              <w:rPr>
                <w:color w:val="333399"/>
              </w:rPr>
            </w:pPr>
            <w:r>
              <w:rPr>
                <w:color w:val="333399"/>
              </w:rPr>
              <w:t>　</w:t>
            </w:r>
          </w:p>
        </w:tc>
        <w:tc>
          <w:tcPr>
            <w:tcW w:w="1525" w:type="dxa"/>
            <w:tcBorders>
              <w:top w:val="single" w:color="000000" w:sz="4" w:space="0"/>
              <w:left w:val="single" w:color="000000" w:sz="4" w:space="0"/>
              <w:bottom w:val="single" w:color="000000" w:sz="4" w:space="0"/>
              <w:right w:val="single" w:color="000000" w:sz="4" w:space="0"/>
            </w:tcBorders>
            <w:vAlign w:val="center"/>
          </w:tcPr>
          <w:p w14:paraId="25CBBA1F">
            <w:pPr>
              <w:rPr>
                <w:color w:val="333399"/>
              </w:rPr>
            </w:pPr>
            <w:r>
              <w:rPr>
                <w:color w:val="333399"/>
              </w:rPr>
              <w:t>　</w:t>
            </w:r>
          </w:p>
        </w:tc>
        <w:tc>
          <w:tcPr>
            <w:tcW w:w="688" w:type="dxa"/>
            <w:tcBorders>
              <w:top w:val="single" w:color="000000" w:sz="4" w:space="0"/>
              <w:left w:val="single" w:color="000000" w:sz="4" w:space="0"/>
              <w:bottom w:val="single" w:color="000000" w:sz="4" w:space="0"/>
              <w:right w:val="single" w:color="000000" w:sz="4" w:space="0"/>
            </w:tcBorders>
            <w:vAlign w:val="center"/>
          </w:tcPr>
          <w:p w14:paraId="768ACA07">
            <w:pPr>
              <w:rPr>
                <w:color w:val="333399"/>
              </w:rPr>
            </w:pPr>
            <w:r>
              <w:rPr>
                <w:color w:val="333399"/>
              </w:rPr>
              <w:t>　</w:t>
            </w:r>
          </w:p>
        </w:tc>
        <w:tc>
          <w:tcPr>
            <w:tcW w:w="1075" w:type="dxa"/>
            <w:tcBorders>
              <w:top w:val="single" w:color="000000" w:sz="4" w:space="0"/>
              <w:left w:val="single" w:color="000000" w:sz="4" w:space="0"/>
              <w:bottom w:val="single" w:color="000000" w:sz="4" w:space="0"/>
              <w:right w:val="single" w:color="000000" w:sz="4" w:space="0"/>
            </w:tcBorders>
            <w:vAlign w:val="center"/>
          </w:tcPr>
          <w:p w14:paraId="14426684">
            <w:pPr>
              <w:rPr>
                <w:color w:val="333399"/>
              </w:rPr>
            </w:pPr>
            <w:r>
              <w:rPr>
                <w:color w:val="333399"/>
              </w:rPr>
              <w:t>　</w:t>
            </w:r>
          </w:p>
        </w:tc>
        <w:tc>
          <w:tcPr>
            <w:tcW w:w="1087" w:type="dxa"/>
            <w:tcBorders>
              <w:top w:val="single" w:color="000000" w:sz="4" w:space="0"/>
              <w:left w:val="single" w:color="000000" w:sz="4" w:space="0"/>
              <w:bottom w:val="single" w:color="000000" w:sz="4" w:space="0"/>
              <w:right w:val="single" w:color="000000" w:sz="4" w:space="0"/>
            </w:tcBorders>
            <w:vAlign w:val="center"/>
          </w:tcPr>
          <w:p w14:paraId="116C1341">
            <w:pPr>
              <w:rPr>
                <w:color w:val="333399"/>
              </w:rPr>
            </w:pPr>
            <w:r>
              <w:rPr>
                <w:color w:val="333399"/>
              </w:rPr>
              <w:t>　</w:t>
            </w:r>
          </w:p>
        </w:tc>
        <w:tc>
          <w:tcPr>
            <w:tcW w:w="1988" w:type="dxa"/>
            <w:tcBorders>
              <w:top w:val="single" w:color="000000" w:sz="4" w:space="0"/>
              <w:left w:val="single" w:color="000000" w:sz="4" w:space="0"/>
              <w:bottom w:val="single" w:color="000000" w:sz="4" w:space="0"/>
              <w:right w:val="single" w:color="000000" w:sz="4" w:space="0"/>
            </w:tcBorders>
            <w:vAlign w:val="center"/>
          </w:tcPr>
          <w:p w14:paraId="4E9FAABB">
            <w:r>
              <w:rPr>
                <w:color w:val="333399"/>
              </w:rPr>
              <w:t>　</w:t>
            </w:r>
            <w:r>
              <w:rPr>
                <w:color w:val="333399"/>
                <w:u w:val="single"/>
              </w:rPr>
              <w:t>　　　</w:t>
            </w:r>
          </w:p>
        </w:tc>
      </w:tr>
    </w:tbl>
    <w:p w14:paraId="64E7A5F5">
      <w:pPr>
        <w:snapToGrid w:val="0"/>
        <w:spacing w:line="540" w:lineRule="exact"/>
        <w:rPr>
          <w:rFonts w:ascii="仿宋_GB2312" w:hAnsi="仿宋_GB2312" w:eastAsia="仿宋_GB2312"/>
          <w:sz w:val="30"/>
          <w:szCs w:val="30"/>
        </w:rPr>
      </w:pPr>
      <w:r>
        <w:rPr>
          <w:rFonts w:ascii="仿宋_GB2312" w:hAnsi="仿宋_GB2312" w:eastAsia="仿宋_GB2312"/>
          <w:sz w:val="30"/>
          <w:szCs w:val="30"/>
        </w:rPr>
        <w:t>10.控制的法人</w:t>
      </w:r>
    </w:p>
    <w:tbl>
      <w:tblPr>
        <w:tblStyle w:val="13"/>
        <w:tblW w:w="8522" w:type="dxa"/>
        <w:tblInd w:w="0" w:type="dxa"/>
        <w:tblLayout w:type="fixed"/>
        <w:tblCellMar>
          <w:top w:w="0" w:type="dxa"/>
          <w:left w:w="108" w:type="dxa"/>
          <w:bottom w:w="0" w:type="dxa"/>
          <w:right w:w="108" w:type="dxa"/>
        </w:tblCellMar>
      </w:tblPr>
      <w:tblGrid>
        <w:gridCol w:w="4261"/>
        <w:gridCol w:w="4261"/>
      </w:tblGrid>
      <w:tr w14:paraId="7C00532E">
        <w:tblPrEx>
          <w:tblCellMar>
            <w:top w:w="0" w:type="dxa"/>
            <w:left w:w="108" w:type="dxa"/>
            <w:bottom w:w="0" w:type="dxa"/>
            <w:right w:w="108" w:type="dxa"/>
          </w:tblCellMar>
        </w:tblPrEx>
        <w:tc>
          <w:tcPr>
            <w:tcW w:w="4261" w:type="dxa"/>
            <w:tcBorders>
              <w:top w:val="single" w:color="000000" w:sz="4" w:space="0"/>
              <w:left w:val="single" w:color="000000" w:sz="4" w:space="0"/>
              <w:bottom w:val="single" w:color="000000" w:sz="4" w:space="0"/>
              <w:right w:val="single" w:color="000000" w:sz="4" w:space="0"/>
            </w:tcBorders>
            <w:vAlign w:val="center"/>
          </w:tcPr>
          <w:p w14:paraId="0FCFED7D">
            <w:pPr>
              <w:jc w:val="center"/>
              <w:rPr>
                <w:rFonts w:ascii="仿宋_GB2312" w:hAnsi="仿宋_GB2312" w:eastAsia="仿宋_GB2312"/>
              </w:rPr>
            </w:pPr>
            <w:r>
              <w:rPr>
                <w:rFonts w:ascii="仿宋_GB2312" w:hAnsi="仿宋_GB2312" w:eastAsia="仿宋_GB2312"/>
              </w:rPr>
              <w:t>全称</w:t>
            </w:r>
          </w:p>
        </w:tc>
        <w:tc>
          <w:tcPr>
            <w:tcW w:w="4261" w:type="dxa"/>
            <w:tcBorders>
              <w:top w:val="single" w:color="000000" w:sz="4" w:space="0"/>
              <w:left w:val="single" w:color="000000" w:sz="4" w:space="0"/>
              <w:bottom w:val="single" w:color="000000" w:sz="4" w:space="0"/>
              <w:right w:val="single" w:color="000000" w:sz="4" w:space="0"/>
            </w:tcBorders>
            <w:vAlign w:val="center"/>
          </w:tcPr>
          <w:p w14:paraId="6A64B098">
            <w:pPr>
              <w:jc w:val="center"/>
              <w:rPr>
                <w:rFonts w:ascii="仿宋_GB2312" w:hAnsi="仿宋_GB2312" w:eastAsia="仿宋_GB2312"/>
              </w:rPr>
            </w:pPr>
            <w:r>
              <w:rPr>
                <w:rFonts w:ascii="仿宋_GB2312" w:hAnsi="仿宋_GB2312" w:eastAsia="仿宋_GB2312"/>
              </w:rPr>
              <w:t>统一社会信用代码/社会组织机构代码</w:t>
            </w:r>
          </w:p>
        </w:tc>
      </w:tr>
      <w:tr w14:paraId="18A43B45">
        <w:tblPrEx>
          <w:tblCellMar>
            <w:top w:w="0" w:type="dxa"/>
            <w:left w:w="108" w:type="dxa"/>
            <w:bottom w:w="0" w:type="dxa"/>
            <w:right w:w="108" w:type="dxa"/>
          </w:tblCellMar>
        </w:tblPrEx>
        <w:tc>
          <w:tcPr>
            <w:tcW w:w="4261" w:type="dxa"/>
            <w:tcBorders>
              <w:top w:val="single" w:color="000000" w:sz="4" w:space="0"/>
              <w:left w:val="single" w:color="000000" w:sz="4" w:space="0"/>
              <w:bottom w:val="single" w:color="000000" w:sz="4" w:space="0"/>
              <w:right w:val="single" w:color="000000" w:sz="4" w:space="0"/>
            </w:tcBorders>
            <w:vAlign w:val="center"/>
          </w:tcPr>
          <w:p w14:paraId="2C08A02B">
            <w:pPr>
              <w:tabs>
                <w:tab w:val="left" w:pos="1353"/>
              </w:tabs>
              <w:ind w:right="0" w:firstLine="480"/>
              <w:jc w:val="left"/>
              <w:rPr>
                <w:color w:val="333399"/>
              </w:rPr>
            </w:pPr>
            <w:r>
              <w:rPr>
                <w:color w:val="333399"/>
              </w:rPr>
              <w:t>　</w:t>
            </w:r>
          </w:p>
        </w:tc>
        <w:tc>
          <w:tcPr>
            <w:tcW w:w="4261" w:type="dxa"/>
            <w:tcBorders>
              <w:top w:val="single" w:color="000000" w:sz="4" w:space="0"/>
              <w:left w:val="single" w:color="000000" w:sz="4" w:space="0"/>
              <w:bottom w:val="single" w:color="000000" w:sz="4" w:space="0"/>
              <w:right w:val="single" w:color="000000" w:sz="4" w:space="0"/>
            </w:tcBorders>
            <w:vAlign w:val="center"/>
          </w:tcPr>
          <w:p w14:paraId="25299870">
            <w:pPr>
              <w:ind w:right="0" w:firstLine="480"/>
              <w:rPr>
                <w:color w:val="333399"/>
              </w:rPr>
            </w:pPr>
            <w:r>
              <w:rPr>
                <w:color w:val="333399"/>
              </w:rPr>
              <w:t>　</w:t>
            </w:r>
          </w:p>
        </w:tc>
      </w:tr>
      <w:tr w14:paraId="2D829BAF">
        <w:tblPrEx>
          <w:tblCellMar>
            <w:top w:w="0" w:type="dxa"/>
            <w:left w:w="108" w:type="dxa"/>
            <w:bottom w:w="0" w:type="dxa"/>
            <w:right w:w="108" w:type="dxa"/>
          </w:tblCellMar>
        </w:tblPrEx>
        <w:tc>
          <w:tcPr>
            <w:tcW w:w="4261" w:type="dxa"/>
            <w:tcBorders>
              <w:top w:val="single" w:color="000000" w:sz="4" w:space="0"/>
              <w:left w:val="single" w:color="000000" w:sz="4" w:space="0"/>
              <w:bottom w:val="single" w:color="000000" w:sz="4" w:space="0"/>
              <w:right w:val="single" w:color="000000" w:sz="4" w:space="0"/>
            </w:tcBorders>
            <w:vAlign w:val="center"/>
          </w:tcPr>
          <w:p w14:paraId="6EDACBAF">
            <w:pPr>
              <w:tabs>
                <w:tab w:val="left" w:pos="1353"/>
              </w:tabs>
              <w:ind w:right="0" w:firstLine="480"/>
              <w:jc w:val="left"/>
              <w:rPr>
                <w:color w:val="333399"/>
              </w:rPr>
            </w:pPr>
            <w:r>
              <w:rPr>
                <w:color w:val="333399"/>
              </w:rPr>
              <w:t>　</w:t>
            </w:r>
          </w:p>
        </w:tc>
        <w:tc>
          <w:tcPr>
            <w:tcW w:w="4261" w:type="dxa"/>
            <w:tcBorders>
              <w:top w:val="single" w:color="000000" w:sz="4" w:space="0"/>
              <w:left w:val="single" w:color="000000" w:sz="4" w:space="0"/>
              <w:bottom w:val="single" w:color="000000" w:sz="4" w:space="0"/>
              <w:right w:val="single" w:color="000000" w:sz="4" w:space="0"/>
            </w:tcBorders>
            <w:vAlign w:val="center"/>
          </w:tcPr>
          <w:p w14:paraId="21FEAE21">
            <w:pPr>
              <w:ind w:right="0" w:firstLine="480"/>
              <w:rPr>
                <w:color w:val="333399"/>
              </w:rPr>
            </w:pPr>
            <w:r>
              <w:rPr>
                <w:color w:val="333399"/>
              </w:rPr>
              <w:t>　</w:t>
            </w:r>
          </w:p>
        </w:tc>
      </w:tr>
    </w:tbl>
    <w:p w14:paraId="14383A05">
      <w:pPr>
        <w:snapToGrid w:val="0"/>
        <w:spacing w:line="540" w:lineRule="exact"/>
        <w:rPr>
          <w:rFonts w:ascii="仿宋_GB2312" w:hAnsi="仿宋_GB2312" w:eastAsia="仿宋_GB2312"/>
          <w:sz w:val="30"/>
          <w:szCs w:val="30"/>
        </w:rPr>
      </w:pPr>
      <w:r>
        <w:rPr>
          <w:rFonts w:ascii="仿宋_GB2312" w:hAnsi="仿宋_GB2312" w:eastAsia="仿宋_GB2312"/>
          <w:sz w:val="30"/>
          <w:szCs w:val="30"/>
        </w:rPr>
        <w:t>11.教育情况：</w:t>
      </w:r>
    </w:p>
    <w:p w14:paraId="5EB20A3B">
      <w:pPr>
        <w:snapToGrid w:val="0"/>
        <w:spacing w:line="540" w:lineRule="exact"/>
        <w:rPr>
          <w:rFonts w:ascii="仿宋_GB2312" w:hAnsi="仿宋_GB2312" w:eastAsia="仿宋_GB2312"/>
          <w:sz w:val="30"/>
          <w:szCs w:val="30"/>
          <w:u w:val="single"/>
        </w:rPr>
      </w:pPr>
      <w:r>
        <w:rPr>
          <w:rFonts w:ascii="仿宋_GB2312" w:hAnsi="仿宋_GB2312" w:eastAsia="仿宋_GB2312"/>
          <w:sz w:val="30"/>
          <w:szCs w:val="30"/>
        </w:rPr>
        <w:t>最高学历：</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73FA23B7">
      <w:pPr>
        <w:snapToGrid w:val="0"/>
        <w:spacing w:line="540" w:lineRule="exact"/>
        <w:rPr>
          <w:rFonts w:ascii="仿宋_GB2312" w:hAnsi="仿宋_GB2312" w:eastAsia="仿宋_GB2312"/>
          <w:sz w:val="30"/>
          <w:szCs w:val="30"/>
          <w:u w:val="single"/>
        </w:rPr>
      </w:pPr>
      <w:r>
        <w:rPr>
          <w:rFonts w:ascii="仿宋_GB2312" w:hAnsi="仿宋_GB2312" w:eastAsia="仿宋_GB2312"/>
          <w:sz w:val="30"/>
          <w:szCs w:val="30"/>
        </w:rPr>
        <w:t>学位：</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5B544C86">
      <w:pPr>
        <w:snapToGrid w:val="0"/>
        <w:spacing w:line="540" w:lineRule="exact"/>
        <w:rPr>
          <w:rFonts w:ascii="仿宋_GB2312" w:hAnsi="仿宋_GB2312" w:eastAsia="仿宋_GB2312"/>
          <w:sz w:val="30"/>
          <w:szCs w:val="30"/>
          <w:u w:val="single"/>
        </w:rPr>
      </w:pPr>
      <w:r>
        <w:rPr>
          <w:rFonts w:ascii="仿宋_GB2312" w:hAnsi="仿宋_GB2312" w:eastAsia="仿宋_GB2312"/>
          <w:sz w:val="30"/>
          <w:szCs w:val="30"/>
          <w:u w:val="single"/>
        </w:rPr>
        <w:t>专业：</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tbl>
      <w:tblPr>
        <w:tblStyle w:val="13"/>
        <w:tblW w:w="8522" w:type="dxa"/>
        <w:tblInd w:w="0" w:type="dxa"/>
        <w:tblLayout w:type="fixed"/>
        <w:tblCellMar>
          <w:top w:w="0" w:type="dxa"/>
          <w:left w:w="108" w:type="dxa"/>
          <w:bottom w:w="0" w:type="dxa"/>
          <w:right w:w="108" w:type="dxa"/>
        </w:tblCellMar>
      </w:tblPr>
      <w:tblGrid>
        <w:gridCol w:w="1704"/>
        <w:gridCol w:w="1704"/>
        <w:gridCol w:w="1704"/>
        <w:gridCol w:w="1705"/>
        <w:gridCol w:w="1705"/>
      </w:tblGrid>
      <w:tr w14:paraId="7F953520">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tcPr>
          <w:p w14:paraId="4AC6B35A">
            <w:pPr>
              <w:jc w:val="center"/>
              <w:rPr>
                <w:rFonts w:ascii="仿宋_GB2312" w:hAnsi="仿宋_GB2312" w:eastAsia="仿宋_GB2312"/>
              </w:rPr>
            </w:pPr>
            <w:r>
              <w:rPr>
                <w:rFonts w:ascii="仿宋_GB2312" w:hAnsi="仿宋_GB2312" w:eastAsia="仿宋_GB2312"/>
              </w:rPr>
              <w:t>学习开始日期</w:t>
            </w:r>
          </w:p>
        </w:tc>
        <w:tc>
          <w:tcPr>
            <w:tcW w:w="1704" w:type="dxa"/>
            <w:tcBorders>
              <w:top w:val="single" w:color="000000" w:sz="4" w:space="0"/>
              <w:left w:val="single" w:color="000000" w:sz="4" w:space="0"/>
              <w:bottom w:val="single" w:color="000000" w:sz="4" w:space="0"/>
              <w:right w:val="single" w:color="000000" w:sz="4" w:space="0"/>
            </w:tcBorders>
          </w:tcPr>
          <w:p w14:paraId="1C8D13BA">
            <w:pPr>
              <w:jc w:val="center"/>
              <w:rPr>
                <w:rFonts w:ascii="仿宋_GB2312" w:hAnsi="仿宋_GB2312" w:eastAsia="仿宋_GB2312"/>
              </w:rPr>
            </w:pPr>
            <w:r>
              <w:rPr>
                <w:rFonts w:ascii="仿宋_GB2312" w:hAnsi="仿宋_GB2312" w:eastAsia="仿宋_GB2312"/>
              </w:rPr>
              <w:t>学习结束日期</w:t>
            </w:r>
          </w:p>
        </w:tc>
        <w:tc>
          <w:tcPr>
            <w:tcW w:w="1704" w:type="dxa"/>
            <w:tcBorders>
              <w:top w:val="single" w:color="000000" w:sz="4" w:space="0"/>
              <w:left w:val="single" w:color="000000" w:sz="4" w:space="0"/>
              <w:bottom w:val="single" w:color="000000" w:sz="4" w:space="0"/>
              <w:right w:val="single" w:color="000000" w:sz="4" w:space="0"/>
            </w:tcBorders>
          </w:tcPr>
          <w:p w14:paraId="31296176">
            <w:pPr>
              <w:jc w:val="center"/>
              <w:rPr>
                <w:rFonts w:ascii="仿宋_GB2312" w:hAnsi="仿宋_GB2312" w:eastAsia="仿宋_GB2312"/>
              </w:rPr>
            </w:pPr>
            <w:r>
              <w:rPr>
                <w:rFonts w:ascii="仿宋_GB2312" w:hAnsi="仿宋_GB2312" w:eastAsia="仿宋_GB2312"/>
              </w:rPr>
              <w:t>毕业院校</w:t>
            </w:r>
          </w:p>
        </w:tc>
        <w:tc>
          <w:tcPr>
            <w:tcW w:w="1705" w:type="dxa"/>
            <w:tcBorders>
              <w:top w:val="single" w:color="000000" w:sz="4" w:space="0"/>
              <w:left w:val="single" w:color="000000" w:sz="4" w:space="0"/>
              <w:bottom w:val="single" w:color="000000" w:sz="4" w:space="0"/>
              <w:right w:val="single" w:color="000000" w:sz="4" w:space="0"/>
            </w:tcBorders>
          </w:tcPr>
          <w:p w14:paraId="16F0419F">
            <w:pPr>
              <w:jc w:val="center"/>
              <w:rPr>
                <w:rFonts w:ascii="仿宋_GB2312" w:hAnsi="仿宋_GB2312" w:eastAsia="仿宋_GB2312"/>
              </w:rPr>
            </w:pPr>
            <w:r>
              <w:rPr>
                <w:rFonts w:ascii="仿宋_GB2312" w:hAnsi="仿宋_GB2312" w:eastAsia="仿宋_GB2312"/>
              </w:rPr>
              <w:t>专业</w:t>
            </w:r>
          </w:p>
        </w:tc>
        <w:tc>
          <w:tcPr>
            <w:tcW w:w="1705" w:type="dxa"/>
            <w:tcBorders>
              <w:top w:val="single" w:color="000000" w:sz="4" w:space="0"/>
              <w:left w:val="single" w:color="000000" w:sz="4" w:space="0"/>
              <w:bottom w:val="single" w:color="000000" w:sz="4" w:space="0"/>
              <w:right w:val="single" w:color="000000" w:sz="4" w:space="0"/>
            </w:tcBorders>
          </w:tcPr>
          <w:p w14:paraId="14DC1557">
            <w:pPr>
              <w:jc w:val="center"/>
              <w:rPr>
                <w:rFonts w:ascii="仿宋_GB2312" w:hAnsi="仿宋_GB2312" w:eastAsia="仿宋_GB2312"/>
              </w:rPr>
            </w:pPr>
            <w:r>
              <w:rPr>
                <w:rFonts w:ascii="仿宋_GB2312" w:hAnsi="仿宋_GB2312" w:eastAsia="仿宋_GB2312"/>
              </w:rPr>
              <w:t>海外教育</w:t>
            </w:r>
          </w:p>
        </w:tc>
      </w:tr>
      <w:tr w14:paraId="1D648AA4">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tcPr>
          <w:p w14:paraId="3294E75F">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tcPr>
          <w:p w14:paraId="36E36BE1">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tcPr>
          <w:p w14:paraId="1866C399">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tcPr>
          <w:p w14:paraId="6B930969">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tcPr>
          <w:p w14:paraId="795BDA5A">
            <w:pPr>
              <w:ind w:right="0" w:firstLine="480"/>
              <w:rPr>
                <w:color w:val="333399"/>
              </w:rPr>
            </w:pPr>
            <w:r>
              <w:rPr>
                <w:color w:val="333399"/>
              </w:rPr>
              <w:t>　</w:t>
            </w:r>
          </w:p>
        </w:tc>
      </w:tr>
      <w:tr w14:paraId="1B0540C7">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tcPr>
          <w:p w14:paraId="08D31680">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tcPr>
          <w:p w14:paraId="1618D274">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tcPr>
          <w:p w14:paraId="2EE92659">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tcPr>
          <w:p w14:paraId="0E729A9D">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tcPr>
          <w:p w14:paraId="345803E2">
            <w:pPr>
              <w:ind w:right="0" w:firstLine="480"/>
              <w:rPr>
                <w:color w:val="333399"/>
              </w:rPr>
            </w:pPr>
            <w:r>
              <w:rPr>
                <w:color w:val="333399"/>
              </w:rPr>
              <w:t>　</w:t>
            </w:r>
          </w:p>
        </w:tc>
      </w:tr>
    </w:tbl>
    <w:p w14:paraId="4BDF0409">
      <w:pPr>
        <w:snapToGrid w:val="0"/>
        <w:spacing w:line="540" w:lineRule="exact"/>
        <w:rPr>
          <w:rFonts w:ascii="仿宋_GB2312" w:hAnsi="仿宋_GB2312" w:eastAsia="仿宋_GB2312"/>
          <w:sz w:val="30"/>
          <w:szCs w:val="30"/>
        </w:rPr>
      </w:pPr>
      <w:r>
        <w:rPr>
          <w:rFonts w:ascii="仿宋_GB2312" w:hAnsi="仿宋_GB2312" w:eastAsia="仿宋_GB2312"/>
          <w:sz w:val="30"/>
          <w:szCs w:val="30"/>
        </w:rPr>
        <w:t>12.工作经历：</w:t>
      </w:r>
    </w:p>
    <w:p w14:paraId="62F1990B">
      <w:pPr>
        <w:rPr>
          <w:rFonts w:ascii="仿宋_GB2312" w:hAnsi="仿宋_GB2312" w:eastAsia="仿宋_GB2312"/>
          <w:sz w:val="30"/>
          <w:szCs w:val="30"/>
          <w:u w:val="single"/>
        </w:rPr>
      </w:pPr>
      <w:r>
        <w:rPr>
          <w:rFonts w:ascii="仿宋_GB2312" w:hAnsi="仿宋_GB2312" w:eastAsia="仿宋_GB2312"/>
          <w:sz w:val="30"/>
          <w:szCs w:val="30"/>
        </w:rPr>
        <w:t>当前任职开始日期：</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20FC5D11">
      <w:pPr>
        <w:rPr>
          <w:rFonts w:ascii="仿宋_GB2312" w:hAnsi="仿宋_GB2312" w:eastAsia="仿宋_GB2312"/>
          <w:sz w:val="30"/>
          <w:szCs w:val="30"/>
          <w:u w:val="single"/>
        </w:rPr>
      </w:pPr>
      <w:r>
        <w:rPr>
          <w:rFonts w:ascii="仿宋_GB2312" w:hAnsi="仿宋_GB2312" w:eastAsia="仿宋_GB2312"/>
          <w:sz w:val="30"/>
          <w:szCs w:val="30"/>
        </w:rPr>
        <w:t>上任伊始原定任职结束日期：</w:t>
      </w:r>
      <w:r>
        <w:rPr>
          <w:rFonts w:ascii="仿宋_GB2312" w:hAnsi="仿宋_GB2312" w:eastAsia="仿宋_GB2312"/>
          <w:sz w:val="30"/>
          <w:szCs w:val="30"/>
          <w:u w:val="single"/>
        </w:rPr>
        <w:tab/>
      </w:r>
      <w:r>
        <w:rPr>
          <w:rFonts w:ascii="仿宋_GB2312" w:hAnsi="仿宋_GB2312" w:eastAsia="仿宋_GB2312"/>
          <w:kern w:val="0"/>
          <w:sz w:val="30"/>
          <w:szCs w:val="30"/>
          <w:u w:val="single"/>
        </w:rPr>
        <w:tab/>
      </w:r>
    </w:p>
    <w:p w14:paraId="32A35987">
      <w:pPr>
        <w:rPr>
          <w:rFonts w:ascii="仿宋_GB2312" w:hAnsi="仿宋_GB2312" w:eastAsia="仿宋_GB2312"/>
          <w:sz w:val="30"/>
          <w:szCs w:val="30"/>
          <w:u w:val="single"/>
        </w:rPr>
      </w:pPr>
      <w:r>
        <w:rPr>
          <w:rFonts w:ascii="仿宋_GB2312" w:hAnsi="仿宋_GB2312" w:eastAsia="仿宋_GB2312"/>
          <w:sz w:val="30"/>
          <w:szCs w:val="30"/>
        </w:rPr>
        <w:t>实际离职日期：</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p>
    <w:p w14:paraId="18E00842">
      <w:pPr>
        <w:rPr>
          <w:rFonts w:ascii="仿宋_GB2312" w:hAnsi="仿宋_GB2312" w:eastAsia="仿宋_GB2312"/>
          <w:sz w:val="30"/>
          <w:szCs w:val="30"/>
          <w:u w:val="single"/>
        </w:rPr>
      </w:pPr>
      <w:r>
        <w:rPr>
          <w:rFonts w:ascii="仿宋_GB2312" w:hAnsi="仿宋_GB2312" w:eastAsia="仿宋_GB2312"/>
          <w:sz w:val="30"/>
          <w:szCs w:val="30"/>
        </w:rPr>
        <w:t>上市公司职务：</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4BE0D65F">
      <w:pPr>
        <w:rPr>
          <w:rFonts w:ascii="仿宋_GB2312" w:hAnsi="仿宋_GB2312" w:eastAsia="仿宋_GB2312"/>
          <w:sz w:val="30"/>
          <w:szCs w:val="30"/>
          <w:u w:val="single"/>
        </w:rPr>
      </w:pPr>
      <w:r>
        <w:rPr>
          <w:rFonts w:ascii="仿宋_GB2312" w:hAnsi="仿宋_GB2312" w:eastAsia="仿宋_GB2312"/>
          <w:sz w:val="30"/>
          <w:szCs w:val="30"/>
          <w:u w:val="single"/>
        </w:rPr>
        <w:t>社会职务：</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tbl>
      <w:tblPr>
        <w:tblStyle w:val="13"/>
        <w:tblW w:w="8522" w:type="dxa"/>
        <w:tblInd w:w="0" w:type="dxa"/>
        <w:tblLayout w:type="fixed"/>
        <w:tblCellMar>
          <w:top w:w="0" w:type="dxa"/>
          <w:left w:w="108" w:type="dxa"/>
          <w:bottom w:w="0" w:type="dxa"/>
          <w:right w:w="108" w:type="dxa"/>
        </w:tblCellMar>
      </w:tblPr>
      <w:tblGrid>
        <w:gridCol w:w="1704"/>
        <w:gridCol w:w="1704"/>
        <w:gridCol w:w="1704"/>
        <w:gridCol w:w="1705"/>
        <w:gridCol w:w="1705"/>
      </w:tblGrid>
      <w:tr w14:paraId="534E74A0">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vAlign w:val="center"/>
          </w:tcPr>
          <w:p w14:paraId="25C5D692">
            <w:pPr>
              <w:jc w:val="center"/>
              <w:rPr>
                <w:rFonts w:ascii="仿宋_GB2312" w:hAnsi="仿宋_GB2312" w:eastAsia="仿宋_GB2312"/>
              </w:rPr>
            </w:pPr>
            <w:r>
              <w:rPr>
                <w:rFonts w:ascii="仿宋_GB2312" w:hAnsi="仿宋_GB2312" w:eastAsia="仿宋_GB2312"/>
              </w:rPr>
              <w:t>工作开始日期</w:t>
            </w:r>
          </w:p>
        </w:tc>
        <w:tc>
          <w:tcPr>
            <w:tcW w:w="1704" w:type="dxa"/>
            <w:tcBorders>
              <w:top w:val="single" w:color="000000" w:sz="4" w:space="0"/>
              <w:left w:val="single" w:color="000000" w:sz="4" w:space="0"/>
              <w:bottom w:val="single" w:color="000000" w:sz="4" w:space="0"/>
              <w:right w:val="single" w:color="000000" w:sz="4" w:space="0"/>
            </w:tcBorders>
            <w:vAlign w:val="center"/>
          </w:tcPr>
          <w:p w14:paraId="3010092B">
            <w:pPr>
              <w:jc w:val="center"/>
              <w:rPr>
                <w:rFonts w:ascii="仿宋_GB2312" w:hAnsi="仿宋_GB2312" w:eastAsia="仿宋_GB2312"/>
              </w:rPr>
            </w:pPr>
            <w:r>
              <w:rPr>
                <w:rFonts w:ascii="仿宋_GB2312" w:hAnsi="仿宋_GB2312" w:eastAsia="仿宋_GB2312"/>
              </w:rPr>
              <w:t>工作结束日期</w:t>
            </w:r>
          </w:p>
        </w:tc>
        <w:tc>
          <w:tcPr>
            <w:tcW w:w="1704" w:type="dxa"/>
            <w:tcBorders>
              <w:top w:val="single" w:color="000000" w:sz="4" w:space="0"/>
              <w:left w:val="single" w:color="000000" w:sz="4" w:space="0"/>
              <w:bottom w:val="single" w:color="000000" w:sz="4" w:space="0"/>
              <w:right w:val="single" w:color="000000" w:sz="4" w:space="0"/>
            </w:tcBorders>
            <w:vAlign w:val="center"/>
          </w:tcPr>
          <w:p w14:paraId="1EB58E83">
            <w:pPr>
              <w:jc w:val="center"/>
              <w:rPr>
                <w:rFonts w:ascii="仿宋_GB2312" w:hAnsi="仿宋_GB2312" w:eastAsia="仿宋_GB2312"/>
              </w:rPr>
            </w:pPr>
            <w:r>
              <w:rPr>
                <w:rFonts w:ascii="仿宋_GB2312" w:hAnsi="仿宋_GB2312" w:eastAsia="仿宋_GB2312"/>
              </w:rPr>
              <w:t>工作单位</w:t>
            </w:r>
          </w:p>
        </w:tc>
        <w:tc>
          <w:tcPr>
            <w:tcW w:w="1705" w:type="dxa"/>
            <w:tcBorders>
              <w:top w:val="single" w:color="000000" w:sz="4" w:space="0"/>
              <w:left w:val="single" w:color="000000" w:sz="4" w:space="0"/>
              <w:bottom w:val="single" w:color="000000" w:sz="4" w:space="0"/>
              <w:right w:val="single" w:color="000000" w:sz="4" w:space="0"/>
            </w:tcBorders>
            <w:vAlign w:val="center"/>
          </w:tcPr>
          <w:p w14:paraId="13066552">
            <w:pPr>
              <w:jc w:val="center"/>
              <w:rPr>
                <w:rFonts w:ascii="仿宋_GB2312" w:hAnsi="仿宋_GB2312" w:eastAsia="仿宋_GB2312"/>
              </w:rPr>
            </w:pPr>
            <w:r>
              <w:rPr>
                <w:rFonts w:ascii="仿宋_GB2312" w:hAnsi="仿宋_GB2312" w:eastAsia="仿宋_GB2312"/>
              </w:rPr>
              <w:t>职位</w:t>
            </w:r>
          </w:p>
        </w:tc>
        <w:tc>
          <w:tcPr>
            <w:tcW w:w="1705" w:type="dxa"/>
            <w:tcBorders>
              <w:top w:val="single" w:color="000000" w:sz="4" w:space="0"/>
              <w:left w:val="single" w:color="000000" w:sz="4" w:space="0"/>
              <w:bottom w:val="single" w:color="000000" w:sz="4" w:space="0"/>
              <w:right w:val="single" w:color="000000" w:sz="4" w:space="0"/>
            </w:tcBorders>
            <w:vAlign w:val="center"/>
          </w:tcPr>
          <w:p w14:paraId="09FA8EDA">
            <w:pPr>
              <w:jc w:val="center"/>
              <w:rPr>
                <w:rFonts w:ascii="仿宋_GB2312" w:hAnsi="仿宋_GB2312" w:eastAsia="仿宋_GB2312"/>
              </w:rPr>
            </w:pPr>
            <w:r>
              <w:rPr>
                <w:rFonts w:ascii="仿宋_GB2312" w:hAnsi="仿宋_GB2312" w:eastAsia="仿宋_GB2312"/>
              </w:rPr>
              <w:t>海外工作</w:t>
            </w:r>
          </w:p>
        </w:tc>
      </w:tr>
      <w:tr w14:paraId="6CAF6E82">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vAlign w:val="center"/>
          </w:tcPr>
          <w:p w14:paraId="07B892E3">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3B65279B">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70F18858">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vAlign w:val="center"/>
          </w:tcPr>
          <w:p w14:paraId="00EE23EE">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vAlign w:val="center"/>
          </w:tcPr>
          <w:p w14:paraId="70D483C5">
            <w:pPr>
              <w:ind w:right="0" w:firstLine="480"/>
              <w:rPr>
                <w:color w:val="333399"/>
              </w:rPr>
            </w:pPr>
            <w:r>
              <w:rPr>
                <w:color w:val="333399"/>
              </w:rPr>
              <w:t>　</w:t>
            </w:r>
          </w:p>
        </w:tc>
      </w:tr>
      <w:tr w14:paraId="53850EA8">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vAlign w:val="center"/>
          </w:tcPr>
          <w:p w14:paraId="583B40BF">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50E31C1F">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20A8C7D8">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vAlign w:val="center"/>
          </w:tcPr>
          <w:p w14:paraId="755FA343">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vAlign w:val="center"/>
          </w:tcPr>
          <w:p w14:paraId="6E18C887">
            <w:pPr>
              <w:ind w:right="0" w:firstLine="480"/>
              <w:rPr>
                <w:color w:val="333399"/>
              </w:rPr>
            </w:pPr>
            <w:r>
              <w:rPr>
                <w:color w:val="333399"/>
              </w:rPr>
              <w:t>　</w:t>
            </w:r>
          </w:p>
        </w:tc>
      </w:tr>
    </w:tbl>
    <w:p w14:paraId="06DC749E">
      <w:pPr>
        <w:snapToGrid w:val="0"/>
        <w:spacing w:line="540" w:lineRule="exact"/>
        <w:rPr>
          <w:rFonts w:ascii="仿宋_GB2312" w:hAnsi="仿宋_GB2312" w:eastAsia="仿宋_GB2312"/>
          <w:sz w:val="30"/>
          <w:szCs w:val="30"/>
        </w:rPr>
      </w:pPr>
    </w:p>
    <w:p w14:paraId="3771C071">
      <w:pPr>
        <w:snapToGrid w:val="0"/>
        <w:spacing w:line="540" w:lineRule="exact"/>
        <w:rPr>
          <w:rFonts w:ascii="仿宋_GB2312" w:hAnsi="仿宋_GB2312" w:eastAsia="仿宋_GB2312"/>
          <w:sz w:val="30"/>
          <w:szCs w:val="30"/>
        </w:rPr>
      </w:pPr>
      <w:r>
        <w:rPr>
          <w:rFonts w:ascii="仿宋_GB2312" w:hAnsi="仿宋_GB2312" w:eastAsia="仿宋_GB2312"/>
          <w:sz w:val="30"/>
          <w:szCs w:val="30"/>
        </w:rPr>
        <w:t>二、A股账户信息</w:t>
      </w:r>
    </w:p>
    <w:tbl>
      <w:tblPr>
        <w:tblStyle w:val="13"/>
        <w:tblW w:w="8522" w:type="dxa"/>
        <w:tblInd w:w="0" w:type="dxa"/>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14:paraId="442014CF">
        <w:tblPrEx>
          <w:tblCellMar>
            <w:top w:w="0" w:type="dxa"/>
            <w:left w:w="108" w:type="dxa"/>
            <w:bottom w:w="0" w:type="dxa"/>
            <w:right w:w="108" w:type="dxa"/>
          </w:tblCellMar>
        </w:tblPrEx>
        <w:tc>
          <w:tcPr>
            <w:tcW w:w="1065" w:type="dxa"/>
            <w:tcBorders>
              <w:top w:val="single" w:color="000000" w:sz="4" w:space="0"/>
              <w:left w:val="single" w:color="000000" w:sz="4" w:space="0"/>
              <w:bottom w:val="single" w:color="000000" w:sz="4" w:space="0"/>
              <w:right w:val="single" w:color="000000" w:sz="4" w:space="0"/>
            </w:tcBorders>
            <w:vAlign w:val="center"/>
          </w:tcPr>
          <w:p w14:paraId="587DE949">
            <w:pPr>
              <w:jc w:val="center"/>
              <w:rPr>
                <w:rFonts w:ascii="仿宋_GB2312" w:hAnsi="仿宋_GB2312" w:eastAsia="仿宋_GB2312"/>
              </w:rPr>
            </w:pPr>
            <w:r>
              <w:rPr>
                <w:rFonts w:ascii="仿宋_GB2312" w:hAnsi="仿宋_GB2312" w:eastAsia="仿宋_GB2312"/>
              </w:rPr>
              <w:t>股东账号</w:t>
            </w:r>
          </w:p>
        </w:tc>
        <w:tc>
          <w:tcPr>
            <w:tcW w:w="1065" w:type="dxa"/>
            <w:tcBorders>
              <w:top w:val="single" w:color="000000" w:sz="4" w:space="0"/>
              <w:left w:val="single" w:color="000000" w:sz="4" w:space="0"/>
              <w:bottom w:val="single" w:color="000000" w:sz="4" w:space="0"/>
              <w:right w:val="single" w:color="000000" w:sz="4" w:space="0"/>
            </w:tcBorders>
            <w:vAlign w:val="center"/>
          </w:tcPr>
          <w:p w14:paraId="04CA9FB9">
            <w:pPr>
              <w:jc w:val="center"/>
              <w:rPr>
                <w:rFonts w:ascii="仿宋_GB2312" w:hAnsi="仿宋_GB2312" w:eastAsia="仿宋_GB2312"/>
              </w:rPr>
            </w:pPr>
            <w:r>
              <w:rPr>
                <w:rFonts w:ascii="仿宋_GB2312" w:hAnsi="仿宋_GB2312" w:eastAsia="仿宋_GB2312"/>
              </w:rPr>
              <w:t>开户身份证件类型</w:t>
            </w:r>
          </w:p>
        </w:tc>
        <w:tc>
          <w:tcPr>
            <w:tcW w:w="1065" w:type="dxa"/>
            <w:tcBorders>
              <w:top w:val="single" w:color="000000" w:sz="4" w:space="0"/>
              <w:left w:val="single" w:color="000000" w:sz="4" w:space="0"/>
              <w:bottom w:val="single" w:color="000000" w:sz="4" w:space="0"/>
              <w:right w:val="single" w:color="000000" w:sz="4" w:space="0"/>
            </w:tcBorders>
            <w:vAlign w:val="center"/>
          </w:tcPr>
          <w:p w14:paraId="0F55FCDD">
            <w:pPr>
              <w:jc w:val="center"/>
              <w:rPr>
                <w:rFonts w:ascii="仿宋_GB2312" w:hAnsi="仿宋_GB2312" w:eastAsia="仿宋_GB2312"/>
              </w:rPr>
            </w:pPr>
            <w:r>
              <w:rPr>
                <w:rFonts w:ascii="仿宋_GB2312" w:hAnsi="仿宋_GB2312" w:eastAsia="仿宋_GB2312"/>
              </w:rPr>
              <w:t>开户身份证件号码</w:t>
            </w:r>
          </w:p>
        </w:tc>
        <w:tc>
          <w:tcPr>
            <w:tcW w:w="1065" w:type="dxa"/>
            <w:tcBorders>
              <w:top w:val="single" w:color="000000" w:sz="4" w:space="0"/>
              <w:left w:val="single" w:color="000000" w:sz="4" w:space="0"/>
              <w:bottom w:val="single" w:color="000000" w:sz="4" w:space="0"/>
              <w:right w:val="single" w:color="000000" w:sz="4" w:space="0"/>
            </w:tcBorders>
            <w:vAlign w:val="center"/>
          </w:tcPr>
          <w:p w14:paraId="454AD960">
            <w:pPr>
              <w:jc w:val="center"/>
              <w:rPr>
                <w:rFonts w:ascii="仿宋_GB2312" w:hAnsi="仿宋_GB2312" w:eastAsia="仿宋_GB2312"/>
              </w:rPr>
            </w:pPr>
            <w:r>
              <w:rPr>
                <w:rFonts w:ascii="仿宋_GB2312" w:hAnsi="仿宋_GB2312" w:eastAsia="仿宋_GB2312"/>
              </w:rPr>
              <w:t>开户名称</w:t>
            </w:r>
          </w:p>
        </w:tc>
        <w:tc>
          <w:tcPr>
            <w:tcW w:w="1065" w:type="dxa"/>
            <w:tcBorders>
              <w:top w:val="single" w:color="000000" w:sz="4" w:space="0"/>
              <w:left w:val="single" w:color="000000" w:sz="4" w:space="0"/>
              <w:bottom w:val="single" w:color="000000" w:sz="4" w:space="0"/>
              <w:right w:val="single" w:color="000000" w:sz="4" w:space="0"/>
            </w:tcBorders>
            <w:vAlign w:val="center"/>
          </w:tcPr>
          <w:p w14:paraId="2E1BAC4D">
            <w:pPr>
              <w:jc w:val="center"/>
              <w:rPr>
                <w:rFonts w:ascii="仿宋_GB2312" w:hAnsi="仿宋_GB2312" w:eastAsia="仿宋_GB2312"/>
              </w:rPr>
            </w:pPr>
            <w:r>
              <w:rPr>
                <w:rFonts w:ascii="仿宋_GB2312" w:hAnsi="仿宋_GB2312" w:eastAsia="仿宋_GB2312"/>
              </w:rPr>
              <w:t>一码通号码</w:t>
            </w:r>
          </w:p>
        </w:tc>
        <w:tc>
          <w:tcPr>
            <w:tcW w:w="1065" w:type="dxa"/>
            <w:tcBorders>
              <w:top w:val="single" w:color="000000" w:sz="4" w:space="0"/>
              <w:left w:val="single" w:color="000000" w:sz="4" w:space="0"/>
              <w:bottom w:val="single" w:color="000000" w:sz="4" w:space="0"/>
              <w:right w:val="single" w:color="000000" w:sz="4" w:space="0"/>
            </w:tcBorders>
            <w:vAlign w:val="center"/>
          </w:tcPr>
          <w:p w14:paraId="41C3C853">
            <w:pPr>
              <w:jc w:val="center"/>
              <w:rPr>
                <w:rFonts w:ascii="仿宋_GB2312" w:hAnsi="仿宋_GB2312" w:eastAsia="仿宋_GB2312"/>
              </w:rPr>
            </w:pPr>
            <w:r>
              <w:rPr>
                <w:rFonts w:ascii="仿宋_GB2312" w:hAnsi="仿宋_GB2312" w:eastAsia="仿宋_GB2312"/>
              </w:rPr>
              <w:t>限售比例/额度</w:t>
            </w:r>
          </w:p>
        </w:tc>
        <w:tc>
          <w:tcPr>
            <w:tcW w:w="1066" w:type="dxa"/>
            <w:tcBorders>
              <w:top w:val="single" w:color="000000" w:sz="4" w:space="0"/>
              <w:left w:val="single" w:color="000000" w:sz="4" w:space="0"/>
              <w:bottom w:val="single" w:color="000000" w:sz="4" w:space="0"/>
              <w:right w:val="single" w:color="000000" w:sz="4" w:space="0"/>
            </w:tcBorders>
            <w:vAlign w:val="center"/>
          </w:tcPr>
          <w:p w14:paraId="54E95C57">
            <w:pPr>
              <w:jc w:val="center"/>
              <w:rPr>
                <w:rFonts w:ascii="仿宋_GB2312" w:hAnsi="仿宋_GB2312" w:eastAsia="仿宋_GB2312"/>
              </w:rPr>
            </w:pPr>
            <w:r>
              <w:rPr>
                <w:rFonts w:ascii="仿宋_GB2312" w:hAnsi="仿宋_GB2312" w:eastAsia="仿宋_GB2312"/>
              </w:rPr>
              <w:t>数据来源</w:t>
            </w:r>
          </w:p>
        </w:tc>
        <w:tc>
          <w:tcPr>
            <w:tcW w:w="1066" w:type="dxa"/>
            <w:tcBorders>
              <w:top w:val="single" w:color="000000" w:sz="4" w:space="0"/>
              <w:left w:val="single" w:color="000000" w:sz="4" w:space="0"/>
              <w:bottom w:val="single" w:color="000000" w:sz="4" w:space="0"/>
              <w:right w:val="single" w:color="000000" w:sz="4" w:space="0"/>
            </w:tcBorders>
            <w:vAlign w:val="center"/>
          </w:tcPr>
          <w:p w14:paraId="59655121">
            <w:pPr>
              <w:jc w:val="center"/>
              <w:rPr>
                <w:rFonts w:ascii="仿宋_GB2312" w:hAnsi="仿宋_GB2312" w:eastAsia="仿宋_GB2312"/>
              </w:rPr>
            </w:pPr>
            <w:r>
              <w:rPr>
                <w:rFonts w:ascii="仿宋_GB2312" w:hAnsi="仿宋_GB2312" w:eastAsia="仿宋_GB2312"/>
              </w:rPr>
              <w:t>账号状态</w:t>
            </w:r>
          </w:p>
        </w:tc>
      </w:tr>
      <w:tr w14:paraId="5C8E9EF5">
        <w:tblPrEx>
          <w:tblCellMar>
            <w:top w:w="0" w:type="dxa"/>
            <w:left w:w="108" w:type="dxa"/>
            <w:bottom w:w="0" w:type="dxa"/>
            <w:right w:w="108" w:type="dxa"/>
          </w:tblCellMar>
        </w:tblPrEx>
        <w:tc>
          <w:tcPr>
            <w:tcW w:w="1065" w:type="dxa"/>
            <w:tcBorders>
              <w:top w:val="single" w:color="000000" w:sz="4" w:space="0"/>
              <w:left w:val="single" w:color="000000" w:sz="4" w:space="0"/>
              <w:bottom w:val="single" w:color="000000" w:sz="4" w:space="0"/>
              <w:right w:val="single" w:color="000000" w:sz="4" w:space="0"/>
            </w:tcBorders>
            <w:vAlign w:val="center"/>
          </w:tcPr>
          <w:p w14:paraId="3A681BCA">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16F3F398">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38C3F53E">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5DA4D5CE">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033FF898">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459DD81A">
            <w:pPr>
              <w:ind w:right="0" w:firstLine="480"/>
              <w:jc w:val="center"/>
            </w:pPr>
            <w:r>
              <w:t>-</w:t>
            </w:r>
          </w:p>
        </w:tc>
        <w:tc>
          <w:tcPr>
            <w:tcW w:w="1066" w:type="dxa"/>
            <w:tcBorders>
              <w:top w:val="single" w:color="000000" w:sz="4" w:space="0"/>
              <w:left w:val="single" w:color="000000" w:sz="4" w:space="0"/>
              <w:bottom w:val="single" w:color="000000" w:sz="4" w:space="0"/>
              <w:right w:val="single" w:color="000000" w:sz="4" w:space="0"/>
            </w:tcBorders>
            <w:vAlign w:val="center"/>
          </w:tcPr>
          <w:p w14:paraId="70EAC4AB">
            <w:pPr>
              <w:ind w:right="0" w:firstLine="480"/>
              <w:jc w:val="center"/>
            </w:pPr>
            <w:r>
              <w:t>-</w:t>
            </w:r>
          </w:p>
        </w:tc>
        <w:tc>
          <w:tcPr>
            <w:tcW w:w="1066" w:type="dxa"/>
            <w:tcBorders>
              <w:top w:val="single" w:color="000000" w:sz="4" w:space="0"/>
              <w:left w:val="single" w:color="000000" w:sz="4" w:space="0"/>
              <w:bottom w:val="single" w:color="000000" w:sz="4" w:space="0"/>
              <w:right w:val="single" w:color="000000" w:sz="4" w:space="0"/>
            </w:tcBorders>
            <w:vAlign w:val="center"/>
          </w:tcPr>
          <w:p w14:paraId="17361FDB">
            <w:pPr>
              <w:ind w:right="0" w:firstLine="480"/>
              <w:jc w:val="center"/>
            </w:pPr>
            <w:r>
              <w:t>-</w:t>
            </w:r>
          </w:p>
        </w:tc>
      </w:tr>
      <w:tr w14:paraId="1F98882A">
        <w:tblPrEx>
          <w:tblCellMar>
            <w:top w:w="0" w:type="dxa"/>
            <w:left w:w="108" w:type="dxa"/>
            <w:bottom w:w="0" w:type="dxa"/>
            <w:right w:w="108" w:type="dxa"/>
          </w:tblCellMar>
        </w:tblPrEx>
        <w:tc>
          <w:tcPr>
            <w:tcW w:w="1065" w:type="dxa"/>
            <w:tcBorders>
              <w:top w:val="single" w:color="000000" w:sz="4" w:space="0"/>
              <w:left w:val="single" w:color="000000" w:sz="4" w:space="0"/>
              <w:bottom w:val="single" w:color="000000" w:sz="4" w:space="0"/>
              <w:right w:val="single" w:color="000000" w:sz="4" w:space="0"/>
            </w:tcBorders>
            <w:vAlign w:val="center"/>
          </w:tcPr>
          <w:p w14:paraId="4CD81111">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5B8A8C70">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70B2F88B">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2BD6E950">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2877CE8D">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70234943">
            <w:pPr>
              <w:ind w:right="0" w:firstLine="480"/>
              <w:jc w:val="center"/>
            </w:pPr>
            <w:r>
              <w:t>-</w:t>
            </w:r>
          </w:p>
        </w:tc>
        <w:tc>
          <w:tcPr>
            <w:tcW w:w="1066" w:type="dxa"/>
            <w:tcBorders>
              <w:top w:val="single" w:color="000000" w:sz="4" w:space="0"/>
              <w:left w:val="single" w:color="000000" w:sz="4" w:space="0"/>
              <w:bottom w:val="single" w:color="000000" w:sz="4" w:space="0"/>
              <w:right w:val="single" w:color="000000" w:sz="4" w:space="0"/>
            </w:tcBorders>
            <w:vAlign w:val="center"/>
          </w:tcPr>
          <w:p w14:paraId="3C784FC4">
            <w:pPr>
              <w:ind w:right="0" w:firstLine="480"/>
              <w:jc w:val="center"/>
            </w:pPr>
            <w:r>
              <w:t>-</w:t>
            </w:r>
          </w:p>
        </w:tc>
        <w:tc>
          <w:tcPr>
            <w:tcW w:w="1066" w:type="dxa"/>
            <w:tcBorders>
              <w:top w:val="single" w:color="000000" w:sz="4" w:space="0"/>
              <w:left w:val="single" w:color="000000" w:sz="4" w:space="0"/>
              <w:bottom w:val="single" w:color="000000" w:sz="4" w:space="0"/>
              <w:right w:val="single" w:color="000000" w:sz="4" w:space="0"/>
            </w:tcBorders>
            <w:vAlign w:val="center"/>
          </w:tcPr>
          <w:p w14:paraId="0E666252">
            <w:pPr>
              <w:ind w:right="0" w:firstLine="480"/>
              <w:jc w:val="center"/>
            </w:pPr>
            <w:r>
              <w:t>-</w:t>
            </w:r>
          </w:p>
        </w:tc>
      </w:tr>
    </w:tbl>
    <w:p w14:paraId="05FB9A07">
      <w:r>
        <w:br w:type="page"/>
      </w:r>
    </w:p>
    <w:p w14:paraId="6BCC044E">
      <w:pPr>
        <w:rPr>
          <w:rFonts w:ascii="仿宋_GB2312" w:hAnsi="仿宋_GB2312" w:eastAsia="仿宋_GB2312"/>
          <w:b/>
          <w:bCs/>
          <w:sz w:val="30"/>
          <w:szCs w:val="30"/>
        </w:rPr>
      </w:pPr>
      <w:r>
        <w:rPr>
          <w:rFonts w:ascii="仿宋_GB2312" w:hAnsi="仿宋_GB2312" w:eastAsia="仿宋_GB2312"/>
          <w:b/>
          <w:bCs/>
          <w:sz w:val="30"/>
          <w:szCs w:val="30"/>
        </w:rPr>
        <w:t>附件3</w:t>
      </w:r>
    </w:p>
    <w:p w14:paraId="21DCAA18">
      <w:pPr>
        <w:keepNext/>
        <w:keepLines/>
        <w:numPr>
          <w:ilvl w:val="0"/>
          <w:numId w:val="0"/>
        </w:numPr>
        <w:spacing w:line="540" w:lineRule="exact"/>
        <w:jc w:val="center"/>
        <w:outlineLvl w:val="0"/>
        <w:rPr>
          <w:rFonts w:ascii="黑体" w:hAnsi="黑体" w:eastAsia="黑体" w:cs="Arial Unicode MS;Times New Roma"/>
          <w:b/>
          <w:bCs/>
          <w:kern w:val="2"/>
          <w:sz w:val="44"/>
          <w:szCs w:val="44"/>
        </w:rPr>
      </w:pPr>
      <w:bookmarkStart w:id="57" w:name="__RefHeading___Toc189646167"/>
      <w:r>
        <w:rPr>
          <w:rFonts w:ascii="黑体" w:hAnsi="黑体" w:eastAsia="黑体" w:cs="Arial Unicode MS;Times New Roma"/>
          <w:b/>
          <w:bCs/>
          <w:kern w:val="2"/>
          <w:sz w:val="44"/>
          <w:szCs w:val="44"/>
        </w:rPr>
        <w:t>独立董事候选人声明与承诺</w:t>
      </w:r>
      <w:bookmarkEnd w:id="57"/>
      <w:r>
        <w:rPr>
          <w:rFonts w:ascii="黑体" w:hAnsi="黑体" w:eastAsia="黑体" w:cs="Arial Unicode MS;Times New Roma"/>
          <w:b/>
          <w:bCs/>
          <w:kern w:val="2"/>
          <w:sz w:val="44"/>
          <w:szCs w:val="44"/>
        </w:rPr>
        <w:t xml:space="preserve"> </w:t>
      </w:r>
    </w:p>
    <w:p w14:paraId="033FD5D7">
      <w:pPr>
        <w:spacing w:line="560" w:lineRule="exact"/>
        <w:rPr>
          <w:rFonts w:ascii="仿宋_GB2312" w:hAnsi="仿宋_GB2312" w:eastAsia="仿宋_GB2312" w:cs="Arial Unicode MS;Times New Roma"/>
          <w:b/>
          <w:bCs/>
          <w:kern w:val="2"/>
          <w:sz w:val="30"/>
          <w:szCs w:val="30"/>
        </w:rPr>
      </w:pPr>
    </w:p>
    <w:p w14:paraId="41BD9684">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 xml:space="preserve">本人XXX，已充分了解并同意由提名人XXXX提名为XXXX股份有限公司第XX届董事会独立董事候选人。本人公开声明，本人具备独立董事任职资格，保证不存在任何影响本人担任XXXX股份有限公司独立董事独立性的关系，具体声明并承诺如下： </w:t>
      </w:r>
    </w:p>
    <w:p w14:paraId="126D5595">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一、本人具备上市公司运作的基本知识，熟悉相关法律、行政法规、部门规章及其他规范性文件，具有5年以上法律、经济、会计、财务、管理或者其他履行独立董事职责所必需的工作经验。</w:t>
      </w:r>
    </w:p>
    <w:p w14:paraId="2AD3A80E">
      <w:pPr>
        <w:spacing w:line="560" w:lineRule="exact"/>
        <w:ind w:right="0" w:firstLine="600"/>
        <w:rPr>
          <w:rFonts w:ascii="仿宋_GB2312" w:hAnsi="仿宋_GB2312" w:eastAsia="仿宋_GB2312"/>
          <w:bCs/>
          <w:sz w:val="30"/>
          <w:szCs w:val="30"/>
        </w:rPr>
      </w:pPr>
      <w:r>
        <w:rPr>
          <w:rFonts w:ascii="仿宋_GB2312" w:hAnsi="仿宋_GB2312" w:eastAsia="仿宋_GB2312"/>
          <w:bCs/>
          <w:sz w:val="30"/>
          <w:szCs w:val="30"/>
        </w:rPr>
        <w:t>被提名人已经参加培训并取得证券交易所认可的相关培训证明材料（如有）。</w:t>
      </w:r>
    </w:p>
    <w:p w14:paraId="60A43972">
      <w:pPr>
        <w:tabs>
          <w:tab w:val="left" w:pos="720"/>
        </w:tabs>
        <w:spacing w:line="560" w:lineRule="exact"/>
        <w:ind w:right="0" w:firstLine="600"/>
        <w:rPr>
          <w:rFonts w:ascii="仿宋_GB2312" w:hAnsi="仿宋_GB2312" w:eastAsia="仿宋_GB2312"/>
          <w:sz w:val="30"/>
          <w:szCs w:val="30"/>
        </w:rPr>
      </w:pPr>
      <w:r>
        <w:rPr>
          <w:rFonts w:ascii="仿宋_GB2312" w:hAnsi="仿宋_GB2312" w:eastAsia="仿宋_GB2312"/>
          <w:bCs/>
          <w:sz w:val="30"/>
          <w:szCs w:val="30"/>
        </w:rPr>
        <w:t>二、本人任职资格符合下列法律、行政法规和部门规章以及公司规章的要求</w:t>
      </w:r>
      <w:r>
        <w:rPr>
          <w:rFonts w:ascii="仿宋_GB2312" w:hAnsi="仿宋_GB2312" w:eastAsia="仿宋_GB2312"/>
          <w:sz w:val="30"/>
          <w:szCs w:val="30"/>
        </w:rPr>
        <w:t>：</w:t>
      </w:r>
    </w:p>
    <w:p w14:paraId="36B5C445">
      <w:pPr>
        <w:spacing w:line="560" w:lineRule="exact"/>
        <w:ind w:right="0" w:firstLine="600"/>
        <w:rPr>
          <w:rFonts w:ascii="仿宋_GB2312" w:hAnsi="仿宋_GB2312" w:eastAsia="仿宋_GB2312"/>
          <w:sz w:val="30"/>
          <w:szCs w:val="30"/>
        </w:rPr>
      </w:pPr>
      <w:bookmarkStart w:id="58" w:name="_Hlk88513060"/>
      <w:bookmarkEnd w:id="58"/>
      <w:r>
        <w:rPr>
          <w:rFonts w:ascii="仿宋_GB2312" w:hAnsi="仿宋_GB2312" w:eastAsia="仿宋_GB2312"/>
          <w:sz w:val="30"/>
          <w:szCs w:val="30"/>
        </w:rPr>
        <w:t>（一）《中华人民共和国公司法》关于董事任职资格的规定；</w:t>
      </w:r>
    </w:p>
    <w:p w14:paraId="75559A9B">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（二）《中华人民共和国公务员法》关于公务员兼任职务的规定（如适用）；</w:t>
      </w:r>
    </w:p>
    <w:p w14:paraId="1381D1B5">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（三）中国证监会《上市公司独立董事管理办法》、上海证券交易所自律监管规则以及公司章程有关独立董事任职资格和条件的相关规定；</w:t>
      </w:r>
    </w:p>
    <w:p w14:paraId="49E42CE5">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（四）中共中央纪委、中共中央组织部《关于规范中管干部辞去公职或者退（离）休后担任上市公司、基金管理公司独立董事、独立监事的通知》的规定（如适用）；</w:t>
      </w:r>
    </w:p>
    <w:p w14:paraId="1991FCC9">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（五）中共中央组织部《关于进一步规范党政领导干部在企业兼职（任职）问题的意见》的相关规定（如适用）；</w:t>
      </w:r>
    </w:p>
    <w:p w14:paraId="70EADC57">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（六）中共中央纪委、教育部、监察部《关于加强高等学校反腐倡廉建设的意见》的相关规定（如适用）；</w:t>
      </w:r>
    </w:p>
    <w:p w14:paraId="1FF2CC53">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（七）中国人民银行《股份制商业银行独立董事和外部监事制度指引》等的相关规定（如适用）；</w:t>
      </w:r>
    </w:p>
    <w:p w14:paraId="0910568B">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（八）中国证监会《证券基金经营机构董事、监事、高级管理人员及从业人员监督管理办法》等的相关规定（如适用）；</w:t>
      </w:r>
    </w:p>
    <w:p w14:paraId="18BFC4F8">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（九）《银行业金融机构董事（理事）和高级管理人员任职资格管理办法》《保险公司董事、监事和高级管理人员任职资格管理规定》《保险机构独立董事管理办法》等的相关规定（如适用）；</w:t>
      </w:r>
    </w:p>
    <w:p w14:paraId="5B30BA8D">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（十）其他法律法规、部门规章、规范性文件和上海证券交易所规定的情形。</w:t>
      </w:r>
    </w:p>
    <w:p w14:paraId="3AB50FE1">
      <w:pPr>
        <w:tabs>
          <w:tab w:val="left" w:pos="720"/>
        </w:tabs>
        <w:spacing w:line="560" w:lineRule="exact"/>
        <w:ind w:right="0" w:firstLine="600"/>
        <w:rPr>
          <w:rFonts w:ascii="仿宋_GB2312" w:hAnsi="仿宋_GB2312" w:eastAsia="仿宋_GB2312"/>
          <w:bCs/>
          <w:sz w:val="30"/>
          <w:szCs w:val="30"/>
        </w:rPr>
      </w:pPr>
      <w:bookmarkStart w:id="59" w:name="_Hlk88513060"/>
      <w:bookmarkEnd w:id="59"/>
      <w:r>
        <w:rPr>
          <w:rFonts w:ascii="仿宋_GB2312" w:hAnsi="仿宋_GB2312" w:eastAsia="仿宋_GB2312"/>
          <w:bCs/>
          <w:sz w:val="30"/>
          <w:szCs w:val="30"/>
        </w:rPr>
        <w:t>三、本人具备独立性，不属于下列情形：</w:t>
      </w:r>
    </w:p>
    <w:p w14:paraId="6DD75613">
      <w:pPr>
        <w:tabs>
          <w:tab w:val="left" w:pos="720"/>
        </w:tabs>
        <w:spacing w:line="560" w:lineRule="exact"/>
        <w:ind w:right="0" w:firstLine="600"/>
        <w:rPr>
          <w:rFonts w:ascii="仿宋_GB2312" w:hAnsi="仿宋_GB2312" w:eastAsia="仿宋_GB2312"/>
          <w:bCs/>
          <w:sz w:val="30"/>
          <w:szCs w:val="30"/>
        </w:rPr>
      </w:pPr>
      <w:r>
        <w:rPr>
          <w:rFonts w:ascii="仿宋_GB2312" w:hAnsi="仿宋_GB2312" w:eastAsia="仿宋_GB2312"/>
          <w:bCs/>
          <w:sz w:val="30"/>
          <w:szCs w:val="30"/>
        </w:rPr>
        <w:t>（一）在上市公司或者其附属企业任职的人员及其配偶、父母、子女、主要社会关系（主要社会关系是指兄弟姐妹、兄弟姐妹的配偶、配偶的父母、配偶的兄弟姐妹、子女的配偶、子女配偶的父母等）；</w:t>
      </w:r>
    </w:p>
    <w:p w14:paraId="18700AEB">
      <w:pPr>
        <w:tabs>
          <w:tab w:val="left" w:pos="720"/>
        </w:tabs>
        <w:spacing w:line="560" w:lineRule="exact"/>
        <w:ind w:right="0" w:firstLine="600"/>
        <w:rPr>
          <w:rFonts w:ascii="仿宋_GB2312" w:hAnsi="仿宋_GB2312" w:eastAsia="仿宋_GB2312"/>
          <w:bCs/>
          <w:sz w:val="30"/>
          <w:szCs w:val="30"/>
        </w:rPr>
      </w:pPr>
      <w:r>
        <w:rPr>
          <w:rFonts w:ascii="仿宋_GB2312" w:hAnsi="仿宋_GB2312" w:eastAsia="仿宋_GB2312"/>
          <w:bCs/>
          <w:sz w:val="30"/>
          <w:szCs w:val="30"/>
        </w:rPr>
        <w:t>（二）直接或者间接持有上市公司已发行股份1%以上或者是上市公司前十名股东中的自然人股东及其配偶、父母、子女；</w:t>
      </w:r>
    </w:p>
    <w:p w14:paraId="20BF2AA8">
      <w:pPr>
        <w:tabs>
          <w:tab w:val="left" w:pos="720"/>
        </w:tabs>
        <w:spacing w:line="560" w:lineRule="exact"/>
        <w:ind w:right="0" w:firstLine="600"/>
        <w:rPr>
          <w:rFonts w:ascii="仿宋_GB2312" w:hAnsi="仿宋_GB2312" w:eastAsia="仿宋_GB2312"/>
          <w:bCs/>
          <w:sz w:val="30"/>
          <w:szCs w:val="30"/>
        </w:rPr>
      </w:pPr>
      <w:r>
        <w:rPr>
          <w:rFonts w:ascii="仿宋_GB2312" w:hAnsi="仿宋_GB2312" w:eastAsia="仿宋_GB2312"/>
          <w:bCs/>
          <w:sz w:val="30"/>
          <w:szCs w:val="30"/>
        </w:rPr>
        <w:t>（三）在直接或者间接持有上市公司已发行股份5%以上的股东或者在上市公司前五名股东任职的人员及其配偶、父母、子女；</w:t>
      </w:r>
    </w:p>
    <w:p w14:paraId="3C0982A9">
      <w:pPr>
        <w:tabs>
          <w:tab w:val="left" w:pos="720"/>
        </w:tabs>
        <w:spacing w:line="560" w:lineRule="exact"/>
        <w:ind w:right="0" w:firstLine="600"/>
        <w:rPr>
          <w:rFonts w:ascii="仿宋_GB2312" w:hAnsi="仿宋_GB2312" w:eastAsia="仿宋_GB2312"/>
          <w:bCs/>
          <w:sz w:val="30"/>
          <w:szCs w:val="30"/>
        </w:rPr>
      </w:pPr>
      <w:r>
        <w:rPr>
          <w:rFonts w:ascii="仿宋_GB2312" w:hAnsi="仿宋_GB2312" w:eastAsia="仿宋_GB2312"/>
          <w:bCs/>
          <w:sz w:val="30"/>
          <w:szCs w:val="30"/>
        </w:rPr>
        <w:t>（四）在上市公司控股股东、实际控制人的附属企业任职的人员及其配偶、父母、子女；</w:t>
      </w:r>
    </w:p>
    <w:p w14:paraId="0110B678">
      <w:pPr>
        <w:tabs>
          <w:tab w:val="left" w:pos="720"/>
        </w:tabs>
        <w:spacing w:line="560" w:lineRule="exact"/>
        <w:ind w:right="0" w:firstLine="600"/>
        <w:rPr>
          <w:rFonts w:ascii="仿宋_GB2312" w:hAnsi="仿宋_GB2312" w:eastAsia="仿宋_GB2312"/>
          <w:bCs/>
          <w:sz w:val="30"/>
          <w:szCs w:val="30"/>
        </w:rPr>
      </w:pPr>
      <w:r>
        <w:rPr>
          <w:rFonts w:ascii="仿宋_GB2312" w:hAnsi="仿宋_GB2312" w:eastAsia="仿宋_GB2312"/>
          <w:bCs/>
          <w:sz w:val="30"/>
          <w:szCs w:val="30"/>
        </w:rPr>
        <w:t>（五）与上市公司及其控股股东、实际控制人或者其各自的附属企业有重大业务往来的人员，或者在有重大业务往来的单位及其控股股东、实际控制人任职的人员；</w:t>
      </w:r>
    </w:p>
    <w:p w14:paraId="41447A76">
      <w:pPr>
        <w:tabs>
          <w:tab w:val="left" w:pos="720"/>
        </w:tabs>
        <w:spacing w:line="560" w:lineRule="exact"/>
        <w:ind w:right="0" w:firstLine="600"/>
        <w:rPr>
          <w:rFonts w:ascii="仿宋_GB2312" w:hAnsi="仿宋_GB2312" w:eastAsia="仿宋_GB2312"/>
          <w:bCs/>
          <w:sz w:val="30"/>
          <w:szCs w:val="30"/>
        </w:rPr>
      </w:pPr>
      <w:r>
        <w:rPr>
          <w:rFonts w:ascii="仿宋_GB2312" w:hAnsi="仿宋_GB2312" w:eastAsia="仿宋_GB2312"/>
          <w:bCs/>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39C34E7D">
      <w:pPr>
        <w:tabs>
          <w:tab w:val="left" w:pos="720"/>
        </w:tabs>
        <w:spacing w:line="560" w:lineRule="exact"/>
        <w:ind w:right="0" w:firstLine="600"/>
        <w:rPr>
          <w:rFonts w:ascii="仿宋_GB2312" w:hAnsi="仿宋_GB2312" w:eastAsia="仿宋_GB2312"/>
          <w:bCs/>
          <w:sz w:val="30"/>
          <w:szCs w:val="30"/>
        </w:rPr>
      </w:pPr>
      <w:r>
        <w:rPr>
          <w:rFonts w:ascii="仿宋_GB2312" w:hAnsi="仿宋_GB2312" w:eastAsia="仿宋_GB2312"/>
          <w:bCs/>
          <w:sz w:val="30"/>
          <w:szCs w:val="30"/>
        </w:rPr>
        <w:t>（七）最近12个月内曾经具有前六项所列举情形的人员；</w:t>
      </w:r>
    </w:p>
    <w:p w14:paraId="2D53678A">
      <w:pPr>
        <w:spacing w:line="560" w:lineRule="exact"/>
        <w:ind w:right="0" w:firstLine="600"/>
        <w:rPr>
          <w:rFonts w:ascii="仿宋_GB2312" w:hAnsi="仿宋_GB2312" w:eastAsia="仿宋_GB2312"/>
          <w:sz w:val="30"/>
          <w:szCs w:val="30"/>
        </w:rPr>
      </w:pPr>
      <w:r>
        <w:rPr>
          <w:rFonts w:ascii="仿宋_GB2312" w:hAnsi="仿宋_GB2312" w:eastAsia="仿宋_GB2312"/>
          <w:bCs/>
          <w:sz w:val="30"/>
          <w:szCs w:val="30"/>
        </w:rPr>
        <w:t>（八）其他上海证券交易所认定不具备独立性的情形。</w:t>
      </w:r>
    </w:p>
    <w:p w14:paraId="43553DEF">
      <w:pPr>
        <w:tabs>
          <w:tab w:val="left" w:pos="720"/>
        </w:tabs>
        <w:spacing w:line="560" w:lineRule="exact"/>
        <w:ind w:right="0" w:firstLine="600"/>
        <w:rPr>
          <w:rFonts w:ascii="仿宋_GB2312" w:hAnsi="仿宋_GB2312" w:eastAsia="仿宋_GB2312"/>
          <w:bCs/>
          <w:sz w:val="30"/>
          <w:szCs w:val="30"/>
        </w:rPr>
      </w:pPr>
      <w:r>
        <w:rPr>
          <w:rFonts w:ascii="仿宋_GB2312" w:hAnsi="仿宋_GB2312" w:eastAsia="仿宋_GB2312"/>
          <w:bCs/>
          <w:sz w:val="30"/>
          <w:szCs w:val="30"/>
        </w:rPr>
        <w:t>四、本人无下列不良记录：</w:t>
      </w:r>
    </w:p>
    <w:p w14:paraId="4120C80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（一）最近36个月内受到中国证监会行政处罚或者司法机关刑事处罚的；</w:t>
      </w:r>
    </w:p>
    <w:p w14:paraId="7D23CA3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（二）因涉嫌证券期货违法犯罪，被中国证监会立案调查或者被司法机关立案侦查，尚未有明确结论意见的；</w:t>
      </w:r>
    </w:p>
    <w:p w14:paraId="0994300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（三）最近36个月内受到证券交易所公开谴责或3次以上通报批评的；</w:t>
      </w:r>
    </w:p>
    <w:p w14:paraId="411C6F2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（四）存在重大失信等不良记录；</w:t>
      </w:r>
    </w:p>
    <w:p w14:paraId="0DE290B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（五）本所认定的其他情形。</w:t>
      </w:r>
    </w:p>
    <w:p w14:paraId="54136FD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五、本人不是过往任职独立董事期间因连续两次未能亲自出席也不委托其他董事出席董事会会议被董事会提议召开股东会予以解除职务的人员，如是，需说明自解除职务之日起是否届满12个月。</w:t>
      </w:r>
    </w:p>
    <w:p w14:paraId="131CAA48">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六、包括XXXX股份有限公司在内，本人兼任独立董事的境内上市公司数量未超过3家；本人在XXXX股份有限公司连续任职未超过六年。</w:t>
      </w:r>
    </w:p>
    <w:p w14:paraId="50EA4825">
      <w:pPr>
        <w:widowControl/>
        <w:shd w:val="clear" w:fill="FFFFFF"/>
        <w:spacing w:line="600" w:lineRule="exact"/>
        <w:ind w:right="0" w:firstLine="601"/>
        <w:rPr>
          <w:rFonts w:ascii="仿宋_GB2312" w:hAnsi="仿宋_GB2312" w:eastAsia="仿宋_GB2312"/>
          <w:bCs/>
          <w:sz w:val="30"/>
          <w:szCs w:val="30"/>
        </w:rPr>
      </w:pPr>
      <w:r>
        <w:rPr>
          <w:rFonts w:ascii="仿宋_GB2312" w:hAnsi="仿宋_GB2312" w:eastAsia="仿宋_GB2312"/>
          <w:bCs/>
          <w:sz w:val="30"/>
          <w:szCs w:val="30"/>
        </w:rPr>
        <w:t>七、本人具备较丰富的会计专业知识和经验，并至少具备注册会计师，会计、审计或者财务管理专业的高级职称、副教授及以上职称或者博士学位，经济管理方面高级职称，且在会计、审计或者财务管理等专业岗位有5年以上全职工作经验等三类资格之一（本条适用于以会计专业人士身份被提名为独立董事候选人的情形，请具体选择符合何种资格）。</w:t>
      </w:r>
    </w:p>
    <w:p w14:paraId="3B796FED">
      <w:pPr>
        <w:widowControl/>
        <w:shd w:val="clear" w:fill="FFFFFF"/>
        <w:spacing w:line="600" w:lineRule="exact"/>
        <w:ind w:right="0" w:firstLine="601"/>
        <w:rPr>
          <w:rFonts w:ascii="仿宋_GB2312" w:hAnsi="仿宋_GB2312" w:eastAsia="仿宋_GB2312"/>
          <w:sz w:val="30"/>
          <w:szCs w:val="30"/>
        </w:rPr>
      </w:pPr>
      <w:r>
        <w:rPr>
          <w:rFonts w:ascii="仿宋_GB2312" w:hAnsi="仿宋_GB2312" w:eastAsia="仿宋_GB2312"/>
          <w:sz w:val="30"/>
          <w:szCs w:val="30"/>
        </w:rPr>
        <w:t>八、本人不存在影响独立董事诚信或者其他影响任职资格的情况。</w:t>
      </w:r>
    </w:p>
    <w:p w14:paraId="359DF5EC">
      <w:pPr>
        <w:widowControl/>
        <w:shd w:val="clear" w:fill="FFFFFF"/>
        <w:spacing w:line="600" w:lineRule="exact"/>
        <w:ind w:right="0" w:firstLine="601"/>
        <w:rPr>
          <w:rFonts w:ascii="仿宋_GB2312" w:hAnsi="仿宋_GB2312" w:eastAsia="仿宋_GB2312"/>
          <w:sz w:val="30"/>
          <w:szCs w:val="30"/>
        </w:rPr>
      </w:pPr>
      <w:r>
        <w:rPr>
          <w:rFonts w:ascii="仿宋_GB2312" w:hAnsi="仿宋_GB2312" w:eastAsia="仿宋_GB2312"/>
          <w:sz w:val="30"/>
          <w:szCs w:val="30"/>
        </w:rPr>
        <w:t>本人已经通过XXXX股份有限公司第XX届董事会提名委员会资格审查，本人与提名人</w:t>
      </w:r>
      <w:bookmarkStart w:id="60" w:name="OLE_LINK8"/>
      <w:bookmarkStart w:id="61" w:name="OLE_LINK9"/>
      <w:r>
        <w:rPr>
          <w:rFonts w:ascii="仿宋_GB2312" w:hAnsi="仿宋_GB2312" w:eastAsia="仿宋_GB2312"/>
          <w:sz w:val="30"/>
          <w:szCs w:val="30"/>
        </w:rPr>
        <w:t>不存在利害关系或者可能妨碍独立履职的其他关系</w:t>
      </w:r>
      <w:bookmarkEnd w:id="60"/>
      <w:bookmarkEnd w:id="61"/>
      <w:r>
        <w:rPr>
          <w:rFonts w:ascii="仿宋_GB2312" w:hAnsi="仿宋_GB2312" w:eastAsia="仿宋_GB2312"/>
          <w:sz w:val="30"/>
          <w:szCs w:val="30"/>
        </w:rPr>
        <w:t>。</w:t>
      </w:r>
    </w:p>
    <w:p w14:paraId="499F37E5">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本人已经根据上海证券交易所《上海证券交易所上市公司自律监管指引第1号——规范运作》对本人的独立董事候选人任职资格进行核实并确认符合要求。</w:t>
      </w:r>
    </w:p>
    <w:p w14:paraId="0855B0D5">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本人完全清楚独立董事的职责，保证上述声明真实、完整和准确，不存在任何虚假陈述或误导成分，本人完全明白作出虚假声明可能导致的后果。上海证券交易所可依据本声明确认本人的任职资格和独立性。</w:t>
      </w:r>
    </w:p>
    <w:p w14:paraId="5168641D">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 xml:space="preserve">本人承诺：在担任XXXX股份有限公司独立董事期间，将遵守法律法规、中国证监会发布的规章、规定、通知以及上海证券交易所业务规则的要求，接受上海证券交易所的监管，确保有足够的时间和精力履行职责，作出独立判断，不受公司及其主要股东、实际控制人或其他与公司存在利害关系的单位或个人的影响。   </w:t>
      </w:r>
    </w:p>
    <w:p w14:paraId="7DDB963F">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本人承诺：如本人任职后出现不符合独立董事任职资格情形的，本人将根据相关规定辞去独立董事职务。</w:t>
      </w:r>
    </w:p>
    <w:p w14:paraId="34D9A499">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特此声明。</w:t>
      </w:r>
    </w:p>
    <w:p w14:paraId="6A1E7726">
      <w:pPr>
        <w:spacing w:line="560" w:lineRule="exact"/>
        <w:ind w:right="0" w:firstLine="600"/>
        <w:rPr>
          <w:rFonts w:ascii="仿宋_GB2312" w:hAnsi="仿宋_GB2312" w:eastAsia="仿宋_GB2312"/>
          <w:sz w:val="30"/>
          <w:szCs w:val="30"/>
        </w:rPr>
      </w:pPr>
    </w:p>
    <w:p w14:paraId="23F120D9">
      <w:pPr>
        <w:spacing w:line="560" w:lineRule="exact"/>
        <w:ind w:right="600"/>
        <w:jc w:val="right"/>
        <w:rPr>
          <w:rFonts w:ascii="仿宋_GB2312" w:hAnsi="仿宋_GB2312" w:eastAsia="仿宋_GB2312"/>
          <w:sz w:val="30"/>
          <w:szCs w:val="30"/>
        </w:rPr>
      </w:pPr>
      <w:r>
        <w:rPr>
          <w:rFonts w:ascii="仿宋_GB2312" w:hAnsi="仿宋_GB2312" w:eastAsia="仿宋_GB2312"/>
          <w:sz w:val="30"/>
          <w:szCs w:val="30"/>
        </w:rPr>
        <w:t>声明人：</w:t>
      </w:r>
    </w:p>
    <w:p w14:paraId="2EBB72CF">
      <w:pPr>
        <w:spacing w:line="560" w:lineRule="exact"/>
        <w:ind w:right="450"/>
        <w:jc w:val="righ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年  月  日</w:t>
      </w:r>
      <w:r>
        <w:br w:type="page"/>
      </w:r>
    </w:p>
    <w:p w14:paraId="1045877E">
      <w:pPr>
        <w:widowControl/>
        <w:jc w:val="left"/>
        <w:rPr>
          <w:rFonts w:ascii="仿宋_GB2312" w:hAnsi="仿宋_GB2312" w:eastAsia="仿宋_GB2312"/>
          <w:sz w:val="28"/>
        </w:rPr>
      </w:pPr>
      <w:r>
        <w:rPr>
          <w:rFonts w:ascii="仿宋_GB2312" w:hAnsi="仿宋_GB2312" w:eastAsia="仿宋_GB2312"/>
          <w:b/>
          <w:bCs/>
          <w:sz w:val="30"/>
          <w:szCs w:val="30"/>
        </w:rPr>
        <w:t>附件4</w:t>
      </w:r>
    </w:p>
    <w:p w14:paraId="0C140EF0">
      <w:pPr>
        <w:rPr>
          <w:rFonts w:ascii="仿宋_GB2312" w:hAnsi="仿宋_GB2312" w:eastAsia="仿宋_GB2312"/>
          <w:sz w:val="30"/>
          <w:szCs w:val="30"/>
        </w:rPr>
      </w:pPr>
    </w:p>
    <w:p w14:paraId="6CDB82F6">
      <w:pPr>
        <w:keepNext/>
        <w:keepLines/>
        <w:numPr>
          <w:ilvl w:val="0"/>
          <w:numId w:val="0"/>
        </w:numPr>
        <w:spacing w:line="540" w:lineRule="exact"/>
        <w:jc w:val="center"/>
        <w:outlineLvl w:val="0"/>
        <w:rPr>
          <w:rFonts w:ascii="黑体" w:hAnsi="黑体" w:eastAsia="黑体" w:cs="Arial Unicode MS;Times New Roma"/>
          <w:b/>
          <w:bCs/>
          <w:kern w:val="2"/>
          <w:sz w:val="44"/>
          <w:szCs w:val="44"/>
        </w:rPr>
      </w:pPr>
      <w:bookmarkStart w:id="62" w:name="__RefHeading___Toc189646168"/>
      <w:bookmarkEnd w:id="62"/>
      <w:r>
        <w:rPr>
          <w:rFonts w:ascii="黑体" w:hAnsi="黑体" w:eastAsia="黑体" w:cs="Arial Unicode MS;Times New Roma"/>
          <w:b/>
          <w:bCs/>
          <w:kern w:val="2"/>
          <w:sz w:val="44"/>
          <w:szCs w:val="44"/>
        </w:rPr>
        <w:t>独立董事提名人声明与承诺</w:t>
      </w:r>
    </w:p>
    <w:p w14:paraId="676DC4EF">
      <w:pPr>
        <w:spacing w:line="560" w:lineRule="exact"/>
        <w:rPr>
          <w:rFonts w:ascii="仿宋_GB2312" w:hAnsi="仿宋_GB2312" w:eastAsia="仿宋_GB2312" w:cs="Arial Unicode MS;Times New Roma"/>
          <w:b/>
          <w:bCs/>
          <w:kern w:val="2"/>
          <w:sz w:val="30"/>
          <w:szCs w:val="30"/>
        </w:rPr>
      </w:pPr>
    </w:p>
    <w:p w14:paraId="58ACB8AF">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提名人XXXX，现提名XXX为XXXX股份有限公司第XX届董事会独立董事候选人，并已充分了解被提名人职业、学历、职称、详细的工作经历、全部兼职、有无重大失信等不良记录等情况。被提名人已同意出任XXXX股份有限公司第XX届董事会独立董事候选人（参见该独立董事候选人声明）。提名人认为，被提名人具备独立董事任职资格，与XXXX股份有限公司之间不存在任何影响其独立性的关系，具体声明并承诺如下：</w:t>
      </w:r>
    </w:p>
    <w:p w14:paraId="6862DC8A">
      <w:pPr>
        <w:tabs>
          <w:tab w:val="left" w:pos="720"/>
        </w:tabs>
        <w:spacing w:line="560" w:lineRule="exact"/>
        <w:ind w:right="0" w:firstLine="564"/>
        <w:rPr>
          <w:rFonts w:ascii="仿宋_GB2312" w:hAnsi="仿宋_GB2312" w:eastAsia="仿宋_GB2312"/>
          <w:bCs/>
          <w:sz w:val="30"/>
          <w:szCs w:val="30"/>
        </w:rPr>
      </w:pPr>
      <w:r>
        <w:rPr>
          <w:rFonts w:ascii="仿宋_GB2312" w:hAnsi="仿宋_GB2312" w:eastAsia="仿宋_GB2312"/>
          <w:sz w:val="30"/>
          <w:szCs w:val="30"/>
        </w:rPr>
        <w:t>一、被提名人</w:t>
      </w:r>
      <w:r>
        <w:rPr>
          <w:rFonts w:ascii="仿宋_GB2312" w:hAnsi="仿宋_GB2312" w:eastAsia="仿宋_GB2312"/>
          <w:bCs/>
          <w:sz w:val="30"/>
          <w:szCs w:val="30"/>
        </w:rPr>
        <w:t>具备上市公司运作的基本知识，熟悉相关法律、行政法规、规章及其他规范性文件，具有5年以上法律、经济、会计、财务、管理或者其他履行独立董事职责所必需的工作经验。</w:t>
      </w:r>
    </w:p>
    <w:p w14:paraId="7BDB3E8F">
      <w:pPr>
        <w:tabs>
          <w:tab w:val="left" w:pos="720"/>
        </w:tabs>
        <w:spacing w:line="560" w:lineRule="exact"/>
        <w:ind w:right="0" w:firstLine="564"/>
        <w:rPr>
          <w:rFonts w:ascii="仿宋_GB2312" w:hAnsi="仿宋_GB2312" w:eastAsia="仿宋_GB2312"/>
          <w:bCs/>
          <w:sz w:val="30"/>
          <w:szCs w:val="30"/>
        </w:rPr>
      </w:pPr>
      <w:r>
        <w:rPr>
          <w:rFonts w:ascii="仿宋_GB2312" w:hAnsi="仿宋_GB2312" w:eastAsia="仿宋_GB2312"/>
          <w:bCs/>
          <w:sz w:val="30"/>
          <w:szCs w:val="30"/>
        </w:rPr>
        <w:t>被提名人已经参加培训并取得证券交易所认可的相关培训证明材料（如有）。</w:t>
      </w:r>
    </w:p>
    <w:p w14:paraId="47275434">
      <w:pPr>
        <w:tabs>
          <w:tab w:val="left" w:pos="720"/>
        </w:tabs>
        <w:spacing w:line="560" w:lineRule="exact"/>
        <w:ind w:right="0" w:firstLine="564"/>
        <w:rPr>
          <w:rFonts w:ascii="仿宋_GB2312" w:hAnsi="仿宋_GB2312" w:eastAsia="仿宋_GB2312"/>
          <w:sz w:val="30"/>
          <w:szCs w:val="30"/>
        </w:rPr>
      </w:pPr>
      <w:r>
        <w:rPr>
          <w:rFonts w:ascii="仿宋_GB2312" w:hAnsi="仿宋_GB2312" w:eastAsia="仿宋_GB2312"/>
          <w:bCs/>
          <w:sz w:val="30"/>
          <w:szCs w:val="30"/>
        </w:rPr>
        <w:t>二、被提名人任职资格符合下列法律、行政法规和部门规章的要求</w:t>
      </w:r>
      <w:r>
        <w:rPr>
          <w:rFonts w:ascii="仿宋_GB2312" w:hAnsi="仿宋_GB2312" w:eastAsia="仿宋_GB2312"/>
          <w:sz w:val="30"/>
          <w:szCs w:val="30"/>
        </w:rPr>
        <w:t>：</w:t>
      </w:r>
    </w:p>
    <w:p w14:paraId="1DC98F84">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（一）《中华人民共和国公司法》关于董事任职资格的规定；</w:t>
      </w:r>
    </w:p>
    <w:p w14:paraId="3B03A0B4">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（二）《中华人民共和国公务员法》关于公务员兼任职务的规定（如适用）；</w:t>
      </w:r>
    </w:p>
    <w:p w14:paraId="4AC46FCC">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（三）中国证监会《上市公司独立董事管理办法》、上海证券交易所自律监管规则以及公司章程有关独立董事任职资格和条件的相关规定；</w:t>
      </w:r>
    </w:p>
    <w:p w14:paraId="3D73F6E3">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（四）中共中央纪委、中共中央组织部《关于规范中管干部辞去公职或者退（离）休后担任上市公司、基金管理公司独立董事、独立监事的通知》的规定（如适用）；</w:t>
      </w:r>
    </w:p>
    <w:p w14:paraId="6EEE1916">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（五）中共中央组织部《关于进一步规范党政领导干部在企业兼职（任职）问题的意见》的相关规定（如适用）；</w:t>
      </w:r>
    </w:p>
    <w:p w14:paraId="61AD6762">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（六）中共中央纪委、教育部、监察部《关于加强高等学校反腐倡廉建设的意见》的相关规定（如适用）；</w:t>
      </w:r>
    </w:p>
    <w:p w14:paraId="3BF6C4FF">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（七）中国人民银行《股份制商业银行独立董事和外部监事制度指引》等的相关规定（如适用）；</w:t>
      </w:r>
    </w:p>
    <w:p w14:paraId="3F29CAD4">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（八）中国证监会《证券基金经营机构董事、监事、高级管理人员及从业人员监督管理办法》等的相关规定（如适用）；</w:t>
      </w:r>
    </w:p>
    <w:p w14:paraId="1665FA39">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（九）《银行业金融机构董事（理事）和高级管理人员任职资格管理办法》《保险公司董事、监事和高级管理人员任职资格管理规定》《保险机构独立董事管理办法》等的相关规定（如适用）；</w:t>
      </w:r>
    </w:p>
    <w:p w14:paraId="156D04E2">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（十）其他法律法规、部门规章、规范性文件和上海证券交易所规定的情形。</w:t>
      </w:r>
    </w:p>
    <w:p w14:paraId="53A833D9">
      <w:pPr>
        <w:tabs>
          <w:tab w:val="left" w:pos="720"/>
        </w:tabs>
        <w:spacing w:line="560" w:lineRule="exact"/>
        <w:ind w:right="0" w:firstLine="564"/>
        <w:rPr>
          <w:rFonts w:ascii="仿宋_GB2312" w:hAnsi="仿宋_GB2312" w:eastAsia="仿宋_GB2312"/>
          <w:bCs/>
          <w:sz w:val="30"/>
          <w:szCs w:val="30"/>
        </w:rPr>
      </w:pPr>
      <w:r>
        <w:rPr>
          <w:rFonts w:ascii="仿宋_GB2312" w:hAnsi="仿宋_GB2312" w:eastAsia="仿宋_GB2312"/>
          <w:bCs/>
          <w:sz w:val="30"/>
          <w:szCs w:val="30"/>
        </w:rPr>
        <w:t>三、被提名人具备独立性，不属于下列情形：</w:t>
      </w:r>
    </w:p>
    <w:p w14:paraId="45AA292E">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（一）在上市公司或者其附属企业任职的人员及其配偶、父母、子女、主要社会关系（主要社会关系是指兄弟姐妹、兄弟姐妹的配偶、配偶的父母、配偶的兄弟姐妹、子女的配偶、子女配偶的父母等）；</w:t>
      </w:r>
    </w:p>
    <w:p w14:paraId="18484483">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（二）直接或者间接持有上市公司已发行股份1%以上或者是上市公司前十名股东中的自然人股东及其配偶、父母、子女；</w:t>
      </w:r>
    </w:p>
    <w:p w14:paraId="1A784A7B">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（三）在直接或者间接持有上市公司已发行股份5%以上的股东或者在上市公司前五名股东任职的人员及其配偶、父母、子女；</w:t>
      </w:r>
    </w:p>
    <w:p w14:paraId="27F93A0B">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（四）在上市公司控股股东、实际控制人的附属企业任职的人员及其配偶、父母、子女；</w:t>
      </w:r>
    </w:p>
    <w:p w14:paraId="591C2CA6">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（五）与上市公司及其控股股东、实际控制人或者其各自的附属企业有重大业务往来的人员，或者在有重大业务往来的单位及其控股股东、实际控制人任职的人员；</w:t>
      </w:r>
    </w:p>
    <w:p w14:paraId="6F747D26">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78DC1499">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（七）最近12个月内曾经具有前六项所列举情形的人员；</w:t>
      </w:r>
    </w:p>
    <w:p w14:paraId="4DF6028C">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（八）其他上海证券交易所认定不具备独立性的情形。</w:t>
      </w:r>
    </w:p>
    <w:p w14:paraId="042BB9B6">
      <w:pPr>
        <w:tabs>
          <w:tab w:val="left" w:pos="720"/>
        </w:tabs>
        <w:spacing w:line="560" w:lineRule="exact"/>
        <w:ind w:right="0" w:firstLine="600"/>
        <w:rPr>
          <w:rFonts w:ascii="仿宋_GB2312" w:hAnsi="仿宋_GB2312" w:eastAsia="仿宋_GB2312"/>
          <w:bCs/>
          <w:sz w:val="30"/>
          <w:szCs w:val="30"/>
        </w:rPr>
      </w:pPr>
      <w:r>
        <w:rPr>
          <w:rFonts w:ascii="仿宋_GB2312" w:hAnsi="仿宋_GB2312" w:eastAsia="仿宋_GB2312"/>
          <w:bCs/>
          <w:sz w:val="30"/>
          <w:szCs w:val="30"/>
        </w:rPr>
        <w:t>四、独立董事候选人无下列不良记录：</w:t>
      </w:r>
    </w:p>
    <w:p w14:paraId="534D26F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（一）最近36个月内受到中国证监会行政处罚或者司法机关刑事处罚的；</w:t>
      </w:r>
    </w:p>
    <w:p w14:paraId="21668F9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（二）因涉嫌证券期货违法犯罪，被中国证监会立案调查或者被司法机关立案侦查，尚未有明确结论意见的；</w:t>
      </w:r>
    </w:p>
    <w:p w14:paraId="1F6E8AA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（三）最近36个月内受到证券交易所公开谴责或3次以上通报批评的；</w:t>
      </w:r>
    </w:p>
    <w:p w14:paraId="74FD04B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（四）存在重大失信等不良记录；</w:t>
      </w:r>
    </w:p>
    <w:p w14:paraId="19B2B45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（五）本所认定的其他情形。</w:t>
      </w:r>
    </w:p>
    <w:p w14:paraId="06ACE9B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五、被提名人不是过往任职独立董事期间因连续两次未能亲自出席也不委托其他董事出席董事会会议被董事会提议召开股东会予以解除职务的人员，如是，需说明自解除职务之日起是否届满十二个月。</w:t>
      </w:r>
    </w:p>
    <w:p w14:paraId="031A1DED">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六、包括XXXX股份有限公司在内，被提名人兼任独立董事的境内上市公司数量未超过三家，被提名人在XXXX股份有限公司连续任职未超过六年。</w:t>
      </w:r>
    </w:p>
    <w:p w14:paraId="7DDB5BDA">
      <w:pPr>
        <w:widowControl/>
        <w:shd w:val="clear" w:fill="FFFFFF"/>
        <w:spacing w:line="600" w:lineRule="exact"/>
        <w:ind w:right="0" w:firstLine="601"/>
        <w:rPr>
          <w:rFonts w:ascii="仿宋_GB2312" w:hAnsi="仿宋_GB2312" w:eastAsia="仿宋_GB2312"/>
          <w:sz w:val="30"/>
          <w:szCs w:val="30"/>
        </w:rPr>
      </w:pPr>
      <w:r>
        <w:rPr>
          <w:rFonts w:ascii="仿宋_GB2312" w:hAnsi="仿宋_GB2312" w:eastAsia="仿宋_GB2312"/>
          <w:sz w:val="30"/>
          <w:szCs w:val="30"/>
        </w:rPr>
        <w:t>七、以会计专业人士身份被提名的，被提名人具备较丰富的会计专业知识和经验，并至少具备注册会计师，会计、审计或者财务管理专业的高级职称、副教授及以上职称或者博士学位，经济管理方面高级职称，且在会计、审计或者财务管理等专业岗位有5年以上全职工作经验等三类资格之一。（本条适用于以会计专业人士身份被提名为独立董事候选人的情形，请具体选择符合何种资格）。</w:t>
      </w:r>
    </w:p>
    <w:p w14:paraId="61859903">
      <w:pPr>
        <w:widowControl/>
        <w:shd w:val="clear" w:fill="FFFFFF"/>
        <w:spacing w:line="600" w:lineRule="exact"/>
        <w:ind w:right="0" w:firstLine="601"/>
        <w:rPr>
          <w:rFonts w:ascii="仿宋_GB2312" w:hAnsi="仿宋_GB2312" w:eastAsia="仿宋_GB2312"/>
          <w:sz w:val="30"/>
          <w:szCs w:val="30"/>
        </w:rPr>
      </w:pPr>
      <w:r>
        <w:rPr>
          <w:rFonts w:ascii="仿宋_GB2312" w:hAnsi="仿宋_GB2312" w:eastAsia="仿宋_GB2312"/>
          <w:sz w:val="30"/>
          <w:szCs w:val="30"/>
        </w:rPr>
        <w:t>八、被提名人不存在影响独立董事诚信或者其他影响任职资格的情况。</w:t>
      </w:r>
    </w:p>
    <w:p w14:paraId="6F888678">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被提名人已经通过XXXX股份有限公司第XX届董事会提名委员会资格审查，本提名人与被提名人不存在利害关系或者其他可能影响独立履职情形的密切关系。</w:t>
      </w:r>
    </w:p>
    <w:p w14:paraId="4AA7617E">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 xml:space="preserve">本提名人已经根据《上海证券交易所上市公司自律监管指引第1号——规范运作》对独立董事候选人任职资格进行核实并确认符合要求。 </w:t>
      </w:r>
    </w:p>
    <w:p w14:paraId="77E364B9">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 xml:space="preserve">本提名人保证上述声明真实、完整和准确，不存在任何虚假陈述或误导成分，本提名人完全明白作出虚假声明可能导致的后果。 </w:t>
      </w:r>
    </w:p>
    <w:p w14:paraId="0CBA00AC">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特此声明。</w:t>
      </w:r>
    </w:p>
    <w:p w14:paraId="49E19F2F">
      <w:pPr>
        <w:spacing w:line="560" w:lineRule="exact"/>
        <w:ind w:right="0" w:firstLine="600"/>
        <w:rPr>
          <w:rFonts w:ascii="仿宋_GB2312" w:hAnsi="仿宋_GB2312" w:eastAsia="仿宋_GB2312"/>
          <w:sz w:val="30"/>
          <w:szCs w:val="30"/>
        </w:rPr>
      </w:pPr>
    </w:p>
    <w:p w14:paraId="08C6068A">
      <w:pPr>
        <w:spacing w:line="560" w:lineRule="exact"/>
        <w:ind w:right="0" w:firstLine="600"/>
        <w:rPr>
          <w:rFonts w:ascii="仿宋_GB2312" w:hAnsi="仿宋_GB2312" w:eastAsia="仿宋_GB2312"/>
          <w:sz w:val="30"/>
          <w:szCs w:val="30"/>
        </w:rPr>
      </w:pPr>
    </w:p>
    <w:p w14:paraId="526195D9">
      <w:pPr>
        <w:spacing w:line="560" w:lineRule="exact"/>
        <w:ind w:right="600" w:firstLine="6600"/>
        <w:rPr>
          <w:rFonts w:ascii="仿宋_GB2312" w:hAnsi="仿宋_GB2312" w:eastAsia="仿宋_GB2312"/>
          <w:sz w:val="30"/>
          <w:szCs w:val="30"/>
        </w:rPr>
      </w:pPr>
      <w:r>
        <w:rPr>
          <w:rFonts w:ascii="仿宋_GB2312" w:hAnsi="仿宋_GB2312" w:eastAsia="仿宋_GB2312"/>
          <w:sz w:val="30"/>
          <w:szCs w:val="30"/>
        </w:rPr>
        <w:t>提名人：</w:t>
      </w:r>
    </w:p>
    <w:p w14:paraId="40A38A42">
      <w:pPr>
        <w:spacing w:line="560" w:lineRule="exact"/>
        <w:ind w:right="600"/>
        <w:jc w:val="righ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（盖章）</w:t>
      </w:r>
    </w:p>
    <w:p w14:paraId="4A13E3DA">
      <w:pPr>
        <w:spacing w:line="560" w:lineRule="exact"/>
        <w:ind w:right="450"/>
        <w:jc w:val="right"/>
        <w:rPr>
          <w:rFonts w:ascii="仿宋_GB2312" w:hAnsi="仿宋_GB2312" w:eastAsia="仿宋_GB2312"/>
          <w:sz w:val="30"/>
          <w:szCs w:val="30"/>
        </w:rPr>
        <w:sectPr>
          <w:headerReference r:id="rId3" w:type="default"/>
          <w:footerReference r:id="rId4" w:type="default"/>
          <w:pgSz w:w="11906" w:h="16838"/>
          <w:pgMar w:top="1440" w:right="1800" w:bottom="1440" w:left="1800" w:header="0" w:footer="992" w:gutter="0"/>
          <w:pgNumType w:fmt="decimal"/>
          <w:cols w:space="720" w:num="1"/>
          <w:formProt w:val="0"/>
          <w:docGrid w:type="lines" w:linePitch="312" w:charSpace="0"/>
        </w:sectPr>
      </w:pPr>
      <w:r>
        <w:rPr>
          <w:rFonts w:ascii="仿宋_GB2312" w:hAnsi="仿宋_GB2312" w:eastAsia="仿宋_GB2312" w:cs="仿宋_GB2312"/>
          <w:sz w:val="30"/>
          <w:szCs w:val="30"/>
        </w:rPr>
        <w:t xml:space="preserve">   </w:t>
      </w:r>
      <w:r>
        <w:rPr>
          <w:rFonts w:ascii="仿宋_GB2312" w:hAnsi="仿宋_GB2312" w:eastAsia="仿宋_GB2312"/>
          <w:sz w:val="30"/>
          <w:szCs w:val="30"/>
        </w:rPr>
        <w:t>年  月  日</w:t>
      </w:r>
    </w:p>
    <w:p w14:paraId="6D089074">
      <w:pPr>
        <w:rPr>
          <w:rFonts w:ascii="仿宋_GB2312" w:hAnsi="仿宋_GB2312" w:eastAsia="仿宋_GB2312"/>
          <w:b/>
          <w:bCs/>
          <w:sz w:val="30"/>
          <w:szCs w:val="30"/>
        </w:rPr>
      </w:pPr>
      <w:r>
        <w:rPr>
          <w:rFonts w:ascii="仿宋_GB2312" w:hAnsi="仿宋_GB2312" w:eastAsia="仿宋_GB2312"/>
          <w:b/>
          <w:bCs/>
          <w:sz w:val="30"/>
          <w:szCs w:val="30"/>
        </w:rPr>
        <w:t>附件5</w:t>
      </w:r>
    </w:p>
    <w:p w14:paraId="0A9A64DA">
      <w:pPr>
        <w:pStyle w:val="2"/>
        <w:spacing w:before="0" w:after="156"/>
        <w:ind w:left="0" w:firstLine="0"/>
        <w:rPr>
          <w:rFonts w:ascii="黑体" w:hAnsi="黑体" w:eastAsia="黑体" w:cs="黑体"/>
          <w:sz w:val="44"/>
        </w:rPr>
      </w:pPr>
      <w:bookmarkStart w:id="63" w:name="__RefHeading___Toc189646169"/>
      <w:bookmarkEnd w:id="63"/>
      <w:r>
        <w:rPr>
          <w:rFonts w:ascii="黑体" w:hAnsi="黑体" w:eastAsia="黑体" w:cs="黑体"/>
          <w:sz w:val="44"/>
        </w:rPr>
        <w:t>上市公司独立董事候选人履历表</w:t>
      </w:r>
    </w:p>
    <w:tbl>
      <w:tblPr>
        <w:tblStyle w:val="13"/>
        <w:tblW w:w="8472" w:type="dxa"/>
        <w:jc w:val="center"/>
        <w:tblLayout w:type="fixed"/>
        <w:tblCellMar>
          <w:top w:w="0" w:type="dxa"/>
          <w:left w:w="108" w:type="dxa"/>
          <w:bottom w:w="0" w:type="dxa"/>
          <w:right w:w="108" w:type="dxa"/>
        </w:tblCellMar>
      </w:tblPr>
      <w:tblGrid>
        <w:gridCol w:w="1442"/>
        <w:gridCol w:w="238"/>
        <w:gridCol w:w="16"/>
        <w:gridCol w:w="408"/>
        <w:gridCol w:w="673"/>
        <w:gridCol w:w="774"/>
        <w:gridCol w:w="708"/>
        <w:gridCol w:w="1069"/>
        <w:gridCol w:w="65"/>
        <w:gridCol w:w="213"/>
        <w:gridCol w:w="1063"/>
        <w:gridCol w:w="239"/>
        <w:gridCol w:w="10"/>
        <w:gridCol w:w="104"/>
        <w:gridCol w:w="38"/>
        <w:gridCol w:w="318"/>
        <w:gridCol w:w="360"/>
        <w:gridCol w:w="707"/>
        <w:gridCol w:w="27"/>
      </w:tblGrid>
      <w:tr w14:paraId="58662D13">
        <w:tblPrEx>
          <w:tblCellMar>
            <w:top w:w="0" w:type="dxa"/>
            <w:left w:w="108" w:type="dxa"/>
            <w:bottom w:w="0" w:type="dxa"/>
            <w:right w:w="108" w:type="dxa"/>
          </w:tblCellMar>
        </w:tblPrEx>
        <w:trPr>
          <w:trHeight w:val="46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77ABC9C9">
            <w:pPr>
              <w:widowControl/>
              <w:jc w:val="center"/>
              <w:rPr>
                <w:rFonts w:ascii="仿宋_GB2312" w:hAnsi="仿宋_GB2312" w:eastAsia="仿宋_GB2312" w:cs="宋体"/>
                <w:kern w:val="0"/>
              </w:rPr>
            </w:pPr>
            <w:r>
              <w:rPr>
                <w:rFonts w:ascii="仿宋_GB2312" w:hAnsi="仿宋_GB2312" w:eastAsia="仿宋_GB2312" w:cs="宋体"/>
                <w:kern w:val="0"/>
              </w:rPr>
              <w:t>上市公司名称</w:t>
            </w:r>
          </w:p>
        </w:tc>
        <w:tc>
          <w:tcPr>
            <w:tcW w:w="3697" w:type="dxa"/>
            <w:gridSpan w:val="6"/>
            <w:tcBorders>
              <w:top w:val="single" w:color="000000" w:sz="4" w:space="0"/>
              <w:left w:val="single" w:color="000000" w:sz="4" w:space="0"/>
              <w:bottom w:val="single" w:color="000000" w:sz="4" w:space="0"/>
              <w:right w:val="single" w:color="000000" w:sz="4" w:space="0"/>
            </w:tcBorders>
            <w:vAlign w:val="center"/>
          </w:tcPr>
          <w:p w14:paraId="6F8D56FE">
            <w:pPr>
              <w:widowControl/>
              <w:snapToGrid w:val="0"/>
              <w:jc w:val="center"/>
              <w:rPr>
                <w:rFonts w:ascii="仿宋_GB2312" w:hAnsi="仿宋_GB2312" w:eastAsia="仿宋_GB2312" w:cs="宋体"/>
                <w:kern w:val="0"/>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54836BC1">
            <w:pPr>
              <w:widowControl/>
              <w:jc w:val="center"/>
              <w:rPr>
                <w:rFonts w:ascii="仿宋_GB2312" w:hAnsi="仿宋_GB2312" w:eastAsia="仿宋_GB2312" w:cs="宋体"/>
                <w:kern w:val="0"/>
              </w:rPr>
            </w:pPr>
            <w:r>
              <w:rPr>
                <w:rFonts w:ascii="仿宋_GB2312" w:hAnsi="仿宋_GB2312" w:eastAsia="仿宋_GB2312" w:cs="宋体"/>
                <w:kern w:val="0"/>
              </w:rPr>
              <w:t>上市公司代码</w:t>
            </w:r>
          </w:p>
        </w:tc>
        <w:tc>
          <w:tcPr>
            <w:tcW w:w="1803" w:type="dxa"/>
            <w:gridSpan w:val="8"/>
            <w:tcBorders>
              <w:top w:val="single" w:color="000000" w:sz="4" w:space="0"/>
              <w:left w:val="single" w:color="000000" w:sz="4" w:space="0"/>
              <w:bottom w:val="single" w:color="000000" w:sz="4" w:space="0"/>
              <w:right w:val="single" w:color="000000" w:sz="4" w:space="0"/>
            </w:tcBorders>
            <w:vAlign w:val="center"/>
          </w:tcPr>
          <w:p w14:paraId="12C0194F">
            <w:pPr>
              <w:widowControl/>
              <w:snapToGrid w:val="0"/>
              <w:jc w:val="center"/>
              <w:rPr>
                <w:rFonts w:ascii="仿宋_GB2312" w:hAnsi="仿宋_GB2312" w:eastAsia="仿宋_GB2312" w:cs="宋体"/>
                <w:kern w:val="0"/>
              </w:rPr>
            </w:pPr>
          </w:p>
        </w:tc>
      </w:tr>
      <w:tr w14:paraId="7304F010">
        <w:trPr>
          <w:trHeight w:val="312" w:hRule="atLeast"/>
          <w:jc w:val="center"/>
        </w:trPr>
        <w:tc>
          <w:tcPr>
            <w:tcW w:w="8472" w:type="dxa"/>
            <w:gridSpan w:val="19"/>
            <w:tcBorders>
              <w:top w:val="single" w:color="000000" w:sz="4" w:space="0"/>
              <w:left w:val="single" w:color="000000" w:sz="4" w:space="0"/>
              <w:bottom w:val="single" w:color="000000" w:sz="4" w:space="0"/>
              <w:right w:val="single" w:color="000000" w:sz="4" w:space="0"/>
            </w:tcBorders>
            <w:vAlign w:val="center"/>
          </w:tcPr>
          <w:p w14:paraId="0A450BC1">
            <w:pPr>
              <w:widowControl/>
              <w:jc w:val="center"/>
              <w:rPr>
                <w:rFonts w:ascii="仿宋_GB2312" w:hAnsi="仿宋_GB2312" w:eastAsia="仿宋_GB2312" w:cs="宋体"/>
                <w:kern w:val="0"/>
              </w:rPr>
            </w:pPr>
            <w:r>
              <w:rPr>
                <w:rFonts w:ascii="仿宋_GB2312" w:hAnsi="仿宋_GB2312" w:eastAsia="仿宋_GB2312" w:cs="宋体"/>
                <w:kern w:val="0"/>
              </w:rPr>
              <w:t>一、个人情况</w:t>
            </w:r>
          </w:p>
        </w:tc>
      </w:tr>
      <w:tr w14:paraId="0CB11AF0">
        <w:tblPrEx>
          <w:tblCellMar>
            <w:top w:w="0" w:type="dxa"/>
            <w:left w:w="108" w:type="dxa"/>
            <w:bottom w:w="0" w:type="dxa"/>
            <w:right w:w="108" w:type="dxa"/>
          </w:tblCellMar>
        </w:tblPrEx>
        <w:trPr>
          <w:trHeight w:val="31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6A9DCA9B">
            <w:pPr>
              <w:widowControl/>
              <w:jc w:val="center"/>
              <w:rPr>
                <w:rFonts w:ascii="仿宋_GB2312" w:hAnsi="仿宋_GB2312" w:eastAsia="仿宋_GB2312" w:cs="宋体"/>
                <w:kern w:val="0"/>
              </w:rPr>
            </w:pPr>
            <w:r>
              <w:rPr>
                <w:rFonts w:ascii="仿宋_GB2312" w:hAnsi="仿宋_GB2312" w:eastAsia="仿宋_GB2312" w:cs="宋体"/>
                <w:kern w:val="0"/>
              </w:rPr>
              <w:t>姓名</w:t>
            </w:r>
          </w:p>
        </w:tc>
        <w:tc>
          <w:tcPr>
            <w:tcW w:w="1855" w:type="dxa"/>
            <w:gridSpan w:val="3"/>
            <w:tcBorders>
              <w:top w:val="single" w:color="000000" w:sz="4" w:space="0"/>
              <w:bottom w:val="single" w:color="000000" w:sz="4" w:space="0"/>
              <w:right w:val="single" w:color="000000" w:sz="4" w:space="0"/>
            </w:tcBorders>
            <w:vAlign w:val="center"/>
          </w:tcPr>
          <w:p w14:paraId="2B26E851">
            <w:pPr>
              <w:widowControl/>
              <w:snapToGrid w:val="0"/>
              <w:jc w:val="center"/>
              <w:rPr>
                <w:rFonts w:ascii="仿宋_GB2312" w:hAnsi="仿宋_GB2312" w:eastAsia="仿宋_GB2312" w:cs="宋体"/>
                <w:kern w:val="0"/>
              </w:rPr>
            </w:pPr>
          </w:p>
        </w:tc>
        <w:tc>
          <w:tcPr>
            <w:tcW w:w="1842" w:type="dxa"/>
            <w:gridSpan w:val="3"/>
            <w:tcBorders>
              <w:top w:val="single" w:color="000000" w:sz="4" w:space="0"/>
              <w:bottom w:val="single" w:color="000000" w:sz="4" w:space="0"/>
              <w:right w:val="single" w:color="000000" w:sz="4" w:space="0"/>
            </w:tcBorders>
            <w:vAlign w:val="center"/>
          </w:tcPr>
          <w:p w14:paraId="241A9CA8">
            <w:pPr>
              <w:widowControl/>
              <w:jc w:val="center"/>
              <w:rPr>
                <w:rFonts w:ascii="仿宋_GB2312" w:hAnsi="仿宋_GB2312" w:eastAsia="仿宋_GB2312" w:cs="宋体"/>
                <w:kern w:val="0"/>
              </w:rPr>
            </w:pPr>
            <w:r>
              <w:rPr>
                <w:rFonts w:ascii="仿宋_GB2312" w:hAnsi="仿宋_GB2312" w:eastAsia="仿宋_GB2312" w:cs="宋体"/>
                <w:kern w:val="0"/>
              </w:rPr>
              <w:t>曾用名</w:t>
            </w:r>
          </w:p>
        </w:tc>
        <w:tc>
          <w:tcPr>
            <w:tcW w:w="1276" w:type="dxa"/>
            <w:gridSpan w:val="2"/>
            <w:tcBorders>
              <w:top w:val="single" w:color="000000" w:sz="4" w:space="0"/>
              <w:bottom w:val="single" w:color="000000" w:sz="4" w:space="0"/>
              <w:right w:val="single" w:color="000000" w:sz="4" w:space="0"/>
            </w:tcBorders>
            <w:vAlign w:val="center"/>
          </w:tcPr>
          <w:p w14:paraId="58A4997F">
            <w:pPr>
              <w:widowControl/>
              <w:snapToGrid w:val="0"/>
              <w:jc w:val="center"/>
              <w:rPr>
                <w:rFonts w:ascii="仿宋_GB2312" w:hAnsi="仿宋_GB2312" w:eastAsia="仿宋_GB2312" w:cs="宋体"/>
                <w:kern w:val="0"/>
              </w:rPr>
            </w:pPr>
          </w:p>
        </w:tc>
        <w:tc>
          <w:tcPr>
            <w:tcW w:w="1803" w:type="dxa"/>
            <w:gridSpan w:val="8"/>
            <w:vMerge w:val="restart"/>
            <w:tcBorders>
              <w:top w:val="single" w:color="000000" w:sz="4" w:space="0"/>
              <w:right w:val="single" w:color="000000" w:sz="4" w:space="0"/>
            </w:tcBorders>
            <w:vAlign w:val="center"/>
          </w:tcPr>
          <w:p w14:paraId="4C73F6F9">
            <w:pPr>
              <w:widowControl/>
              <w:jc w:val="center"/>
              <w:rPr>
                <w:rFonts w:ascii="仿宋_GB2312" w:hAnsi="仿宋_GB2312" w:eastAsia="仿宋_GB2312" w:cs="宋体"/>
                <w:kern w:val="0"/>
              </w:rPr>
            </w:pPr>
            <w:r>
              <w:rPr>
                <w:rFonts w:ascii="仿宋_GB2312" w:hAnsi="仿宋_GB2312" w:eastAsia="仿宋_GB2312" w:cs="宋体"/>
                <w:kern w:val="0"/>
              </w:rPr>
              <w:t>照 片</w:t>
            </w:r>
          </w:p>
        </w:tc>
      </w:tr>
      <w:tr w14:paraId="3A6189F7">
        <w:trPr>
          <w:trHeight w:val="31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40C37D1C">
            <w:pPr>
              <w:widowControl/>
              <w:jc w:val="center"/>
              <w:rPr>
                <w:rFonts w:ascii="仿宋_GB2312" w:hAnsi="仿宋_GB2312" w:eastAsia="仿宋_GB2312" w:cs="宋体"/>
                <w:kern w:val="0"/>
              </w:rPr>
            </w:pPr>
            <w:r>
              <w:rPr>
                <w:rFonts w:ascii="仿宋_GB2312" w:hAnsi="仿宋_GB2312" w:eastAsia="仿宋_GB2312" w:cs="宋体"/>
                <w:kern w:val="0"/>
              </w:rPr>
              <w:t>性别</w:t>
            </w:r>
          </w:p>
        </w:tc>
        <w:tc>
          <w:tcPr>
            <w:tcW w:w="1855" w:type="dxa"/>
            <w:gridSpan w:val="3"/>
            <w:tcBorders>
              <w:top w:val="single" w:color="000000" w:sz="4" w:space="0"/>
              <w:bottom w:val="single" w:color="000000" w:sz="4" w:space="0"/>
              <w:right w:val="single" w:color="000000" w:sz="4" w:space="0"/>
            </w:tcBorders>
            <w:vAlign w:val="center"/>
          </w:tcPr>
          <w:p w14:paraId="4F486833">
            <w:pPr>
              <w:widowControl/>
              <w:snapToGrid w:val="0"/>
              <w:jc w:val="center"/>
              <w:rPr>
                <w:rFonts w:ascii="仿宋_GB2312" w:hAnsi="仿宋_GB2312" w:eastAsia="仿宋_GB2312" w:cs="宋体"/>
                <w:kern w:val="0"/>
              </w:rPr>
            </w:pPr>
          </w:p>
        </w:tc>
        <w:tc>
          <w:tcPr>
            <w:tcW w:w="1842" w:type="dxa"/>
            <w:gridSpan w:val="3"/>
            <w:tcBorders>
              <w:top w:val="single" w:color="000000" w:sz="4" w:space="0"/>
              <w:bottom w:val="single" w:color="000000" w:sz="4" w:space="0"/>
              <w:right w:val="single" w:color="000000" w:sz="4" w:space="0"/>
            </w:tcBorders>
            <w:vAlign w:val="center"/>
          </w:tcPr>
          <w:p w14:paraId="1F6D2DA2">
            <w:pPr>
              <w:widowControl/>
              <w:jc w:val="center"/>
              <w:rPr>
                <w:rFonts w:ascii="仿宋_GB2312" w:hAnsi="仿宋_GB2312" w:eastAsia="仿宋_GB2312" w:cs="宋体"/>
                <w:kern w:val="0"/>
              </w:rPr>
            </w:pPr>
            <w:r>
              <w:rPr>
                <w:rFonts w:ascii="仿宋_GB2312" w:hAnsi="仿宋_GB2312" w:eastAsia="仿宋_GB2312" w:cs="宋体"/>
                <w:kern w:val="0"/>
              </w:rPr>
              <w:t>民族</w:t>
            </w:r>
          </w:p>
        </w:tc>
        <w:tc>
          <w:tcPr>
            <w:tcW w:w="1276" w:type="dxa"/>
            <w:gridSpan w:val="2"/>
            <w:tcBorders>
              <w:top w:val="single" w:color="000000" w:sz="4" w:space="0"/>
              <w:bottom w:val="single" w:color="000000" w:sz="4" w:space="0"/>
              <w:right w:val="single" w:color="000000" w:sz="4" w:space="0"/>
            </w:tcBorders>
            <w:vAlign w:val="center"/>
          </w:tcPr>
          <w:p w14:paraId="793875AE">
            <w:pPr>
              <w:widowControl/>
              <w:snapToGrid w:val="0"/>
              <w:jc w:val="center"/>
              <w:rPr>
                <w:rFonts w:ascii="仿宋_GB2312" w:hAnsi="仿宋_GB2312" w:eastAsia="仿宋_GB2312" w:cs="宋体"/>
                <w:kern w:val="0"/>
              </w:rPr>
            </w:pPr>
          </w:p>
        </w:tc>
        <w:tc>
          <w:tcPr>
            <w:tcW w:w="1803" w:type="dxa"/>
            <w:gridSpan w:val="8"/>
            <w:vMerge w:val="continue"/>
            <w:tcBorders>
              <w:top w:val="single" w:color="000000" w:sz="4" w:space="0"/>
              <w:right w:val="single" w:color="000000" w:sz="4" w:space="0"/>
            </w:tcBorders>
            <w:vAlign w:val="center"/>
          </w:tcPr>
          <w:p w14:paraId="2DB0CF14">
            <w:pPr>
              <w:widowControl/>
              <w:snapToGrid w:val="0"/>
              <w:jc w:val="center"/>
              <w:rPr>
                <w:rFonts w:ascii="仿宋_GB2312" w:hAnsi="仿宋_GB2312" w:eastAsia="仿宋_GB2312" w:cs="宋体"/>
                <w:kern w:val="0"/>
              </w:rPr>
            </w:pPr>
          </w:p>
        </w:tc>
      </w:tr>
      <w:tr w14:paraId="12B82EC8">
        <w:tblPrEx>
          <w:tblCellMar>
            <w:top w:w="0" w:type="dxa"/>
            <w:left w:w="108" w:type="dxa"/>
            <w:bottom w:w="0" w:type="dxa"/>
            <w:right w:w="108" w:type="dxa"/>
          </w:tblCellMar>
        </w:tblPrEx>
        <w:trPr>
          <w:trHeight w:val="31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5A68E945">
            <w:pPr>
              <w:widowControl/>
              <w:jc w:val="center"/>
              <w:rPr>
                <w:rFonts w:ascii="仿宋_GB2312" w:hAnsi="仿宋_GB2312" w:eastAsia="仿宋_GB2312" w:cs="宋体"/>
                <w:kern w:val="0"/>
              </w:rPr>
            </w:pPr>
            <w:r>
              <w:rPr>
                <w:rFonts w:ascii="仿宋_GB2312" w:hAnsi="仿宋_GB2312" w:eastAsia="仿宋_GB2312" w:cs="宋体"/>
                <w:kern w:val="0"/>
              </w:rPr>
              <w:t>出生日期</w:t>
            </w:r>
          </w:p>
        </w:tc>
        <w:tc>
          <w:tcPr>
            <w:tcW w:w="1855" w:type="dxa"/>
            <w:gridSpan w:val="3"/>
            <w:tcBorders>
              <w:top w:val="single" w:color="000000" w:sz="4" w:space="0"/>
              <w:bottom w:val="single" w:color="000000" w:sz="4" w:space="0"/>
              <w:right w:val="single" w:color="000000" w:sz="4" w:space="0"/>
            </w:tcBorders>
            <w:vAlign w:val="center"/>
          </w:tcPr>
          <w:p w14:paraId="0A44FF3C">
            <w:pPr>
              <w:widowControl/>
              <w:snapToGrid w:val="0"/>
              <w:jc w:val="center"/>
              <w:rPr>
                <w:rFonts w:ascii="仿宋_GB2312" w:hAnsi="仿宋_GB2312" w:eastAsia="仿宋_GB2312" w:cs="宋体"/>
                <w:kern w:val="0"/>
              </w:rPr>
            </w:pPr>
          </w:p>
        </w:tc>
        <w:tc>
          <w:tcPr>
            <w:tcW w:w="1842" w:type="dxa"/>
            <w:gridSpan w:val="3"/>
            <w:tcBorders>
              <w:top w:val="single" w:color="000000" w:sz="4" w:space="0"/>
              <w:bottom w:val="single" w:color="000000" w:sz="4" w:space="0"/>
              <w:right w:val="single" w:color="000000" w:sz="4" w:space="0"/>
            </w:tcBorders>
            <w:vAlign w:val="center"/>
          </w:tcPr>
          <w:p w14:paraId="54A027EB">
            <w:pPr>
              <w:widowControl/>
              <w:jc w:val="center"/>
              <w:rPr>
                <w:rFonts w:ascii="仿宋_GB2312" w:hAnsi="仿宋_GB2312" w:eastAsia="仿宋_GB2312" w:cs="宋体"/>
                <w:kern w:val="0"/>
              </w:rPr>
            </w:pPr>
            <w:r>
              <w:rPr>
                <w:rFonts w:ascii="仿宋_GB2312" w:hAnsi="仿宋_GB2312" w:eastAsia="仿宋_GB2312" w:cs="宋体"/>
                <w:kern w:val="0"/>
              </w:rPr>
              <w:t>政治面貌</w:t>
            </w:r>
          </w:p>
        </w:tc>
        <w:tc>
          <w:tcPr>
            <w:tcW w:w="1276" w:type="dxa"/>
            <w:gridSpan w:val="2"/>
            <w:tcBorders>
              <w:top w:val="single" w:color="000000" w:sz="4" w:space="0"/>
              <w:bottom w:val="single" w:color="000000" w:sz="4" w:space="0"/>
              <w:right w:val="single" w:color="000000" w:sz="4" w:space="0"/>
            </w:tcBorders>
            <w:vAlign w:val="center"/>
          </w:tcPr>
          <w:p w14:paraId="41928DCF">
            <w:pPr>
              <w:widowControl/>
              <w:snapToGrid w:val="0"/>
              <w:jc w:val="center"/>
              <w:rPr>
                <w:rFonts w:ascii="仿宋_GB2312" w:hAnsi="仿宋_GB2312" w:eastAsia="仿宋_GB2312" w:cs="宋体"/>
                <w:kern w:val="0"/>
              </w:rPr>
            </w:pPr>
          </w:p>
        </w:tc>
        <w:tc>
          <w:tcPr>
            <w:tcW w:w="1803" w:type="dxa"/>
            <w:gridSpan w:val="8"/>
            <w:vMerge w:val="continue"/>
            <w:tcBorders>
              <w:top w:val="single" w:color="000000" w:sz="4" w:space="0"/>
              <w:right w:val="single" w:color="000000" w:sz="4" w:space="0"/>
            </w:tcBorders>
            <w:vAlign w:val="center"/>
          </w:tcPr>
          <w:p w14:paraId="38DD8D6B">
            <w:pPr>
              <w:widowControl/>
              <w:snapToGrid w:val="0"/>
              <w:jc w:val="center"/>
              <w:rPr>
                <w:rFonts w:ascii="仿宋_GB2312" w:hAnsi="仿宋_GB2312" w:eastAsia="仿宋_GB2312" w:cs="宋体"/>
                <w:kern w:val="0"/>
              </w:rPr>
            </w:pPr>
          </w:p>
        </w:tc>
      </w:tr>
      <w:tr w14:paraId="0ACACCDE">
        <w:trPr>
          <w:trHeight w:val="31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27783486">
            <w:pPr>
              <w:widowControl/>
              <w:jc w:val="center"/>
              <w:rPr>
                <w:rFonts w:ascii="仿宋_GB2312" w:hAnsi="仿宋_GB2312" w:eastAsia="仿宋_GB2312" w:cs="宋体"/>
                <w:kern w:val="0"/>
              </w:rPr>
            </w:pPr>
            <w:r>
              <w:rPr>
                <w:rFonts w:ascii="仿宋_GB2312" w:hAnsi="仿宋_GB2312" w:eastAsia="仿宋_GB2312" w:cs="宋体"/>
                <w:kern w:val="0"/>
              </w:rPr>
              <w:t>国籍</w:t>
            </w:r>
          </w:p>
        </w:tc>
        <w:tc>
          <w:tcPr>
            <w:tcW w:w="1855" w:type="dxa"/>
            <w:gridSpan w:val="3"/>
            <w:tcBorders>
              <w:top w:val="single" w:color="000000" w:sz="4" w:space="0"/>
              <w:bottom w:val="single" w:color="000000" w:sz="4" w:space="0"/>
              <w:right w:val="single" w:color="000000" w:sz="4" w:space="0"/>
            </w:tcBorders>
            <w:vAlign w:val="center"/>
          </w:tcPr>
          <w:p w14:paraId="5B87B392">
            <w:pPr>
              <w:widowControl/>
              <w:snapToGrid w:val="0"/>
              <w:jc w:val="center"/>
              <w:rPr>
                <w:rFonts w:ascii="仿宋_GB2312" w:hAnsi="仿宋_GB2312" w:eastAsia="仿宋_GB2312" w:cs="宋体"/>
                <w:kern w:val="0"/>
              </w:rPr>
            </w:pPr>
          </w:p>
        </w:tc>
        <w:tc>
          <w:tcPr>
            <w:tcW w:w="1842" w:type="dxa"/>
            <w:gridSpan w:val="3"/>
            <w:tcBorders>
              <w:top w:val="single" w:color="000000" w:sz="4" w:space="0"/>
              <w:bottom w:val="single" w:color="000000" w:sz="4" w:space="0"/>
              <w:right w:val="single" w:color="000000" w:sz="4" w:space="0"/>
            </w:tcBorders>
            <w:vAlign w:val="center"/>
          </w:tcPr>
          <w:p w14:paraId="34404C72">
            <w:pPr>
              <w:widowControl/>
              <w:jc w:val="center"/>
              <w:rPr>
                <w:rFonts w:ascii="仿宋_GB2312" w:hAnsi="仿宋_GB2312" w:eastAsia="仿宋_GB2312" w:cs="宋体"/>
                <w:kern w:val="0"/>
              </w:rPr>
            </w:pPr>
            <w:r>
              <w:rPr>
                <w:rFonts w:ascii="仿宋_GB2312" w:hAnsi="仿宋_GB2312" w:eastAsia="仿宋_GB2312" w:cs="宋体"/>
                <w:kern w:val="0"/>
              </w:rPr>
              <w:t>是否有其他国家/地区居留权</w:t>
            </w:r>
          </w:p>
        </w:tc>
        <w:tc>
          <w:tcPr>
            <w:tcW w:w="1276" w:type="dxa"/>
            <w:gridSpan w:val="2"/>
            <w:tcBorders>
              <w:top w:val="single" w:color="000000" w:sz="4" w:space="0"/>
              <w:bottom w:val="single" w:color="000000" w:sz="4" w:space="0"/>
              <w:right w:val="single" w:color="000000" w:sz="4" w:space="0"/>
            </w:tcBorders>
            <w:vAlign w:val="center"/>
          </w:tcPr>
          <w:p w14:paraId="6F629CD7">
            <w:pPr>
              <w:widowControl/>
              <w:snapToGrid w:val="0"/>
              <w:jc w:val="center"/>
              <w:rPr>
                <w:rFonts w:ascii="仿宋_GB2312" w:hAnsi="仿宋_GB2312" w:eastAsia="仿宋_GB2312" w:cs="宋体"/>
                <w:kern w:val="0"/>
              </w:rPr>
            </w:pPr>
          </w:p>
        </w:tc>
        <w:tc>
          <w:tcPr>
            <w:tcW w:w="1803" w:type="dxa"/>
            <w:gridSpan w:val="8"/>
            <w:vMerge w:val="continue"/>
            <w:tcBorders>
              <w:top w:val="single" w:color="000000" w:sz="4" w:space="0"/>
              <w:right w:val="single" w:color="000000" w:sz="4" w:space="0"/>
            </w:tcBorders>
            <w:vAlign w:val="center"/>
          </w:tcPr>
          <w:p w14:paraId="52F68F3B">
            <w:pPr>
              <w:widowControl/>
              <w:snapToGrid w:val="0"/>
              <w:jc w:val="center"/>
              <w:rPr>
                <w:rFonts w:ascii="仿宋_GB2312" w:hAnsi="仿宋_GB2312" w:eastAsia="仿宋_GB2312" w:cs="宋体"/>
                <w:kern w:val="0"/>
              </w:rPr>
            </w:pPr>
          </w:p>
        </w:tc>
      </w:tr>
      <w:tr w14:paraId="2D291C18">
        <w:tblPrEx>
          <w:tblCellMar>
            <w:top w:w="0" w:type="dxa"/>
            <w:left w:w="108" w:type="dxa"/>
            <w:bottom w:w="0" w:type="dxa"/>
            <w:right w:w="108" w:type="dxa"/>
          </w:tblCellMar>
        </w:tblPrEx>
        <w:trPr>
          <w:trHeight w:val="31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01CB738A">
            <w:pPr>
              <w:widowControl/>
              <w:jc w:val="center"/>
              <w:rPr>
                <w:rFonts w:ascii="仿宋_GB2312" w:hAnsi="仿宋_GB2312" w:eastAsia="仿宋_GB2312" w:cs="宋体"/>
                <w:kern w:val="0"/>
              </w:rPr>
            </w:pPr>
            <w:r>
              <w:rPr>
                <w:rFonts w:ascii="仿宋_GB2312" w:hAnsi="仿宋_GB2312" w:eastAsia="仿宋_GB2312" w:cs="宋体"/>
                <w:kern w:val="0"/>
              </w:rPr>
              <w:t>身份证号</w:t>
            </w:r>
          </w:p>
        </w:tc>
        <w:tc>
          <w:tcPr>
            <w:tcW w:w="1855" w:type="dxa"/>
            <w:gridSpan w:val="3"/>
            <w:tcBorders>
              <w:top w:val="single" w:color="000000" w:sz="4" w:space="0"/>
              <w:bottom w:val="single" w:color="000000" w:sz="4" w:space="0"/>
              <w:right w:val="single" w:color="000000" w:sz="4" w:space="0"/>
            </w:tcBorders>
            <w:vAlign w:val="center"/>
          </w:tcPr>
          <w:p w14:paraId="0C539FA4">
            <w:pPr>
              <w:widowControl/>
              <w:snapToGrid w:val="0"/>
              <w:jc w:val="center"/>
              <w:rPr>
                <w:rFonts w:ascii="仿宋_GB2312" w:hAnsi="仿宋_GB2312" w:eastAsia="仿宋_GB2312" w:cs="宋体"/>
                <w:kern w:val="0"/>
              </w:rPr>
            </w:pPr>
          </w:p>
        </w:tc>
        <w:tc>
          <w:tcPr>
            <w:tcW w:w="1842" w:type="dxa"/>
            <w:gridSpan w:val="3"/>
            <w:tcBorders>
              <w:top w:val="single" w:color="000000" w:sz="4" w:space="0"/>
              <w:bottom w:val="single" w:color="000000" w:sz="4" w:space="0"/>
              <w:right w:val="single" w:color="000000" w:sz="4" w:space="0"/>
            </w:tcBorders>
            <w:vAlign w:val="center"/>
          </w:tcPr>
          <w:p w14:paraId="614CD85C">
            <w:pPr>
              <w:widowControl/>
              <w:jc w:val="center"/>
              <w:rPr>
                <w:rFonts w:ascii="仿宋_GB2312" w:hAnsi="仿宋_GB2312" w:eastAsia="仿宋_GB2312" w:cs="宋体"/>
                <w:kern w:val="0"/>
              </w:rPr>
            </w:pPr>
            <w:r>
              <w:rPr>
                <w:rFonts w:ascii="仿宋_GB2312" w:hAnsi="仿宋_GB2312" w:eastAsia="仿宋_GB2312" w:cs="宋体"/>
                <w:kern w:val="0"/>
              </w:rPr>
              <w:t>护照号码</w:t>
            </w:r>
          </w:p>
        </w:tc>
        <w:tc>
          <w:tcPr>
            <w:tcW w:w="1276" w:type="dxa"/>
            <w:gridSpan w:val="2"/>
            <w:tcBorders>
              <w:top w:val="single" w:color="000000" w:sz="4" w:space="0"/>
              <w:bottom w:val="single" w:color="000000" w:sz="4" w:space="0"/>
              <w:right w:val="single" w:color="000000" w:sz="4" w:space="0"/>
            </w:tcBorders>
            <w:vAlign w:val="center"/>
          </w:tcPr>
          <w:p w14:paraId="5A8176FD">
            <w:pPr>
              <w:widowControl/>
              <w:snapToGrid w:val="0"/>
              <w:jc w:val="center"/>
              <w:rPr>
                <w:rFonts w:ascii="仿宋_GB2312" w:hAnsi="仿宋_GB2312" w:eastAsia="仿宋_GB2312" w:cs="宋体"/>
                <w:kern w:val="0"/>
              </w:rPr>
            </w:pPr>
          </w:p>
        </w:tc>
        <w:tc>
          <w:tcPr>
            <w:tcW w:w="1803" w:type="dxa"/>
            <w:gridSpan w:val="8"/>
            <w:vMerge w:val="continue"/>
            <w:tcBorders>
              <w:top w:val="single" w:color="000000" w:sz="4" w:space="0"/>
              <w:right w:val="single" w:color="000000" w:sz="4" w:space="0"/>
            </w:tcBorders>
            <w:vAlign w:val="center"/>
          </w:tcPr>
          <w:p w14:paraId="2448929E">
            <w:pPr>
              <w:widowControl/>
              <w:snapToGrid w:val="0"/>
              <w:jc w:val="center"/>
              <w:rPr>
                <w:rFonts w:ascii="仿宋_GB2312" w:hAnsi="仿宋_GB2312" w:eastAsia="仿宋_GB2312" w:cs="宋体"/>
                <w:kern w:val="0"/>
              </w:rPr>
            </w:pPr>
          </w:p>
        </w:tc>
      </w:tr>
      <w:tr w14:paraId="4BD32318">
        <w:trPr>
          <w:trHeight w:val="31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7232AF84">
            <w:pPr>
              <w:widowControl/>
              <w:jc w:val="center"/>
              <w:rPr>
                <w:rFonts w:ascii="仿宋_GB2312" w:hAnsi="仿宋_GB2312" w:eastAsia="仿宋_GB2312" w:cs="宋体"/>
                <w:kern w:val="0"/>
              </w:rPr>
            </w:pPr>
            <w:r>
              <w:rPr>
                <w:rFonts w:ascii="仿宋_GB2312" w:hAnsi="仿宋_GB2312" w:eastAsia="仿宋_GB2312" w:cs="宋体"/>
                <w:kern w:val="0"/>
              </w:rPr>
              <w:t>移动电话</w:t>
            </w:r>
          </w:p>
        </w:tc>
        <w:tc>
          <w:tcPr>
            <w:tcW w:w="1855" w:type="dxa"/>
            <w:gridSpan w:val="3"/>
            <w:tcBorders>
              <w:top w:val="single" w:color="000000" w:sz="4" w:space="0"/>
              <w:bottom w:val="single" w:color="000000" w:sz="4" w:space="0"/>
              <w:right w:val="single" w:color="000000" w:sz="4" w:space="0"/>
            </w:tcBorders>
            <w:vAlign w:val="center"/>
          </w:tcPr>
          <w:p w14:paraId="6A9A7125">
            <w:pPr>
              <w:widowControl/>
              <w:snapToGrid w:val="0"/>
              <w:jc w:val="center"/>
              <w:rPr>
                <w:rFonts w:ascii="仿宋_GB2312" w:hAnsi="仿宋_GB2312" w:eastAsia="仿宋_GB2312" w:cs="宋体"/>
                <w:kern w:val="0"/>
              </w:rPr>
            </w:pPr>
          </w:p>
        </w:tc>
        <w:tc>
          <w:tcPr>
            <w:tcW w:w="1842" w:type="dxa"/>
            <w:gridSpan w:val="3"/>
            <w:tcBorders>
              <w:top w:val="single" w:color="000000" w:sz="4" w:space="0"/>
              <w:bottom w:val="single" w:color="000000" w:sz="4" w:space="0"/>
              <w:right w:val="single" w:color="000000" w:sz="4" w:space="0"/>
            </w:tcBorders>
            <w:vAlign w:val="center"/>
          </w:tcPr>
          <w:p w14:paraId="4D2DFBA9">
            <w:pPr>
              <w:widowControl/>
              <w:jc w:val="center"/>
              <w:rPr>
                <w:rFonts w:ascii="仿宋_GB2312" w:hAnsi="仿宋_GB2312" w:eastAsia="仿宋_GB2312" w:cs="宋体"/>
                <w:kern w:val="0"/>
              </w:rPr>
            </w:pPr>
            <w:r>
              <w:rPr>
                <w:rFonts w:ascii="仿宋_GB2312" w:hAnsi="仿宋_GB2312" w:eastAsia="仿宋_GB2312" w:cs="宋体"/>
                <w:kern w:val="0"/>
              </w:rPr>
              <w:t>电子邮件</w:t>
            </w:r>
          </w:p>
        </w:tc>
        <w:tc>
          <w:tcPr>
            <w:tcW w:w="1276" w:type="dxa"/>
            <w:gridSpan w:val="2"/>
            <w:tcBorders>
              <w:top w:val="single" w:color="000000" w:sz="4" w:space="0"/>
              <w:bottom w:val="single" w:color="000000" w:sz="4" w:space="0"/>
              <w:right w:val="single" w:color="000000" w:sz="4" w:space="0"/>
            </w:tcBorders>
            <w:vAlign w:val="center"/>
          </w:tcPr>
          <w:p w14:paraId="3043DE00">
            <w:pPr>
              <w:widowControl/>
              <w:snapToGrid w:val="0"/>
              <w:jc w:val="center"/>
              <w:rPr>
                <w:rFonts w:ascii="仿宋_GB2312" w:hAnsi="仿宋_GB2312" w:eastAsia="仿宋_GB2312" w:cs="宋体"/>
                <w:kern w:val="0"/>
              </w:rPr>
            </w:pPr>
          </w:p>
        </w:tc>
        <w:tc>
          <w:tcPr>
            <w:tcW w:w="1803" w:type="dxa"/>
            <w:gridSpan w:val="8"/>
            <w:vMerge w:val="continue"/>
            <w:tcBorders>
              <w:top w:val="single" w:color="000000" w:sz="4" w:space="0"/>
              <w:right w:val="single" w:color="000000" w:sz="4" w:space="0"/>
            </w:tcBorders>
            <w:vAlign w:val="center"/>
          </w:tcPr>
          <w:p w14:paraId="04E8CF94">
            <w:pPr>
              <w:widowControl/>
              <w:snapToGrid w:val="0"/>
              <w:jc w:val="center"/>
              <w:rPr>
                <w:rFonts w:ascii="仿宋_GB2312" w:hAnsi="仿宋_GB2312" w:eastAsia="仿宋_GB2312" w:cs="宋体"/>
                <w:kern w:val="0"/>
              </w:rPr>
            </w:pPr>
          </w:p>
        </w:tc>
      </w:tr>
      <w:tr w14:paraId="75EC1165">
        <w:tblPrEx>
          <w:tblCellMar>
            <w:top w:w="0" w:type="dxa"/>
            <w:left w:w="108" w:type="dxa"/>
            <w:bottom w:w="0" w:type="dxa"/>
            <w:right w:w="108" w:type="dxa"/>
          </w:tblCellMar>
        </w:tblPrEx>
        <w:trPr>
          <w:trHeight w:val="31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155CFC63">
            <w:pPr>
              <w:widowControl/>
              <w:jc w:val="center"/>
              <w:rPr>
                <w:rFonts w:ascii="仿宋_GB2312" w:hAnsi="仿宋_GB2312" w:eastAsia="仿宋_GB2312" w:cs="宋体"/>
                <w:kern w:val="0"/>
              </w:rPr>
            </w:pPr>
            <w:r>
              <w:rPr>
                <w:rFonts w:ascii="仿宋_GB2312" w:hAnsi="仿宋_GB2312" w:eastAsia="仿宋_GB2312" w:cs="宋体"/>
                <w:kern w:val="0"/>
              </w:rPr>
              <w:t>工作单位</w:t>
            </w:r>
          </w:p>
        </w:tc>
        <w:tc>
          <w:tcPr>
            <w:tcW w:w="1855" w:type="dxa"/>
            <w:gridSpan w:val="3"/>
            <w:tcBorders>
              <w:top w:val="single" w:color="000000" w:sz="4" w:space="0"/>
              <w:bottom w:val="single" w:color="000000" w:sz="4" w:space="0"/>
              <w:right w:val="single" w:color="000000" w:sz="4" w:space="0"/>
            </w:tcBorders>
            <w:vAlign w:val="center"/>
          </w:tcPr>
          <w:p w14:paraId="0FAEC4F8">
            <w:pPr>
              <w:widowControl/>
              <w:snapToGrid w:val="0"/>
              <w:jc w:val="center"/>
              <w:rPr>
                <w:rFonts w:ascii="仿宋_GB2312" w:hAnsi="仿宋_GB2312" w:eastAsia="仿宋_GB2312" w:cs="宋体"/>
                <w:kern w:val="0"/>
              </w:rPr>
            </w:pPr>
          </w:p>
        </w:tc>
        <w:tc>
          <w:tcPr>
            <w:tcW w:w="1842" w:type="dxa"/>
            <w:gridSpan w:val="3"/>
            <w:tcBorders>
              <w:top w:val="single" w:color="000000" w:sz="4" w:space="0"/>
              <w:bottom w:val="single" w:color="000000" w:sz="4" w:space="0"/>
              <w:right w:val="single" w:color="000000" w:sz="4" w:space="0"/>
            </w:tcBorders>
            <w:vAlign w:val="center"/>
          </w:tcPr>
          <w:p w14:paraId="11A44232">
            <w:pPr>
              <w:widowControl/>
              <w:jc w:val="center"/>
              <w:rPr>
                <w:rFonts w:ascii="仿宋_GB2312" w:hAnsi="仿宋_GB2312" w:eastAsia="仿宋_GB2312" w:cs="宋体"/>
                <w:kern w:val="0"/>
              </w:rPr>
            </w:pPr>
            <w:r>
              <w:rPr>
                <w:rFonts w:ascii="仿宋_GB2312" w:hAnsi="仿宋_GB2312" w:eastAsia="仿宋_GB2312" w:cs="宋体"/>
                <w:kern w:val="0"/>
              </w:rPr>
              <w:t>通讯地址</w:t>
            </w:r>
          </w:p>
        </w:tc>
        <w:tc>
          <w:tcPr>
            <w:tcW w:w="3079" w:type="dxa"/>
            <w:gridSpan w:val="10"/>
            <w:tcBorders>
              <w:top w:val="single" w:color="000000" w:sz="4" w:space="0"/>
              <w:bottom w:val="single" w:color="000000" w:sz="4" w:space="0"/>
              <w:right w:val="single" w:color="000000" w:sz="4" w:space="0"/>
            </w:tcBorders>
            <w:vAlign w:val="center"/>
          </w:tcPr>
          <w:p w14:paraId="3C4165A2">
            <w:pPr>
              <w:snapToGrid w:val="0"/>
              <w:jc w:val="center"/>
              <w:rPr>
                <w:rFonts w:ascii="仿宋_GB2312" w:hAnsi="仿宋_GB2312" w:eastAsia="仿宋_GB2312" w:cs="宋体"/>
                <w:kern w:val="0"/>
              </w:rPr>
            </w:pPr>
          </w:p>
        </w:tc>
      </w:tr>
      <w:tr w14:paraId="40C3687B">
        <w:trPr>
          <w:trHeight w:val="31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558978E6">
            <w:pPr>
              <w:widowControl/>
              <w:jc w:val="center"/>
              <w:rPr>
                <w:rFonts w:ascii="仿宋_GB2312" w:hAnsi="仿宋_GB2312" w:eastAsia="仿宋_GB2312" w:cs="宋体"/>
                <w:kern w:val="0"/>
              </w:rPr>
            </w:pPr>
            <w:r>
              <w:rPr>
                <w:rFonts w:ascii="仿宋_GB2312" w:hAnsi="仿宋_GB2312" w:eastAsia="仿宋_GB2312" w:cs="宋体"/>
                <w:kern w:val="0"/>
              </w:rPr>
              <w:t>单位邮编</w:t>
            </w:r>
          </w:p>
        </w:tc>
        <w:tc>
          <w:tcPr>
            <w:tcW w:w="1855" w:type="dxa"/>
            <w:gridSpan w:val="3"/>
            <w:tcBorders>
              <w:top w:val="single" w:color="000000" w:sz="4" w:space="0"/>
              <w:bottom w:val="single" w:color="000000" w:sz="4" w:space="0"/>
              <w:right w:val="single" w:color="000000" w:sz="4" w:space="0"/>
            </w:tcBorders>
            <w:vAlign w:val="center"/>
          </w:tcPr>
          <w:p w14:paraId="1864D6CE">
            <w:pPr>
              <w:widowControl/>
              <w:snapToGrid w:val="0"/>
              <w:jc w:val="center"/>
              <w:rPr>
                <w:rFonts w:ascii="仿宋_GB2312" w:hAnsi="仿宋_GB2312" w:eastAsia="仿宋_GB2312" w:cs="宋体"/>
                <w:kern w:val="0"/>
              </w:rPr>
            </w:pPr>
          </w:p>
        </w:tc>
        <w:tc>
          <w:tcPr>
            <w:tcW w:w="1842" w:type="dxa"/>
            <w:gridSpan w:val="3"/>
            <w:tcBorders>
              <w:top w:val="single" w:color="000000" w:sz="4" w:space="0"/>
              <w:bottom w:val="single" w:color="000000" w:sz="4" w:space="0"/>
              <w:right w:val="single" w:color="000000" w:sz="4" w:space="0"/>
            </w:tcBorders>
            <w:vAlign w:val="center"/>
          </w:tcPr>
          <w:p w14:paraId="7CB408A2">
            <w:pPr>
              <w:widowControl/>
              <w:jc w:val="center"/>
              <w:rPr>
                <w:rFonts w:ascii="仿宋_GB2312" w:hAnsi="仿宋_GB2312" w:eastAsia="仿宋_GB2312" w:cs="宋体"/>
                <w:kern w:val="0"/>
              </w:rPr>
            </w:pPr>
            <w:r>
              <w:rPr>
                <w:rFonts w:ascii="仿宋_GB2312" w:hAnsi="仿宋_GB2312" w:eastAsia="仿宋_GB2312" w:cs="宋体"/>
                <w:kern w:val="0"/>
              </w:rPr>
              <w:t>单位电话</w:t>
            </w:r>
          </w:p>
        </w:tc>
        <w:tc>
          <w:tcPr>
            <w:tcW w:w="3079" w:type="dxa"/>
            <w:gridSpan w:val="10"/>
            <w:tcBorders>
              <w:top w:val="single" w:color="000000" w:sz="4" w:space="0"/>
              <w:bottom w:val="single" w:color="000000" w:sz="4" w:space="0"/>
              <w:right w:val="single" w:color="000000" w:sz="4" w:space="0"/>
            </w:tcBorders>
            <w:vAlign w:val="center"/>
          </w:tcPr>
          <w:p w14:paraId="18D2E8D2">
            <w:pPr>
              <w:widowControl/>
              <w:snapToGrid w:val="0"/>
              <w:jc w:val="center"/>
              <w:rPr>
                <w:rFonts w:ascii="仿宋_GB2312" w:hAnsi="仿宋_GB2312" w:eastAsia="仿宋_GB2312" w:cs="宋体"/>
                <w:kern w:val="0"/>
              </w:rPr>
            </w:pPr>
          </w:p>
        </w:tc>
      </w:tr>
      <w:tr w14:paraId="4B98EF2C">
        <w:tblPrEx>
          <w:tblCellMar>
            <w:top w:w="0" w:type="dxa"/>
            <w:left w:w="108" w:type="dxa"/>
            <w:bottom w:w="0" w:type="dxa"/>
            <w:right w:w="108" w:type="dxa"/>
          </w:tblCellMar>
        </w:tblPrEx>
        <w:trPr>
          <w:trHeight w:val="31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02975232">
            <w:pPr>
              <w:widowControl/>
              <w:jc w:val="center"/>
              <w:rPr>
                <w:rFonts w:ascii="仿宋_GB2312" w:hAnsi="仿宋_GB2312" w:eastAsia="仿宋_GB2312" w:cs="宋体"/>
                <w:kern w:val="0"/>
              </w:rPr>
            </w:pPr>
            <w:r>
              <w:rPr>
                <w:rFonts w:ascii="仿宋_GB2312" w:hAnsi="仿宋_GB2312" w:eastAsia="仿宋_GB2312" w:cs="宋体"/>
                <w:kern w:val="0"/>
              </w:rPr>
              <w:t>家庭住址</w:t>
            </w:r>
          </w:p>
        </w:tc>
        <w:tc>
          <w:tcPr>
            <w:tcW w:w="1855" w:type="dxa"/>
            <w:gridSpan w:val="3"/>
            <w:tcBorders>
              <w:top w:val="single" w:color="000000" w:sz="4" w:space="0"/>
              <w:bottom w:val="single" w:color="000000" w:sz="4" w:space="0"/>
              <w:right w:val="single" w:color="000000" w:sz="4" w:space="0"/>
            </w:tcBorders>
            <w:vAlign w:val="center"/>
          </w:tcPr>
          <w:p w14:paraId="6C03C217">
            <w:pPr>
              <w:widowControl/>
              <w:snapToGrid w:val="0"/>
              <w:jc w:val="center"/>
              <w:rPr>
                <w:rFonts w:ascii="仿宋_GB2312" w:hAnsi="仿宋_GB2312" w:eastAsia="仿宋_GB2312" w:cs="宋体"/>
                <w:kern w:val="0"/>
              </w:rPr>
            </w:pPr>
          </w:p>
        </w:tc>
        <w:tc>
          <w:tcPr>
            <w:tcW w:w="1842" w:type="dxa"/>
            <w:gridSpan w:val="3"/>
            <w:tcBorders>
              <w:top w:val="single" w:color="000000" w:sz="4" w:space="0"/>
              <w:bottom w:val="single" w:color="000000" w:sz="4" w:space="0"/>
              <w:right w:val="single" w:color="000000" w:sz="4" w:space="0"/>
            </w:tcBorders>
            <w:vAlign w:val="center"/>
          </w:tcPr>
          <w:p w14:paraId="17673C98">
            <w:pPr>
              <w:widowControl/>
              <w:jc w:val="center"/>
              <w:rPr>
                <w:rFonts w:ascii="仿宋_GB2312" w:hAnsi="仿宋_GB2312" w:eastAsia="仿宋_GB2312" w:cs="宋体"/>
                <w:kern w:val="0"/>
              </w:rPr>
            </w:pPr>
            <w:r>
              <w:rPr>
                <w:rFonts w:ascii="仿宋_GB2312" w:hAnsi="仿宋_GB2312" w:eastAsia="仿宋_GB2312" w:cs="宋体"/>
                <w:kern w:val="0"/>
              </w:rPr>
              <w:t>邮政编码</w:t>
            </w:r>
          </w:p>
        </w:tc>
        <w:tc>
          <w:tcPr>
            <w:tcW w:w="3079" w:type="dxa"/>
            <w:gridSpan w:val="10"/>
            <w:tcBorders>
              <w:top w:val="single" w:color="000000" w:sz="4" w:space="0"/>
              <w:bottom w:val="single" w:color="000000" w:sz="4" w:space="0"/>
              <w:right w:val="single" w:color="000000" w:sz="4" w:space="0"/>
            </w:tcBorders>
            <w:vAlign w:val="center"/>
          </w:tcPr>
          <w:p w14:paraId="3226BBA7">
            <w:pPr>
              <w:widowControl/>
              <w:snapToGrid w:val="0"/>
              <w:jc w:val="center"/>
              <w:rPr>
                <w:rFonts w:ascii="仿宋_GB2312" w:hAnsi="仿宋_GB2312" w:eastAsia="仿宋_GB2312" w:cs="宋体"/>
                <w:kern w:val="0"/>
              </w:rPr>
            </w:pPr>
          </w:p>
        </w:tc>
      </w:tr>
      <w:tr w14:paraId="58C4512A">
        <w:trPr>
          <w:trHeight w:val="31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0E40FFDC">
            <w:pPr>
              <w:widowControl/>
              <w:jc w:val="center"/>
              <w:rPr>
                <w:rFonts w:ascii="仿宋_GB2312" w:hAnsi="仿宋_GB2312" w:eastAsia="仿宋_GB2312" w:cs="宋体"/>
                <w:kern w:val="0"/>
              </w:rPr>
            </w:pPr>
            <w:r>
              <w:rPr>
                <w:rFonts w:ascii="仿宋_GB2312" w:hAnsi="仿宋_GB2312" w:eastAsia="仿宋_GB2312" w:cs="宋体"/>
                <w:kern w:val="0"/>
              </w:rPr>
              <w:t>是否属会计专业人士</w:t>
            </w:r>
          </w:p>
        </w:tc>
        <w:tc>
          <w:tcPr>
            <w:tcW w:w="1855" w:type="dxa"/>
            <w:gridSpan w:val="3"/>
            <w:tcBorders>
              <w:top w:val="single" w:color="000000" w:sz="4" w:space="0"/>
              <w:bottom w:val="single" w:color="000000" w:sz="4" w:space="0"/>
              <w:right w:val="single" w:color="000000" w:sz="4" w:space="0"/>
            </w:tcBorders>
            <w:vAlign w:val="center"/>
          </w:tcPr>
          <w:p w14:paraId="0C80049D">
            <w:pPr>
              <w:widowControl/>
              <w:snapToGrid w:val="0"/>
              <w:jc w:val="center"/>
              <w:rPr>
                <w:rFonts w:ascii="仿宋_GB2312" w:hAnsi="仿宋_GB2312" w:eastAsia="仿宋_GB2312" w:cs="宋体"/>
                <w:kern w:val="0"/>
              </w:rPr>
            </w:pPr>
          </w:p>
        </w:tc>
        <w:tc>
          <w:tcPr>
            <w:tcW w:w="1842" w:type="dxa"/>
            <w:gridSpan w:val="3"/>
            <w:tcBorders>
              <w:top w:val="single" w:color="000000" w:sz="4" w:space="0"/>
              <w:bottom w:val="single" w:color="000000" w:sz="4" w:space="0"/>
              <w:right w:val="single" w:color="000000" w:sz="4" w:space="0"/>
            </w:tcBorders>
            <w:vAlign w:val="center"/>
          </w:tcPr>
          <w:p w14:paraId="639B6CE3">
            <w:pPr>
              <w:widowControl/>
              <w:jc w:val="center"/>
              <w:rPr>
                <w:rFonts w:ascii="仿宋_GB2312" w:hAnsi="仿宋_GB2312" w:eastAsia="仿宋_GB2312" w:cs="宋体"/>
                <w:kern w:val="0"/>
              </w:rPr>
            </w:pPr>
            <w:r>
              <w:rPr>
                <w:rFonts w:ascii="仿宋_GB2312" w:hAnsi="仿宋_GB2312" w:eastAsia="仿宋_GB2312" w:cs="宋体"/>
                <w:kern w:val="0"/>
              </w:rPr>
              <w:t>会计专业资格取得时间</w:t>
            </w:r>
          </w:p>
        </w:tc>
        <w:tc>
          <w:tcPr>
            <w:tcW w:w="1276" w:type="dxa"/>
            <w:gridSpan w:val="2"/>
            <w:tcBorders>
              <w:top w:val="single" w:color="000000" w:sz="4" w:space="0"/>
              <w:bottom w:val="single" w:color="000000" w:sz="4" w:space="0"/>
              <w:right w:val="single" w:color="000000" w:sz="4" w:space="0"/>
            </w:tcBorders>
            <w:vAlign w:val="center"/>
          </w:tcPr>
          <w:p w14:paraId="593100F5">
            <w:pPr>
              <w:widowControl/>
              <w:snapToGrid w:val="0"/>
              <w:jc w:val="center"/>
              <w:rPr>
                <w:rFonts w:ascii="仿宋_GB2312" w:hAnsi="仿宋_GB2312" w:eastAsia="仿宋_GB2312" w:cs="宋体"/>
                <w:kern w:val="0"/>
              </w:rPr>
            </w:pPr>
          </w:p>
        </w:tc>
        <w:tc>
          <w:tcPr>
            <w:tcW w:w="709" w:type="dxa"/>
            <w:gridSpan w:val="5"/>
            <w:tcBorders>
              <w:top w:val="single" w:color="000000" w:sz="4" w:space="0"/>
              <w:bottom w:val="single" w:color="000000" w:sz="4" w:space="0"/>
              <w:right w:val="single" w:color="000000" w:sz="4" w:space="0"/>
            </w:tcBorders>
            <w:vAlign w:val="center"/>
          </w:tcPr>
          <w:p w14:paraId="5713BF4A">
            <w:pPr>
              <w:widowControl/>
              <w:jc w:val="center"/>
              <w:rPr>
                <w:rFonts w:ascii="仿宋_GB2312" w:hAnsi="仿宋_GB2312" w:eastAsia="仿宋_GB2312" w:cs="宋体"/>
                <w:kern w:val="0"/>
              </w:rPr>
            </w:pPr>
            <w:r>
              <w:rPr>
                <w:rFonts w:ascii="仿宋_GB2312" w:hAnsi="仿宋_GB2312" w:eastAsia="仿宋_GB2312" w:cs="宋体"/>
                <w:kern w:val="0"/>
              </w:rPr>
              <w:t>证书号码</w:t>
            </w:r>
          </w:p>
        </w:tc>
        <w:tc>
          <w:tcPr>
            <w:tcW w:w="1094" w:type="dxa"/>
            <w:gridSpan w:val="3"/>
            <w:tcBorders>
              <w:top w:val="single" w:color="000000" w:sz="4" w:space="0"/>
              <w:bottom w:val="single" w:color="000000" w:sz="4" w:space="0"/>
              <w:right w:val="single" w:color="000000" w:sz="4" w:space="0"/>
            </w:tcBorders>
            <w:vAlign w:val="center"/>
          </w:tcPr>
          <w:p w14:paraId="58F47553">
            <w:pPr>
              <w:widowControl/>
              <w:snapToGrid w:val="0"/>
              <w:jc w:val="center"/>
              <w:rPr>
                <w:rFonts w:ascii="仿宋_GB2312" w:hAnsi="仿宋_GB2312" w:eastAsia="仿宋_GB2312" w:cs="宋体"/>
                <w:kern w:val="0"/>
              </w:rPr>
            </w:pPr>
          </w:p>
        </w:tc>
      </w:tr>
      <w:tr w14:paraId="3203568C">
        <w:tblPrEx>
          <w:tblCellMar>
            <w:top w:w="0" w:type="dxa"/>
            <w:left w:w="108" w:type="dxa"/>
            <w:bottom w:w="0" w:type="dxa"/>
            <w:right w:w="108" w:type="dxa"/>
          </w:tblCellMar>
        </w:tblPrEx>
        <w:trPr>
          <w:trHeight w:val="490"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4D0D77E1">
            <w:pPr>
              <w:widowControl/>
              <w:jc w:val="center"/>
              <w:rPr>
                <w:rFonts w:ascii="仿宋_GB2312" w:hAnsi="仿宋_GB2312" w:eastAsia="仿宋_GB2312" w:cs="宋体"/>
                <w:kern w:val="0"/>
              </w:rPr>
            </w:pPr>
            <w:r>
              <w:rPr>
                <w:rFonts w:ascii="仿宋_GB2312" w:hAnsi="仿宋_GB2312" w:eastAsia="仿宋_GB2312" w:cs="宋体"/>
                <w:kern w:val="0"/>
              </w:rPr>
              <w:t>本人专长</w:t>
            </w:r>
          </w:p>
        </w:tc>
        <w:tc>
          <w:tcPr>
            <w:tcW w:w="1855" w:type="dxa"/>
            <w:gridSpan w:val="3"/>
            <w:tcBorders>
              <w:top w:val="single" w:color="000000" w:sz="4" w:space="0"/>
              <w:bottom w:val="single" w:color="000000" w:sz="4" w:space="0"/>
              <w:right w:val="single" w:color="000000" w:sz="4" w:space="0"/>
            </w:tcBorders>
            <w:vAlign w:val="center"/>
          </w:tcPr>
          <w:p w14:paraId="558D8417">
            <w:pPr>
              <w:widowControl/>
              <w:snapToGrid w:val="0"/>
              <w:jc w:val="center"/>
              <w:rPr>
                <w:rFonts w:ascii="仿宋_GB2312" w:hAnsi="仿宋_GB2312" w:eastAsia="仿宋_GB2312" w:cs="宋体"/>
                <w:kern w:val="0"/>
              </w:rPr>
            </w:pPr>
          </w:p>
        </w:tc>
        <w:tc>
          <w:tcPr>
            <w:tcW w:w="1842" w:type="dxa"/>
            <w:gridSpan w:val="3"/>
            <w:tcBorders>
              <w:top w:val="single" w:color="000000" w:sz="4" w:space="0"/>
              <w:bottom w:val="single" w:color="000000" w:sz="4" w:space="0"/>
              <w:right w:val="single" w:color="000000" w:sz="4" w:space="0"/>
            </w:tcBorders>
            <w:vAlign w:val="center"/>
          </w:tcPr>
          <w:p w14:paraId="1A0C69B8">
            <w:pPr>
              <w:widowControl/>
              <w:jc w:val="center"/>
              <w:rPr>
                <w:rFonts w:ascii="仿宋_GB2312" w:hAnsi="仿宋_GB2312" w:eastAsia="仿宋_GB2312" w:cs="宋体"/>
                <w:kern w:val="0"/>
              </w:rPr>
            </w:pPr>
            <w:r>
              <w:rPr>
                <w:rFonts w:ascii="仿宋_GB2312" w:hAnsi="仿宋_GB2312" w:eastAsia="仿宋_GB2312" w:cs="宋体"/>
                <w:kern w:val="0"/>
              </w:rPr>
              <w:t>是否曾受处罚</w:t>
            </w:r>
          </w:p>
        </w:tc>
        <w:tc>
          <w:tcPr>
            <w:tcW w:w="3079" w:type="dxa"/>
            <w:gridSpan w:val="10"/>
            <w:tcBorders>
              <w:top w:val="single" w:color="000000" w:sz="4" w:space="0"/>
              <w:bottom w:val="single" w:color="000000" w:sz="4" w:space="0"/>
              <w:right w:val="single" w:color="000000" w:sz="4" w:space="0"/>
            </w:tcBorders>
            <w:vAlign w:val="center"/>
          </w:tcPr>
          <w:p w14:paraId="63BC78AF">
            <w:pPr>
              <w:widowControl/>
              <w:snapToGrid w:val="0"/>
              <w:jc w:val="center"/>
              <w:rPr>
                <w:rFonts w:ascii="仿宋_GB2312" w:hAnsi="仿宋_GB2312" w:eastAsia="仿宋_GB2312" w:cs="宋体"/>
                <w:kern w:val="0"/>
              </w:rPr>
            </w:pPr>
          </w:p>
        </w:tc>
      </w:tr>
      <w:tr w14:paraId="470BA090">
        <w:trPr>
          <w:trHeight w:val="46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6A002CAC">
            <w:pPr>
              <w:widowControl/>
              <w:jc w:val="center"/>
              <w:rPr>
                <w:rFonts w:ascii="仿宋_GB2312" w:hAnsi="仿宋_GB2312" w:eastAsia="仿宋_GB2312" w:cs="宋体"/>
                <w:kern w:val="0"/>
              </w:rPr>
            </w:pPr>
            <w:r>
              <w:rPr>
                <w:rFonts w:ascii="仿宋_GB2312" w:hAnsi="仿宋_GB2312" w:eastAsia="仿宋_GB2312" w:cs="宋体"/>
                <w:kern w:val="0"/>
              </w:rPr>
              <w:t>是否为该公司在任独立董事</w:t>
            </w:r>
          </w:p>
        </w:tc>
        <w:tc>
          <w:tcPr>
            <w:tcW w:w="1855" w:type="dxa"/>
            <w:gridSpan w:val="3"/>
            <w:tcBorders>
              <w:top w:val="single" w:color="000000" w:sz="4" w:space="0"/>
              <w:left w:val="single" w:color="000000" w:sz="4" w:space="0"/>
              <w:bottom w:val="single" w:color="000000" w:sz="4" w:space="0"/>
              <w:right w:val="single" w:color="000000" w:sz="4" w:space="0"/>
            </w:tcBorders>
            <w:vAlign w:val="center"/>
          </w:tcPr>
          <w:p w14:paraId="00A95955">
            <w:pPr>
              <w:widowControl/>
              <w:snapToGrid w:val="0"/>
              <w:jc w:val="center"/>
              <w:rPr>
                <w:rFonts w:ascii="仿宋_GB2312" w:hAnsi="仿宋_GB2312" w:eastAsia="仿宋_GB2312" w:cs="宋体"/>
                <w:kern w:val="0"/>
              </w:rPr>
            </w:pPr>
          </w:p>
        </w:tc>
        <w:tc>
          <w:tcPr>
            <w:tcW w:w="1842" w:type="dxa"/>
            <w:gridSpan w:val="3"/>
            <w:tcBorders>
              <w:top w:val="single" w:color="000000" w:sz="4" w:space="0"/>
              <w:left w:val="single" w:color="000000" w:sz="4" w:space="0"/>
              <w:bottom w:val="single" w:color="000000" w:sz="4" w:space="0"/>
              <w:right w:val="single" w:color="000000" w:sz="4" w:space="0"/>
            </w:tcBorders>
            <w:vAlign w:val="center"/>
          </w:tcPr>
          <w:p w14:paraId="0AFEFCD5">
            <w:pPr>
              <w:widowControl/>
              <w:jc w:val="center"/>
              <w:rPr>
                <w:rFonts w:ascii="仿宋_GB2312" w:hAnsi="仿宋_GB2312" w:eastAsia="仿宋_GB2312" w:cs="宋体"/>
                <w:kern w:val="0"/>
              </w:rPr>
            </w:pPr>
            <w:r>
              <w:rPr>
                <w:rFonts w:ascii="仿宋_GB2312" w:hAnsi="仿宋_GB2312" w:eastAsia="仿宋_GB2312" w:cs="宋体"/>
                <w:kern w:val="0"/>
              </w:rPr>
              <w:t>在该公司担任独立董事的起始日期</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0DD3F6FB">
            <w:pPr>
              <w:widowControl/>
              <w:snapToGrid w:val="0"/>
              <w:jc w:val="center"/>
              <w:rPr>
                <w:rFonts w:ascii="仿宋_GB2312" w:hAnsi="仿宋_GB2312" w:eastAsia="仿宋_GB2312" w:cs="宋体"/>
                <w:kern w:val="0"/>
              </w:rPr>
            </w:pPr>
          </w:p>
        </w:tc>
        <w:tc>
          <w:tcPr>
            <w:tcW w:w="1069" w:type="dxa"/>
            <w:gridSpan w:val="6"/>
            <w:tcBorders>
              <w:top w:val="single" w:color="000000" w:sz="4" w:space="0"/>
              <w:left w:val="single" w:color="000000" w:sz="4" w:space="0"/>
              <w:bottom w:val="single" w:color="000000" w:sz="4" w:space="0"/>
              <w:right w:val="single" w:color="000000" w:sz="4" w:space="0"/>
            </w:tcBorders>
            <w:vAlign w:val="center"/>
          </w:tcPr>
          <w:p w14:paraId="4BDC7689">
            <w:pPr>
              <w:widowControl/>
              <w:ind w:left="-122" w:right="-122"/>
              <w:jc w:val="center"/>
              <w:rPr>
                <w:rFonts w:ascii="仿宋_GB2312" w:hAnsi="仿宋_GB2312" w:eastAsia="仿宋_GB2312" w:cs="宋体"/>
                <w:kern w:val="0"/>
              </w:rPr>
            </w:pPr>
            <w:r>
              <w:rPr>
                <w:rFonts w:ascii="仿宋_GB2312" w:hAnsi="仿宋_GB2312" w:eastAsia="仿宋_GB2312" w:cs="宋体"/>
                <w:kern w:val="0"/>
              </w:rPr>
              <w:t>担任独立董事的境内上市公司家数</w:t>
            </w:r>
          </w:p>
        </w:tc>
        <w:tc>
          <w:tcPr>
            <w:tcW w:w="734" w:type="dxa"/>
            <w:gridSpan w:val="2"/>
            <w:tcBorders>
              <w:top w:val="single" w:color="000000" w:sz="4" w:space="0"/>
              <w:left w:val="single" w:color="000000" w:sz="4" w:space="0"/>
              <w:bottom w:val="single" w:color="000000" w:sz="4" w:space="0"/>
              <w:right w:val="single" w:color="000000" w:sz="4" w:space="0"/>
            </w:tcBorders>
            <w:vAlign w:val="center"/>
          </w:tcPr>
          <w:p w14:paraId="5AE45AB5">
            <w:pPr>
              <w:widowControl/>
              <w:snapToGrid w:val="0"/>
              <w:jc w:val="center"/>
              <w:rPr>
                <w:rFonts w:ascii="仿宋_GB2312" w:hAnsi="仿宋_GB2312" w:eastAsia="仿宋_GB2312" w:cs="宋体"/>
                <w:kern w:val="0"/>
              </w:rPr>
            </w:pPr>
          </w:p>
        </w:tc>
      </w:tr>
      <w:tr w14:paraId="74E077FE">
        <w:tblPrEx>
          <w:tblCellMar>
            <w:top w:w="0" w:type="dxa"/>
            <w:left w:w="108" w:type="dxa"/>
            <w:bottom w:w="0" w:type="dxa"/>
            <w:right w:w="108" w:type="dxa"/>
          </w:tblCellMar>
        </w:tblPrEx>
        <w:trPr>
          <w:trHeight w:val="312" w:hRule="atLeast"/>
          <w:jc w:val="center"/>
        </w:trPr>
        <w:tc>
          <w:tcPr>
            <w:tcW w:w="8472" w:type="dxa"/>
            <w:gridSpan w:val="19"/>
            <w:tcBorders>
              <w:top w:val="single" w:color="000000" w:sz="4" w:space="0"/>
              <w:left w:val="single" w:color="000000" w:sz="4" w:space="0"/>
              <w:bottom w:val="single" w:color="000000" w:sz="4" w:space="0"/>
              <w:right w:val="single" w:color="000000" w:sz="4" w:space="0"/>
            </w:tcBorders>
            <w:vAlign w:val="center"/>
          </w:tcPr>
          <w:p w14:paraId="100D8571">
            <w:pPr>
              <w:widowControl/>
              <w:jc w:val="center"/>
              <w:rPr>
                <w:rFonts w:ascii="仿宋_GB2312" w:hAnsi="仿宋_GB2312" w:eastAsia="仿宋_GB2312" w:cs="宋体"/>
                <w:kern w:val="0"/>
              </w:rPr>
            </w:pPr>
            <w:r>
              <w:rPr>
                <w:rFonts w:ascii="仿宋_GB2312" w:hAnsi="仿宋_GB2312" w:eastAsia="仿宋_GB2312" w:cs="宋体"/>
                <w:kern w:val="0"/>
              </w:rPr>
              <w:t>二、社会关系</w:t>
            </w:r>
          </w:p>
        </w:tc>
      </w:tr>
      <w:tr w14:paraId="58EF0AC1">
        <w:trPr>
          <w:trHeight w:val="312" w:hRule="atLeast"/>
          <w:jc w:val="center"/>
        </w:trPr>
        <w:tc>
          <w:tcPr>
            <w:tcW w:w="1442" w:type="dxa"/>
            <w:tcBorders>
              <w:top w:val="single" w:color="000000" w:sz="4" w:space="0"/>
              <w:left w:val="single" w:color="000000" w:sz="4" w:space="0"/>
              <w:bottom w:val="single" w:color="000000" w:sz="4" w:space="0"/>
              <w:right w:val="single" w:color="000000" w:sz="4" w:space="0"/>
            </w:tcBorders>
            <w:vAlign w:val="center"/>
          </w:tcPr>
          <w:p w14:paraId="1B87626B">
            <w:pPr>
              <w:widowControl/>
              <w:jc w:val="center"/>
              <w:rPr>
                <w:rFonts w:ascii="仿宋_GB2312" w:hAnsi="仿宋_GB2312" w:eastAsia="仿宋_GB2312" w:cs="宋体"/>
                <w:kern w:val="0"/>
              </w:rPr>
            </w:pPr>
            <w:r>
              <w:rPr>
                <w:rFonts w:ascii="仿宋_GB2312" w:hAnsi="仿宋_GB2312" w:eastAsia="仿宋_GB2312" w:cs="宋体"/>
                <w:kern w:val="0"/>
              </w:rPr>
              <w:t>与本人关系</w:t>
            </w:r>
          </w:p>
        </w:tc>
        <w:tc>
          <w:tcPr>
            <w:tcW w:w="1335" w:type="dxa"/>
            <w:gridSpan w:val="4"/>
            <w:tcBorders>
              <w:top w:val="single" w:color="000000" w:sz="4" w:space="0"/>
              <w:bottom w:val="single" w:color="000000" w:sz="4" w:space="0"/>
              <w:right w:val="single" w:color="000000" w:sz="4" w:space="0"/>
            </w:tcBorders>
            <w:vAlign w:val="center"/>
          </w:tcPr>
          <w:p w14:paraId="08F6F902">
            <w:pPr>
              <w:widowControl/>
              <w:jc w:val="center"/>
              <w:rPr>
                <w:rFonts w:ascii="仿宋_GB2312" w:hAnsi="仿宋_GB2312" w:eastAsia="仿宋_GB2312" w:cs="宋体"/>
                <w:kern w:val="0"/>
              </w:rPr>
            </w:pPr>
            <w:r>
              <w:rPr>
                <w:rFonts w:ascii="仿宋_GB2312" w:hAnsi="仿宋_GB2312" w:eastAsia="仿宋_GB2312" w:cs="宋体"/>
                <w:kern w:val="0"/>
              </w:rPr>
              <w:t>配偶</w:t>
            </w:r>
          </w:p>
        </w:tc>
        <w:tc>
          <w:tcPr>
            <w:tcW w:w="1482" w:type="dxa"/>
            <w:gridSpan w:val="2"/>
            <w:tcBorders>
              <w:top w:val="single" w:color="000000" w:sz="4" w:space="0"/>
              <w:bottom w:val="single" w:color="000000" w:sz="4" w:space="0"/>
              <w:right w:val="single" w:color="000000" w:sz="4" w:space="0"/>
            </w:tcBorders>
            <w:vAlign w:val="center"/>
          </w:tcPr>
          <w:p w14:paraId="77E6E0CD">
            <w:pPr>
              <w:widowControl/>
              <w:jc w:val="center"/>
              <w:rPr>
                <w:rFonts w:ascii="仿宋_GB2312" w:hAnsi="仿宋_GB2312" w:eastAsia="仿宋_GB2312" w:cs="宋体"/>
                <w:kern w:val="0"/>
              </w:rPr>
            </w:pPr>
            <w:r>
              <w:rPr>
                <w:rFonts w:ascii="仿宋_GB2312" w:hAnsi="仿宋_GB2312" w:eastAsia="仿宋_GB2312" w:cs="宋体"/>
                <w:kern w:val="0"/>
              </w:rPr>
              <w:t>父亲</w:t>
            </w:r>
          </w:p>
        </w:tc>
        <w:tc>
          <w:tcPr>
            <w:tcW w:w="1347" w:type="dxa"/>
            <w:gridSpan w:val="3"/>
            <w:tcBorders>
              <w:top w:val="single" w:color="000000" w:sz="4" w:space="0"/>
              <w:bottom w:val="single" w:color="000000" w:sz="4" w:space="0"/>
              <w:right w:val="single" w:color="000000" w:sz="4" w:space="0"/>
            </w:tcBorders>
            <w:vAlign w:val="center"/>
          </w:tcPr>
          <w:p w14:paraId="6764875D">
            <w:pPr>
              <w:widowControl/>
              <w:jc w:val="center"/>
              <w:rPr>
                <w:rFonts w:ascii="仿宋_GB2312" w:hAnsi="仿宋_GB2312" w:eastAsia="仿宋_GB2312" w:cs="宋体"/>
                <w:kern w:val="0"/>
              </w:rPr>
            </w:pPr>
            <w:r>
              <w:rPr>
                <w:rFonts w:ascii="仿宋_GB2312" w:hAnsi="仿宋_GB2312" w:eastAsia="仿宋_GB2312" w:cs="宋体"/>
                <w:kern w:val="0"/>
              </w:rPr>
              <w:t>母亲</w:t>
            </w:r>
          </w:p>
        </w:tc>
        <w:tc>
          <w:tcPr>
            <w:tcW w:w="1454" w:type="dxa"/>
            <w:gridSpan w:val="5"/>
            <w:tcBorders>
              <w:top w:val="single" w:color="000000" w:sz="4" w:space="0"/>
              <w:bottom w:val="single" w:color="000000" w:sz="4" w:space="0"/>
              <w:right w:val="single" w:color="000000" w:sz="4" w:space="0"/>
            </w:tcBorders>
            <w:vAlign w:val="center"/>
          </w:tcPr>
          <w:p w14:paraId="776A5765">
            <w:pPr>
              <w:widowControl/>
              <w:jc w:val="center"/>
              <w:rPr>
                <w:rFonts w:ascii="仿宋_GB2312" w:hAnsi="仿宋_GB2312" w:eastAsia="仿宋_GB2312" w:cs="宋体"/>
                <w:kern w:val="0"/>
              </w:rPr>
            </w:pPr>
            <w:r>
              <w:rPr>
                <w:rFonts w:ascii="仿宋_GB2312" w:hAnsi="仿宋_GB2312" w:eastAsia="仿宋_GB2312" w:cs="宋体"/>
                <w:kern w:val="0"/>
              </w:rPr>
              <w:t>子女</w:t>
            </w:r>
          </w:p>
        </w:tc>
        <w:tc>
          <w:tcPr>
            <w:tcW w:w="1412" w:type="dxa"/>
            <w:gridSpan w:val="4"/>
            <w:tcBorders>
              <w:top w:val="single" w:color="000000" w:sz="4" w:space="0"/>
              <w:bottom w:val="single" w:color="000000" w:sz="4" w:space="0"/>
              <w:right w:val="single" w:color="000000" w:sz="4" w:space="0"/>
            </w:tcBorders>
            <w:vAlign w:val="center"/>
          </w:tcPr>
          <w:p w14:paraId="47B19B0C">
            <w:pPr>
              <w:widowControl/>
              <w:jc w:val="center"/>
              <w:rPr>
                <w:rFonts w:ascii="仿宋_GB2312" w:hAnsi="仿宋_GB2312" w:eastAsia="仿宋_GB2312" w:cs="宋体"/>
                <w:kern w:val="0"/>
              </w:rPr>
            </w:pPr>
            <w:r>
              <w:rPr>
                <w:rFonts w:ascii="仿宋_GB2312" w:hAnsi="仿宋_GB2312" w:eastAsia="仿宋_GB2312" w:cs="宋体"/>
                <w:kern w:val="0"/>
              </w:rPr>
              <w:t>兄弟姐妹</w:t>
            </w:r>
          </w:p>
        </w:tc>
      </w:tr>
      <w:tr w14:paraId="01FB43D2">
        <w:tblPrEx>
          <w:tblCellMar>
            <w:top w:w="0" w:type="dxa"/>
            <w:left w:w="108" w:type="dxa"/>
            <w:bottom w:w="0" w:type="dxa"/>
            <w:right w:w="108" w:type="dxa"/>
          </w:tblCellMar>
        </w:tblPrEx>
        <w:trPr>
          <w:trHeight w:val="312" w:hRule="atLeast"/>
          <w:jc w:val="center"/>
        </w:trPr>
        <w:tc>
          <w:tcPr>
            <w:tcW w:w="1442" w:type="dxa"/>
            <w:tcBorders>
              <w:top w:val="single" w:color="000000" w:sz="4" w:space="0"/>
              <w:left w:val="single" w:color="000000" w:sz="4" w:space="0"/>
              <w:bottom w:val="single" w:color="000000" w:sz="4" w:space="0"/>
              <w:right w:val="single" w:color="000000" w:sz="4" w:space="0"/>
            </w:tcBorders>
            <w:vAlign w:val="center"/>
          </w:tcPr>
          <w:p w14:paraId="288AAB32">
            <w:pPr>
              <w:widowControl/>
              <w:jc w:val="center"/>
              <w:rPr>
                <w:rFonts w:ascii="仿宋_GB2312" w:hAnsi="仿宋_GB2312" w:eastAsia="仿宋_GB2312" w:cs="宋体"/>
                <w:kern w:val="0"/>
              </w:rPr>
            </w:pPr>
            <w:r>
              <w:rPr>
                <w:rFonts w:ascii="仿宋_GB2312" w:hAnsi="仿宋_GB2312" w:eastAsia="仿宋_GB2312" w:cs="宋体"/>
                <w:kern w:val="0"/>
              </w:rPr>
              <w:t>姓名</w:t>
            </w:r>
          </w:p>
        </w:tc>
        <w:tc>
          <w:tcPr>
            <w:tcW w:w="1335" w:type="dxa"/>
            <w:gridSpan w:val="4"/>
            <w:tcBorders>
              <w:top w:val="single" w:color="000000" w:sz="4" w:space="0"/>
              <w:bottom w:val="single" w:color="000000" w:sz="4" w:space="0"/>
              <w:right w:val="single" w:color="000000" w:sz="4" w:space="0"/>
            </w:tcBorders>
            <w:vAlign w:val="center"/>
          </w:tcPr>
          <w:p w14:paraId="250CA969">
            <w:pPr>
              <w:widowControl/>
              <w:snapToGrid w:val="0"/>
              <w:jc w:val="center"/>
              <w:rPr>
                <w:rFonts w:ascii="仿宋_GB2312" w:hAnsi="仿宋_GB2312" w:eastAsia="仿宋_GB2312" w:cs="宋体"/>
                <w:kern w:val="0"/>
              </w:rPr>
            </w:pPr>
          </w:p>
        </w:tc>
        <w:tc>
          <w:tcPr>
            <w:tcW w:w="1482" w:type="dxa"/>
            <w:gridSpan w:val="2"/>
            <w:tcBorders>
              <w:top w:val="single" w:color="000000" w:sz="4" w:space="0"/>
              <w:bottom w:val="single" w:color="000000" w:sz="4" w:space="0"/>
              <w:right w:val="single" w:color="000000" w:sz="4" w:space="0"/>
            </w:tcBorders>
            <w:vAlign w:val="center"/>
          </w:tcPr>
          <w:p w14:paraId="4CD14F16">
            <w:pPr>
              <w:widowControl/>
              <w:snapToGrid w:val="0"/>
              <w:jc w:val="center"/>
              <w:rPr>
                <w:rFonts w:ascii="仿宋_GB2312" w:hAnsi="仿宋_GB2312" w:eastAsia="仿宋_GB2312" w:cs="宋体"/>
                <w:kern w:val="0"/>
              </w:rPr>
            </w:pPr>
          </w:p>
        </w:tc>
        <w:tc>
          <w:tcPr>
            <w:tcW w:w="1347" w:type="dxa"/>
            <w:gridSpan w:val="3"/>
            <w:tcBorders>
              <w:top w:val="single" w:color="000000" w:sz="4" w:space="0"/>
              <w:bottom w:val="single" w:color="000000" w:sz="4" w:space="0"/>
              <w:right w:val="single" w:color="000000" w:sz="4" w:space="0"/>
            </w:tcBorders>
            <w:vAlign w:val="center"/>
          </w:tcPr>
          <w:p w14:paraId="5AE9B4D8">
            <w:pPr>
              <w:widowControl/>
              <w:snapToGrid w:val="0"/>
              <w:jc w:val="center"/>
              <w:rPr>
                <w:rFonts w:ascii="仿宋_GB2312" w:hAnsi="仿宋_GB2312" w:eastAsia="仿宋_GB2312" w:cs="宋体"/>
                <w:kern w:val="0"/>
              </w:rPr>
            </w:pPr>
          </w:p>
        </w:tc>
        <w:tc>
          <w:tcPr>
            <w:tcW w:w="1454" w:type="dxa"/>
            <w:gridSpan w:val="5"/>
            <w:tcBorders>
              <w:top w:val="single" w:color="000000" w:sz="4" w:space="0"/>
              <w:bottom w:val="single" w:color="000000" w:sz="4" w:space="0"/>
              <w:right w:val="single" w:color="000000" w:sz="4" w:space="0"/>
            </w:tcBorders>
            <w:vAlign w:val="center"/>
          </w:tcPr>
          <w:p w14:paraId="0A86B126">
            <w:pPr>
              <w:widowControl/>
              <w:snapToGrid w:val="0"/>
              <w:jc w:val="center"/>
              <w:rPr>
                <w:rFonts w:ascii="仿宋_GB2312" w:hAnsi="仿宋_GB2312" w:eastAsia="仿宋_GB2312" w:cs="宋体"/>
                <w:kern w:val="0"/>
              </w:rPr>
            </w:pPr>
          </w:p>
        </w:tc>
        <w:tc>
          <w:tcPr>
            <w:tcW w:w="1412" w:type="dxa"/>
            <w:gridSpan w:val="4"/>
            <w:tcBorders>
              <w:top w:val="single" w:color="000000" w:sz="4" w:space="0"/>
              <w:bottom w:val="single" w:color="000000" w:sz="4" w:space="0"/>
              <w:right w:val="single" w:color="000000" w:sz="4" w:space="0"/>
            </w:tcBorders>
            <w:vAlign w:val="center"/>
          </w:tcPr>
          <w:p w14:paraId="0F746582">
            <w:pPr>
              <w:widowControl/>
              <w:snapToGrid w:val="0"/>
              <w:jc w:val="center"/>
              <w:rPr>
                <w:rFonts w:ascii="仿宋_GB2312" w:hAnsi="仿宋_GB2312" w:eastAsia="仿宋_GB2312" w:cs="宋体"/>
                <w:kern w:val="0"/>
              </w:rPr>
            </w:pPr>
          </w:p>
        </w:tc>
      </w:tr>
      <w:tr w14:paraId="18E8D561">
        <w:trPr>
          <w:trHeight w:val="312" w:hRule="atLeast"/>
          <w:jc w:val="center"/>
        </w:trPr>
        <w:tc>
          <w:tcPr>
            <w:tcW w:w="1442" w:type="dxa"/>
            <w:tcBorders>
              <w:top w:val="single" w:color="000000" w:sz="4" w:space="0"/>
              <w:left w:val="single" w:color="000000" w:sz="4" w:space="0"/>
              <w:bottom w:val="single" w:color="000000" w:sz="4" w:space="0"/>
              <w:right w:val="single" w:color="000000" w:sz="4" w:space="0"/>
            </w:tcBorders>
            <w:vAlign w:val="center"/>
          </w:tcPr>
          <w:p w14:paraId="1D6B594E">
            <w:pPr>
              <w:widowControl/>
              <w:jc w:val="center"/>
              <w:rPr>
                <w:rFonts w:ascii="仿宋_GB2312" w:hAnsi="仿宋_GB2312" w:eastAsia="仿宋_GB2312" w:cs="宋体"/>
                <w:kern w:val="0"/>
              </w:rPr>
            </w:pPr>
            <w:r>
              <w:rPr>
                <w:rFonts w:ascii="仿宋_GB2312" w:hAnsi="仿宋_GB2312" w:eastAsia="仿宋_GB2312" w:cs="宋体"/>
                <w:kern w:val="0"/>
              </w:rPr>
              <w:t>身份证号</w:t>
            </w:r>
          </w:p>
        </w:tc>
        <w:tc>
          <w:tcPr>
            <w:tcW w:w="1335" w:type="dxa"/>
            <w:gridSpan w:val="4"/>
            <w:tcBorders>
              <w:top w:val="single" w:color="000000" w:sz="4" w:space="0"/>
              <w:bottom w:val="single" w:color="000000" w:sz="4" w:space="0"/>
              <w:right w:val="single" w:color="000000" w:sz="4" w:space="0"/>
            </w:tcBorders>
            <w:vAlign w:val="center"/>
          </w:tcPr>
          <w:p w14:paraId="0E37A258">
            <w:pPr>
              <w:widowControl/>
              <w:snapToGrid w:val="0"/>
              <w:jc w:val="center"/>
              <w:rPr>
                <w:rFonts w:ascii="仿宋_GB2312" w:hAnsi="仿宋_GB2312" w:eastAsia="仿宋_GB2312" w:cs="宋体"/>
                <w:kern w:val="0"/>
              </w:rPr>
            </w:pPr>
          </w:p>
        </w:tc>
        <w:tc>
          <w:tcPr>
            <w:tcW w:w="1482" w:type="dxa"/>
            <w:gridSpan w:val="2"/>
            <w:tcBorders>
              <w:top w:val="single" w:color="000000" w:sz="4" w:space="0"/>
              <w:bottom w:val="single" w:color="000000" w:sz="4" w:space="0"/>
              <w:right w:val="single" w:color="000000" w:sz="4" w:space="0"/>
            </w:tcBorders>
            <w:vAlign w:val="center"/>
          </w:tcPr>
          <w:p w14:paraId="240A8B74">
            <w:pPr>
              <w:widowControl/>
              <w:snapToGrid w:val="0"/>
              <w:jc w:val="center"/>
              <w:rPr>
                <w:rFonts w:ascii="仿宋_GB2312" w:hAnsi="仿宋_GB2312" w:eastAsia="仿宋_GB2312" w:cs="宋体"/>
                <w:kern w:val="0"/>
              </w:rPr>
            </w:pPr>
          </w:p>
        </w:tc>
        <w:tc>
          <w:tcPr>
            <w:tcW w:w="1347" w:type="dxa"/>
            <w:gridSpan w:val="3"/>
            <w:tcBorders>
              <w:top w:val="single" w:color="000000" w:sz="4" w:space="0"/>
              <w:bottom w:val="single" w:color="000000" w:sz="4" w:space="0"/>
              <w:right w:val="single" w:color="000000" w:sz="4" w:space="0"/>
            </w:tcBorders>
            <w:vAlign w:val="center"/>
          </w:tcPr>
          <w:p w14:paraId="083D6915">
            <w:pPr>
              <w:widowControl/>
              <w:snapToGrid w:val="0"/>
              <w:jc w:val="center"/>
              <w:rPr>
                <w:rFonts w:ascii="仿宋_GB2312" w:hAnsi="仿宋_GB2312" w:eastAsia="仿宋_GB2312" w:cs="宋体"/>
                <w:kern w:val="0"/>
              </w:rPr>
            </w:pPr>
          </w:p>
        </w:tc>
        <w:tc>
          <w:tcPr>
            <w:tcW w:w="1454" w:type="dxa"/>
            <w:gridSpan w:val="5"/>
            <w:tcBorders>
              <w:top w:val="single" w:color="000000" w:sz="4" w:space="0"/>
              <w:bottom w:val="single" w:color="000000" w:sz="4" w:space="0"/>
              <w:right w:val="single" w:color="000000" w:sz="4" w:space="0"/>
            </w:tcBorders>
            <w:vAlign w:val="center"/>
          </w:tcPr>
          <w:p w14:paraId="7834BA70">
            <w:pPr>
              <w:widowControl/>
              <w:snapToGrid w:val="0"/>
              <w:jc w:val="center"/>
              <w:rPr>
                <w:rFonts w:ascii="仿宋_GB2312" w:hAnsi="仿宋_GB2312" w:eastAsia="仿宋_GB2312" w:cs="宋体"/>
                <w:kern w:val="0"/>
              </w:rPr>
            </w:pPr>
          </w:p>
        </w:tc>
        <w:tc>
          <w:tcPr>
            <w:tcW w:w="1412" w:type="dxa"/>
            <w:gridSpan w:val="4"/>
            <w:tcBorders>
              <w:top w:val="single" w:color="000000" w:sz="4" w:space="0"/>
              <w:bottom w:val="single" w:color="000000" w:sz="4" w:space="0"/>
              <w:right w:val="single" w:color="000000" w:sz="4" w:space="0"/>
            </w:tcBorders>
            <w:vAlign w:val="center"/>
          </w:tcPr>
          <w:p w14:paraId="031760AC">
            <w:pPr>
              <w:widowControl/>
              <w:snapToGrid w:val="0"/>
              <w:jc w:val="center"/>
              <w:rPr>
                <w:rFonts w:ascii="仿宋_GB2312" w:hAnsi="仿宋_GB2312" w:eastAsia="仿宋_GB2312" w:cs="宋体"/>
                <w:kern w:val="0"/>
              </w:rPr>
            </w:pPr>
          </w:p>
        </w:tc>
      </w:tr>
      <w:tr w14:paraId="5B6A048C">
        <w:tblPrEx>
          <w:tblCellMar>
            <w:top w:w="0" w:type="dxa"/>
            <w:left w:w="108" w:type="dxa"/>
            <w:bottom w:w="0" w:type="dxa"/>
            <w:right w:w="108" w:type="dxa"/>
          </w:tblCellMar>
        </w:tblPrEx>
        <w:trPr>
          <w:trHeight w:val="312" w:hRule="atLeast"/>
          <w:jc w:val="center"/>
        </w:trPr>
        <w:tc>
          <w:tcPr>
            <w:tcW w:w="1442" w:type="dxa"/>
            <w:tcBorders>
              <w:top w:val="single" w:color="000000" w:sz="4" w:space="0"/>
              <w:left w:val="single" w:color="000000" w:sz="4" w:space="0"/>
              <w:bottom w:val="single" w:color="000000" w:sz="4" w:space="0"/>
              <w:right w:val="single" w:color="000000" w:sz="4" w:space="0"/>
            </w:tcBorders>
            <w:vAlign w:val="center"/>
          </w:tcPr>
          <w:p w14:paraId="654157FF">
            <w:pPr>
              <w:widowControl/>
              <w:jc w:val="center"/>
              <w:rPr>
                <w:rFonts w:ascii="仿宋_GB2312" w:hAnsi="仿宋_GB2312" w:eastAsia="仿宋_GB2312" w:cs="宋体"/>
                <w:kern w:val="0"/>
              </w:rPr>
            </w:pPr>
            <w:r>
              <w:rPr>
                <w:rFonts w:ascii="仿宋_GB2312" w:hAnsi="仿宋_GB2312" w:eastAsia="仿宋_GB2312" w:cs="宋体"/>
                <w:kern w:val="0"/>
              </w:rPr>
              <w:t>联系电话</w:t>
            </w:r>
          </w:p>
        </w:tc>
        <w:tc>
          <w:tcPr>
            <w:tcW w:w="1335" w:type="dxa"/>
            <w:gridSpan w:val="4"/>
            <w:tcBorders>
              <w:top w:val="single" w:color="000000" w:sz="4" w:space="0"/>
              <w:bottom w:val="single" w:color="000000" w:sz="4" w:space="0"/>
              <w:right w:val="single" w:color="000000" w:sz="4" w:space="0"/>
            </w:tcBorders>
            <w:vAlign w:val="center"/>
          </w:tcPr>
          <w:p w14:paraId="05E769AF">
            <w:pPr>
              <w:widowControl/>
              <w:snapToGrid w:val="0"/>
              <w:jc w:val="center"/>
              <w:rPr>
                <w:rFonts w:ascii="仿宋_GB2312" w:hAnsi="仿宋_GB2312" w:eastAsia="仿宋_GB2312" w:cs="宋体"/>
                <w:kern w:val="0"/>
              </w:rPr>
            </w:pPr>
          </w:p>
        </w:tc>
        <w:tc>
          <w:tcPr>
            <w:tcW w:w="1482" w:type="dxa"/>
            <w:gridSpan w:val="2"/>
            <w:tcBorders>
              <w:top w:val="single" w:color="000000" w:sz="4" w:space="0"/>
              <w:bottom w:val="single" w:color="000000" w:sz="4" w:space="0"/>
              <w:right w:val="single" w:color="000000" w:sz="4" w:space="0"/>
            </w:tcBorders>
            <w:vAlign w:val="center"/>
          </w:tcPr>
          <w:p w14:paraId="2EA05BEA">
            <w:pPr>
              <w:widowControl/>
              <w:snapToGrid w:val="0"/>
              <w:jc w:val="center"/>
              <w:rPr>
                <w:rFonts w:ascii="仿宋_GB2312" w:hAnsi="仿宋_GB2312" w:eastAsia="仿宋_GB2312" w:cs="宋体"/>
                <w:kern w:val="0"/>
              </w:rPr>
            </w:pPr>
          </w:p>
        </w:tc>
        <w:tc>
          <w:tcPr>
            <w:tcW w:w="1347" w:type="dxa"/>
            <w:gridSpan w:val="3"/>
            <w:tcBorders>
              <w:top w:val="single" w:color="000000" w:sz="4" w:space="0"/>
              <w:bottom w:val="single" w:color="000000" w:sz="4" w:space="0"/>
              <w:right w:val="single" w:color="000000" w:sz="4" w:space="0"/>
            </w:tcBorders>
            <w:vAlign w:val="center"/>
          </w:tcPr>
          <w:p w14:paraId="3BF62F87">
            <w:pPr>
              <w:widowControl/>
              <w:snapToGrid w:val="0"/>
              <w:jc w:val="center"/>
              <w:rPr>
                <w:rFonts w:ascii="仿宋_GB2312" w:hAnsi="仿宋_GB2312" w:eastAsia="仿宋_GB2312" w:cs="宋体"/>
                <w:kern w:val="0"/>
              </w:rPr>
            </w:pPr>
          </w:p>
        </w:tc>
        <w:tc>
          <w:tcPr>
            <w:tcW w:w="1454" w:type="dxa"/>
            <w:gridSpan w:val="5"/>
            <w:tcBorders>
              <w:top w:val="single" w:color="000000" w:sz="4" w:space="0"/>
              <w:bottom w:val="single" w:color="000000" w:sz="4" w:space="0"/>
              <w:right w:val="single" w:color="000000" w:sz="4" w:space="0"/>
            </w:tcBorders>
            <w:vAlign w:val="center"/>
          </w:tcPr>
          <w:p w14:paraId="2E4E0C66">
            <w:pPr>
              <w:widowControl/>
              <w:snapToGrid w:val="0"/>
              <w:jc w:val="center"/>
              <w:rPr>
                <w:rFonts w:ascii="仿宋_GB2312" w:hAnsi="仿宋_GB2312" w:eastAsia="仿宋_GB2312" w:cs="宋体"/>
                <w:kern w:val="0"/>
              </w:rPr>
            </w:pPr>
          </w:p>
        </w:tc>
        <w:tc>
          <w:tcPr>
            <w:tcW w:w="1412" w:type="dxa"/>
            <w:gridSpan w:val="4"/>
            <w:tcBorders>
              <w:top w:val="single" w:color="000000" w:sz="4" w:space="0"/>
              <w:bottom w:val="single" w:color="000000" w:sz="4" w:space="0"/>
              <w:right w:val="single" w:color="000000" w:sz="4" w:space="0"/>
            </w:tcBorders>
            <w:vAlign w:val="center"/>
          </w:tcPr>
          <w:p w14:paraId="701187D6">
            <w:pPr>
              <w:widowControl/>
              <w:snapToGrid w:val="0"/>
              <w:jc w:val="center"/>
              <w:rPr>
                <w:rFonts w:ascii="仿宋_GB2312" w:hAnsi="仿宋_GB2312" w:eastAsia="仿宋_GB2312" w:cs="宋体"/>
                <w:kern w:val="0"/>
              </w:rPr>
            </w:pPr>
          </w:p>
        </w:tc>
      </w:tr>
      <w:tr w14:paraId="4ED5B875">
        <w:trPr>
          <w:trHeight w:val="312" w:hRule="atLeast"/>
          <w:jc w:val="center"/>
        </w:trPr>
        <w:tc>
          <w:tcPr>
            <w:tcW w:w="1442" w:type="dxa"/>
            <w:tcBorders>
              <w:top w:val="single" w:color="000000" w:sz="4" w:space="0"/>
              <w:left w:val="single" w:color="000000" w:sz="4" w:space="0"/>
              <w:bottom w:val="single" w:color="000000" w:sz="4" w:space="0"/>
              <w:right w:val="single" w:color="000000" w:sz="4" w:space="0"/>
            </w:tcBorders>
            <w:vAlign w:val="center"/>
          </w:tcPr>
          <w:p w14:paraId="29CDFDFF">
            <w:pPr>
              <w:widowControl/>
              <w:jc w:val="center"/>
              <w:rPr>
                <w:rFonts w:ascii="仿宋_GB2312" w:hAnsi="仿宋_GB2312" w:eastAsia="仿宋_GB2312" w:cs="宋体"/>
                <w:kern w:val="0"/>
              </w:rPr>
            </w:pPr>
            <w:r>
              <w:rPr>
                <w:rFonts w:ascii="仿宋_GB2312" w:hAnsi="仿宋_GB2312" w:eastAsia="仿宋_GB2312" w:cs="宋体"/>
                <w:kern w:val="0"/>
              </w:rPr>
              <w:t>工作单位</w:t>
            </w:r>
          </w:p>
        </w:tc>
        <w:tc>
          <w:tcPr>
            <w:tcW w:w="1335" w:type="dxa"/>
            <w:gridSpan w:val="4"/>
            <w:tcBorders>
              <w:top w:val="single" w:color="000000" w:sz="4" w:space="0"/>
              <w:bottom w:val="single" w:color="000000" w:sz="4" w:space="0"/>
              <w:right w:val="single" w:color="000000" w:sz="4" w:space="0"/>
            </w:tcBorders>
            <w:vAlign w:val="center"/>
          </w:tcPr>
          <w:p w14:paraId="0A18B8D7">
            <w:pPr>
              <w:widowControl/>
              <w:snapToGrid w:val="0"/>
              <w:jc w:val="center"/>
              <w:rPr>
                <w:rFonts w:ascii="仿宋_GB2312" w:hAnsi="仿宋_GB2312" w:eastAsia="仿宋_GB2312" w:cs="宋体"/>
                <w:kern w:val="0"/>
              </w:rPr>
            </w:pPr>
          </w:p>
        </w:tc>
        <w:tc>
          <w:tcPr>
            <w:tcW w:w="1482" w:type="dxa"/>
            <w:gridSpan w:val="2"/>
            <w:tcBorders>
              <w:top w:val="single" w:color="000000" w:sz="4" w:space="0"/>
              <w:bottom w:val="single" w:color="000000" w:sz="4" w:space="0"/>
              <w:right w:val="single" w:color="000000" w:sz="4" w:space="0"/>
            </w:tcBorders>
            <w:vAlign w:val="center"/>
          </w:tcPr>
          <w:p w14:paraId="344D9074">
            <w:pPr>
              <w:widowControl/>
              <w:snapToGrid w:val="0"/>
              <w:jc w:val="center"/>
              <w:rPr>
                <w:rFonts w:ascii="仿宋_GB2312" w:hAnsi="仿宋_GB2312" w:eastAsia="仿宋_GB2312" w:cs="宋体"/>
                <w:kern w:val="0"/>
              </w:rPr>
            </w:pPr>
          </w:p>
        </w:tc>
        <w:tc>
          <w:tcPr>
            <w:tcW w:w="1347" w:type="dxa"/>
            <w:gridSpan w:val="3"/>
            <w:tcBorders>
              <w:top w:val="single" w:color="000000" w:sz="4" w:space="0"/>
              <w:bottom w:val="single" w:color="000000" w:sz="4" w:space="0"/>
              <w:right w:val="single" w:color="000000" w:sz="4" w:space="0"/>
            </w:tcBorders>
            <w:vAlign w:val="center"/>
          </w:tcPr>
          <w:p w14:paraId="1A9A10E3">
            <w:pPr>
              <w:widowControl/>
              <w:snapToGrid w:val="0"/>
              <w:jc w:val="center"/>
              <w:rPr>
                <w:rFonts w:ascii="仿宋_GB2312" w:hAnsi="仿宋_GB2312" w:eastAsia="仿宋_GB2312" w:cs="宋体"/>
                <w:kern w:val="0"/>
              </w:rPr>
            </w:pPr>
          </w:p>
        </w:tc>
        <w:tc>
          <w:tcPr>
            <w:tcW w:w="1454" w:type="dxa"/>
            <w:gridSpan w:val="5"/>
            <w:tcBorders>
              <w:top w:val="single" w:color="000000" w:sz="4" w:space="0"/>
              <w:bottom w:val="single" w:color="000000" w:sz="4" w:space="0"/>
              <w:right w:val="single" w:color="000000" w:sz="4" w:space="0"/>
            </w:tcBorders>
            <w:vAlign w:val="center"/>
          </w:tcPr>
          <w:p w14:paraId="45CC3ECC">
            <w:pPr>
              <w:widowControl/>
              <w:snapToGrid w:val="0"/>
              <w:jc w:val="center"/>
              <w:rPr>
                <w:rFonts w:ascii="仿宋_GB2312" w:hAnsi="仿宋_GB2312" w:eastAsia="仿宋_GB2312" w:cs="宋体"/>
                <w:kern w:val="0"/>
              </w:rPr>
            </w:pPr>
          </w:p>
        </w:tc>
        <w:tc>
          <w:tcPr>
            <w:tcW w:w="1412" w:type="dxa"/>
            <w:gridSpan w:val="4"/>
            <w:tcBorders>
              <w:top w:val="single" w:color="000000" w:sz="4" w:space="0"/>
              <w:bottom w:val="single" w:color="000000" w:sz="4" w:space="0"/>
              <w:right w:val="single" w:color="000000" w:sz="4" w:space="0"/>
            </w:tcBorders>
            <w:vAlign w:val="center"/>
          </w:tcPr>
          <w:p w14:paraId="1E15CE46">
            <w:pPr>
              <w:widowControl/>
              <w:snapToGrid w:val="0"/>
              <w:jc w:val="center"/>
              <w:rPr>
                <w:rFonts w:ascii="仿宋_GB2312" w:hAnsi="仿宋_GB2312" w:eastAsia="仿宋_GB2312" w:cs="宋体"/>
                <w:kern w:val="0"/>
              </w:rPr>
            </w:pPr>
          </w:p>
        </w:tc>
      </w:tr>
      <w:tr w14:paraId="3F65AAA6">
        <w:tblPrEx>
          <w:tblCellMar>
            <w:top w:w="0" w:type="dxa"/>
            <w:left w:w="108" w:type="dxa"/>
            <w:bottom w:w="0" w:type="dxa"/>
            <w:right w:w="108" w:type="dxa"/>
          </w:tblCellMar>
        </w:tblPrEx>
        <w:trPr>
          <w:trHeight w:val="312" w:hRule="atLeast"/>
          <w:jc w:val="center"/>
        </w:trPr>
        <w:tc>
          <w:tcPr>
            <w:tcW w:w="1442" w:type="dxa"/>
            <w:tcBorders>
              <w:top w:val="single" w:color="000000" w:sz="4" w:space="0"/>
              <w:left w:val="single" w:color="000000" w:sz="4" w:space="0"/>
              <w:bottom w:val="single" w:color="000000" w:sz="4" w:space="0"/>
              <w:right w:val="single" w:color="000000" w:sz="4" w:space="0"/>
            </w:tcBorders>
            <w:vAlign w:val="center"/>
          </w:tcPr>
          <w:p w14:paraId="3BAB5055">
            <w:pPr>
              <w:widowControl/>
              <w:jc w:val="center"/>
              <w:rPr>
                <w:rFonts w:ascii="仿宋_GB2312" w:hAnsi="仿宋_GB2312" w:eastAsia="仿宋_GB2312" w:cs="宋体"/>
                <w:kern w:val="0"/>
              </w:rPr>
            </w:pPr>
            <w:r>
              <w:rPr>
                <w:rFonts w:ascii="仿宋_GB2312" w:hAnsi="仿宋_GB2312" w:eastAsia="仿宋_GB2312" w:cs="宋体"/>
                <w:kern w:val="0"/>
              </w:rPr>
              <w:t>持股情况</w:t>
            </w:r>
          </w:p>
        </w:tc>
        <w:tc>
          <w:tcPr>
            <w:tcW w:w="1335" w:type="dxa"/>
            <w:gridSpan w:val="4"/>
            <w:tcBorders>
              <w:top w:val="single" w:color="000000" w:sz="4" w:space="0"/>
              <w:bottom w:val="single" w:color="000000" w:sz="4" w:space="0"/>
              <w:right w:val="single" w:color="000000" w:sz="4" w:space="0"/>
            </w:tcBorders>
            <w:vAlign w:val="center"/>
          </w:tcPr>
          <w:p w14:paraId="70E4C2DD">
            <w:pPr>
              <w:widowControl/>
              <w:snapToGrid w:val="0"/>
              <w:jc w:val="center"/>
              <w:rPr>
                <w:rFonts w:ascii="仿宋_GB2312" w:hAnsi="仿宋_GB2312" w:eastAsia="仿宋_GB2312" w:cs="宋体"/>
                <w:kern w:val="0"/>
              </w:rPr>
            </w:pPr>
          </w:p>
        </w:tc>
        <w:tc>
          <w:tcPr>
            <w:tcW w:w="1482" w:type="dxa"/>
            <w:gridSpan w:val="2"/>
            <w:tcBorders>
              <w:top w:val="single" w:color="000000" w:sz="4" w:space="0"/>
              <w:bottom w:val="single" w:color="000000" w:sz="4" w:space="0"/>
              <w:right w:val="single" w:color="000000" w:sz="4" w:space="0"/>
            </w:tcBorders>
            <w:vAlign w:val="center"/>
          </w:tcPr>
          <w:p w14:paraId="44B93EDE">
            <w:pPr>
              <w:widowControl/>
              <w:snapToGrid w:val="0"/>
              <w:jc w:val="center"/>
              <w:rPr>
                <w:rFonts w:ascii="仿宋_GB2312" w:hAnsi="仿宋_GB2312" w:eastAsia="仿宋_GB2312" w:cs="宋体"/>
                <w:kern w:val="0"/>
              </w:rPr>
            </w:pPr>
          </w:p>
        </w:tc>
        <w:tc>
          <w:tcPr>
            <w:tcW w:w="1347" w:type="dxa"/>
            <w:gridSpan w:val="3"/>
            <w:tcBorders>
              <w:top w:val="single" w:color="000000" w:sz="4" w:space="0"/>
              <w:bottom w:val="single" w:color="000000" w:sz="4" w:space="0"/>
              <w:right w:val="single" w:color="000000" w:sz="4" w:space="0"/>
            </w:tcBorders>
            <w:vAlign w:val="center"/>
          </w:tcPr>
          <w:p w14:paraId="2AE94021">
            <w:pPr>
              <w:widowControl/>
              <w:snapToGrid w:val="0"/>
              <w:jc w:val="center"/>
              <w:rPr>
                <w:rFonts w:ascii="仿宋_GB2312" w:hAnsi="仿宋_GB2312" w:eastAsia="仿宋_GB2312" w:cs="宋体"/>
                <w:kern w:val="0"/>
              </w:rPr>
            </w:pPr>
          </w:p>
        </w:tc>
        <w:tc>
          <w:tcPr>
            <w:tcW w:w="1454" w:type="dxa"/>
            <w:gridSpan w:val="5"/>
            <w:tcBorders>
              <w:top w:val="single" w:color="000000" w:sz="4" w:space="0"/>
              <w:bottom w:val="single" w:color="000000" w:sz="4" w:space="0"/>
              <w:right w:val="single" w:color="000000" w:sz="4" w:space="0"/>
            </w:tcBorders>
            <w:vAlign w:val="center"/>
          </w:tcPr>
          <w:p w14:paraId="795B7443">
            <w:pPr>
              <w:widowControl/>
              <w:snapToGrid w:val="0"/>
              <w:jc w:val="center"/>
              <w:rPr>
                <w:rFonts w:ascii="仿宋_GB2312" w:hAnsi="仿宋_GB2312" w:eastAsia="仿宋_GB2312" w:cs="宋体"/>
                <w:kern w:val="0"/>
              </w:rPr>
            </w:pPr>
          </w:p>
        </w:tc>
        <w:tc>
          <w:tcPr>
            <w:tcW w:w="1412" w:type="dxa"/>
            <w:gridSpan w:val="4"/>
            <w:tcBorders>
              <w:top w:val="single" w:color="000000" w:sz="4" w:space="0"/>
              <w:bottom w:val="single" w:color="000000" w:sz="4" w:space="0"/>
              <w:right w:val="single" w:color="000000" w:sz="4" w:space="0"/>
            </w:tcBorders>
            <w:vAlign w:val="center"/>
          </w:tcPr>
          <w:p w14:paraId="2CCC9D7B">
            <w:pPr>
              <w:widowControl/>
              <w:snapToGrid w:val="0"/>
              <w:jc w:val="center"/>
              <w:rPr>
                <w:rFonts w:ascii="仿宋_GB2312" w:hAnsi="仿宋_GB2312" w:eastAsia="仿宋_GB2312" w:cs="宋体"/>
                <w:kern w:val="0"/>
              </w:rPr>
            </w:pPr>
          </w:p>
        </w:tc>
      </w:tr>
      <w:tr w14:paraId="5A8B4A55">
        <w:trPr>
          <w:trHeight w:val="312" w:hRule="atLeast"/>
          <w:jc w:val="center"/>
        </w:trPr>
        <w:tc>
          <w:tcPr>
            <w:tcW w:w="1442" w:type="dxa"/>
            <w:tcBorders>
              <w:top w:val="single" w:color="000000" w:sz="4" w:space="0"/>
              <w:left w:val="single" w:color="000000" w:sz="4" w:space="0"/>
              <w:bottom w:val="single" w:color="000000" w:sz="4" w:space="0"/>
              <w:right w:val="single" w:color="000000" w:sz="4" w:space="0"/>
            </w:tcBorders>
            <w:vAlign w:val="center"/>
          </w:tcPr>
          <w:p w14:paraId="18E966D1">
            <w:pPr>
              <w:widowControl/>
              <w:jc w:val="center"/>
              <w:rPr>
                <w:rFonts w:ascii="仿宋_GB2312" w:hAnsi="仿宋_GB2312" w:eastAsia="仿宋_GB2312" w:cs="宋体"/>
                <w:kern w:val="0"/>
              </w:rPr>
            </w:pPr>
            <w:r>
              <w:rPr>
                <w:rFonts w:ascii="仿宋_GB2312" w:hAnsi="仿宋_GB2312" w:eastAsia="仿宋_GB2312" w:cs="宋体"/>
                <w:kern w:val="0"/>
              </w:rPr>
              <w:t>持股数量</w:t>
            </w:r>
          </w:p>
        </w:tc>
        <w:tc>
          <w:tcPr>
            <w:tcW w:w="1335" w:type="dxa"/>
            <w:gridSpan w:val="4"/>
            <w:tcBorders>
              <w:top w:val="single" w:color="000000" w:sz="4" w:space="0"/>
              <w:bottom w:val="single" w:color="000000" w:sz="4" w:space="0"/>
              <w:right w:val="single" w:color="000000" w:sz="4" w:space="0"/>
            </w:tcBorders>
            <w:vAlign w:val="center"/>
          </w:tcPr>
          <w:p w14:paraId="7F1D59E7">
            <w:pPr>
              <w:widowControl/>
              <w:snapToGrid w:val="0"/>
              <w:jc w:val="center"/>
              <w:rPr>
                <w:rFonts w:ascii="仿宋_GB2312" w:hAnsi="仿宋_GB2312" w:eastAsia="仿宋_GB2312" w:cs="宋体"/>
                <w:kern w:val="0"/>
              </w:rPr>
            </w:pPr>
          </w:p>
        </w:tc>
        <w:tc>
          <w:tcPr>
            <w:tcW w:w="1482" w:type="dxa"/>
            <w:gridSpan w:val="2"/>
            <w:tcBorders>
              <w:top w:val="single" w:color="000000" w:sz="4" w:space="0"/>
              <w:bottom w:val="single" w:color="000000" w:sz="4" w:space="0"/>
              <w:right w:val="single" w:color="000000" w:sz="4" w:space="0"/>
            </w:tcBorders>
            <w:vAlign w:val="center"/>
          </w:tcPr>
          <w:p w14:paraId="66FD3920">
            <w:pPr>
              <w:widowControl/>
              <w:snapToGrid w:val="0"/>
              <w:jc w:val="center"/>
              <w:rPr>
                <w:rFonts w:ascii="仿宋_GB2312" w:hAnsi="仿宋_GB2312" w:eastAsia="仿宋_GB2312" w:cs="宋体"/>
                <w:kern w:val="0"/>
              </w:rPr>
            </w:pPr>
          </w:p>
        </w:tc>
        <w:tc>
          <w:tcPr>
            <w:tcW w:w="1347" w:type="dxa"/>
            <w:gridSpan w:val="3"/>
            <w:tcBorders>
              <w:top w:val="single" w:color="000000" w:sz="4" w:space="0"/>
              <w:bottom w:val="single" w:color="000000" w:sz="4" w:space="0"/>
              <w:right w:val="single" w:color="000000" w:sz="4" w:space="0"/>
            </w:tcBorders>
            <w:vAlign w:val="center"/>
          </w:tcPr>
          <w:p w14:paraId="681925F1">
            <w:pPr>
              <w:widowControl/>
              <w:snapToGrid w:val="0"/>
              <w:jc w:val="center"/>
              <w:rPr>
                <w:rFonts w:ascii="仿宋_GB2312" w:hAnsi="仿宋_GB2312" w:eastAsia="仿宋_GB2312" w:cs="宋体"/>
                <w:kern w:val="0"/>
              </w:rPr>
            </w:pPr>
          </w:p>
        </w:tc>
        <w:tc>
          <w:tcPr>
            <w:tcW w:w="1454" w:type="dxa"/>
            <w:gridSpan w:val="5"/>
            <w:tcBorders>
              <w:top w:val="single" w:color="000000" w:sz="4" w:space="0"/>
              <w:bottom w:val="single" w:color="000000" w:sz="4" w:space="0"/>
              <w:right w:val="single" w:color="000000" w:sz="4" w:space="0"/>
            </w:tcBorders>
            <w:vAlign w:val="center"/>
          </w:tcPr>
          <w:p w14:paraId="36397607">
            <w:pPr>
              <w:widowControl/>
              <w:snapToGrid w:val="0"/>
              <w:jc w:val="center"/>
              <w:rPr>
                <w:rFonts w:ascii="仿宋_GB2312" w:hAnsi="仿宋_GB2312" w:eastAsia="仿宋_GB2312" w:cs="宋体"/>
                <w:kern w:val="0"/>
              </w:rPr>
            </w:pPr>
          </w:p>
        </w:tc>
        <w:tc>
          <w:tcPr>
            <w:tcW w:w="1412" w:type="dxa"/>
            <w:gridSpan w:val="4"/>
            <w:tcBorders>
              <w:top w:val="single" w:color="000000" w:sz="4" w:space="0"/>
              <w:bottom w:val="single" w:color="000000" w:sz="4" w:space="0"/>
              <w:right w:val="single" w:color="000000" w:sz="4" w:space="0"/>
            </w:tcBorders>
            <w:vAlign w:val="center"/>
          </w:tcPr>
          <w:p w14:paraId="1FCBC0E4">
            <w:pPr>
              <w:widowControl/>
              <w:snapToGrid w:val="0"/>
              <w:jc w:val="center"/>
              <w:rPr>
                <w:rFonts w:ascii="仿宋_GB2312" w:hAnsi="仿宋_GB2312" w:eastAsia="仿宋_GB2312" w:cs="宋体"/>
                <w:kern w:val="0"/>
              </w:rPr>
            </w:pPr>
          </w:p>
        </w:tc>
      </w:tr>
      <w:tr w14:paraId="3A66DF9A">
        <w:tblPrEx>
          <w:tblCellMar>
            <w:top w:w="0" w:type="dxa"/>
            <w:left w:w="108" w:type="dxa"/>
            <w:bottom w:w="0" w:type="dxa"/>
            <w:right w:w="108" w:type="dxa"/>
          </w:tblCellMar>
        </w:tblPrEx>
        <w:trPr>
          <w:trHeight w:val="312" w:hRule="atLeast"/>
          <w:jc w:val="center"/>
        </w:trPr>
        <w:tc>
          <w:tcPr>
            <w:tcW w:w="8472" w:type="dxa"/>
            <w:gridSpan w:val="19"/>
            <w:tcBorders>
              <w:top w:val="single" w:color="000000" w:sz="4" w:space="0"/>
              <w:left w:val="single" w:color="000000" w:sz="4" w:space="0"/>
              <w:bottom w:val="single" w:color="000000" w:sz="4" w:space="0"/>
              <w:right w:val="single" w:color="000000" w:sz="4" w:space="0"/>
            </w:tcBorders>
            <w:vAlign w:val="center"/>
          </w:tcPr>
          <w:p w14:paraId="327B62B7">
            <w:pPr>
              <w:widowControl/>
              <w:jc w:val="center"/>
              <w:rPr>
                <w:rFonts w:ascii="仿宋_GB2312" w:hAnsi="仿宋_GB2312" w:eastAsia="仿宋_GB2312" w:cs="宋体"/>
                <w:kern w:val="0"/>
              </w:rPr>
            </w:pPr>
            <w:r>
              <w:rPr>
                <w:rFonts w:ascii="仿宋_GB2312" w:hAnsi="仿宋_GB2312" w:eastAsia="仿宋_GB2312" w:cs="宋体"/>
                <w:kern w:val="0"/>
              </w:rPr>
              <w:t>三、教育背景</w:t>
            </w:r>
          </w:p>
        </w:tc>
      </w:tr>
      <w:tr w14:paraId="1AED55CB">
        <w:trPr>
          <w:trHeight w:val="312" w:hRule="atLeast"/>
          <w:jc w:val="center"/>
        </w:trPr>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71E8DA80">
            <w:pPr>
              <w:widowControl/>
              <w:jc w:val="center"/>
              <w:rPr>
                <w:rFonts w:ascii="仿宋_GB2312" w:hAnsi="仿宋_GB2312" w:eastAsia="仿宋_GB2312" w:cs="宋体"/>
                <w:kern w:val="0"/>
              </w:rPr>
            </w:pPr>
            <w:r>
              <w:rPr>
                <w:rFonts w:ascii="仿宋_GB2312" w:hAnsi="仿宋_GB2312" w:eastAsia="仿宋_GB2312" w:cs="宋体"/>
                <w:kern w:val="0"/>
              </w:rPr>
              <w:t>学习期间</w:t>
            </w:r>
          </w:p>
        </w:tc>
        <w:tc>
          <w:tcPr>
            <w:tcW w:w="1871" w:type="dxa"/>
            <w:gridSpan w:val="4"/>
            <w:tcBorders>
              <w:top w:val="single" w:color="000000" w:sz="4" w:space="0"/>
              <w:bottom w:val="single" w:color="000000" w:sz="4" w:space="0"/>
              <w:right w:val="single" w:color="000000" w:sz="4" w:space="0"/>
            </w:tcBorders>
            <w:vAlign w:val="center"/>
          </w:tcPr>
          <w:p w14:paraId="016555D6">
            <w:pPr>
              <w:widowControl/>
              <w:jc w:val="center"/>
              <w:rPr>
                <w:rFonts w:ascii="仿宋_GB2312" w:hAnsi="仿宋_GB2312" w:eastAsia="仿宋_GB2312" w:cs="宋体"/>
                <w:kern w:val="0"/>
              </w:rPr>
            </w:pPr>
            <w:r>
              <w:rPr>
                <w:rFonts w:ascii="仿宋_GB2312" w:hAnsi="仿宋_GB2312" w:eastAsia="仿宋_GB2312" w:cs="宋体"/>
                <w:kern w:val="0"/>
              </w:rPr>
              <w:t>学校</w:t>
            </w:r>
          </w:p>
        </w:tc>
        <w:tc>
          <w:tcPr>
            <w:tcW w:w="1777" w:type="dxa"/>
            <w:gridSpan w:val="2"/>
            <w:tcBorders>
              <w:top w:val="single" w:color="000000" w:sz="4" w:space="0"/>
              <w:bottom w:val="single" w:color="000000" w:sz="4" w:space="0"/>
              <w:right w:val="single" w:color="000000" w:sz="4" w:space="0"/>
            </w:tcBorders>
            <w:vAlign w:val="center"/>
          </w:tcPr>
          <w:p w14:paraId="46A23A29">
            <w:pPr>
              <w:widowControl/>
              <w:jc w:val="center"/>
              <w:rPr>
                <w:rFonts w:ascii="仿宋_GB2312" w:hAnsi="仿宋_GB2312" w:eastAsia="仿宋_GB2312" w:cs="宋体"/>
                <w:kern w:val="0"/>
              </w:rPr>
            </w:pPr>
            <w:r>
              <w:rPr>
                <w:rFonts w:ascii="仿宋_GB2312" w:hAnsi="仿宋_GB2312" w:eastAsia="仿宋_GB2312" w:cs="宋体"/>
                <w:kern w:val="0"/>
              </w:rPr>
              <w:t>专业</w:t>
            </w:r>
          </w:p>
        </w:tc>
        <w:tc>
          <w:tcPr>
            <w:tcW w:w="1580" w:type="dxa"/>
            <w:gridSpan w:val="4"/>
            <w:tcBorders>
              <w:top w:val="single" w:color="000000" w:sz="4" w:space="0"/>
              <w:bottom w:val="single" w:color="000000" w:sz="4" w:space="0"/>
              <w:right w:val="single" w:color="000000" w:sz="4" w:space="0"/>
            </w:tcBorders>
            <w:vAlign w:val="center"/>
          </w:tcPr>
          <w:p w14:paraId="7CCBE012">
            <w:pPr>
              <w:widowControl/>
              <w:jc w:val="center"/>
              <w:rPr>
                <w:rFonts w:ascii="仿宋_GB2312" w:hAnsi="仿宋_GB2312" w:eastAsia="仿宋_GB2312" w:cs="宋体"/>
                <w:kern w:val="0"/>
              </w:rPr>
            </w:pPr>
            <w:r>
              <w:rPr>
                <w:rFonts w:ascii="仿宋_GB2312" w:hAnsi="仿宋_GB2312" w:eastAsia="仿宋_GB2312" w:cs="宋体"/>
                <w:kern w:val="0"/>
              </w:rPr>
              <w:t>学历</w:t>
            </w:r>
          </w:p>
        </w:tc>
        <w:tc>
          <w:tcPr>
            <w:tcW w:w="1564" w:type="dxa"/>
            <w:gridSpan w:val="7"/>
            <w:tcBorders>
              <w:top w:val="single" w:color="000000" w:sz="4" w:space="0"/>
              <w:bottom w:val="single" w:color="000000" w:sz="4" w:space="0"/>
              <w:right w:val="single" w:color="000000" w:sz="4" w:space="0"/>
            </w:tcBorders>
            <w:vAlign w:val="center"/>
          </w:tcPr>
          <w:p w14:paraId="01BB418E">
            <w:pPr>
              <w:widowControl/>
              <w:jc w:val="center"/>
              <w:rPr>
                <w:rFonts w:ascii="仿宋_GB2312" w:hAnsi="仿宋_GB2312" w:eastAsia="仿宋_GB2312" w:cs="宋体"/>
                <w:kern w:val="0"/>
              </w:rPr>
            </w:pPr>
            <w:r>
              <w:rPr>
                <w:rFonts w:ascii="仿宋_GB2312" w:hAnsi="仿宋_GB2312" w:eastAsia="仿宋_GB2312" w:cs="宋体"/>
                <w:kern w:val="0"/>
              </w:rPr>
              <w:t>学位</w:t>
            </w:r>
          </w:p>
        </w:tc>
      </w:tr>
      <w:tr w14:paraId="08E1CB1A">
        <w:tblPrEx>
          <w:tblCellMar>
            <w:top w:w="0" w:type="dxa"/>
            <w:left w:w="108" w:type="dxa"/>
            <w:bottom w:w="0" w:type="dxa"/>
            <w:right w:w="108" w:type="dxa"/>
          </w:tblCellMar>
        </w:tblPrEx>
        <w:trPr>
          <w:trHeight w:val="312" w:hRule="atLeast"/>
          <w:jc w:val="center"/>
        </w:trPr>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19A22D58">
            <w:pPr>
              <w:widowControl/>
              <w:snapToGrid w:val="0"/>
              <w:jc w:val="center"/>
              <w:rPr>
                <w:rFonts w:ascii="仿宋_GB2312" w:hAnsi="仿宋_GB2312" w:eastAsia="仿宋_GB2312" w:cs="宋体"/>
                <w:kern w:val="0"/>
              </w:rPr>
            </w:pPr>
          </w:p>
        </w:tc>
        <w:tc>
          <w:tcPr>
            <w:tcW w:w="1871" w:type="dxa"/>
            <w:gridSpan w:val="4"/>
            <w:tcBorders>
              <w:top w:val="single" w:color="000000" w:sz="4" w:space="0"/>
              <w:bottom w:val="single" w:color="000000" w:sz="4" w:space="0"/>
              <w:right w:val="single" w:color="000000" w:sz="4" w:space="0"/>
            </w:tcBorders>
            <w:vAlign w:val="center"/>
          </w:tcPr>
          <w:p w14:paraId="6CCE9AD2">
            <w:pPr>
              <w:widowControl/>
              <w:snapToGrid w:val="0"/>
              <w:jc w:val="center"/>
              <w:rPr>
                <w:rFonts w:ascii="仿宋_GB2312" w:hAnsi="仿宋_GB2312" w:eastAsia="仿宋_GB2312" w:cs="宋体"/>
                <w:kern w:val="0"/>
              </w:rPr>
            </w:pPr>
          </w:p>
        </w:tc>
        <w:tc>
          <w:tcPr>
            <w:tcW w:w="1777" w:type="dxa"/>
            <w:gridSpan w:val="2"/>
            <w:tcBorders>
              <w:top w:val="single" w:color="000000" w:sz="4" w:space="0"/>
              <w:bottom w:val="single" w:color="000000" w:sz="4" w:space="0"/>
              <w:right w:val="single" w:color="000000" w:sz="4" w:space="0"/>
            </w:tcBorders>
            <w:vAlign w:val="center"/>
          </w:tcPr>
          <w:p w14:paraId="73F910CA">
            <w:pPr>
              <w:widowControl/>
              <w:snapToGrid w:val="0"/>
              <w:jc w:val="center"/>
              <w:rPr>
                <w:rFonts w:ascii="仿宋_GB2312" w:hAnsi="仿宋_GB2312" w:eastAsia="仿宋_GB2312" w:cs="宋体"/>
                <w:kern w:val="0"/>
              </w:rPr>
            </w:pPr>
          </w:p>
        </w:tc>
        <w:tc>
          <w:tcPr>
            <w:tcW w:w="1580" w:type="dxa"/>
            <w:gridSpan w:val="4"/>
            <w:tcBorders>
              <w:top w:val="single" w:color="000000" w:sz="4" w:space="0"/>
              <w:bottom w:val="single" w:color="000000" w:sz="4" w:space="0"/>
              <w:right w:val="single" w:color="000000" w:sz="4" w:space="0"/>
            </w:tcBorders>
            <w:vAlign w:val="center"/>
          </w:tcPr>
          <w:p w14:paraId="41A6B57E">
            <w:pPr>
              <w:widowControl/>
              <w:snapToGrid w:val="0"/>
              <w:jc w:val="center"/>
              <w:rPr>
                <w:rFonts w:ascii="仿宋_GB2312" w:hAnsi="仿宋_GB2312" w:eastAsia="仿宋_GB2312" w:cs="宋体"/>
                <w:kern w:val="0"/>
              </w:rPr>
            </w:pPr>
          </w:p>
        </w:tc>
        <w:tc>
          <w:tcPr>
            <w:tcW w:w="1564" w:type="dxa"/>
            <w:gridSpan w:val="7"/>
            <w:tcBorders>
              <w:top w:val="single" w:color="000000" w:sz="4" w:space="0"/>
              <w:bottom w:val="single" w:color="000000" w:sz="4" w:space="0"/>
              <w:right w:val="single" w:color="000000" w:sz="4" w:space="0"/>
            </w:tcBorders>
            <w:vAlign w:val="center"/>
          </w:tcPr>
          <w:p w14:paraId="541C89A3">
            <w:pPr>
              <w:widowControl/>
              <w:snapToGrid w:val="0"/>
              <w:jc w:val="center"/>
              <w:rPr>
                <w:rFonts w:ascii="仿宋_GB2312" w:hAnsi="仿宋_GB2312" w:eastAsia="仿宋_GB2312" w:cs="宋体"/>
                <w:kern w:val="0"/>
              </w:rPr>
            </w:pPr>
          </w:p>
        </w:tc>
      </w:tr>
      <w:tr w14:paraId="43E96098">
        <w:trPr>
          <w:trHeight w:val="312" w:hRule="atLeast"/>
          <w:jc w:val="center"/>
        </w:trPr>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0FEAF92E">
            <w:pPr>
              <w:widowControl/>
              <w:snapToGrid w:val="0"/>
              <w:jc w:val="center"/>
              <w:rPr>
                <w:rFonts w:ascii="仿宋_GB2312" w:hAnsi="仿宋_GB2312" w:eastAsia="仿宋_GB2312" w:cs="宋体"/>
                <w:kern w:val="0"/>
              </w:rPr>
            </w:pPr>
          </w:p>
        </w:tc>
        <w:tc>
          <w:tcPr>
            <w:tcW w:w="1871" w:type="dxa"/>
            <w:gridSpan w:val="4"/>
            <w:tcBorders>
              <w:top w:val="single" w:color="000000" w:sz="4" w:space="0"/>
              <w:bottom w:val="single" w:color="000000" w:sz="4" w:space="0"/>
              <w:right w:val="single" w:color="000000" w:sz="4" w:space="0"/>
            </w:tcBorders>
            <w:vAlign w:val="center"/>
          </w:tcPr>
          <w:p w14:paraId="68EFA0A0">
            <w:pPr>
              <w:widowControl/>
              <w:snapToGrid w:val="0"/>
              <w:jc w:val="center"/>
              <w:rPr>
                <w:rFonts w:ascii="仿宋_GB2312" w:hAnsi="仿宋_GB2312" w:eastAsia="仿宋_GB2312" w:cs="宋体"/>
                <w:kern w:val="0"/>
              </w:rPr>
            </w:pPr>
          </w:p>
        </w:tc>
        <w:tc>
          <w:tcPr>
            <w:tcW w:w="1777" w:type="dxa"/>
            <w:gridSpan w:val="2"/>
            <w:tcBorders>
              <w:top w:val="single" w:color="000000" w:sz="4" w:space="0"/>
              <w:bottom w:val="single" w:color="000000" w:sz="4" w:space="0"/>
              <w:right w:val="single" w:color="000000" w:sz="4" w:space="0"/>
            </w:tcBorders>
            <w:vAlign w:val="center"/>
          </w:tcPr>
          <w:p w14:paraId="4063F7E5">
            <w:pPr>
              <w:widowControl/>
              <w:snapToGrid w:val="0"/>
              <w:jc w:val="center"/>
              <w:rPr>
                <w:rFonts w:ascii="仿宋_GB2312" w:hAnsi="仿宋_GB2312" w:eastAsia="仿宋_GB2312" w:cs="宋体"/>
                <w:kern w:val="0"/>
              </w:rPr>
            </w:pPr>
          </w:p>
        </w:tc>
        <w:tc>
          <w:tcPr>
            <w:tcW w:w="1590" w:type="dxa"/>
            <w:gridSpan w:val="5"/>
            <w:tcBorders>
              <w:top w:val="single" w:color="000000" w:sz="4" w:space="0"/>
              <w:bottom w:val="single" w:color="000000" w:sz="4" w:space="0"/>
              <w:right w:val="single" w:color="000000" w:sz="4" w:space="0"/>
            </w:tcBorders>
            <w:vAlign w:val="center"/>
          </w:tcPr>
          <w:p w14:paraId="3F1F407D">
            <w:pPr>
              <w:widowControl/>
              <w:snapToGrid w:val="0"/>
              <w:jc w:val="center"/>
              <w:rPr>
                <w:rFonts w:ascii="仿宋_GB2312" w:hAnsi="仿宋_GB2312" w:eastAsia="仿宋_GB2312" w:cs="宋体"/>
                <w:kern w:val="0"/>
              </w:rPr>
            </w:pPr>
          </w:p>
        </w:tc>
        <w:tc>
          <w:tcPr>
            <w:tcW w:w="1554" w:type="dxa"/>
            <w:gridSpan w:val="6"/>
            <w:tcBorders>
              <w:top w:val="single" w:color="000000" w:sz="4" w:space="0"/>
              <w:bottom w:val="single" w:color="000000" w:sz="4" w:space="0"/>
              <w:right w:val="single" w:color="000000" w:sz="4" w:space="0"/>
            </w:tcBorders>
            <w:vAlign w:val="center"/>
          </w:tcPr>
          <w:p w14:paraId="2791CF78">
            <w:pPr>
              <w:widowControl/>
              <w:snapToGrid w:val="0"/>
              <w:jc w:val="center"/>
              <w:rPr>
                <w:rFonts w:ascii="仿宋_GB2312" w:hAnsi="仿宋_GB2312" w:eastAsia="仿宋_GB2312" w:cs="宋体"/>
                <w:kern w:val="0"/>
              </w:rPr>
            </w:pPr>
          </w:p>
        </w:tc>
      </w:tr>
      <w:tr w14:paraId="2B7B660D">
        <w:tblPrEx>
          <w:tblCellMar>
            <w:top w:w="0" w:type="dxa"/>
            <w:left w:w="108" w:type="dxa"/>
            <w:bottom w:w="0" w:type="dxa"/>
            <w:right w:w="108" w:type="dxa"/>
          </w:tblCellMar>
        </w:tblPrEx>
        <w:trPr>
          <w:trHeight w:val="312" w:hRule="atLeast"/>
          <w:jc w:val="center"/>
        </w:trPr>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51C4A0D0">
            <w:pPr>
              <w:widowControl/>
              <w:snapToGrid w:val="0"/>
              <w:jc w:val="center"/>
              <w:rPr>
                <w:rFonts w:ascii="仿宋_GB2312" w:hAnsi="仿宋_GB2312" w:eastAsia="仿宋_GB2312" w:cs="宋体"/>
                <w:kern w:val="0"/>
              </w:rPr>
            </w:pPr>
          </w:p>
        </w:tc>
        <w:tc>
          <w:tcPr>
            <w:tcW w:w="1871" w:type="dxa"/>
            <w:gridSpan w:val="4"/>
            <w:tcBorders>
              <w:top w:val="single" w:color="000000" w:sz="4" w:space="0"/>
              <w:bottom w:val="single" w:color="000000" w:sz="4" w:space="0"/>
              <w:right w:val="single" w:color="000000" w:sz="4" w:space="0"/>
            </w:tcBorders>
            <w:vAlign w:val="center"/>
          </w:tcPr>
          <w:p w14:paraId="26CC1A00">
            <w:pPr>
              <w:widowControl/>
              <w:snapToGrid w:val="0"/>
              <w:jc w:val="center"/>
              <w:rPr>
                <w:rFonts w:ascii="仿宋_GB2312" w:hAnsi="仿宋_GB2312" w:eastAsia="仿宋_GB2312" w:cs="宋体"/>
                <w:kern w:val="0"/>
              </w:rPr>
            </w:pPr>
          </w:p>
        </w:tc>
        <w:tc>
          <w:tcPr>
            <w:tcW w:w="1777" w:type="dxa"/>
            <w:gridSpan w:val="2"/>
            <w:tcBorders>
              <w:top w:val="single" w:color="000000" w:sz="4" w:space="0"/>
              <w:bottom w:val="single" w:color="000000" w:sz="4" w:space="0"/>
              <w:right w:val="single" w:color="000000" w:sz="4" w:space="0"/>
            </w:tcBorders>
            <w:vAlign w:val="center"/>
          </w:tcPr>
          <w:p w14:paraId="687A44E1">
            <w:pPr>
              <w:widowControl/>
              <w:snapToGrid w:val="0"/>
              <w:jc w:val="center"/>
              <w:rPr>
                <w:rFonts w:ascii="仿宋_GB2312" w:hAnsi="仿宋_GB2312" w:eastAsia="仿宋_GB2312" w:cs="宋体"/>
                <w:kern w:val="0"/>
              </w:rPr>
            </w:pPr>
          </w:p>
        </w:tc>
        <w:tc>
          <w:tcPr>
            <w:tcW w:w="1590" w:type="dxa"/>
            <w:gridSpan w:val="5"/>
            <w:tcBorders>
              <w:top w:val="single" w:color="000000" w:sz="4" w:space="0"/>
              <w:bottom w:val="single" w:color="000000" w:sz="4" w:space="0"/>
              <w:right w:val="single" w:color="000000" w:sz="4" w:space="0"/>
            </w:tcBorders>
            <w:vAlign w:val="center"/>
          </w:tcPr>
          <w:p w14:paraId="667B1F84">
            <w:pPr>
              <w:widowControl/>
              <w:snapToGrid w:val="0"/>
              <w:jc w:val="center"/>
              <w:rPr>
                <w:rFonts w:ascii="仿宋_GB2312" w:hAnsi="仿宋_GB2312" w:eastAsia="仿宋_GB2312" w:cs="宋体"/>
                <w:kern w:val="0"/>
              </w:rPr>
            </w:pPr>
          </w:p>
        </w:tc>
        <w:tc>
          <w:tcPr>
            <w:tcW w:w="1554" w:type="dxa"/>
            <w:gridSpan w:val="6"/>
            <w:tcBorders>
              <w:top w:val="single" w:color="000000" w:sz="4" w:space="0"/>
              <w:bottom w:val="single" w:color="000000" w:sz="4" w:space="0"/>
              <w:right w:val="single" w:color="000000" w:sz="4" w:space="0"/>
            </w:tcBorders>
            <w:vAlign w:val="center"/>
          </w:tcPr>
          <w:p w14:paraId="12F6AF8C">
            <w:pPr>
              <w:widowControl/>
              <w:snapToGrid w:val="0"/>
              <w:jc w:val="center"/>
              <w:rPr>
                <w:rFonts w:ascii="仿宋_GB2312" w:hAnsi="仿宋_GB2312" w:eastAsia="仿宋_GB2312" w:cs="宋体"/>
                <w:kern w:val="0"/>
              </w:rPr>
            </w:pPr>
          </w:p>
        </w:tc>
      </w:tr>
      <w:tr w14:paraId="439E4B19">
        <w:trPr>
          <w:trHeight w:val="312" w:hRule="atLeast"/>
          <w:jc w:val="center"/>
        </w:trPr>
        <w:tc>
          <w:tcPr>
            <w:tcW w:w="8472" w:type="dxa"/>
            <w:gridSpan w:val="19"/>
            <w:tcBorders>
              <w:top w:val="single" w:color="000000" w:sz="4" w:space="0"/>
              <w:left w:val="single" w:color="000000" w:sz="4" w:space="0"/>
              <w:bottom w:val="single" w:color="000000" w:sz="4" w:space="0"/>
              <w:right w:val="single" w:color="000000" w:sz="4" w:space="0"/>
            </w:tcBorders>
            <w:vAlign w:val="center"/>
          </w:tcPr>
          <w:p w14:paraId="07A943F8">
            <w:pPr>
              <w:widowControl/>
              <w:jc w:val="center"/>
              <w:rPr>
                <w:rFonts w:ascii="仿宋_GB2312" w:hAnsi="仿宋_GB2312" w:eastAsia="仿宋_GB2312" w:cs="宋体"/>
                <w:kern w:val="0"/>
              </w:rPr>
            </w:pPr>
            <w:r>
              <w:rPr>
                <w:rFonts w:ascii="仿宋_GB2312" w:hAnsi="仿宋_GB2312" w:eastAsia="仿宋_GB2312" w:cs="宋体"/>
                <w:kern w:val="0"/>
              </w:rPr>
              <w:t>四、工作经历</w:t>
            </w:r>
          </w:p>
        </w:tc>
      </w:tr>
      <w:tr w14:paraId="4415FBFD">
        <w:tblPrEx>
          <w:tblCellMar>
            <w:top w:w="0" w:type="dxa"/>
            <w:left w:w="108" w:type="dxa"/>
            <w:bottom w:w="0" w:type="dxa"/>
            <w:right w:w="108" w:type="dxa"/>
          </w:tblCellMar>
        </w:tblPrEx>
        <w:trPr>
          <w:trHeight w:val="312" w:hRule="atLeast"/>
          <w:jc w:val="center"/>
        </w:trPr>
        <w:tc>
          <w:tcPr>
            <w:tcW w:w="2104" w:type="dxa"/>
            <w:gridSpan w:val="4"/>
            <w:tcBorders>
              <w:top w:val="single" w:color="000000" w:sz="4" w:space="0"/>
              <w:left w:val="single" w:color="000000" w:sz="4" w:space="0"/>
              <w:bottom w:val="single" w:color="000000" w:sz="4" w:space="0"/>
              <w:right w:val="single" w:color="000000" w:sz="4" w:space="0"/>
            </w:tcBorders>
            <w:vAlign w:val="center"/>
          </w:tcPr>
          <w:p w14:paraId="17E23008">
            <w:pPr>
              <w:widowControl/>
              <w:jc w:val="center"/>
              <w:rPr>
                <w:rFonts w:ascii="仿宋_GB2312" w:hAnsi="仿宋_GB2312" w:eastAsia="仿宋_GB2312" w:cs="宋体"/>
                <w:kern w:val="0"/>
              </w:rPr>
            </w:pPr>
            <w:r>
              <w:rPr>
                <w:rFonts w:ascii="仿宋_GB2312" w:hAnsi="仿宋_GB2312" w:eastAsia="仿宋_GB2312" w:cs="宋体"/>
                <w:kern w:val="0"/>
              </w:rPr>
              <w:t>工作期间</w:t>
            </w:r>
          </w:p>
        </w:tc>
        <w:tc>
          <w:tcPr>
            <w:tcW w:w="2155" w:type="dxa"/>
            <w:gridSpan w:val="3"/>
            <w:tcBorders>
              <w:top w:val="single" w:color="000000" w:sz="4" w:space="0"/>
              <w:bottom w:val="single" w:color="000000" w:sz="4" w:space="0"/>
              <w:right w:val="single" w:color="000000" w:sz="4" w:space="0"/>
            </w:tcBorders>
            <w:vAlign w:val="center"/>
          </w:tcPr>
          <w:p w14:paraId="60E26599">
            <w:pPr>
              <w:widowControl/>
              <w:jc w:val="center"/>
              <w:rPr>
                <w:rFonts w:ascii="仿宋_GB2312" w:hAnsi="仿宋_GB2312" w:eastAsia="仿宋_GB2312" w:cs="宋体"/>
                <w:kern w:val="0"/>
              </w:rPr>
            </w:pPr>
            <w:r>
              <w:rPr>
                <w:rFonts w:ascii="仿宋_GB2312" w:hAnsi="仿宋_GB2312" w:eastAsia="仿宋_GB2312" w:cs="宋体"/>
                <w:kern w:val="0"/>
              </w:rPr>
              <w:t>工作单位</w:t>
            </w:r>
          </w:p>
        </w:tc>
        <w:tc>
          <w:tcPr>
            <w:tcW w:w="2763" w:type="dxa"/>
            <w:gridSpan w:val="7"/>
            <w:tcBorders>
              <w:top w:val="single" w:color="000000" w:sz="4" w:space="0"/>
              <w:bottom w:val="single" w:color="000000" w:sz="4" w:space="0"/>
              <w:right w:val="single" w:color="000000" w:sz="4" w:space="0"/>
            </w:tcBorders>
            <w:vAlign w:val="center"/>
          </w:tcPr>
          <w:p w14:paraId="6E1DA4F8">
            <w:pPr>
              <w:widowControl/>
              <w:jc w:val="center"/>
              <w:rPr>
                <w:rFonts w:ascii="仿宋_GB2312" w:hAnsi="仿宋_GB2312" w:eastAsia="仿宋_GB2312" w:cs="宋体"/>
                <w:kern w:val="0"/>
              </w:rPr>
            </w:pPr>
            <w:r>
              <w:rPr>
                <w:rFonts w:ascii="仿宋_GB2312" w:hAnsi="仿宋_GB2312" w:eastAsia="仿宋_GB2312" w:cs="宋体"/>
                <w:kern w:val="0"/>
              </w:rPr>
              <w:t>职位</w:t>
            </w:r>
          </w:p>
        </w:tc>
        <w:tc>
          <w:tcPr>
            <w:tcW w:w="1450" w:type="dxa"/>
            <w:gridSpan w:val="5"/>
            <w:tcBorders>
              <w:top w:val="single" w:color="000000" w:sz="4" w:space="0"/>
              <w:bottom w:val="single" w:color="000000" w:sz="4" w:space="0"/>
              <w:right w:val="single" w:color="000000" w:sz="4" w:space="0"/>
            </w:tcBorders>
            <w:vAlign w:val="center"/>
          </w:tcPr>
          <w:p w14:paraId="7D17CF6E">
            <w:pPr>
              <w:widowControl/>
              <w:jc w:val="center"/>
              <w:rPr>
                <w:rFonts w:ascii="仿宋_GB2312" w:hAnsi="仿宋_GB2312" w:eastAsia="仿宋_GB2312" w:cs="宋体"/>
                <w:kern w:val="0"/>
              </w:rPr>
            </w:pPr>
            <w:r>
              <w:rPr>
                <w:rFonts w:ascii="仿宋_GB2312" w:hAnsi="仿宋_GB2312" w:eastAsia="仿宋_GB2312" w:cs="宋体"/>
                <w:kern w:val="0"/>
              </w:rPr>
              <w:t>职业领域</w:t>
            </w:r>
          </w:p>
        </w:tc>
      </w:tr>
      <w:tr w14:paraId="46559813">
        <w:trPr>
          <w:trHeight w:val="312" w:hRule="atLeast"/>
          <w:jc w:val="center"/>
        </w:trPr>
        <w:tc>
          <w:tcPr>
            <w:tcW w:w="2104" w:type="dxa"/>
            <w:gridSpan w:val="4"/>
            <w:tcBorders>
              <w:top w:val="single" w:color="000000" w:sz="4" w:space="0"/>
              <w:left w:val="single" w:color="000000" w:sz="4" w:space="0"/>
              <w:bottom w:val="single" w:color="000000" w:sz="4" w:space="0"/>
              <w:right w:val="single" w:color="000000" w:sz="4" w:space="0"/>
            </w:tcBorders>
            <w:vAlign w:val="center"/>
          </w:tcPr>
          <w:p w14:paraId="19CBDCCE">
            <w:pPr>
              <w:widowControl/>
              <w:snapToGrid w:val="0"/>
              <w:jc w:val="center"/>
              <w:rPr>
                <w:rFonts w:ascii="仿宋_GB2312" w:hAnsi="仿宋_GB2312" w:eastAsia="仿宋_GB2312" w:cs="宋体"/>
                <w:kern w:val="0"/>
              </w:rPr>
            </w:pPr>
          </w:p>
        </w:tc>
        <w:tc>
          <w:tcPr>
            <w:tcW w:w="2155" w:type="dxa"/>
            <w:gridSpan w:val="3"/>
            <w:tcBorders>
              <w:top w:val="single" w:color="000000" w:sz="4" w:space="0"/>
              <w:bottom w:val="single" w:color="000000" w:sz="4" w:space="0"/>
              <w:right w:val="single" w:color="000000" w:sz="4" w:space="0"/>
            </w:tcBorders>
            <w:vAlign w:val="center"/>
          </w:tcPr>
          <w:p w14:paraId="062812A1">
            <w:pPr>
              <w:widowControl/>
              <w:snapToGrid w:val="0"/>
              <w:jc w:val="center"/>
              <w:rPr>
                <w:rFonts w:ascii="仿宋_GB2312" w:hAnsi="仿宋_GB2312" w:eastAsia="仿宋_GB2312" w:cs="宋体"/>
                <w:kern w:val="0"/>
              </w:rPr>
            </w:pPr>
          </w:p>
        </w:tc>
        <w:tc>
          <w:tcPr>
            <w:tcW w:w="2763" w:type="dxa"/>
            <w:gridSpan w:val="7"/>
            <w:tcBorders>
              <w:top w:val="single" w:color="000000" w:sz="4" w:space="0"/>
              <w:bottom w:val="single" w:color="000000" w:sz="4" w:space="0"/>
              <w:right w:val="single" w:color="000000" w:sz="4" w:space="0"/>
            </w:tcBorders>
            <w:vAlign w:val="center"/>
          </w:tcPr>
          <w:p w14:paraId="235602EB">
            <w:pPr>
              <w:widowControl/>
              <w:snapToGrid w:val="0"/>
              <w:jc w:val="center"/>
              <w:rPr>
                <w:rFonts w:ascii="仿宋_GB2312" w:hAnsi="仿宋_GB2312" w:eastAsia="仿宋_GB2312" w:cs="宋体"/>
                <w:kern w:val="0"/>
              </w:rPr>
            </w:pPr>
          </w:p>
        </w:tc>
        <w:tc>
          <w:tcPr>
            <w:tcW w:w="1450" w:type="dxa"/>
            <w:gridSpan w:val="5"/>
            <w:tcBorders>
              <w:top w:val="single" w:color="000000" w:sz="4" w:space="0"/>
              <w:bottom w:val="single" w:color="000000" w:sz="4" w:space="0"/>
              <w:right w:val="single" w:color="000000" w:sz="4" w:space="0"/>
            </w:tcBorders>
            <w:vAlign w:val="center"/>
          </w:tcPr>
          <w:p w14:paraId="1EEEB722">
            <w:pPr>
              <w:widowControl/>
              <w:snapToGrid w:val="0"/>
              <w:jc w:val="center"/>
              <w:rPr>
                <w:rFonts w:ascii="仿宋_GB2312" w:hAnsi="仿宋_GB2312" w:eastAsia="仿宋_GB2312" w:cs="宋体"/>
                <w:kern w:val="0"/>
              </w:rPr>
            </w:pPr>
          </w:p>
        </w:tc>
      </w:tr>
      <w:tr w14:paraId="4F7193E5">
        <w:tblPrEx>
          <w:tblCellMar>
            <w:top w:w="0" w:type="dxa"/>
            <w:left w:w="108" w:type="dxa"/>
            <w:bottom w:w="0" w:type="dxa"/>
            <w:right w:w="108" w:type="dxa"/>
          </w:tblCellMar>
        </w:tblPrEx>
        <w:trPr>
          <w:trHeight w:val="312" w:hRule="atLeast"/>
          <w:jc w:val="center"/>
        </w:trPr>
        <w:tc>
          <w:tcPr>
            <w:tcW w:w="2104" w:type="dxa"/>
            <w:gridSpan w:val="4"/>
            <w:tcBorders>
              <w:top w:val="single" w:color="000000" w:sz="4" w:space="0"/>
              <w:left w:val="single" w:color="000000" w:sz="4" w:space="0"/>
              <w:bottom w:val="single" w:color="000000" w:sz="4" w:space="0"/>
              <w:right w:val="single" w:color="000000" w:sz="4" w:space="0"/>
            </w:tcBorders>
            <w:vAlign w:val="center"/>
          </w:tcPr>
          <w:p w14:paraId="27F697B7">
            <w:pPr>
              <w:widowControl/>
              <w:snapToGrid w:val="0"/>
              <w:jc w:val="center"/>
              <w:rPr>
                <w:rFonts w:ascii="仿宋_GB2312" w:hAnsi="仿宋_GB2312" w:eastAsia="仿宋_GB2312" w:cs="宋体"/>
                <w:kern w:val="0"/>
              </w:rPr>
            </w:pPr>
          </w:p>
        </w:tc>
        <w:tc>
          <w:tcPr>
            <w:tcW w:w="2155" w:type="dxa"/>
            <w:gridSpan w:val="3"/>
            <w:tcBorders>
              <w:top w:val="single" w:color="000000" w:sz="4" w:space="0"/>
              <w:bottom w:val="single" w:color="000000" w:sz="4" w:space="0"/>
              <w:right w:val="single" w:color="000000" w:sz="4" w:space="0"/>
            </w:tcBorders>
            <w:vAlign w:val="center"/>
          </w:tcPr>
          <w:p w14:paraId="6489ABC9">
            <w:pPr>
              <w:widowControl/>
              <w:snapToGrid w:val="0"/>
              <w:jc w:val="center"/>
              <w:rPr>
                <w:rFonts w:ascii="仿宋_GB2312" w:hAnsi="仿宋_GB2312" w:eastAsia="仿宋_GB2312" w:cs="宋体"/>
                <w:kern w:val="0"/>
              </w:rPr>
            </w:pPr>
          </w:p>
        </w:tc>
        <w:tc>
          <w:tcPr>
            <w:tcW w:w="2763" w:type="dxa"/>
            <w:gridSpan w:val="7"/>
            <w:tcBorders>
              <w:top w:val="single" w:color="000000" w:sz="4" w:space="0"/>
              <w:bottom w:val="single" w:color="000000" w:sz="4" w:space="0"/>
              <w:right w:val="single" w:color="000000" w:sz="4" w:space="0"/>
            </w:tcBorders>
            <w:vAlign w:val="center"/>
          </w:tcPr>
          <w:p w14:paraId="192631C1">
            <w:pPr>
              <w:widowControl/>
              <w:snapToGrid w:val="0"/>
              <w:jc w:val="center"/>
              <w:rPr>
                <w:rFonts w:ascii="仿宋_GB2312" w:hAnsi="仿宋_GB2312" w:eastAsia="仿宋_GB2312" w:cs="宋体"/>
                <w:kern w:val="0"/>
              </w:rPr>
            </w:pPr>
          </w:p>
        </w:tc>
        <w:tc>
          <w:tcPr>
            <w:tcW w:w="1450" w:type="dxa"/>
            <w:gridSpan w:val="5"/>
            <w:tcBorders>
              <w:top w:val="single" w:color="000000" w:sz="4" w:space="0"/>
              <w:bottom w:val="single" w:color="000000" w:sz="4" w:space="0"/>
              <w:right w:val="single" w:color="000000" w:sz="4" w:space="0"/>
            </w:tcBorders>
            <w:vAlign w:val="center"/>
          </w:tcPr>
          <w:p w14:paraId="250790D9">
            <w:pPr>
              <w:widowControl/>
              <w:snapToGrid w:val="0"/>
              <w:jc w:val="center"/>
              <w:rPr>
                <w:rFonts w:ascii="仿宋_GB2312" w:hAnsi="仿宋_GB2312" w:eastAsia="仿宋_GB2312" w:cs="宋体"/>
                <w:kern w:val="0"/>
              </w:rPr>
            </w:pPr>
          </w:p>
        </w:tc>
      </w:tr>
      <w:tr w14:paraId="4A64716C">
        <w:trPr>
          <w:trHeight w:val="312" w:hRule="atLeast"/>
          <w:jc w:val="center"/>
        </w:trPr>
        <w:tc>
          <w:tcPr>
            <w:tcW w:w="2104" w:type="dxa"/>
            <w:gridSpan w:val="4"/>
            <w:tcBorders>
              <w:top w:val="single" w:color="000000" w:sz="4" w:space="0"/>
              <w:left w:val="single" w:color="000000" w:sz="4" w:space="0"/>
              <w:bottom w:val="single" w:color="000000" w:sz="4" w:space="0"/>
              <w:right w:val="single" w:color="000000" w:sz="4" w:space="0"/>
            </w:tcBorders>
            <w:vAlign w:val="center"/>
          </w:tcPr>
          <w:p w14:paraId="3FAB0090">
            <w:pPr>
              <w:widowControl/>
              <w:snapToGrid w:val="0"/>
              <w:jc w:val="center"/>
              <w:rPr>
                <w:rFonts w:ascii="仿宋_GB2312" w:hAnsi="仿宋_GB2312" w:eastAsia="仿宋_GB2312" w:cs="宋体"/>
                <w:kern w:val="0"/>
              </w:rPr>
            </w:pPr>
          </w:p>
        </w:tc>
        <w:tc>
          <w:tcPr>
            <w:tcW w:w="2155" w:type="dxa"/>
            <w:gridSpan w:val="3"/>
            <w:tcBorders>
              <w:top w:val="single" w:color="000000" w:sz="4" w:space="0"/>
              <w:bottom w:val="single" w:color="000000" w:sz="4" w:space="0"/>
              <w:right w:val="single" w:color="000000" w:sz="4" w:space="0"/>
            </w:tcBorders>
            <w:vAlign w:val="center"/>
          </w:tcPr>
          <w:p w14:paraId="1C713619">
            <w:pPr>
              <w:widowControl/>
              <w:snapToGrid w:val="0"/>
              <w:jc w:val="center"/>
              <w:rPr>
                <w:rFonts w:ascii="仿宋_GB2312" w:hAnsi="仿宋_GB2312" w:eastAsia="仿宋_GB2312" w:cs="宋体"/>
                <w:kern w:val="0"/>
              </w:rPr>
            </w:pPr>
          </w:p>
        </w:tc>
        <w:tc>
          <w:tcPr>
            <w:tcW w:w="2763" w:type="dxa"/>
            <w:gridSpan w:val="7"/>
            <w:tcBorders>
              <w:top w:val="single" w:color="000000" w:sz="4" w:space="0"/>
              <w:bottom w:val="single" w:color="000000" w:sz="4" w:space="0"/>
              <w:right w:val="single" w:color="000000" w:sz="4" w:space="0"/>
            </w:tcBorders>
            <w:vAlign w:val="center"/>
          </w:tcPr>
          <w:p w14:paraId="33E155CC">
            <w:pPr>
              <w:widowControl/>
              <w:snapToGrid w:val="0"/>
              <w:jc w:val="center"/>
              <w:rPr>
                <w:rFonts w:ascii="仿宋_GB2312" w:hAnsi="仿宋_GB2312" w:eastAsia="仿宋_GB2312" w:cs="宋体"/>
                <w:kern w:val="0"/>
              </w:rPr>
            </w:pPr>
          </w:p>
        </w:tc>
        <w:tc>
          <w:tcPr>
            <w:tcW w:w="1450" w:type="dxa"/>
            <w:gridSpan w:val="5"/>
            <w:tcBorders>
              <w:top w:val="single" w:color="000000" w:sz="4" w:space="0"/>
              <w:bottom w:val="single" w:color="000000" w:sz="4" w:space="0"/>
              <w:right w:val="single" w:color="000000" w:sz="4" w:space="0"/>
            </w:tcBorders>
            <w:vAlign w:val="center"/>
          </w:tcPr>
          <w:p w14:paraId="6EE8DC3F">
            <w:pPr>
              <w:widowControl/>
              <w:snapToGrid w:val="0"/>
              <w:jc w:val="center"/>
              <w:rPr>
                <w:rFonts w:ascii="仿宋_GB2312" w:hAnsi="仿宋_GB2312" w:eastAsia="仿宋_GB2312" w:cs="宋体"/>
                <w:kern w:val="0"/>
              </w:rPr>
            </w:pPr>
          </w:p>
        </w:tc>
      </w:tr>
      <w:tr w14:paraId="6CBF63D4">
        <w:tblPrEx>
          <w:tblCellMar>
            <w:top w:w="0" w:type="dxa"/>
            <w:left w:w="108" w:type="dxa"/>
            <w:bottom w:w="0" w:type="dxa"/>
            <w:right w:w="108" w:type="dxa"/>
          </w:tblCellMar>
        </w:tblPrEx>
        <w:trPr>
          <w:trHeight w:val="312" w:hRule="atLeast"/>
          <w:jc w:val="center"/>
        </w:trPr>
        <w:tc>
          <w:tcPr>
            <w:tcW w:w="8472" w:type="dxa"/>
            <w:gridSpan w:val="19"/>
            <w:tcBorders>
              <w:top w:val="single" w:color="000000" w:sz="4" w:space="0"/>
              <w:left w:val="single" w:color="000000" w:sz="4" w:space="0"/>
              <w:bottom w:val="single" w:color="000000" w:sz="4" w:space="0"/>
              <w:right w:val="single" w:color="000000" w:sz="4" w:space="0"/>
            </w:tcBorders>
            <w:vAlign w:val="center"/>
          </w:tcPr>
          <w:p w14:paraId="573EC465">
            <w:pPr>
              <w:widowControl/>
              <w:jc w:val="center"/>
              <w:rPr>
                <w:rFonts w:ascii="仿宋_GB2312" w:hAnsi="仿宋_GB2312" w:eastAsia="仿宋_GB2312" w:cs="宋体"/>
                <w:kern w:val="0"/>
              </w:rPr>
            </w:pPr>
            <w:r>
              <w:rPr>
                <w:rFonts w:ascii="仿宋_GB2312" w:hAnsi="仿宋_GB2312" w:eastAsia="仿宋_GB2312" w:cs="宋体"/>
                <w:kern w:val="0"/>
              </w:rPr>
              <w:t>五、专业培训</w:t>
            </w:r>
          </w:p>
        </w:tc>
      </w:tr>
      <w:tr w14:paraId="3B2A48C6">
        <w:trPr>
          <w:trHeight w:val="312" w:hRule="atLeast"/>
          <w:jc w:val="center"/>
        </w:trPr>
        <w:tc>
          <w:tcPr>
            <w:tcW w:w="2104" w:type="dxa"/>
            <w:gridSpan w:val="4"/>
            <w:tcBorders>
              <w:top w:val="single" w:color="000000" w:sz="4" w:space="0"/>
              <w:left w:val="single" w:color="000000" w:sz="4" w:space="0"/>
              <w:bottom w:val="single" w:color="000000" w:sz="4" w:space="0"/>
              <w:right w:val="single" w:color="000000" w:sz="4" w:space="0"/>
            </w:tcBorders>
            <w:vAlign w:val="center"/>
          </w:tcPr>
          <w:p w14:paraId="725B8ED6">
            <w:pPr>
              <w:widowControl/>
              <w:jc w:val="center"/>
              <w:rPr>
                <w:rFonts w:ascii="仿宋_GB2312" w:hAnsi="仿宋_GB2312" w:eastAsia="仿宋_GB2312" w:cs="宋体"/>
                <w:kern w:val="0"/>
              </w:rPr>
            </w:pPr>
            <w:r>
              <w:rPr>
                <w:rFonts w:ascii="仿宋_GB2312" w:hAnsi="仿宋_GB2312" w:eastAsia="仿宋_GB2312" w:cs="宋体"/>
                <w:kern w:val="0"/>
              </w:rPr>
              <w:t>培训期间</w:t>
            </w:r>
          </w:p>
        </w:tc>
        <w:tc>
          <w:tcPr>
            <w:tcW w:w="2155" w:type="dxa"/>
            <w:gridSpan w:val="3"/>
            <w:tcBorders>
              <w:top w:val="single" w:color="000000" w:sz="4" w:space="0"/>
              <w:bottom w:val="single" w:color="000000" w:sz="4" w:space="0"/>
              <w:right w:val="single" w:color="000000" w:sz="4" w:space="0"/>
            </w:tcBorders>
            <w:vAlign w:val="center"/>
          </w:tcPr>
          <w:p w14:paraId="5B9CDF66">
            <w:pPr>
              <w:widowControl/>
              <w:jc w:val="center"/>
              <w:rPr>
                <w:rFonts w:ascii="仿宋_GB2312" w:hAnsi="仿宋_GB2312" w:eastAsia="仿宋_GB2312" w:cs="宋体"/>
                <w:kern w:val="0"/>
              </w:rPr>
            </w:pPr>
            <w:r>
              <w:rPr>
                <w:rFonts w:ascii="仿宋_GB2312" w:hAnsi="仿宋_GB2312" w:eastAsia="仿宋_GB2312" w:cs="宋体"/>
                <w:kern w:val="0"/>
              </w:rPr>
              <w:t>培训单位</w:t>
            </w:r>
          </w:p>
        </w:tc>
        <w:tc>
          <w:tcPr>
            <w:tcW w:w="2763" w:type="dxa"/>
            <w:gridSpan w:val="7"/>
            <w:tcBorders>
              <w:top w:val="single" w:color="000000" w:sz="4" w:space="0"/>
              <w:bottom w:val="single" w:color="000000" w:sz="4" w:space="0"/>
              <w:right w:val="single" w:color="000000" w:sz="4" w:space="0"/>
            </w:tcBorders>
            <w:vAlign w:val="center"/>
          </w:tcPr>
          <w:p w14:paraId="0B929054">
            <w:pPr>
              <w:widowControl/>
              <w:jc w:val="center"/>
              <w:rPr>
                <w:rFonts w:ascii="仿宋_GB2312" w:hAnsi="仿宋_GB2312" w:eastAsia="仿宋_GB2312" w:cs="宋体"/>
                <w:kern w:val="0"/>
              </w:rPr>
            </w:pPr>
            <w:r>
              <w:rPr>
                <w:rFonts w:ascii="仿宋_GB2312" w:hAnsi="仿宋_GB2312" w:eastAsia="仿宋_GB2312" w:cs="宋体"/>
                <w:kern w:val="0"/>
              </w:rPr>
              <w:t>培训证明文件</w:t>
            </w:r>
          </w:p>
        </w:tc>
        <w:tc>
          <w:tcPr>
            <w:tcW w:w="1450" w:type="dxa"/>
            <w:gridSpan w:val="5"/>
            <w:tcBorders>
              <w:top w:val="single" w:color="000000" w:sz="4" w:space="0"/>
              <w:bottom w:val="single" w:color="000000" w:sz="4" w:space="0"/>
              <w:right w:val="single" w:color="000000" w:sz="4" w:space="0"/>
            </w:tcBorders>
            <w:vAlign w:val="center"/>
          </w:tcPr>
          <w:p w14:paraId="602F15A7">
            <w:pPr>
              <w:widowControl/>
              <w:jc w:val="center"/>
              <w:rPr>
                <w:rFonts w:ascii="仿宋_GB2312" w:hAnsi="仿宋_GB2312" w:eastAsia="仿宋_GB2312" w:cs="宋体"/>
                <w:kern w:val="0"/>
              </w:rPr>
            </w:pPr>
            <w:r>
              <w:rPr>
                <w:rFonts w:ascii="仿宋_GB2312" w:hAnsi="仿宋_GB2312" w:eastAsia="仿宋_GB2312" w:cs="宋体"/>
                <w:kern w:val="0"/>
              </w:rPr>
              <w:t>培训内容</w:t>
            </w:r>
          </w:p>
        </w:tc>
      </w:tr>
      <w:tr w14:paraId="78FBA057">
        <w:tblPrEx>
          <w:tblCellMar>
            <w:top w:w="0" w:type="dxa"/>
            <w:left w:w="108" w:type="dxa"/>
            <w:bottom w:w="0" w:type="dxa"/>
            <w:right w:w="108" w:type="dxa"/>
          </w:tblCellMar>
        </w:tblPrEx>
        <w:trPr>
          <w:trHeight w:val="312" w:hRule="atLeast"/>
          <w:jc w:val="center"/>
        </w:trPr>
        <w:tc>
          <w:tcPr>
            <w:tcW w:w="2104" w:type="dxa"/>
            <w:gridSpan w:val="4"/>
            <w:tcBorders>
              <w:top w:val="single" w:color="000000" w:sz="4" w:space="0"/>
              <w:left w:val="single" w:color="000000" w:sz="4" w:space="0"/>
              <w:bottom w:val="single" w:color="000000" w:sz="4" w:space="0"/>
              <w:right w:val="single" w:color="000000" w:sz="4" w:space="0"/>
            </w:tcBorders>
            <w:vAlign w:val="center"/>
          </w:tcPr>
          <w:p w14:paraId="3E2CC7BB">
            <w:pPr>
              <w:widowControl/>
              <w:snapToGrid w:val="0"/>
              <w:jc w:val="center"/>
              <w:rPr>
                <w:rFonts w:ascii="仿宋_GB2312" w:hAnsi="仿宋_GB2312" w:eastAsia="仿宋_GB2312" w:cs="宋体"/>
                <w:kern w:val="0"/>
              </w:rPr>
            </w:pPr>
          </w:p>
        </w:tc>
        <w:tc>
          <w:tcPr>
            <w:tcW w:w="2155" w:type="dxa"/>
            <w:gridSpan w:val="3"/>
            <w:tcBorders>
              <w:top w:val="single" w:color="000000" w:sz="4" w:space="0"/>
              <w:bottom w:val="single" w:color="000000" w:sz="4" w:space="0"/>
              <w:right w:val="single" w:color="000000" w:sz="4" w:space="0"/>
            </w:tcBorders>
            <w:vAlign w:val="center"/>
          </w:tcPr>
          <w:p w14:paraId="3B5B89AB">
            <w:pPr>
              <w:widowControl/>
              <w:snapToGrid w:val="0"/>
              <w:jc w:val="center"/>
              <w:rPr>
                <w:rFonts w:ascii="仿宋_GB2312" w:hAnsi="仿宋_GB2312" w:eastAsia="仿宋_GB2312" w:cs="宋体"/>
                <w:kern w:val="0"/>
              </w:rPr>
            </w:pPr>
          </w:p>
        </w:tc>
        <w:tc>
          <w:tcPr>
            <w:tcW w:w="2763" w:type="dxa"/>
            <w:gridSpan w:val="7"/>
            <w:tcBorders>
              <w:top w:val="single" w:color="000000" w:sz="4" w:space="0"/>
              <w:bottom w:val="single" w:color="000000" w:sz="4" w:space="0"/>
              <w:right w:val="single" w:color="000000" w:sz="4" w:space="0"/>
            </w:tcBorders>
            <w:vAlign w:val="center"/>
          </w:tcPr>
          <w:p w14:paraId="61FD2D87">
            <w:pPr>
              <w:widowControl/>
              <w:snapToGrid w:val="0"/>
              <w:jc w:val="center"/>
              <w:rPr>
                <w:rFonts w:ascii="仿宋_GB2312" w:hAnsi="仿宋_GB2312" w:eastAsia="仿宋_GB2312" w:cs="宋体"/>
                <w:kern w:val="0"/>
              </w:rPr>
            </w:pPr>
          </w:p>
        </w:tc>
        <w:tc>
          <w:tcPr>
            <w:tcW w:w="1450" w:type="dxa"/>
            <w:gridSpan w:val="5"/>
            <w:tcBorders>
              <w:top w:val="single" w:color="000000" w:sz="4" w:space="0"/>
              <w:bottom w:val="single" w:color="000000" w:sz="4" w:space="0"/>
              <w:right w:val="single" w:color="000000" w:sz="4" w:space="0"/>
            </w:tcBorders>
            <w:vAlign w:val="center"/>
          </w:tcPr>
          <w:p w14:paraId="1A452C25">
            <w:pPr>
              <w:widowControl/>
              <w:snapToGrid w:val="0"/>
              <w:jc w:val="center"/>
              <w:rPr>
                <w:rFonts w:ascii="仿宋_GB2312" w:hAnsi="仿宋_GB2312" w:eastAsia="仿宋_GB2312" w:cs="宋体"/>
                <w:kern w:val="0"/>
              </w:rPr>
            </w:pPr>
          </w:p>
        </w:tc>
      </w:tr>
      <w:tr w14:paraId="060CC039">
        <w:trPr>
          <w:trHeight w:val="312" w:hRule="atLeast"/>
          <w:jc w:val="center"/>
        </w:trPr>
        <w:tc>
          <w:tcPr>
            <w:tcW w:w="2104" w:type="dxa"/>
            <w:gridSpan w:val="4"/>
            <w:tcBorders>
              <w:top w:val="single" w:color="000000" w:sz="4" w:space="0"/>
              <w:left w:val="single" w:color="000000" w:sz="4" w:space="0"/>
              <w:bottom w:val="single" w:color="000000" w:sz="4" w:space="0"/>
              <w:right w:val="single" w:color="000000" w:sz="4" w:space="0"/>
            </w:tcBorders>
            <w:vAlign w:val="center"/>
          </w:tcPr>
          <w:p w14:paraId="46C95B5A">
            <w:pPr>
              <w:widowControl/>
              <w:snapToGrid w:val="0"/>
              <w:jc w:val="center"/>
              <w:rPr>
                <w:rFonts w:ascii="仿宋_GB2312" w:hAnsi="仿宋_GB2312" w:eastAsia="仿宋_GB2312" w:cs="宋体"/>
                <w:kern w:val="0"/>
              </w:rPr>
            </w:pPr>
          </w:p>
        </w:tc>
        <w:tc>
          <w:tcPr>
            <w:tcW w:w="2155" w:type="dxa"/>
            <w:gridSpan w:val="3"/>
            <w:tcBorders>
              <w:top w:val="single" w:color="000000" w:sz="4" w:space="0"/>
              <w:bottom w:val="single" w:color="000000" w:sz="4" w:space="0"/>
              <w:right w:val="single" w:color="000000" w:sz="4" w:space="0"/>
            </w:tcBorders>
            <w:vAlign w:val="center"/>
          </w:tcPr>
          <w:p w14:paraId="6F83A0A4">
            <w:pPr>
              <w:widowControl/>
              <w:snapToGrid w:val="0"/>
              <w:jc w:val="center"/>
              <w:rPr>
                <w:rFonts w:ascii="仿宋_GB2312" w:hAnsi="仿宋_GB2312" w:eastAsia="仿宋_GB2312" w:cs="宋体"/>
                <w:kern w:val="0"/>
              </w:rPr>
            </w:pPr>
          </w:p>
        </w:tc>
        <w:tc>
          <w:tcPr>
            <w:tcW w:w="2763" w:type="dxa"/>
            <w:gridSpan w:val="7"/>
            <w:tcBorders>
              <w:top w:val="single" w:color="000000" w:sz="4" w:space="0"/>
              <w:bottom w:val="single" w:color="000000" w:sz="4" w:space="0"/>
              <w:right w:val="single" w:color="000000" w:sz="4" w:space="0"/>
            </w:tcBorders>
            <w:vAlign w:val="center"/>
          </w:tcPr>
          <w:p w14:paraId="1A22CAFD">
            <w:pPr>
              <w:widowControl/>
              <w:snapToGrid w:val="0"/>
              <w:jc w:val="center"/>
              <w:rPr>
                <w:rFonts w:ascii="仿宋_GB2312" w:hAnsi="仿宋_GB2312" w:eastAsia="仿宋_GB2312" w:cs="宋体"/>
                <w:kern w:val="0"/>
              </w:rPr>
            </w:pPr>
          </w:p>
        </w:tc>
        <w:tc>
          <w:tcPr>
            <w:tcW w:w="1450" w:type="dxa"/>
            <w:gridSpan w:val="5"/>
            <w:tcBorders>
              <w:top w:val="single" w:color="000000" w:sz="4" w:space="0"/>
              <w:bottom w:val="single" w:color="000000" w:sz="4" w:space="0"/>
              <w:right w:val="single" w:color="000000" w:sz="4" w:space="0"/>
            </w:tcBorders>
            <w:vAlign w:val="center"/>
          </w:tcPr>
          <w:p w14:paraId="56EAAA62">
            <w:pPr>
              <w:widowControl/>
              <w:snapToGrid w:val="0"/>
              <w:jc w:val="center"/>
              <w:rPr>
                <w:rFonts w:ascii="仿宋_GB2312" w:hAnsi="仿宋_GB2312" w:eastAsia="仿宋_GB2312" w:cs="宋体"/>
                <w:kern w:val="0"/>
              </w:rPr>
            </w:pPr>
          </w:p>
        </w:tc>
      </w:tr>
      <w:tr w14:paraId="46BC8D28">
        <w:tblPrEx>
          <w:tblCellMar>
            <w:top w:w="0" w:type="dxa"/>
            <w:left w:w="108" w:type="dxa"/>
            <w:bottom w:w="0" w:type="dxa"/>
            <w:right w:w="108" w:type="dxa"/>
          </w:tblCellMar>
        </w:tblPrEx>
        <w:trPr>
          <w:trHeight w:val="312" w:hRule="atLeast"/>
          <w:jc w:val="center"/>
        </w:trPr>
        <w:tc>
          <w:tcPr>
            <w:tcW w:w="2104" w:type="dxa"/>
            <w:gridSpan w:val="4"/>
            <w:tcBorders>
              <w:top w:val="single" w:color="000000" w:sz="4" w:space="0"/>
              <w:left w:val="single" w:color="000000" w:sz="4" w:space="0"/>
              <w:bottom w:val="single" w:color="000000" w:sz="4" w:space="0"/>
              <w:right w:val="single" w:color="000000" w:sz="4" w:space="0"/>
            </w:tcBorders>
            <w:vAlign w:val="center"/>
          </w:tcPr>
          <w:p w14:paraId="6B90C711">
            <w:pPr>
              <w:widowControl/>
              <w:snapToGrid w:val="0"/>
              <w:jc w:val="center"/>
              <w:rPr>
                <w:rFonts w:ascii="仿宋_GB2312" w:hAnsi="仿宋_GB2312" w:eastAsia="仿宋_GB2312" w:cs="宋体"/>
                <w:kern w:val="0"/>
              </w:rPr>
            </w:pPr>
          </w:p>
        </w:tc>
        <w:tc>
          <w:tcPr>
            <w:tcW w:w="2155" w:type="dxa"/>
            <w:gridSpan w:val="3"/>
            <w:tcBorders>
              <w:top w:val="single" w:color="000000" w:sz="4" w:space="0"/>
              <w:bottom w:val="single" w:color="000000" w:sz="4" w:space="0"/>
              <w:right w:val="single" w:color="000000" w:sz="4" w:space="0"/>
            </w:tcBorders>
            <w:vAlign w:val="center"/>
          </w:tcPr>
          <w:p w14:paraId="03C6033D">
            <w:pPr>
              <w:widowControl/>
              <w:snapToGrid w:val="0"/>
              <w:jc w:val="center"/>
              <w:rPr>
                <w:rFonts w:ascii="仿宋_GB2312" w:hAnsi="仿宋_GB2312" w:eastAsia="仿宋_GB2312" w:cs="宋体"/>
                <w:kern w:val="0"/>
              </w:rPr>
            </w:pPr>
          </w:p>
        </w:tc>
        <w:tc>
          <w:tcPr>
            <w:tcW w:w="2763" w:type="dxa"/>
            <w:gridSpan w:val="7"/>
            <w:tcBorders>
              <w:top w:val="single" w:color="000000" w:sz="4" w:space="0"/>
              <w:bottom w:val="single" w:color="000000" w:sz="4" w:space="0"/>
              <w:right w:val="single" w:color="000000" w:sz="4" w:space="0"/>
            </w:tcBorders>
            <w:vAlign w:val="center"/>
          </w:tcPr>
          <w:p w14:paraId="6B25AC79">
            <w:pPr>
              <w:widowControl/>
              <w:snapToGrid w:val="0"/>
              <w:jc w:val="center"/>
              <w:rPr>
                <w:rFonts w:ascii="仿宋_GB2312" w:hAnsi="仿宋_GB2312" w:eastAsia="仿宋_GB2312" w:cs="宋体"/>
                <w:kern w:val="0"/>
              </w:rPr>
            </w:pPr>
          </w:p>
        </w:tc>
        <w:tc>
          <w:tcPr>
            <w:tcW w:w="1450" w:type="dxa"/>
            <w:gridSpan w:val="5"/>
            <w:tcBorders>
              <w:top w:val="single" w:color="000000" w:sz="4" w:space="0"/>
              <w:bottom w:val="single" w:color="000000" w:sz="4" w:space="0"/>
              <w:right w:val="single" w:color="000000" w:sz="4" w:space="0"/>
            </w:tcBorders>
            <w:vAlign w:val="center"/>
          </w:tcPr>
          <w:p w14:paraId="4F0FEE73">
            <w:pPr>
              <w:widowControl/>
              <w:snapToGrid w:val="0"/>
              <w:jc w:val="center"/>
              <w:rPr>
                <w:rFonts w:ascii="仿宋_GB2312" w:hAnsi="仿宋_GB2312" w:eastAsia="仿宋_GB2312" w:cs="宋体"/>
                <w:kern w:val="0"/>
              </w:rPr>
            </w:pPr>
          </w:p>
        </w:tc>
      </w:tr>
      <w:tr w14:paraId="7BE2B157">
        <w:trPr>
          <w:trHeight w:val="312" w:hRule="atLeast"/>
          <w:jc w:val="center"/>
        </w:trPr>
        <w:tc>
          <w:tcPr>
            <w:tcW w:w="8445" w:type="dxa"/>
            <w:gridSpan w:val="18"/>
            <w:tcBorders>
              <w:top w:val="single" w:color="000000" w:sz="4" w:space="0"/>
              <w:left w:val="single" w:color="000000" w:sz="4" w:space="0"/>
              <w:bottom w:val="single" w:color="000000" w:sz="4" w:space="0"/>
              <w:right w:val="single" w:color="000000" w:sz="4" w:space="0"/>
            </w:tcBorders>
            <w:vAlign w:val="center"/>
          </w:tcPr>
          <w:p w14:paraId="45B57641">
            <w:pPr>
              <w:widowControl/>
              <w:jc w:val="center"/>
              <w:rPr>
                <w:rFonts w:ascii="仿宋_GB2312" w:hAnsi="仿宋_GB2312" w:eastAsia="仿宋_GB2312" w:cs="宋体"/>
                <w:kern w:val="0"/>
              </w:rPr>
            </w:pPr>
            <w:r>
              <w:rPr>
                <w:rFonts w:ascii="仿宋_GB2312" w:hAnsi="仿宋_GB2312" w:eastAsia="仿宋_GB2312" w:cs="宋体"/>
                <w:kern w:val="0"/>
              </w:rPr>
              <w:t>六、独立董事兼职情况</w:t>
            </w:r>
          </w:p>
        </w:tc>
        <w:tc>
          <w:tcPr>
            <w:tcW w:w="27" w:type="dxa"/>
            <w:tcMar>
              <w:left w:w="0" w:type="dxa"/>
              <w:right w:w="0" w:type="dxa"/>
            </w:tcMar>
          </w:tcPr>
          <w:p w14:paraId="6C4C85CD">
            <w:pPr>
              <w:snapToGrid w:val="0"/>
              <w:rPr>
                <w:rFonts w:ascii="仿宋_GB2312" w:hAnsi="仿宋_GB2312" w:eastAsia="仿宋_GB2312" w:cs="宋体"/>
                <w:kern w:val="0"/>
              </w:rPr>
            </w:pPr>
          </w:p>
        </w:tc>
      </w:tr>
      <w:tr w14:paraId="1CE60A75">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4651C9D1">
            <w:pPr>
              <w:widowControl/>
              <w:jc w:val="center"/>
              <w:rPr>
                <w:rFonts w:ascii="仿宋_GB2312" w:hAnsi="仿宋_GB2312" w:eastAsia="仿宋_GB2312" w:cs="宋体"/>
                <w:kern w:val="0"/>
              </w:rPr>
            </w:pPr>
            <w:r>
              <w:rPr>
                <w:rFonts w:ascii="仿宋_GB2312" w:hAnsi="仿宋_GB2312" w:eastAsia="仿宋_GB2312" w:cs="宋体"/>
                <w:kern w:val="0"/>
              </w:rPr>
              <w:t>任职期间</w:t>
            </w: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64A2E9E2">
            <w:pPr>
              <w:widowControl/>
              <w:jc w:val="center"/>
              <w:rPr>
                <w:rFonts w:ascii="仿宋_GB2312" w:hAnsi="仿宋_GB2312" w:eastAsia="仿宋_GB2312" w:cs="宋体"/>
                <w:kern w:val="0"/>
              </w:rPr>
            </w:pPr>
            <w:r>
              <w:rPr>
                <w:rFonts w:ascii="仿宋_GB2312" w:hAnsi="仿宋_GB2312" w:eastAsia="仿宋_GB2312" w:cs="宋体"/>
                <w:kern w:val="0"/>
              </w:rPr>
              <w:t>公司名称</w:t>
            </w:r>
          </w:p>
        </w:tc>
        <w:tc>
          <w:tcPr>
            <w:tcW w:w="3117" w:type="dxa"/>
            <w:gridSpan w:val="10"/>
            <w:tcBorders>
              <w:top w:val="single" w:color="000000" w:sz="4" w:space="0"/>
              <w:left w:val="single" w:color="000000" w:sz="4" w:space="0"/>
              <w:bottom w:val="single" w:color="000000" w:sz="4" w:space="0"/>
              <w:right w:val="single" w:color="000000" w:sz="4" w:space="0"/>
            </w:tcBorders>
            <w:vAlign w:val="center"/>
          </w:tcPr>
          <w:p w14:paraId="355E51F7">
            <w:pPr>
              <w:widowControl/>
              <w:jc w:val="center"/>
              <w:rPr>
                <w:rFonts w:ascii="仿宋_GB2312" w:hAnsi="仿宋_GB2312" w:eastAsia="仿宋_GB2312" w:cs="宋体"/>
                <w:kern w:val="0"/>
              </w:rPr>
            </w:pPr>
            <w:r>
              <w:rPr>
                <w:rFonts w:ascii="仿宋_GB2312" w:hAnsi="仿宋_GB2312" w:eastAsia="仿宋_GB2312" w:cs="宋体"/>
                <w:kern w:val="0"/>
              </w:rPr>
              <w:t>公司代码</w:t>
            </w:r>
          </w:p>
        </w:tc>
        <w:tc>
          <w:tcPr>
            <w:tcW w:w="27" w:type="dxa"/>
            <w:tcMar>
              <w:left w:w="0" w:type="dxa"/>
              <w:right w:w="0" w:type="dxa"/>
            </w:tcMar>
          </w:tcPr>
          <w:p w14:paraId="5372A729">
            <w:pPr>
              <w:snapToGrid w:val="0"/>
              <w:rPr>
                <w:rFonts w:ascii="仿宋_GB2312" w:hAnsi="仿宋_GB2312" w:eastAsia="仿宋_GB2312" w:cs="宋体"/>
                <w:kern w:val="0"/>
              </w:rPr>
            </w:pPr>
          </w:p>
        </w:tc>
      </w:tr>
      <w:tr w14:paraId="46943002">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68064D59">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736CCE25">
            <w:pPr>
              <w:widowControl/>
              <w:snapToGrid w:val="0"/>
              <w:jc w:val="center"/>
              <w:rPr>
                <w:rFonts w:ascii="仿宋_GB2312" w:hAnsi="仿宋_GB2312" w:eastAsia="仿宋_GB2312" w:cs="宋体"/>
                <w:kern w:val="0"/>
              </w:rPr>
            </w:pPr>
          </w:p>
        </w:tc>
        <w:tc>
          <w:tcPr>
            <w:tcW w:w="3117" w:type="dxa"/>
            <w:gridSpan w:val="10"/>
            <w:tcBorders>
              <w:top w:val="single" w:color="000000" w:sz="4" w:space="0"/>
              <w:left w:val="single" w:color="000000" w:sz="4" w:space="0"/>
              <w:bottom w:val="single" w:color="000000" w:sz="4" w:space="0"/>
              <w:right w:val="single" w:color="000000" w:sz="4" w:space="0"/>
            </w:tcBorders>
            <w:vAlign w:val="center"/>
          </w:tcPr>
          <w:p w14:paraId="09722F3A">
            <w:pPr>
              <w:widowControl/>
              <w:snapToGrid w:val="0"/>
              <w:jc w:val="center"/>
              <w:rPr>
                <w:rFonts w:ascii="仿宋_GB2312" w:hAnsi="仿宋_GB2312" w:eastAsia="仿宋_GB2312" w:cs="宋体"/>
                <w:kern w:val="0"/>
              </w:rPr>
            </w:pPr>
          </w:p>
        </w:tc>
        <w:tc>
          <w:tcPr>
            <w:tcW w:w="27" w:type="dxa"/>
            <w:tcMar>
              <w:left w:w="0" w:type="dxa"/>
              <w:right w:w="0" w:type="dxa"/>
            </w:tcMar>
          </w:tcPr>
          <w:p w14:paraId="015E7DF1">
            <w:pPr>
              <w:snapToGrid w:val="0"/>
              <w:rPr>
                <w:rFonts w:ascii="仿宋_GB2312" w:hAnsi="仿宋_GB2312" w:eastAsia="仿宋_GB2312" w:cs="宋体"/>
                <w:kern w:val="0"/>
              </w:rPr>
            </w:pPr>
          </w:p>
        </w:tc>
      </w:tr>
      <w:tr w14:paraId="13D4D4D7">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6C656BF7">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62349120">
            <w:pPr>
              <w:widowControl/>
              <w:snapToGrid w:val="0"/>
              <w:jc w:val="center"/>
              <w:rPr>
                <w:rFonts w:ascii="仿宋_GB2312" w:hAnsi="仿宋_GB2312" w:eastAsia="仿宋_GB2312" w:cs="宋体"/>
                <w:kern w:val="0"/>
              </w:rPr>
            </w:pPr>
          </w:p>
        </w:tc>
        <w:tc>
          <w:tcPr>
            <w:tcW w:w="3117" w:type="dxa"/>
            <w:gridSpan w:val="10"/>
            <w:tcBorders>
              <w:top w:val="single" w:color="000000" w:sz="4" w:space="0"/>
              <w:left w:val="single" w:color="000000" w:sz="4" w:space="0"/>
              <w:bottom w:val="single" w:color="000000" w:sz="4" w:space="0"/>
              <w:right w:val="single" w:color="000000" w:sz="4" w:space="0"/>
            </w:tcBorders>
            <w:vAlign w:val="center"/>
          </w:tcPr>
          <w:p w14:paraId="728A9C30">
            <w:pPr>
              <w:widowControl/>
              <w:snapToGrid w:val="0"/>
              <w:jc w:val="center"/>
              <w:rPr>
                <w:rFonts w:ascii="仿宋_GB2312" w:hAnsi="仿宋_GB2312" w:eastAsia="仿宋_GB2312" w:cs="宋体"/>
                <w:kern w:val="0"/>
              </w:rPr>
            </w:pPr>
          </w:p>
        </w:tc>
        <w:tc>
          <w:tcPr>
            <w:tcW w:w="27" w:type="dxa"/>
            <w:tcMar>
              <w:left w:w="0" w:type="dxa"/>
              <w:right w:w="0" w:type="dxa"/>
            </w:tcMar>
          </w:tcPr>
          <w:p w14:paraId="5B63F1C0">
            <w:pPr>
              <w:snapToGrid w:val="0"/>
              <w:rPr>
                <w:rFonts w:ascii="仿宋_GB2312" w:hAnsi="仿宋_GB2312" w:eastAsia="仿宋_GB2312" w:cs="宋体"/>
                <w:kern w:val="0"/>
              </w:rPr>
            </w:pPr>
          </w:p>
        </w:tc>
      </w:tr>
      <w:tr w14:paraId="6D0FADD4">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5DF33647">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0E924CA0">
            <w:pPr>
              <w:widowControl/>
              <w:snapToGrid w:val="0"/>
              <w:jc w:val="center"/>
              <w:rPr>
                <w:rFonts w:ascii="仿宋_GB2312" w:hAnsi="仿宋_GB2312" w:eastAsia="仿宋_GB2312" w:cs="宋体"/>
                <w:kern w:val="0"/>
              </w:rPr>
            </w:pPr>
          </w:p>
        </w:tc>
        <w:tc>
          <w:tcPr>
            <w:tcW w:w="3117" w:type="dxa"/>
            <w:gridSpan w:val="10"/>
            <w:tcBorders>
              <w:top w:val="single" w:color="000000" w:sz="4" w:space="0"/>
              <w:left w:val="single" w:color="000000" w:sz="4" w:space="0"/>
              <w:bottom w:val="single" w:color="000000" w:sz="4" w:space="0"/>
              <w:right w:val="single" w:color="000000" w:sz="4" w:space="0"/>
            </w:tcBorders>
            <w:vAlign w:val="center"/>
          </w:tcPr>
          <w:p w14:paraId="211F545F">
            <w:pPr>
              <w:widowControl/>
              <w:snapToGrid w:val="0"/>
              <w:jc w:val="center"/>
              <w:rPr>
                <w:rFonts w:ascii="仿宋_GB2312" w:hAnsi="仿宋_GB2312" w:eastAsia="仿宋_GB2312" w:cs="宋体"/>
                <w:kern w:val="0"/>
              </w:rPr>
            </w:pPr>
          </w:p>
        </w:tc>
        <w:tc>
          <w:tcPr>
            <w:tcW w:w="27" w:type="dxa"/>
            <w:tcMar>
              <w:left w:w="0" w:type="dxa"/>
              <w:right w:w="0" w:type="dxa"/>
            </w:tcMar>
          </w:tcPr>
          <w:p w14:paraId="0D668573">
            <w:pPr>
              <w:snapToGrid w:val="0"/>
              <w:rPr>
                <w:rFonts w:ascii="仿宋_GB2312" w:hAnsi="仿宋_GB2312" w:eastAsia="仿宋_GB2312" w:cs="宋体"/>
                <w:kern w:val="0"/>
              </w:rPr>
            </w:pPr>
          </w:p>
        </w:tc>
      </w:tr>
      <w:tr w14:paraId="6DDF5646">
        <w:trPr>
          <w:trHeight w:val="312" w:hRule="atLeast"/>
          <w:jc w:val="center"/>
        </w:trPr>
        <w:tc>
          <w:tcPr>
            <w:tcW w:w="8445" w:type="dxa"/>
            <w:gridSpan w:val="18"/>
            <w:tcBorders>
              <w:top w:val="single" w:color="000000" w:sz="4" w:space="0"/>
              <w:left w:val="single" w:color="000000" w:sz="4" w:space="0"/>
              <w:bottom w:val="single" w:color="000000" w:sz="4" w:space="0"/>
              <w:right w:val="single" w:color="000000" w:sz="4" w:space="0"/>
            </w:tcBorders>
            <w:vAlign w:val="center"/>
          </w:tcPr>
          <w:p w14:paraId="30757416">
            <w:pPr>
              <w:widowControl/>
              <w:jc w:val="center"/>
              <w:rPr>
                <w:rFonts w:ascii="仿宋_GB2312" w:hAnsi="仿宋_GB2312" w:eastAsia="仿宋_GB2312" w:cs="宋体"/>
                <w:kern w:val="0"/>
              </w:rPr>
            </w:pPr>
            <w:r>
              <w:rPr>
                <w:rFonts w:ascii="仿宋_GB2312" w:hAnsi="仿宋_GB2312" w:eastAsia="仿宋_GB2312" w:cs="宋体"/>
                <w:kern w:val="0"/>
              </w:rPr>
              <w:t>七、其他专业资格职称</w:t>
            </w:r>
          </w:p>
        </w:tc>
        <w:tc>
          <w:tcPr>
            <w:tcW w:w="27" w:type="dxa"/>
            <w:tcMar>
              <w:left w:w="0" w:type="dxa"/>
              <w:right w:w="0" w:type="dxa"/>
            </w:tcMar>
          </w:tcPr>
          <w:p w14:paraId="7A0F4ED8">
            <w:pPr>
              <w:snapToGrid w:val="0"/>
              <w:rPr>
                <w:rFonts w:ascii="仿宋_GB2312" w:hAnsi="仿宋_GB2312" w:eastAsia="仿宋_GB2312" w:cs="宋体"/>
                <w:kern w:val="0"/>
              </w:rPr>
            </w:pPr>
          </w:p>
        </w:tc>
      </w:tr>
      <w:tr w14:paraId="162B0EF5">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77D50969">
            <w:pPr>
              <w:widowControl/>
              <w:jc w:val="center"/>
              <w:rPr>
                <w:rFonts w:ascii="仿宋_GB2312" w:hAnsi="仿宋_GB2312" w:eastAsia="仿宋_GB2312" w:cs="宋体"/>
                <w:kern w:val="0"/>
              </w:rPr>
            </w:pPr>
            <w:r>
              <w:rPr>
                <w:rFonts w:ascii="仿宋_GB2312" w:hAnsi="仿宋_GB2312" w:eastAsia="仿宋_GB2312" w:cs="宋体"/>
                <w:kern w:val="0"/>
              </w:rPr>
              <w:t>取得时间</w:t>
            </w: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0912911A">
            <w:pPr>
              <w:widowControl/>
              <w:jc w:val="center"/>
              <w:rPr>
                <w:rFonts w:ascii="仿宋_GB2312" w:hAnsi="仿宋_GB2312" w:eastAsia="仿宋_GB2312" w:cs="宋体"/>
                <w:kern w:val="0"/>
              </w:rPr>
            </w:pPr>
            <w:r>
              <w:rPr>
                <w:rFonts w:ascii="仿宋_GB2312" w:hAnsi="仿宋_GB2312" w:eastAsia="仿宋_GB2312" w:cs="宋体"/>
                <w:kern w:val="0"/>
              </w:rPr>
              <w:t>资格名称</w:t>
            </w:r>
          </w:p>
        </w:tc>
        <w:tc>
          <w:tcPr>
            <w:tcW w:w="1694" w:type="dxa"/>
            <w:gridSpan w:val="6"/>
            <w:tcBorders>
              <w:top w:val="single" w:color="000000" w:sz="4" w:space="0"/>
              <w:left w:val="single" w:color="000000" w:sz="4" w:space="0"/>
              <w:bottom w:val="single" w:color="000000" w:sz="4" w:space="0"/>
              <w:right w:val="single" w:color="000000" w:sz="4" w:space="0"/>
            </w:tcBorders>
            <w:vAlign w:val="center"/>
          </w:tcPr>
          <w:p w14:paraId="0D50E758">
            <w:pPr>
              <w:widowControl/>
              <w:jc w:val="center"/>
              <w:rPr>
                <w:rFonts w:ascii="仿宋_GB2312" w:hAnsi="仿宋_GB2312" w:eastAsia="仿宋_GB2312" w:cs="宋体"/>
                <w:kern w:val="0"/>
              </w:rPr>
            </w:pPr>
            <w:r>
              <w:rPr>
                <w:rFonts w:ascii="仿宋_GB2312" w:hAnsi="仿宋_GB2312" w:eastAsia="仿宋_GB2312" w:cs="宋体"/>
                <w:kern w:val="0"/>
              </w:rPr>
              <w:t>授予单位</w:t>
            </w:r>
          </w:p>
        </w:tc>
        <w:tc>
          <w:tcPr>
            <w:tcW w:w="1423" w:type="dxa"/>
            <w:gridSpan w:val="4"/>
            <w:tcBorders>
              <w:top w:val="single" w:color="000000" w:sz="4" w:space="0"/>
              <w:left w:val="single" w:color="000000" w:sz="4" w:space="0"/>
              <w:bottom w:val="single" w:color="000000" w:sz="4" w:space="0"/>
              <w:right w:val="single" w:color="000000" w:sz="4" w:space="0"/>
            </w:tcBorders>
            <w:vAlign w:val="center"/>
          </w:tcPr>
          <w:p w14:paraId="3C679B60">
            <w:pPr>
              <w:widowControl/>
              <w:jc w:val="center"/>
              <w:rPr>
                <w:rFonts w:ascii="仿宋_GB2312" w:hAnsi="仿宋_GB2312" w:eastAsia="仿宋_GB2312" w:cs="宋体"/>
                <w:kern w:val="0"/>
              </w:rPr>
            </w:pPr>
            <w:r>
              <w:rPr>
                <w:rFonts w:ascii="仿宋_GB2312" w:hAnsi="仿宋_GB2312" w:eastAsia="仿宋_GB2312" w:cs="宋体"/>
                <w:kern w:val="0"/>
              </w:rPr>
              <w:t>证书号码</w:t>
            </w:r>
          </w:p>
        </w:tc>
        <w:tc>
          <w:tcPr>
            <w:tcW w:w="27" w:type="dxa"/>
            <w:tcMar>
              <w:left w:w="0" w:type="dxa"/>
              <w:right w:w="0" w:type="dxa"/>
            </w:tcMar>
          </w:tcPr>
          <w:p w14:paraId="43C53701">
            <w:pPr>
              <w:snapToGrid w:val="0"/>
              <w:rPr>
                <w:rFonts w:ascii="仿宋_GB2312" w:hAnsi="仿宋_GB2312" w:eastAsia="仿宋_GB2312" w:cs="宋体"/>
                <w:kern w:val="0"/>
              </w:rPr>
            </w:pPr>
          </w:p>
        </w:tc>
      </w:tr>
      <w:tr w14:paraId="64431304">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7F25C4D3">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5230578D">
            <w:pPr>
              <w:widowControl/>
              <w:snapToGrid w:val="0"/>
              <w:jc w:val="center"/>
              <w:rPr>
                <w:rFonts w:ascii="仿宋_GB2312" w:hAnsi="仿宋_GB2312" w:eastAsia="仿宋_GB2312" w:cs="宋体"/>
                <w:kern w:val="0"/>
              </w:rPr>
            </w:pPr>
          </w:p>
        </w:tc>
        <w:tc>
          <w:tcPr>
            <w:tcW w:w="1694" w:type="dxa"/>
            <w:gridSpan w:val="6"/>
            <w:tcBorders>
              <w:top w:val="single" w:color="000000" w:sz="4" w:space="0"/>
              <w:left w:val="single" w:color="000000" w:sz="4" w:space="0"/>
              <w:bottom w:val="single" w:color="000000" w:sz="4" w:space="0"/>
              <w:right w:val="single" w:color="000000" w:sz="4" w:space="0"/>
            </w:tcBorders>
            <w:vAlign w:val="center"/>
          </w:tcPr>
          <w:p w14:paraId="3E4F6885">
            <w:pPr>
              <w:widowControl/>
              <w:snapToGrid w:val="0"/>
              <w:jc w:val="center"/>
              <w:rPr>
                <w:rFonts w:ascii="仿宋_GB2312" w:hAnsi="仿宋_GB2312" w:eastAsia="仿宋_GB2312" w:cs="宋体"/>
                <w:kern w:val="0"/>
              </w:rPr>
            </w:pPr>
          </w:p>
        </w:tc>
        <w:tc>
          <w:tcPr>
            <w:tcW w:w="1423" w:type="dxa"/>
            <w:gridSpan w:val="4"/>
            <w:tcBorders>
              <w:top w:val="single" w:color="000000" w:sz="4" w:space="0"/>
              <w:left w:val="single" w:color="000000" w:sz="4" w:space="0"/>
              <w:bottom w:val="single" w:color="000000" w:sz="4" w:space="0"/>
              <w:right w:val="single" w:color="000000" w:sz="4" w:space="0"/>
            </w:tcBorders>
            <w:vAlign w:val="center"/>
          </w:tcPr>
          <w:p w14:paraId="635C60D8">
            <w:pPr>
              <w:widowControl/>
              <w:snapToGrid w:val="0"/>
              <w:jc w:val="center"/>
              <w:rPr>
                <w:rFonts w:ascii="仿宋_GB2312" w:hAnsi="仿宋_GB2312" w:eastAsia="仿宋_GB2312" w:cs="宋体"/>
                <w:kern w:val="0"/>
              </w:rPr>
            </w:pPr>
          </w:p>
        </w:tc>
        <w:tc>
          <w:tcPr>
            <w:tcW w:w="27" w:type="dxa"/>
            <w:tcMar>
              <w:left w:w="0" w:type="dxa"/>
              <w:right w:w="0" w:type="dxa"/>
            </w:tcMar>
          </w:tcPr>
          <w:p w14:paraId="4115BEBC">
            <w:pPr>
              <w:snapToGrid w:val="0"/>
              <w:rPr>
                <w:rFonts w:ascii="仿宋_GB2312" w:hAnsi="仿宋_GB2312" w:eastAsia="仿宋_GB2312" w:cs="宋体"/>
                <w:kern w:val="0"/>
              </w:rPr>
            </w:pPr>
          </w:p>
        </w:tc>
      </w:tr>
      <w:tr w14:paraId="0B784ABD">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13D1125F">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463A930E">
            <w:pPr>
              <w:widowControl/>
              <w:snapToGrid w:val="0"/>
              <w:jc w:val="center"/>
              <w:rPr>
                <w:rFonts w:ascii="仿宋_GB2312" w:hAnsi="仿宋_GB2312" w:eastAsia="仿宋_GB2312" w:cs="宋体"/>
                <w:kern w:val="0"/>
              </w:rPr>
            </w:pPr>
          </w:p>
        </w:tc>
        <w:tc>
          <w:tcPr>
            <w:tcW w:w="1694" w:type="dxa"/>
            <w:gridSpan w:val="6"/>
            <w:tcBorders>
              <w:top w:val="single" w:color="000000" w:sz="4" w:space="0"/>
              <w:left w:val="single" w:color="000000" w:sz="4" w:space="0"/>
              <w:bottom w:val="single" w:color="000000" w:sz="4" w:space="0"/>
              <w:right w:val="single" w:color="000000" w:sz="4" w:space="0"/>
            </w:tcBorders>
            <w:vAlign w:val="center"/>
          </w:tcPr>
          <w:p w14:paraId="2F7F2229">
            <w:pPr>
              <w:widowControl/>
              <w:snapToGrid w:val="0"/>
              <w:jc w:val="center"/>
              <w:rPr>
                <w:rFonts w:ascii="仿宋_GB2312" w:hAnsi="仿宋_GB2312" w:eastAsia="仿宋_GB2312" w:cs="宋体"/>
                <w:kern w:val="0"/>
              </w:rPr>
            </w:pPr>
          </w:p>
        </w:tc>
        <w:tc>
          <w:tcPr>
            <w:tcW w:w="1423" w:type="dxa"/>
            <w:gridSpan w:val="4"/>
            <w:tcBorders>
              <w:top w:val="single" w:color="000000" w:sz="4" w:space="0"/>
              <w:left w:val="single" w:color="000000" w:sz="4" w:space="0"/>
              <w:bottom w:val="single" w:color="000000" w:sz="4" w:space="0"/>
              <w:right w:val="single" w:color="000000" w:sz="4" w:space="0"/>
            </w:tcBorders>
            <w:vAlign w:val="center"/>
          </w:tcPr>
          <w:p w14:paraId="632DF058">
            <w:pPr>
              <w:widowControl/>
              <w:snapToGrid w:val="0"/>
              <w:jc w:val="center"/>
              <w:rPr>
                <w:rFonts w:ascii="仿宋_GB2312" w:hAnsi="仿宋_GB2312" w:eastAsia="仿宋_GB2312" w:cs="宋体"/>
                <w:kern w:val="0"/>
              </w:rPr>
            </w:pPr>
          </w:p>
        </w:tc>
        <w:tc>
          <w:tcPr>
            <w:tcW w:w="27" w:type="dxa"/>
            <w:tcMar>
              <w:left w:w="0" w:type="dxa"/>
              <w:right w:w="0" w:type="dxa"/>
            </w:tcMar>
          </w:tcPr>
          <w:p w14:paraId="2CB26A3A">
            <w:pPr>
              <w:snapToGrid w:val="0"/>
              <w:rPr>
                <w:rFonts w:ascii="仿宋_GB2312" w:hAnsi="仿宋_GB2312" w:eastAsia="仿宋_GB2312" w:cs="宋体"/>
                <w:kern w:val="0"/>
              </w:rPr>
            </w:pPr>
          </w:p>
        </w:tc>
      </w:tr>
      <w:tr w14:paraId="6D71BD99">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353C5339">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38E5812F">
            <w:pPr>
              <w:widowControl/>
              <w:snapToGrid w:val="0"/>
              <w:jc w:val="center"/>
              <w:rPr>
                <w:rFonts w:ascii="仿宋_GB2312" w:hAnsi="仿宋_GB2312" w:eastAsia="仿宋_GB2312" w:cs="宋体"/>
                <w:kern w:val="0"/>
              </w:rPr>
            </w:pPr>
          </w:p>
        </w:tc>
        <w:tc>
          <w:tcPr>
            <w:tcW w:w="1694" w:type="dxa"/>
            <w:gridSpan w:val="6"/>
            <w:tcBorders>
              <w:top w:val="single" w:color="000000" w:sz="4" w:space="0"/>
              <w:left w:val="single" w:color="000000" w:sz="4" w:space="0"/>
              <w:bottom w:val="single" w:color="000000" w:sz="4" w:space="0"/>
              <w:right w:val="single" w:color="000000" w:sz="4" w:space="0"/>
            </w:tcBorders>
            <w:vAlign w:val="center"/>
          </w:tcPr>
          <w:p w14:paraId="0F8B2EA2">
            <w:pPr>
              <w:widowControl/>
              <w:snapToGrid w:val="0"/>
              <w:jc w:val="center"/>
              <w:rPr>
                <w:rFonts w:ascii="仿宋_GB2312" w:hAnsi="仿宋_GB2312" w:eastAsia="仿宋_GB2312" w:cs="宋体"/>
                <w:kern w:val="0"/>
              </w:rPr>
            </w:pPr>
          </w:p>
        </w:tc>
        <w:tc>
          <w:tcPr>
            <w:tcW w:w="1423" w:type="dxa"/>
            <w:gridSpan w:val="4"/>
            <w:tcBorders>
              <w:top w:val="single" w:color="000000" w:sz="4" w:space="0"/>
              <w:left w:val="single" w:color="000000" w:sz="4" w:space="0"/>
              <w:bottom w:val="single" w:color="000000" w:sz="4" w:space="0"/>
              <w:right w:val="single" w:color="000000" w:sz="4" w:space="0"/>
            </w:tcBorders>
            <w:vAlign w:val="center"/>
          </w:tcPr>
          <w:p w14:paraId="3010518C">
            <w:pPr>
              <w:widowControl/>
              <w:snapToGrid w:val="0"/>
              <w:jc w:val="center"/>
              <w:rPr>
                <w:rFonts w:ascii="仿宋_GB2312" w:hAnsi="仿宋_GB2312" w:eastAsia="仿宋_GB2312" w:cs="宋体"/>
                <w:kern w:val="0"/>
              </w:rPr>
            </w:pPr>
          </w:p>
        </w:tc>
        <w:tc>
          <w:tcPr>
            <w:tcW w:w="27" w:type="dxa"/>
            <w:tcMar>
              <w:left w:w="0" w:type="dxa"/>
              <w:right w:w="0" w:type="dxa"/>
            </w:tcMar>
          </w:tcPr>
          <w:p w14:paraId="320CD280">
            <w:pPr>
              <w:snapToGrid w:val="0"/>
              <w:rPr>
                <w:rFonts w:ascii="仿宋_GB2312" w:hAnsi="仿宋_GB2312" w:eastAsia="仿宋_GB2312" w:cs="宋体"/>
                <w:kern w:val="0"/>
              </w:rPr>
            </w:pPr>
          </w:p>
        </w:tc>
      </w:tr>
      <w:tr w14:paraId="0C7ABA84">
        <w:tblPrEx>
          <w:tblCellMar>
            <w:top w:w="0" w:type="dxa"/>
            <w:left w:w="108" w:type="dxa"/>
            <w:bottom w:w="0" w:type="dxa"/>
            <w:right w:w="108" w:type="dxa"/>
          </w:tblCellMar>
        </w:tblPrEx>
        <w:trPr>
          <w:trHeight w:val="312" w:hRule="atLeast"/>
          <w:jc w:val="center"/>
        </w:trPr>
        <w:tc>
          <w:tcPr>
            <w:tcW w:w="8445" w:type="dxa"/>
            <w:gridSpan w:val="18"/>
            <w:tcBorders>
              <w:top w:val="single" w:color="000000" w:sz="4" w:space="0"/>
              <w:left w:val="single" w:color="000000" w:sz="4" w:space="0"/>
              <w:bottom w:val="single" w:color="000000" w:sz="4" w:space="0"/>
              <w:right w:val="single" w:color="000000" w:sz="4" w:space="0"/>
            </w:tcBorders>
            <w:vAlign w:val="center"/>
          </w:tcPr>
          <w:p w14:paraId="38AEF2B2">
            <w:pPr>
              <w:widowControl/>
              <w:jc w:val="center"/>
              <w:rPr>
                <w:rFonts w:ascii="仿宋_GB2312" w:hAnsi="仿宋_GB2312" w:eastAsia="仿宋_GB2312" w:cs="宋体"/>
                <w:kern w:val="0"/>
              </w:rPr>
            </w:pPr>
            <w:r>
              <w:rPr>
                <w:rFonts w:ascii="仿宋_GB2312" w:hAnsi="仿宋_GB2312" w:eastAsia="仿宋_GB2312" w:cs="宋体"/>
                <w:kern w:val="0"/>
              </w:rPr>
              <w:t>八、所获奖励</w:t>
            </w:r>
          </w:p>
        </w:tc>
        <w:tc>
          <w:tcPr>
            <w:tcW w:w="27" w:type="dxa"/>
            <w:tcMar>
              <w:left w:w="0" w:type="dxa"/>
              <w:right w:w="0" w:type="dxa"/>
            </w:tcMar>
          </w:tcPr>
          <w:p w14:paraId="5500F2E3">
            <w:pPr>
              <w:snapToGrid w:val="0"/>
              <w:rPr>
                <w:rFonts w:ascii="仿宋_GB2312" w:hAnsi="仿宋_GB2312" w:eastAsia="仿宋_GB2312" w:cs="宋体"/>
                <w:kern w:val="0"/>
              </w:rPr>
            </w:pPr>
          </w:p>
        </w:tc>
      </w:tr>
      <w:tr w14:paraId="7DB02984">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48C21F41">
            <w:pPr>
              <w:widowControl/>
              <w:jc w:val="center"/>
              <w:rPr>
                <w:rFonts w:ascii="仿宋_GB2312" w:hAnsi="仿宋_GB2312" w:eastAsia="仿宋_GB2312" w:cs="宋体"/>
                <w:kern w:val="0"/>
              </w:rPr>
            </w:pPr>
            <w:r>
              <w:rPr>
                <w:rFonts w:ascii="仿宋_GB2312" w:hAnsi="仿宋_GB2312" w:eastAsia="仿宋_GB2312" w:cs="宋体"/>
                <w:kern w:val="0"/>
              </w:rPr>
              <w:t>获奖日期</w:t>
            </w: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1CEE7635">
            <w:pPr>
              <w:widowControl/>
              <w:jc w:val="center"/>
              <w:rPr>
                <w:rFonts w:ascii="仿宋_GB2312" w:hAnsi="仿宋_GB2312" w:eastAsia="仿宋_GB2312" w:cs="宋体"/>
                <w:kern w:val="0"/>
              </w:rPr>
            </w:pPr>
            <w:r>
              <w:rPr>
                <w:rFonts w:ascii="仿宋_GB2312" w:hAnsi="仿宋_GB2312" w:eastAsia="仿宋_GB2312" w:cs="宋体"/>
                <w:kern w:val="0"/>
              </w:rPr>
              <w:t>获奖名称</w:t>
            </w:r>
          </w:p>
        </w:tc>
        <w:tc>
          <w:tcPr>
            <w:tcW w:w="1694" w:type="dxa"/>
            <w:gridSpan w:val="6"/>
            <w:tcBorders>
              <w:top w:val="single" w:color="000000" w:sz="4" w:space="0"/>
              <w:left w:val="single" w:color="000000" w:sz="4" w:space="0"/>
              <w:bottom w:val="single" w:color="000000" w:sz="4" w:space="0"/>
              <w:right w:val="single" w:color="000000" w:sz="4" w:space="0"/>
            </w:tcBorders>
            <w:vAlign w:val="center"/>
          </w:tcPr>
          <w:p w14:paraId="01E80C56">
            <w:pPr>
              <w:widowControl/>
              <w:jc w:val="center"/>
              <w:rPr>
                <w:rFonts w:ascii="仿宋_GB2312" w:hAnsi="仿宋_GB2312" w:eastAsia="仿宋_GB2312" w:cs="宋体"/>
                <w:kern w:val="0"/>
              </w:rPr>
            </w:pPr>
            <w:r>
              <w:rPr>
                <w:rFonts w:ascii="仿宋_GB2312" w:hAnsi="仿宋_GB2312" w:eastAsia="仿宋_GB2312" w:cs="宋体"/>
                <w:kern w:val="0"/>
              </w:rPr>
              <w:t>颁奖单位</w:t>
            </w:r>
          </w:p>
        </w:tc>
        <w:tc>
          <w:tcPr>
            <w:tcW w:w="1423" w:type="dxa"/>
            <w:gridSpan w:val="4"/>
            <w:tcBorders>
              <w:top w:val="single" w:color="000000" w:sz="4" w:space="0"/>
              <w:left w:val="single" w:color="000000" w:sz="4" w:space="0"/>
              <w:bottom w:val="single" w:color="000000" w:sz="4" w:space="0"/>
              <w:right w:val="single" w:color="000000" w:sz="4" w:space="0"/>
            </w:tcBorders>
            <w:vAlign w:val="center"/>
          </w:tcPr>
          <w:p w14:paraId="4A986765">
            <w:pPr>
              <w:widowControl/>
              <w:jc w:val="center"/>
              <w:rPr>
                <w:rFonts w:ascii="仿宋_GB2312" w:hAnsi="仿宋_GB2312" w:eastAsia="仿宋_GB2312" w:cs="宋体"/>
                <w:kern w:val="0"/>
              </w:rPr>
            </w:pPr>
            <w:r>
              <w:rPr>
                <w:rFonts w:ascii="仿宋_GB2312" w:hAnsi="仿宋_GB2312" w:eastAsia="仿宋_GB2312" w:cs="宋体"/>
                <w:kern w:val="0"/>
              </w:rPr>
              <w:t>证书号码</w:t>
            </w:r>
          </w:p>
        </w:tc>
        <w:tc>
          <w:tcPr>
            <w:tcW w:w="27" w:type="dxa"/>
            <w:tcMar>
              <w:left w:w="0" w:type="dxa"/>
              <w:right w:w="0" w:type="dxa"/>
            </w:tcMar>
          </w:tcPr>
          <w:p w14:paraId="4E4402FE">
            <w:pPr>
              <w:snapToGrid w:val="0"/>
              <w:rPr>
                <w:rFonts w:ascii="仿宋_GB2312" w:hAnsi="仿宋_GB2312" w:eastAsia="仿宋_GB2312" w:cs="宋体"/>
                <w:kern w:val="0"/>
              </w:rPr>
            </w:pPr>
          </w:p>
        </w:tc>
      </w:tr>
      <w:tr w14:paraId="241702BB">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04B7AA7D">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3F3D1EB8">
            <w:pPr>
              <w:widowControl/>
              <w:snapToGrid w:val="0"/>
              <w:jc w:val="center"/>
              <w:rPr>
                <w:rFonts w:ascii="仿宋_GB2312" w:hAnsi="仿宋_GB2312" w:eastAsia="仿宋_GB2312" w:cs="宋体"/>
                <w:kern w:val="0"/>
              </w:rPr>
            </w:pPr>
          </w:p>
        </w:tc>
        <w:tc>
          <w:tcPr>
            <w:tcW w:w="1694" w:type="dxa"/>
            <w:gridSpan w:val="6"/>
            <w:tcBorders>
              <w:top w:val="single" w:color="000000" w:sz="4" w:space="0"/>
              <w:left w:val="single" w:color="000000" w:sz="4" w:space="0"/>
              <w:bottom w:val="single" w:color="000000" w:sz="4" w:space="0"/>
              <w:right w:val="single" w:color="000000" w:sz="4" w:space="0"/>
            </w:tcBorders>
            <w:vAlign w:val="center"/>
          </w:tcPr>
          <w:p w14:paraId="31E7F20C">
            <w:pPr>
              <w:widowControl/>
              <w:snapToGrid w:val="0"/>
              <w:jc w:val="center"/>
              <w:rPr>
                <w:rFonts w:ascii="仿宋_GB2312" w:hAnsi="仿宋_GB2312" w:eastAsia="仿宋_GB2312" w:cs="宋体"/>
                <w:kern w:val="0"/>
              </w:rPr>
            </w:pPr>
          </w:p>
        </w:tc>
        <w:tc>
          <w:tcPr>
            <w:tcW w:w="1423" w:type="dxa"/>
            <w:gridSpan w:val="4"/>
            <w:tcBorders>
              <w:top w:val="single" w:color="000000" w:sz="4" w:space="0"/>
              <w:left w:val="single" w:color="000000" w:sz="4" w:space="0"/>
              <w:bottom w:val="single" w:color="000000" w:sz="4" w:space="0"/>
              <w:right w:val="single" w:color="000000" w:sz="4" w:space="0"/>
            </w:tcBorders>
            <w:vAlign w:val="center"/>
          </w:tcPr>
          <w:p w14:paraId="7AFC9AFB">
            <w:pPr>
              <w:widowControl/>
              <w:snapToGrid w:val="0"/>
              <w:jc w:val="center"/>
              <w:rPr>
                <w:rFonts w:ascii="仿宋_GB2312" w:hAnsi="仿宋_GB2312" w:eastAsia="仿宋_GB2312" w:cs="宋体"/>
                <w:kern w:val="0"/>
              </w:rPr>
            </w:pPr>
          </w:p>
        </w:tc>
        <w:tc>
          <w:tcPr>
            <w:tcW w:w="27" w:type="dxa"/>
            <w:tcMar>
              <w:left w:w="0" w:type="dxa"/>
              <w:right w:w="0" w:type="dxa"/>
            </w:tcMar>
          </w:tcPr>
          <w:p w14:paraId="5C51BA10">
            <w:pPr>
              <w:snapToGrid w:val="0"/>
              <w:rPr>
                <w:rFonts w:ascii="仿宋_GB2312" w:hAnsi="仿宋_GB2312" w:eastAsia="仿宋_GB2312" w:cs="宋体"/>
                <w:kern w:val="0"/>
              </w:rPr>
            </w:pPr>
          </w:p>
        </w:tc>
      </w:tr>
      <w:tr w14:paraId="71DC9EAD">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18E9E64C">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42679AE7">
            <w:pPr>
              <w:widowControl/>
              <w:snapToGrid w:val="0"/>
              <w:jc w:val="center"/>
              <w:rPr>
                <w:rFonts w:ascii="仿宋_GB2312" w:hAnsi="仿宋_GB2312" w:eastAsia="仿宋_GB2312" w:cs="宋体"/>
                <w:kern w:val="0"/>
              </w:rPr>
            </w:pPr>
          </w:p>
        </w:tc>
        <w:tc>
          <w:tcPr>
            <w:tcW w:w="1694" w:type="dxa"/>
            <w:gridSpan w:val="6"/>
            <w:tcBorders>
              <w:top w:val="single" w:color="000000" w:sz="4" w:space="0"/>
              <w:left w:val="single" w:color="000000" w:sz="4" w:space="0"/>
              <w:bottom w:val="single" w:color="000000" w:sz="4" w:space="0"/>
              <w:right w:val="single" w:color="000000" w:sz="4" w:space="0"/>
            </w:tcBorders>
            <w:vAlign w:val="center"/>
          </w:tcPr>
          <w:p w14:paraId="2AAEC3EE">
            <w:pPr>
              <w:widowControl/>
              <w:snapToGrid w:val="0"/>
              <w:jc w:val="center"/>
              <w:rPr>
                <w:rFonts w:ascii="仿宋_GB2312" w:hAnsi="仿宋_GB2312" w:eastAsia="仿宋_GB2312" w:cs="宋体"/>
                <w:kern w:val="0"/>
              </w:rPr>
            </w:pPr>
          </w:p>
        </w:tc>
        <w:tc>
          <w:tcPr>
            <w:tcW w:w="1423" w:type="dxa"/>
            <w:gridSpan w:val="4"/>
            <w:tcBorders>
              <w:top w:val="single" w:color="000000" w:sz="4" w:space="0"/>
              <w:left w:val="single" w:color="000000" w:sz="4" w:space="0"/>
              <w:bottom w:val="single" w:color="000000" w:sz="4" w:space="0"/>
              <w:right w:val="single" w:color="000000" w:sz="4" w:space="0"/>
            </w:tcBorders>
            <w:vAlign w:val="center"/>
          </w:tcPr>
          <w:p w14:paraId="43226693">
            <w:pPr>
              <w:widowControl/>
              <w:snapToGrid w:val="0"/>
              <w:jc w:val="center"/>
              <w:rPr>
                <w:rFonts w:ascii="仿宋_GB2312" w:hAnsi="仿宋_GB2312" w:eastAsia="仿宋_GB2312" w:cs="宋体"/>
                <w:kern w:val="0"/>
              </w:rPr>
            </w:pPr>
          </w:p>
        </w:tc>
        <w:tc>
          <w:tcPr>
            <w:tcW w:w="27" w:type="dxa"/>
            <w:tcMar>
              <w:left w:w="0" w:type="dxa"/>
              <w:right w:w="0" w:type="dxa"/>
            </w:tcMar>
          </w:tcPr>
          <w:p w14:paraId="6489EEB5">
            <w:pPr>
              <w:snapToGrid w:val="0"/>
              <w:rPr>
                <w:rFonts w:ascii="仿宋_GB2312" w:hAnsi="仿宋_GB2312" w:eastAsia="仿宋_GB2312" w:cs="宋体"/>
                <w:kern w:val="0"/>
              </w:rPr>
            </w:pPr>
          </w:p>
        </w:tc>
      </w:tr>
      <w:tr w14:paraId="0FD68EBF">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42A3BF50">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2B728730">
            <w:pPr>
              <w:widowControl/>
              <w:snapToGrid w:val="0"/>
              <w:jc w:val="center"/>
              <w:rPr>
                <w:rFonts w:ascii="仿宋_GB2312" w:hAnsi="仿宋_GB2312" w:eastAsia="仿宋_GB2312" w:cs="宋体"/>
                <w:kern w:val="0"/>
              </w:rPr>
            </w:pPr>
          </w:p>
        </w:tc>
        <w:tc>
          <w:tcPr>
            <w:tcW w:w="1694" w:type="dxa"/>
            <w:gridSpan w:val="6"/>
            <w:tcBorders>
              <w:top w:val="single" w:color="000000" w:sz="4" w:space="0"/>
              <w:left w:val="single" w:color="000000" w:sz="4" w:space="0"/>
              <w:bottom w:val="single" w:color="000000" w:sz="4" w:space="0"/>
              <w:right w:val="single" w:color="000000" w:sz="4" w:space="0"/>
            </w:tcBorders>
            <w:vAlign w:val="center"/>
          </w:tcPr>
          <w:p w14:paraId="4F217FFE">
            <w:pPr>
              <w:widowControl/>
              <w:snapToGrid w:val="0"/>
              <w:jc w:val="center"/>
              <w:rPr>
                <w:rFonts w:ascii="仿宋_GB2312" w:hAnsi="仿宋_GB2312" w:eastAsia="仿宋_GB2312" w:cs="宋体"/>
                <w:kern w:val="0"/>
              </w:rPr>
            </w:pPr>
          </w:p>
        </w:tc>
        <w:tc>
          <w:tcPr>
            <w:tcW w:w="1423" w:type="dxa"/>
            <w:gridSpan w:val="4"/>
            <w:tcBorders>
              <w:top w:val="single" w:color="000000" w:sz="4" w:space="0"/>
              <w:left w:val="single" w:color="000000" w:sz="4" w:space="0"/>
              <w:bottom w:val="single" w:color="000000" w:sz="4" w:space="0"/>
              <w:right w:val="single" w:color="000000" w:sz="4" w:space="0"/>
            </w:tcBorders>
            <w:vAlign w:val="center"/>
          </w:tcPr>
          <w:p w14:paraId="2F63894A">
            <w:pPr>
              <w:widowControl/>
              <w:snapToGrid w:val="0"/>
              <w:jc w:val="center"/>
              <w:rPr>
                <w:rFonts w:ascii="仿宋_GB2312" w:hAnsi="仿宋_GB2312" w:eastAsia="仿宋_GB2312" w:cs="宋体"/>
                <w:kern w:val="0"/>
              </w:rPr>
            </w:pPr>
          </w:p>
        </w:tc>
        <w:tc>
          <w:tcPr>
            <w:tcW w:w="27" w:type="dxa"/>
            <w:tcMar>
              <w:left w:w="0" w:type="dxa"/>
              <w:right w:w="0" w:type="dxa"/>
            </w:tcMar>
          </w:tcPr>
          <w:p w14:paraId="698B1075">
            <w:pPr>
              <w:snapToGrid w:val="0"/>
              <w:rPr>
                <w:rFonts w:ascii="仿宋_GB2312" w:hAnsi="仿宋_GB2312" w:eastAsia="仿宋_GB2312" w:cs="宋体"/>
                <w:kern w:val="0"/>
              </w:rPr>
            </w:pPr>
          </w:p>
        </w:tc>
      </w:tr>
      <w:tr w14:paraId="4BC429DF">
        <w:trPr>
          <w:trHeight w:val="312" w:hRule="atLeast"/>
          <w:jc w:val="center"/>
        </w:trPr>
        <w:tc>
          <w:tcPr>
            <w:tcW w:w="8445" w:type="dxa"/>
            <w:gridSpan w:val="18"/>
            <w:tcBorders>
              <w:top w:val="single" w:color="000000" w:sz="4" w:space="0"/>
              <w:left w:val="single" w:color="000000" w:sz="4" w:space="0"/>
              <w:bottom w:val="single" w:color="000000" w:sz="4" w:space="0"/>
              <w:right w:val="single" w:color="000000" w:sz="4" w:space="0"/>
            </w:tcBorders>
            <w:vAlign w:val="center"/>
          </w:tcPr>
          <w:p w14:paraId="22CB6BED">
            <w:pPr>
              <w:widowControl/>
              <w:jc w:val="center"/>
              <w:rPr>
                <w:rFonts w:ascii="仿宋_GB2312" w:hAnsi="仿宋_GB2312" w:eastAsia="仿宋_GB2312" w:cs="宋体"/>
                <w:kern w:val="0"/>
              </w:rPr>
            </w:pPr>
            <w:r>
              <w:rPr>
                <w:rFonts w:ascii="仿宋_GB2312" w:hAnsi="仿宋_GB2312" w:eastAsia="仿宋_GB2312" w:cs="宋体"/>
                <w:kern w:val="0"/>
              </w:rPr>
              <w:t>九、著作成就</w:t>
            </w:r>
          </w:p>
        </w:tc>
        <w:tc>
          <w:tcPr>
            <w:tcW w:w="27" w:type="dxa"/>
            <w:tcMar>
              <w:left w:w="0" w:type="dxa"/>
              <w:right w:w="0" w:type="dxa"/>
            </w:tcMar>
          </w:tcPr>
          <w:p w14:paraId="3FDCEFE4">
            <w:pPr>
              <w:snapToGrid w:val="0"/>
              <w:rPr>
                <w:rFonts w:ascii="仿宋_GB2312" w:hAnsi="仿宋_GB2312" w:eastAsia="仿宋_GB2312" w:cs="宋体"/>
                <w:kern w:val="0"/>
              </w:rPr>
            </w:pPr>
          </w:p>
        </w:tc>
      </w:tr>
      <w:tr w14:paraId="7C05C3F0">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529B1978">
            <w:pPr>
              <w:widowControl/>
              <w:jc w:val="center"/>
              <w:rPr>
                <w:rFonts w:ascii="仿宋_GB2312" w:hAnsi="仿宋_GB2312" w:eastAsia="仿宋_GB2312" w:cs="宋体"/>
                <w:kern w:val="0"/>
              </w:rPr>
            </w:pPr>
            <w:r>
              <w:rPr>
                <w:rFonts w:ascii="仿宋_GB2312" w:hAnsi="仿宋_GB2312" w:eastAsia="仿宋_GB2312" w:cs="宋体"/>
                <w:kern w:val="0"/>
              </w:rPr>
              <w:t>著作成就名称</w:t>
            </w: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2AA513CD">
            <w:pPr>
              <w:widowControl/>
              <w:jc w:val="center"/>
              <w:rPr>
                <w:rFonts w:ascii="仿宋_GB2312" w:hAnsi="仿宋_GB2312" w:eastAsia="仿宋_GB2312" w:cs="宋体"/>
                <w:kern w:val="0"/>
              </w:rPr>
            </w:pPr>
            <w:r>
              <w:rPr>
                <w:rFonts w:ascii="仿宋_GB2312" w:hAnsi="仿宋_GB2312" w:eastAsia="仿宋_GB2312" w:cs="宋体"/>
                <w:kern w:val="0"/>
              </w:rPr>
              <w:t>认可、发表或出版单位</w:t>
            </w:r>
          </w:p>
        </w:tc>
        <w:tc>
          <w:tcPr>
            <w:tcW w:w="3117" w:type="dxa"/>
            <w:gridSpan w:val="10"/>
            <w:tcBorders>
              <w:top w:val="single" w:color="000000" w:sz="4" w:space="0"/>
              <w:left w:val="single" w:color="000000" w:sz="4" w:space="0"/>
              <w:bottom w:val="single" w:color="000000" w:sz="4" w:space="0"/>
              <w:right w:val="single" w:color="000000" w:sz="4" w:space="0"/>
            </w:tcBorders>
            <w:vAlign w:val="center"/>
          </w:tcPr>
          <w:p w14:paraId="54EA28E3">
            <w:pPr>
              <w:widowControl/>
              <w:jc w:val="center"/>
              <w:rPr>
                <w:rFonts w:ascii="仿宋_GB2312" w:hAnsi="仿宋_GB2312" w:eastAsia="仿宋_GB2312" w:cs="宋体"/>
                <w:kern w:val="0"/>
              </w:rPr>
            </w:pPr>
            <w:r>
              <w:rPr>
                <w:rFonts w:ascii="仿宋_GB2312" w:hAnsi="仿宋_GB2312" w:eastAsia="仿宋_GB2312" w:cs="宋体"/>
                <w:kern w:val="0"/>
              </w:rPr>
              <w:t>取得、发表或出版时间</w:t>
            </w:r>
          </w:p>
        </w:tc>
        <w:tc>
          <w:tcPr>
            <w:tcW w:w="27" w:type="dxa"/>
            <w:tcMar>
              <w:left w:w="0" w:type="dxa"/>
              <w:right w:w="0" w:type="dxa"/>
            </w:tcMar>
          </w:tcPr>
          <w:p w14:paraId="013BFF37">
            <w:pPr>
              <w:snapToGrid w:val="0"/>
              <w:rPr>
                <w:rFonts w:ascii="仿宋_GB2312" w:hAnsi="仿宋_GB2312" w:eastAsia="仿宋_GB2312" w:cs="宋体"/>
                <w:kern w:val="0"/>
              </w:rPr>
            </w:pPr>
          </w:p>
        </w:tc>
      </w:tr>
      <w:tr w14:paraId="413C9D0E">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2E640F18">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73D86E29">
            <w:pPr>
              <w:widowControl/>
              <w:snapToGrid w:val="0"/>
              <w:jc w:val="center"/>
              <w:rPr>
                <w:rFonts w:ascii="仿宋_GB2312" w:hAnsi="仿宋_GB2312" w:eastAsia="仿宋_GB2312" w:cs="宋体"/>
                <w:kern w:val="0"/>
              </w:rPr>
            </w:pPr>
          </w:p>
        </w:tc>
        <w:tc>
          <w:tcPr>
            <w:tcW w:w="3117" w:type="dxa"/>
            <w:gridSpan w:val="10"/>
            <w:tcBorders>
              <w:top w:val="single" w:color="000000" w:sz="4" w:space="0"/>
              <w:left w:val="single" w:color="000000" w:sz="4" w:space="0"/>
              <w:bottom w:val="single" w:color="000000" w:sz="4" w:space="0"/>
              <w:right w:val="single" w:color="000000" w:sz="4" w:space="0"/>
            </w:tcBorders>
            <w:vAlign w:val="center"/>
          </w:tcPr>
          <w:p w14:paraId="12393E4F">
            <w:pPr>
              <w:widowControl/>
              <w:snapToGrid w:val="0"/>
              <w:jc w:val="center"/>
              <w:rPr>
                <w:rFonts w:ascii="仿宋_GB2312" w:hAnsi="仿宋_GB2312" w:eastAsia="仿宋_GB2312" w:cs="宋体"/>
                <w:kern w:val="0"/>
              </w:rPr>
            </w:pPr>
          </w:p>
        </w:tc>
        <w:tc>
          <w:tcPr>
            <w:tcW w:w="27" w:type="dxa"/>
            <w:tcMar>
              <w:left w:w="0" w:type="dxa"/>
              <w:right w:w="0" w:type="dxa"/>
            </w:tcMar>
          </w:tcPr>
          <w:p w14:paraId="0ACA00FB">
            <w:pPr>
              <w:snapToGrid w:val="0"/>
              <w:rPr>
                <w:rFonts w:ascii="仿宋_GB2312" w:hAnsi="仿宋_GB2312" w:eastAsia="仿宋_GB2312" w:cs="宋体"/>
                <w:kern w:val="0"/>
              </w:rPr>
            </w:pPr>
          </w:p>
        </w:tc>
      </w:tr>
      <w:tr w14:paraId="577189C3">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08F2F66B">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2A30E909">
            <w:pPr>
              <w:widowControl/>
              <w:snapToGrid w:val="0"/>
              <w:jc w:val="center"/>
              <w:rPr>
                <w:rFonts w:ascii="仿宋_GB2312" w:hAnsi="仿宋_GB2312" w:eastAsia="仿宋_GB2312" w:cs="宋体"/>
                <w:kern w:val="0"/>
              </w:rPr>
            </w:pPr>
          </w:p>
        </w:tc>
        <w:tc>
          <w:tcPr>
            <w:tcW w:w="3117" w:type="dxa"/>
            <w:gridSpan w:val="10"/>
            <w:tcBorders>
              <w:top w:val="single" w:color="000000" w:sz="4" w:space="0"/>
              <w:left w:val="single" w:color="000000" w:sz="4" w:space="0"/>
              <w:bottom w:val="single" w:color="000000" w:sz="4" w:space="0"/>
              <w:right w:val="single" w:color="000000" w:sz="4" w:space="0"/>
            </w:tcBorders>
            <w:vAlign w:val="center"/>
          </w:tcPr>
          <w:p w14:paraId="7253DD37">
            <w:pPr>
              <w:widowControl/>
              <w:snapToGrid w:val="0"/>
              <w:jc w:val="center"/>
              <w:rPr>
                <w:rFonts w:ascii="仿宋_GB2312" w:hAnsi="仿宋_GB2312" w:eastAsia="仿宋_GB2312" w:cs="宋体"/>
                <w:kern w:val="0"/>
              </w:rPr>
            </w:pPr>
          </w:p>
        </w:tc>
        <w:tc>
          <w:tcPr>
            <w:tcW w:w="27" w:type="dxa"/>
            <w:tcMar>
              <w:left w:w="0" w:type="dxa"/>
              <w:right w:w="0" w:type="dxa"/>
            </w:tcMar>
          </w:tcPr>
          <w:p w14:paraId="732E8605">
            <w:pPr>
              <w:snapToGrid w:val="0"/>
              <w:rPr>
                <w:rFonts w:ascii="仿宋_GB2312" w:hAnsi="仿宋_GB2312" w:eastAsia="仿宋_GB2312" w:cs="宋体"/>
                <w:kern w:val="0"/>
              </w:rPr>
            </w:pPr>
          </w:p>
        </w:tc>
      </w:tr>
      <w:tr w14:paraId="5314C37B">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7B5E29F6">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262302E1">
            <w:pPr>
              <w:widowControl/>
              <w:snapToGrid w:val="0"/>
              <w:jc w:val="center"/>
              <w:rPr>
                <w:rFonts w:ascii="仿宋_GB2312" w:hAnsi="仿宋_GB2312" w:eastAsia="仿宋_GB2312" w:cs="宋体"/>
                <w:kern w:val="0"/>
              </w:rPr>
            </w:pPr>
          </w:p>
        </w:tc>
        <w:tc>
          <w:tcPr>
            <w:tcW w:w="3117" w:type="dxa"/>
            <w:gridSpan w:val="10"/>
            <w:tcBorders>
              <w:top w:val="single" w:color="000000" w:sz="4" w:space="0"/>
              <w:left w:val="single" w:color="000000" w:sz="4" w:space="0"/>
              <w:bottom w:val="single" w:color="000000" w:sz="4" w:space="0"/>
              <w:right w:val="single" w:color="000000" w:sz="4" w:space="0"/>
            </w:tcBorders>
            <w:vAlign w:val="center"/>
          </w:tcPr>
          <w:p w14:paraId="0797F744">
            <w:pPr>
              <w:widowControl/>
              <w:snapToGrid w:val="0"/>
              <w:jc w:val="center"/>
              <w:rPr>
                <w:rFonts w:ascii="仿宋_GB2312" w:hAnsi="仿宋_GB2312" w:eastAsia="仿宋_GB2312" w:cs="宋体"/>
                <w:kern w:val="0"/>
              </w:rPr>
            </w:pPr>
          </w:p>
        </w:tc>
        <w:tc>
          <w:tcPr>
            <w:tcW w:w="27" w:type="dxa"/>
            <w:tcMar>
              <w:left w:w="0" w:type="dxa"/>
              <w:right w:w="0" w:type="dxa"/>
            </w:tcMar>
          </w:tcPr>
          <w:p w14:paraId="2DAE6D9C">
            <w:pPr>
              <w:snapToGrid w:val="0"/>
              <w:rPr>
                <w:rFonts w:ascii="仿宋_GB2312" w:hAnsi="仿宋_GB2312" w:eastAsia="仿宋_GB2312" w:cs="宋体"/>
                <w:kern w:val="0"/>
              </w:rPr>
            </w:pPr>
          </w:p>
        </w:tc>
      </w:tr>
      <w:tr w14:paraId="26A0BFD5">
        <w:trPr>
          <w:trHeight w:val="312" w:hRule="atLeast"/>
          <w:jc w:val="center"/>
        </w:trPr>
        <w:tc>
          <w:tcPr>
            <w:tcW w:w="8445" w:type="dxa"/>
            <w:gridSpan w:val="18"/>
            <w:tcBorders>
              <w:top w:val="single" w:color="000000" w:sz="4" w:space="0"/>
              <w:left w:val="single" w:color="000000" w:sz="4" w:space="0"/>
              <w:bottom w:val="single" w:color="000000" w:sz="4" w:space="0"/>
              <w:right w:val="single" w:color="000000" w:sz="4" w:space="0"/>
            </w:tcBorders>
            <w:vAlign w:val="center"/>
          </w:tcPr>
          <w:p w14:paraId="2270D63E">
            <w:pPr>
              <w:widowControl/>
              <w:jc w:val="center"/>
              <w:rPr>
                <w:rFonts w:ascii="仿宋_GB2312" w:hAnsi="仿宋_GB2312" w:eastAsia="仿宋_GB2312" w:cs="宋体"/>
                <w:kern w:val="0"/>
              </w:rPr>
            </w:pPr>
            <w:r>
              <w:rPr>
                <w:rFonts w:ascii="仿宋_GB2312" w:hAnsi="仿宋_GB2312" w:eastAsia="仿宋_GB2312" w:cs="宋体"/>
                <w:kern w:val="0"/>
              </w:rPr>
              <w:t>十、其他情况</w:t>
            </w:r>
          </w:p>
        </w:tc>
        <w:tc>
          <w:tcPr>
            <w:tcW w:w="27" w:type="dxa"/>
            <w:tcMar>
              <w:left w:w="0" w:type="dxa"/>
              <w:right w:w="0" w:type="dxa"/>
            </w:tcMar>
          </w:tcPr>
          <w:p w14:paraId="1C27C85D">
            <w:pPr>
              <w:snapToGrid w:val="0"/>
              <w:rPr>
                <w:rFonts w:ascii="仿宋_GB2312" w:hAnsi="仿宋_GB2312" w:eastAsia="仿宋_GB2312" w:cs="宋体"/>
                <w:kern w:val="0"/>
              </w:rPr>
            </w:pPr>
          </w:p>
        </w:tc>
      </w:tr>
      <w:tr w14:paraId="480084F9">
        <w:trPr>
          <w:trHeight w:val="634" w:hRule="atLeast"/>
          <w:jc w:val="center"/>
        </w:trPr>
        <w:tc>
          <w:tcPr>
            <w:tcW w:w="8445" w:type="dxa"/>
            <w:gridSpan w:val="18"/>
            <w:tcBorders>
              <w:top w:val="single" w:color="000000" w:sz="4" w:space="0"/>
              <w:left w:val="single" w:color="000000" w:sz="4" w:space="0"/>
              <w:bottom w:val="single" w:color="000000" w:sz="4" w:space="0"/>
              <w:right w:val="single" w:color="000000" w:sz="4" w:space="0"/>
            </w:tcBorders>
            <w:vAlign w:val="center"/>
          </w:tcPr>
          <w:p w14:paraId="2C009A8A">
            <w:pPr>
              <w:widowControl/>
              <w:rPr>
                <w:rFonts w:ascii="仿宋_GB2312" w:hAnsi="仿宋_GB2312" w:eastAsia="仿宋_GB2312" w:cs="宋体"/>
                <w:kern w:val="0"/>
              </w:rPr>
            </w:pPr>
            <w:r>
              <w:rPr>
                <w:rFonts w:ascii="仿宋_GB2312" w:hAnsi="仿宋_GB2312" w:eastAsia="仿宋_GB2312" w:cs="宋体"/>
                <w:kern w:val="0"/>
              </w:rPr>
              <w:t>1、</w:t>
            </w:r>
            <w:r>
              <w:rPr>
                <w:rFonts w:ascii="仿宋_GB2312" w:hAnsi="仿宋_GB2312" w:eastAsia="仿宋_GB2312" w:cs="宋体"/>
                <w:kern w:val="0"/>
              </w:rPr>
              <w:tab/>
            </w:r>
            <w:r>
              <w:rPr>
                <w:rFonts w:ascii="仿宋_GB2312" w:hAnsi="仿宋_GB2312" w:eastAsia="仿宋_GB2312" w:cs="宋体"/>
                <w:kern w:val="0"/>
              </w:rPr>
              <w:t>本次担任该上市公司独立董事获得的年度报酬总额：</w:t>
            </w:r>
            <w:r>
              <w:rPr>
                <w:rFonts w:ascii="仿宋;宋体" w:hAnsi="仿宋;宋体" w:eastAsia="仿宋;宋体" w:cs="仿宋;宋体"/>
                <w:color w:val="000000"/>
                <w:kern w:val="2"/>
                <w:sz w:val="32"/>
                <w:szCs w:val="32"/>
                <w:u w:val="single"/>
              </w:rPr>
              <w:t xml:space="preserve">       </w:t>
            </w:r>
          </w:p>
          <w:p w14:paraId="4D35F292">
            <w:pPr>
              <w:widowControl/>
              <w:rPr>
                <w:rFonts w:ascii="仿宋_GB2312" w:hAnsi="仿宋_GB2312" w:eastAsia="仿宋_GB2312" w:cs="宋体"/>
                <w:kern w:val="0"/>
              </w:rPr>
            </w:pPr>
            <w:r>
              <w:rPr>
                <w:rFonts w:ascii="仿宋_GB2312" w:hAnsi="仿宋_GB2312" w:eastAsia="仿宋_GB2312" w:cs="宋体"/>
                <w:kern w:val="0"/>
              </w:rPr>
              <w:t>2、</w:t>
            </w:r>
            <w:r>
              <w:rPr>
                <w:rFonts w:ascii="仿宋_GB2312" w:hAnsi="仿宋_GB2312" w:eastAsia="仿宋_GB2312" w:cs="宋体"/>
                <w:kern w:val="0"/>
              </w:rPr>
              <w:tab/>
            </w:r>
            <w:r>
              <w:rPr>
                <w:rFonts w:ascii="仿宋_GB2312" w:hAnsi="仿宋_GB2312" w:eastAsia="仿宋_GB2312" w:cs="宋体"/>
                <w:kern w:val="0"/>
              </w:rPr>
              <w:t>本人是否拥有担任董事公司股票及其衍生品种及持有数量（如是）：</w:t>
            </w:r>
            <w:r>
              <w:rPr>
                <w:rFonts w:ascii="仿宋;宋体" w:hAnsi="仿宋;宋体" w:eastAsia="仿宋;宋体" w:cs="仿宋;宋体"/>
                <w:color w:val="000000"/>
                <w:kern w:val="2"/>
                <w:sz w:val="32"/>
                <w:szCs w:val="32"/>
                <w:u w:val="single"/>
              </w:rPr>
              <w:t xml:space="preserve">       </w:t>
            </w:r>
          </w:p>
          <w:p w14:paraId="602F2DF8">
            <w:pPr>
              <w:widowControl/>
              <w:rPr>
                <w:rFonts w:ascii="仿宋_GB2312" w:hAnsi="仿宋_GB2312" w:eastAsia="仿宋_GB2312" w:cs="宋体"/>
                <w:kern w:val="0"/>
              </w:rPr>
            </w:pPr>
            <w:r>
              <w:rPr>
                <w:rFonts w:ascii="仿宋_GB2312" w:hAnsi="仿宋_GB2312" w:eastAsia="仿宋_GB2312" w:cs="宋体"/>
                <w:kern w:val="0"/>
              </w:rPr>
              <w:t>3、</w:t>
            </w:r>
            <w:r>
              <w:rPr>
                <w:rFonts w:ascii="仿宋_GB2312" w:hAnsi="仿宋_GB2312" w:eastAsia="仿宋_GB2312" w:cs="宋体"/>
                <w:kern w:val="0"/>
              </w:rPr>
              <w:tab/>
            </w:r>
            <w:r>
              <w:rPr>
                <w:rFonts w:ascii="仿宋_GB2312" w:hAnsi="仿宋_GB2312" w:eastAsia="仿宋_GB2312" w:cs="宋体"/>
                <w:kern w:val="0"/>
              </w:rPr>
              <w:t>本人在该上市公司及其附属公司中，过去或现在是否具有除前述1、2条以外的任何利益：</w:t>
            </w:r>
            <w:r>
              <w:rPr>
                <w:rFonts w:ascii="仿宋;宋体" w:hAnsi="仿宋;宋体" w:eastAsia="仿宋;宋体" w:cs="仿宋;宋体"/>
                <w:color w:val="000000"/>
                <w:kern w:val="2"/>
                <w:sz w:val="32"/>
                <w:szCs w:val="32"/>
                <w:u w:val="single"/>
              </w:rPr>
              <w:t xml:space="preserve">       </w:t>
            </w:r>
          </w:p>
          <w:p w14:paraId="74DEAB7A">
            <w:pPr>
              <w:widowControl/>
              <w:rPr>
                <w:rFonts w:ascii="仿宋_GB2312" w:hAnsi="仿宋_GB2312" w:eastAsia="仿宋_GB2312" w:cs="宋体"/>
                <w:kern w:val="0"/>
              </w:rPr>
            </w:pPr>
            <w:r>
              <w:rPr>
                <w:rFonts w:ascii="仿宋_GB2312" w:hAnsi="仿宋_GB2312" w:eastAsia="仿宋_GB2312" w:cs="宋体"/>
                <w:kern w:val="0"/>
              </w:rPr>
              <w:t>4、</w:t>
            </w:r>
            <w:r>
              <w:rPr>
                <w:rFonts w:ascii="仿宋_GB2312" w:hAnsi="仿宋_GB2312" w:eastAsia="仿宋_GB2312" w:cs="宋体"/>
                <w:kern w:val="0"/>
              </w:rPr>
              <w:tab/>
            </w:r>
            <w:r>
              <w:rPr>
                <w:rFonts w:ascii="仿宋_GB2312" w:hAnsi="仿宋_GB2312" w:eastAsia="仿宋_GB2312" w:cs="宋体"/>
                <w:kern w:val="0"/>
              </w:rPr>
              <w:t>本人担任该上市公司的独立董事的提名人为：</w:t>
            </w:r>
            <w:r>
              <w:rPr>
                <w:rFonts w:ascii="仿宋;宋体" w:hAnsi="仿宋;宋体" w:eastAsia="仿宋;宋体" w:cs="仿宋;宋体"/>
                <w:color w:val="000000"/>
                <w:kern w:val="2"/>
                <w:sz w:val="32"/>
                <w:szCs w:val="32"/>
                <w:u w:val="single"/>
              </w:rPr>
              <w:t xml:space="preserve">       </w:t>
            </w:r>
          </w:p>
          <w:p w14:paraId="6EB9AFAF">
            <w:pPr>
              <w:widowControl/>
              <w:rPr>
                <w:rFonts w:ascii="仿宋_GB2312" w:hAnsi="仿宋_GB2312" w:eastAsia="仿宋_GB2312" w:cs="宋体"/>
                <w:kern w:val="0"/>
              </w:rPr>
            </w:pPr>
            <w:r>
              <w:rPr>
                <w:rFonts w:ascii="仿宋_GB2312" w:hAnsi="仿宋_GB2312" w:eastAsia="仿宋_GB2312" w:cs="宋体"/>
                <w:kern w:val="0"/>
              </w:rPr>
              <w:t>5、本人其他可能有助于或者不利于本次独立董事任职的情况：</w:t>
            </w:r>
            <w:r>
              <w:rPr>
                <w:rFonts w:ascii="仿宋;宋体" w:hAnsi="仿宋;宋体" w:eastAsia="仿宋;宋体" w:cs="仿宋;宋体"/>
                <w:color w:val="000000"/>
                <w:kern w:val="2"/>
                <w:sz w:val="32"/>
                <w:szCs w:val="32"/>
                <w:u w:val="single"/>
              </w:rPr>
              <w:t xml:space="preserve">       </w:t>
            </w:r>
          </w:p>
        </w:tc>
        <w:tc>
          <w:tcPr>
            <w:tcW w:w="27" w:type="dxa"/>
            <w:tcMar>
              <w:left w:w="0" w:type="dxa"/>
              <w:right w:w="0" w:type="dxa"/>
            </w:tcMar>
          </w:tcPr>
          <w:p w14:paraId="5112F5FD">
            <w:pPr>
              <w:snapToGrid w:val="0"/>
              <w:rPr>
                <w:rFonts w:ascii="仿宋_GB2312" w:hAnsi="仿宋_GB2312" w:eastAsia="仿宋_GB2312" w:cs="宋体"/>
                <w:kern w:val="0"/>
              </w:rPr>
            </w:pPr>
          </w:p>
        </w:tc>
      </w:tr>
      <w:tr w14:paraId="7E3E10E9">
        <w:tblPrEx>
          <w:tblCellMar>
            <w:top w:w="0" w:type="dxa"/>
            <w:left w:w="108" w:type="dxa"/>
            <w:bottom w:w="0" w:type="dxa"/>
            <w:right w:w="108" w:type="dxa"/>
          </w:tblCellMar>
        </w:tblPrEx>
        <w:trPr>
          <w:trHeight w:val="311" w:hRule="atLeast"/>
          <w:jc w:val="center"/>
        </w:trPr>
        <w:tc>
          <w:tcPr>
            <w:tcW w:w="8445" w:type="dxa"/>
            <w:gridSpan w:val="18"/>
            <w:tcBorders>
              <w:top w:val="single" w:color="000000" w:sz="4" w:space="0"/>
              <w:left w:val="single" w:color="000000" w:sz="4" w:space="0"/>
              <w:bottom w:val="single" w:color="000000" w:sz="4" w:space="0"/>
              <w:right w:val="single" w:color="000000" w:sz="4" w:space="0"/>
            </w:tcBorders>
            <w:vAlign w:val="center"/>
          </w:tcPr>
          <w:p w14:paraId="13A65AFB">
            <w:pPr>
              <w:widowControl/>
              <w:jc w:val="center"/>
              <w:rPr>
                <w:rFonts w:ascii="仿宋_GB2312" w:hAnsi="仿宋_GB2312" w:eastAsia="仿宋_GB2312" w:cs="宋体"/>
                <w:kern w:val="0"/>
              </w:rPr>
            </w:pPr>
            <w:r>
              <w:rPr>
                <w:rFonts w:ascii="仿宋_GB2312" w:hAnsi="仿宋_GB2312" w:eastAsia="仿宋_GB2312" w:cs="宋体"/>
                <w:kern w:val="0"/>
              </w:rPr>
              <w:t>十一、承诺</w:t>
            </w:r>
          </w:p>
        </w:tc>
        <w:tc>
          <w:tcPr>
            <w:tcW w:w="27" w:type="dxa"/>
            <w:tcMar>
              <w:left w:w="0" w:type="dxa"/>
              <w:right w:w="0" w:type="dxa"/>
            </w:tcMar>
          </w:tcPr>
          <w:p w14:paraId="71E8F6AF">
            <w:pPr>
              <w:snapToGrid w:val="0"/>
              <w:rPr>
                <w:rFonts w:ascii="仿宋_GB2312" w:hAnsi="仿宋_GB2312" w:eastAsia="仿宋_GB2312" w:cs="宋体"/>
                <w:kern w:val="0"/>
              </w:rPr>
            </w:pPr>
          </w:p>
        </w:tc>
      </w:tr>
      <w:tr w14:paraId="53B3041C">
        <w:trPr>
          <w:trHeight w:val="634" w:hRule="atLeast"/>
          <w:jc w:val="center"/>
        </w:trPr>
        <w:tc>
          <w:tcPr>
            <w:tcW w:w="8445" w:type="dxa"/>
            <w:gridSpan w:val="18"/>
            <w:tcBorders>
              <w:top w:val="single" w:color="000000" w:sz="4" w:space="0"/>
              <w:left w:val="single" w:color="000000" w:sz="4" w:space="0"/>
              <w:bottom w:val="single" w:color="000000" w:sz="4" w:space="0"/>
              <w:right w:val="single" w:color="000000" w:sz="4" w:space="0"/>
            </w:tcBorders>
            <w:vAlign w:val="center"/>
          </w:tcPr>
          <w:p w14:paraId="2DCD60F0">
            <w:pPr>
              <w:widowControl/>
              <w:ind w:right="0" w:firstLine="480"/>
              <w:rPr>
                <w:rFonts w:ascii="仿宋_GB2312" w:hAnsi="仿宋_GB2312" w:eastAsia="仿宋_GB2312" w:cs="宋体"/>
                <w:kern w:val="0"/>
              </w:rPr>
            </w:pPr>
            <w:r>
              <w:rPr>
                <w:rFonts w:ascii="仿宋_GB2312" w:hAnsi="仿宋_GB2312" w:eastAsia="仿宋_GB2312" w:cs="宋体"/>
                <w:kern w:val="0"/>
              </w:rPr>
              <w:t>本人（请以正楷体填写姓名）郑重声明，本履历表内容是真实、完整和准确的，保证不存在任何遗漏、虚假陈述或误导成份。本人完全明白作出虚假声明可能导致的后果。上海证券交易所可依据本履历表所提供的资料，确定本人是否适宜担任该上市公司的独立董事。</w:t>
            </w:r>
          </w:p>
          <w:p w14:paraId="260520CB">
            <w:pPr>
              <w:widowControl/>
              <w:ind w:right="0" w:firstLine="480"/>
              <w:rPr>
                <w:rFonts w:ascii="仿宋_GB2312" w:hAnsi="仿宋_GB2312" w:eastAsia="仿宋_GB2312" w:cs="宋体"/>
                <w:kern w:val="0"/>
              </w:rPr>
            </w:pPr>
            <w:r>
              <w:rPr>
                <w:rFonts w:ascii="仿宋_GB2312" w:hAnsi="仿宋_GB2312" w:eastAsia="仿宋_GB2312" w:cs="仿宋_GB2312"/>
                <w:kern w:val="0"/>
              </w:rPr>
              <w:t xml:space="preserve">                                          </w:t>
            </w:r>
            <w:r>
              <w:rPr>
                <w:rFonts w:ascii="仿宋_GB2312" w:hAnsi="仿宋_GB2312" w:eastAsia="仿宋_GB2312" w:cs="宋体"/>
                <w:kern w:val="0"/>
              </w:rPr>
              <w:t>签字：</w:t>
            </w:r>
          </w:p>
          <w:p w14:paraId="6F7D0666">
            <w:pPr>
              <w:widowControl/>
              <w:ind w:right="0" w:firstLine="480"/>
              <w:rPr>
                <w:rFonts w:ascii="仿宋_GB2312" w:hAnsi="仿宋_GB2312" w:eastAsia="仿宋_GB2312" w:cs="宋体"/>
                <w:kern w:val="0"/>
              </w:rPr>
            </w:pPr>
            <w:r>
              <w:rPr>
                <w:rFonts w:ascii="仿宋_GB2312" w:hAnsi="仿宋_GB2312" w:eastAsia="仿宋_GB2312" w:cs="仿宋_GB2312"/>
                <w:kern w:val="0"/>
              </w:rPr>
              <w:t xml:space="preserve">                                          </w:t>
            </w:r>
            <w:r>
              <w:rPr>
                <w:rFonts w:ascii="仿宋_GB2312" w:hAnsi="仿宋_GB2312" w:eastAsia="仿宋_GB2312" w:cs="宋体"/>
                <w:kern w:val="0"/>
              </w:rPr>
              <w:t>时间：</w:t>
            </w:r>
          </w:p>
        </w:tc>
        <w:tc>
          <w:tcPr>
            <w:tcW w:w="27" w:type="dxa"/>
            <w:tcMar>
              <w:left w:w="0" w:type="dxa"/>
              <w:right w:w="0" w:type="dxa"/>
            </w:tcMar>
          </w:tcPr>
          <w:p w14:paraId="6B5AB6B7">
            <w:pPr>
              <w:snapToGrid w:val="0"/>
              <w:rPr>
                <w:rFonts w:ascii="仿宋_GB2312" w:hAnsi="仿宋_GB2312" w:eastAsia="仿宋_GB2312" w:cs="宋体"/>
                <w:kern w:val="0"/>
              </w:rPr>
            </w:pPr>
          </w:p>
        </w:tc>
      </w:tr>
    </w:tbl>
    <w:p w14:paraId="48D66F5F">
      <w:pPr>
        <w:jc w:val="center"/>
        <w:rPr>
          <w:rFonts w:ascii="仿宋_GB2312" w:hAnsi="仿宋_GB2312" w:eastAsia="仿宋_GB2312"/>
          <w:b/>
          <w:sz w:val="36"/>
          <w:szCs w:val="36"/>
        </w:rPr>
      </w:pPr>
      <w:r>
        <w:rPr>
          <w:rFonts w:ascii="仿宋_GB2312" w:hAnsi="仿宋_GB2312" w:eastAsia="仿宋_GB2312"/>
          <w:b/>
          <w:sz w:val="36"/>
          <w:szCs w:val="36"/>
        </w:rPr>
        <w:t>《上市公司独立董事候选人履历表》填写说明</w:t>
      </w:r>
    </w:p>
    <w:p w14:paraId="64C2CF8E">
      <w:pPr>
        <w:ind w:right="0" w:firstLine="555"/>
        <w:jc w:val="center"/>
        <w:rPr>
          <w:rFonts w:ascii="仿宋_GB2312" w:hAnsi="仿宋_GB2312" w:eastAsia="仿宋_GB2312"/>
          <w:b/>
          <w:sz w:val="30"/>
          <w:szCs w:val="30"/>
        </w:rPr>
      </w:pPr>
    </w:p>
    <w:p w14:paraId="63C8DA13">
      <w:pPr>
        <w:ind w:right="0" w:firstLine="550"/>
        <w:rPr>
          <w:rFonts w:ascii="仿宋_GB2312" w:hAnsi="仿宋_GB2312" w:eastAsia="仿宋_GB2312"/>
          <w:sz w:val="30"/>
          <w:szCs w:val="30"/>
        </w:rPr>
      </w:pPr>
      <w:r>
        <w:rPr>
          <w:rFonts w:ascii="仿宋_GB2312" w:hAnsi="仿宋_GB2312" w:eastAsia="仿宋_GB2312"/>
          <w:sz w:val="30"/>
          <w:szCs w:val="30"/>
        </w:rPr>
        <w:t>独立董事应认真参阅本填写说明填写履历表各项内容，保证填写内容真实、准确、完整，如有不适用或者不存在的情况，请填写“不适用”或者“无”。</w:t>
      </w:r>
    </w:p>
    <w:p w14:paraId="576A923D">
      <w:pPr>
        <w:ind w:right="0" w:firstLine="556"/>
        <w:rPr>
          <w:rFonts w:ascii="仿宋_GB2312" w:hAnsi="仿宋_GB2312" w:eastAsia="仿宋_GB2312"/>
          <w:b/>
          <w:sz w:val="30"/>
          <w:szCs w:val="30"/>
        </w:rPr>
      </w:pPr>
      <w:r>
        <w:rPr>
          <w:rFonts w:ascii="仿宋_GB2312" w:hAnsi="仿宋_GB2312" w:eastAsia="仿宋_GB2312"/>
          <w:b/>
          <w:sz w:val="30"/>
          <w:szCs w:val="30"/>
        </w:rPr>
        <w:t>一、基本简况</w:t>
      </w:r>
    </w:p>
    <w:p w14:paraId="6E9E5149">
      <w:pPr>
        <w:ind w:right="0" w:firstLine="556"/>
        <w:rPr>
          <w:rFonts w:ascii="仿宋_GB2312" w:hAnsi="仿宋_GB2312" w:eastAsia="仿宋_GB2312"/>
          <w:sz w:val="30"/>
          <w:szCs w:val="30"/>
        </w:rPr>
      </w:pPr>
      <w:r>
        <w:rPr>
          <w:rFonts w:ascii="仿宋_GB2312" w:hAnsi="仿宋_GB2312" w:eastAsia="仿宋_GB2312"/>
          <w:sz w:val="30"/>
          <w:szCs w:val="30"/>
        </w:rPr>
        <w:t>1、“是否会计专业人士”项：如是，需注明属于“会计学专业副教授（教授）、会计学博士、高级会计师、注册会计师”中的具体项目，可填写多项。</w:t>
      </w:r>
    </w:p>
    <w:p w14:paraId="7327D7F2">
      <w:pPr>
        <w:ind w:right="0" w:firstLine="556"/>
        <w:rPr>
          <w:rFonts w:ascii="仿宋_GB2312" w:hAnsi="仿宋_GB2312" w:eastAsia="仿宋_GB2312"/>
          <w:sz w:val="30"/>
          <w:szCs w:val="30"/>
        </w:rPr>
      </w:pPr>
      <w:r>
        <w:rPr>
          <w:rFonts w:ascii="仿宋_GB2312" w:hAnsi="仿宋_GB2312" w:eastAsia="仿宋_GB2312"/>
          <w:sz w:val="30"/>
          <w:szCs w:val="30"/>
        </w:rPr>
        <w:t>2、“</w:t>
      </w:r>
      <w:r>
        <w:rPr>
          <w:rFonts w:ascii="仿宋_GB2312" w:hAnsi="仿宋_GB2312" w:eastAsia="仿宋_GB2312" w:cs="宋体"/>
          <w:kern w:val="0"/>
          <w:sz w:val="30"/>
          <w:szCs w:val="30"/>
        </w:rPr>
        <w:t>本人专长”项：请说明有助于本人履行独立董事职务的专长情况，如没有填“无”，如有应注明具体专长，如“法律专业人士，行业专家”等，有几项注明几项。</w:t>
      </w:r>
    </w:p>
    <w:p w14:paraId="0972F686">
      <w:pPr>
        <w:ind w:right="0" w:firstLine="556"/>
        <w:rPr>
          <w:rFonts w:ascii="仿宋_GB2312" w:hAnsi="仿宋_GB2312" w:eastAsia="仿宋_GB2312"/>
          <w:sz w:val="30"/>
          <w:szCs w:val="30"/>
        </w:rPr>
      </w:pPr>
      <w:r>
        <w:rPr>
          <w:rFonts w:ascii="仿宋_GB2312" w:hAnsi="仿宋_GB2312" w:eastAsia="仿宋_GB2312"/>
          <w:sz w:val="30"/>
          <w:szCs w:val="30"/>
        </w:rPr>
        <w:t>3、“是否曾受处罚”项：如是，填写本人曾受到的各种行政处罚、刑事处罚以及证券交易所纪律处分等，如无填“否”，如有应注明具体情况，如XXXX年X月因犯罪被剥夺政治权利，XXXX年X月被中国证监会采取证券市场禁入措施、期限为X年，XXXX年X月被XX证券交易所公开认定不适合担任上市公司董事/高级管理人员等，期限为X年，XXXX年X月因证券期货违法犯罪受到中国证监会行政处罚/司法机关刑事处罚，XXXX年X月被XX证券交易所公开谴责，XXXX年X月被XX证券交易所通报批评，XXXX年X月被XXX认定为失信惩戒对象等。</w:t>
      </w:r>
    </w:p>
    <w:p w14:paraId="024F8BBF">
      <w:pPr>
        <w:ind w:right="0" w:firstLine="556"/>
        <w:rPr>
          <w:rFonts w:ascii="仿宋_GB2312" w:hAnsi="仿宋_GB2312" w:eastAsia="仿宋_GB2312"/>
          <w:sz w:val="30"/>
          <w:szCs w:val="30"/>
        </w:rPr>
      </w:pPr>
      <w:r>
        <w:rPr>
          <w:rFonts w:ascii="仿宋_GB2312" w:hAnsi="仿宋_GB2312" w:eastAsia="仿宋_GB2312"/>
          <w:sz w:val="30"/>
          <w:szCs w:val="30"/>
        </w:rPr>
        <w:t>4、“是否具有其它国家或者地区居留权”项：如是，需注明具有居留权的所在国或者地区。</w:t>
      </w:r>
    </w:p>
    <w:p w14:paraId="73A44FEC">
      <w:pPr>
        <w:ind w:right="0" w:firstLine="556"/>
        <w:rPr>
          <w:rFonts w:ascii="仿宋_GB2312" w:hAnsi="仿宋_GB2312" w:eastAsia="仿宋_GB2312"/>
          <w:sz w:val="30"/>
          <w:szCs w:val="30"/>
        </w:rPr>
      </w:pPr>
      <w:r>
        <w:rPr>
          <w:rFonts w:ascii="仿宋_GB2312" w:hAnsi="仿宋_GB2312" w:eastAsia="仿宋_GB2312"/>
          <w:sz w:val="30"/>
          <w:szCs w:val="30"/>
        </w:rPr>
        <w:t>5. “担任独立董事的境内上市公司家数”项：包括本次拟任职独立董事的上市公司。</w:t>
      </w:r>
    </w:p>
    <w:p w14:paraId="423FCCC7">
      <w:pPr>
        <w:ind w:right="0" w:firstLine="556"/>
        <w:rPr>
          <w:rFonts w:ascii="仿宋_GB2312" w:hAnsi="仿宋_GB2312" w:eastAsia="仿宋_GB2312"/>
          <w:b/>
          <w:sz w:val="30"/>
          <w:szCs w:val="30"/>
        </w:rPr>
      </w:pPr>
      <w:r>
        <w:rPr>
          <w:rFonts w:ascii="仿宋_GB2312" w:hAnsi="仿宋_GB2312" w:eastAsia="仿宋_GB2312"/>
          <w:b/>
          <w:sz w:val="30"/>
          <w:szCs w:val="30"/>
        </w:rPr>
        <w:t>二、社会关系</w:t>
      </w:r>
    </w:p>
    <w:p w14:paraId="17DDE5B2">
      <w:pPr>
        <w:ind w:right="0" w:firstLine="556"/>
        <w:rPr>
          <w:rFonts w:ascii="仿宋_GB2312" w:hAnsi="仿宋_GB2312" w:eastAsia="仿宋_GB2312"/>
          <w:sz w:val="30"/>
          <w:szCs w:val="30"/>
        </w:rPr>
      </w:pPr>
      <w:r>
        <w:rPr>
          <w:rFonts w:ascii="仿宋_GB2312" w:hAnsi="仿宋_GB2312" w:eastAsia="仿宋_GB2312"/>
          <w:sz w:val="30"/>
          <w:szCs w:val="30"/>
        </w:rPr>
        <w:t>1、“子女”、“兄弟姐妹”项：有多位子女或者多位兄弟姐妹的，可在相应栏目列明序号分别填写。</w:t>
      </w:r>
    </w:p>
    <w:p w14:paraId="7666957F">
      <w:pPr>
        <w:ind w:right="0" w:firstLine="556"/>
        <w:rPr>
          <w:rFonts w:ascii="仿宋_GB2312" w:hAnsi="仿宋_GB2312" w:eastAsia="仿宋_GB2312"/>
          <w:sz w:val="30"/>
          <w:szCs w:val="30"/>
        </w:rPr>
      </w:pPr>
      <w:r>
        <w:rPr>
          <w:rFonts w:ascii="仿宋_GB2312" w:hAnsi="仿宋_GB2312" w:eastAsia="仿宋_GB2312"/>
          <w:sz w:val="30"/>
          <w:szCs w:val="30"/>
        </w:rPr>
        <w:t>2、“持股情况”项，应填写本人直系亲属（配偶、父母、子女）是否持有本人担任独立董事职务的上市公司的股票，其他社会关系可不填写。</w:t>
      </w:r>
    </w:p>
    <w:p w14:paraId="7B69CAF2">
      <w:pPr>
        <w:ind w:right="0" w:firstLine="556"/>
        <w:rPr>
          <w:rFonts w:ascii="仿宋_GB2312" w:hAnsi="仿宋_GB2312" w:eastAsia="仿宋_GB2312"/>
          <w:b/>
          <w:sz w:val="30"/>
          <w:szCs w:val="30"/>
        </w:rPr>
      </w:pPr>
      <w:r>
        <w:rPr>
          <w:rFonts w:ascii="仿宋_GB2312" w:hAnsi="仿宋_GB2312" w:eastAsia="仿宋_GB2312"/>
          <w:b/>
          <w:sz w:val="30"/>
          <w:szCs w:val="30"/>
        </w:rPr>
        <w:t>三、教育背景</w:t>
      </w:r>
    </w:p>
    <w:p w14:paraId="4C280BEE">
      <w:pPr>
        <w:ind w:right="0" w:firstLine="556"/>
        <w:rPr>
          <w:rFonts w:ascii="仿宋_GB2312" w:hAnsi="仿宋_GB2312" w:eastAsia="仿宋_GB2312"/>
          <w:sz w:val="30"/>
          <w:szCs w:val="30"/>
        </w:rPr>
      </w:pPr>
      <w:r>
        <w:rPr>
          <w:rFonts w:ascii="仿宋_GB2312" w:hAnsi="仿宋_GB2312" w:eastAsia="仿宋_GB2312"/>
          <w:sz w:val="30"/>
          <w:szCs w:val="30"/>
        </w:rPr>
        <w:t>请从中学开始填写各项内容，逐一注明学习期间、就读学校或研究机构、专业、学历、学位。</w:t>
      </w:r>
    </w:p>
    <w:p w14:paraId="5A78DCCD">
      <w:pPr>
        <w:ind w:right="0" w:firstLine="550"/>
        <w:rPr>
          <w:rFonts w:ascii="仿宋_GB2312" w:hAnsi="仿宋_GB2312" w:eastAsia="仿宋_GB2312"/>
          <w:b/>
          <w:sz w:val="30"/>
          <w:szCs w:val="30"/>
        </w:rPr>
      </w:pPr>
      <w:r>
        <w:rPr>
          <w:rFonts w:ascii="仿宋_GB2312" w:hAnsi="仿宋_GB2312" w:eastAsia="仿宋_GB2312"/>
          <w:b/>
          <w:sz w:val="30"/>
          <w:szCs w:val="30"/>
        </w:rPr>
        <w:t>四、工作经历</w:t>
      </w:r>
    </w:p>
    <w:p w14:paraId="03011DFB">
      <w:pPr>
        <w:ind w:right="0" w:firstLine="550"/>
        <w:rPr>
          <w:rFonts w:ascii="仿宋_GB2312" w:hAnsi="仿宋_GB2312" w:eastAsia="仿宋_GB2312"/>
          <w:sz w:val="30"/>
          <w:szCs w:val="30"/>
        </w:rPr>
      </w:pPr>
      <w:r>
        <w:rPr>
          <w:rFonts w:ascii="仿宋_GB2312" w:hAnsi="仿宋_GB2312" w:eastAsia="仿宋_GB2312"/>
          <w:sz w:val="30"/>
          <w:szCs w:val="30"/>
        </w:rPr>
        <w:t>请填写最近十年工作经历，自开始工作起逐一按格式填至现在工作单位止，同一单位工作中间岗位有变动者要分开填写。“职业领域”项请填写本人日常工作职责所处的学科领域，如：法律、工商管理、会计、审计、财务管理等。</w:t>
      </w:r>
    </w:p>
    <w:p w14:paraId="245CA6A5">
      <w:pPr>
        <w:ind w:right="0" w:firstLine="550"/>
        <w:rPr>
          <w:rFonts w:ascii="仿宋_GB2312" w:hAnsi="仿宋_GB2312" w:eastAsia="仿宋_GB2312"/>
          <w:b/>
          <w:sz w:val="30"/>
          <w:szCs w:val="30"/>
        </w:rPr>
      </w:pPr>
      <w:r>
        <w:rPr>
          <w:rFonts w:ascii="仿宋_GB2312" w:hAnsi="仿宋_GB2312" w:eastAsia="仿宋_GB2312"/>
          <w:b/>
          <w:sz w:val="30"/>
          <w:szCs w:val="30"/>
        </w:rPr>
        <w:t>五、专业培训</w:t>
      </w:r>
    </w:p>
    <w:p w14:paraId="3AB716EA">
      <w:pPr>
        <w:ind w:right="0" w:firstLine="550"/>
        <w:rPr>
          <w:rFonts w:ascii="仿宋_GB2312" w:hAnsi="仿宋_GB2312" w:eastAsia="仿宋_GB2312"/>
          <w:sz w:val="30"/>
          <w:szCs w:val="30"/>
        </w:rPr>
      </w:pPr>
      <w:r>
        <w:rPr>
          <w:rFonts w:ascii="仿宋_GB2312" w:hAnsi="仿宋_GB2312" w:eastAsia="仿宋_GB2312"/>
          <w:sz w:val="30"/>
          <w:szCs w:val="30"/>
        </w:rPr>
        <w:t>请填写对有助于担任独立董事的培训，语言培训、为通过各种考试所接受的培训不要求填写。</w:t>
      </w:r>
    </w:p>
    <w:p w14:paraId="6CCAD746">
      <w:pPr>
        <w:ind w:right="0" w:firstLine="555"/>
        <w:rPr>
          <w:rFonts w:ascii="仿宋_GB2312" w:hAnsi="仿宋_GB2312" w:eastAsia="仿宋_GB2312"/>
          <w:b/>
          <w:sz w:val="30"/>
          <w:szCs w:val="30"/>
        </w:rPr>
      </w:pPr>
      <w:r>
        <w:rPr>
          <w:rFonts w:ascii="仿宋_GB2312" w:hAnsi="仿宋_GB2312" w:eastAsia="仿宋_GB2312"/>
          <w:b/>
          <w:sz w:val="30"/>
          <w:szCs w:val="30"/>
        </w:rPr>
        <w:t>六、独立董事兼职情况</w:t>
      </w:r>
    </w:p>
    <w:p w14:paraId="42E862E1">
      <w:pPr>
        <w:ind w:right="0" w:firstLine="555"/>
        <w:rPr>
          <w:rFonts w:ascii="仿宋_GB2312" w:hAnsi="仿宋_GB2312" w:eastAsia="仿宋_GB2312"/>
          <w:sz w:val="30"/>
          <w:szCs w:val="30"/>
        </w:rPr>
      </w:pPr>
      <w:r>
        <w:rPr>
          <w:rFonts w:ascii="仿宋_GB2312" w:hAnsi="仿宋_GB2312" w:eastAsia="仿宋_GB2312"/>
          <w:sz w:val="30"/>
          <w:szCs w:val="30"/>
        </w:rPr>
        <w:t>请填写本人在境内上市公司兼任独立董事情况。</w:t>
      </w:r>
    </w:p>
    <w:p w14:paraId="7C89559E">
      <w:pPr>
        <w:ind w:right="0" w:firstLine="555"/>
        <w:rPr>
          <w:rFonts w:ascii="仿宋_GB2312" w:hAnsi="仿宋_GB2312" w:eastAsia="仿宋_GB2312"/>
          <w:b/>
          <w:sz w:val="30"/>
          <w:szCs w:val="30"/>
        </w:rPr>
      </w:pPr>
      <w:r>
        <w:rPr>
          <w:rFonts w:ascii="仿宋_GB2312" w:hAnsi="仿宋_GB2312" w:eastAsia="仿宋_GB2312"/>
          <w:b/>
          <w:sz w:val="30"/>
          <w:szCs w:val="30"/>
        </w:rPr>
        <w:t>七、其他专业资格职称</w:t>
      </w:r>
    </w:p>
    <w:p w14:paraId="4860440F">
      <w:pPr>
        <w:ind w:right="0" w:firstLine="555"/>
        <w:rPr>
          <w:rFonts w:ascii="仿宋_GB2312" w:hAnsi="仿宋_GB2312" w:eastAsia="仿宋_GB2312"/>
          <w:sz w:val="30"/>
          <w:szCs w:val="30"/>
        </w:rPr>
      </w:pPr>
      <w:r>
        <w:rPr>
          <w:rFonts w:ascii="仿宋_GB2312" w:hAnsi="仿宋_GB2312" w:eastAsia="仿宋_GB2312"/>
          <w:sz w:val="30"/>
          <w:szCs w:val="30"/>
        </w:rPr>
        <w:t>请填写取得的除会计专业资格外，目前仍有效的各种专业资格、职称情况。</w:t>
      </w:r>
    </w:p>
    <w:p w14:paraId="063320F4">
      <w:pPr>
        <w:ind w:right="0" w:firstLine="555"/>
        <w:rPr>
          <w:rFonts w:ascii="仿宋_GB2312" w:hAnsi="仿宋_GB2312" w:eastAsia="仿宋_GB2312"/>
          <w:b/>
          <w:sz w:val="30"/>
          <w:szCs w:val="30"/>
        </w:rPr>
      </w:pPr>
      <w:r>
        <w:rPr>
          <w:rFonts w:ascii="仿宋_GB2312" w:hAnsi="仿宋_GB2312" w:eastAsia="仿宋_GB2312"/>
          <w:b/>
          <w:sz w:val="30"/>
          <w:szCs w:val="30"/>
        </w:rPr>
        <w:t>八、所获奖励</w:t>
      </w:r>
    </w:p>
    <w:p w14:paraId="69AE8540">
      <w:pPr>
        <w:ind w:right="0" w:firstLine="555"/>
        <w:rPr>
          <w:rFonts w:ascii="仿宋_GB2312" w:hAnsi="仿宋_GB2312" w:eastAsia="仿宋_GB2312"/>
          <w:sz w:val="30"/>
          <w:szCs w:val="30"/>
        </w:rPr>
      </w:pPr>
      <w:r>
        <w:rPr>
          <w:rFonts w:ascii="仿宋_GB2312" w:hAnsi="仿宋_GB2312" w:eastAsia="仿宋_GB2312"/>
          <w:sz w:val="30"/>
          <w:szCs w:val="30"/>
        </w:rPr>
        <w:t>请填写自大学毕业后所获取的各种奖励。</w:t>
      </w:r>
    </w:p>
    <w:p w14:paraId="6A629B6F">
      <w:pPr>
        <w:ind w:right="0" w:firstLine="555"/>
        <w:rPr>
          <w:rFonts w:ascii="仿宋_GB2312" w:hAnsi="仿宋_GB2312" w:eastAsia="仿宋_GB2312"/>
          <w:b/>
          <w:sz w:val="30"/>
          <w:szCs w:val="30"/>
        </w:rPr>
      </w:pPr>
      <w:r>
        <w:rPr>
          <w:rFonts w:ascii="仿宋_GB2312" w:hAnsi="仿宋_GB2312" w:eastAsia="仿宋_GB2312"/>
          <w:b/>
          <w:sz w:val="30"/>
          <w:szCs w:val="30"/>
        </w:rPr>
        <w:t>九、著作成就</w:t>
      </w:r>
    </w:p>
    <w:p w14:paraId="6EFD5A03">
      <w:pPr>
        <w:ind w:right="0" w:firstLine="555"/>
        <w:rPr>
          <w:rFonts w:ascii="仿宋_GB2312" w:hAnsi="仿宋_GB2312" w:eastAsia="仿宋_GB2312"/>
          <w:bCs/>
          <w:kern w:val="2"/>
          <w:sz w:val="30"/>
          <w:szCs w:val="30"/>
        </w:rPr>
      </w:pPr>
      <w:r>
        <w:rPr>
          <w:rFonts w:ascii="仿宋_GB2312" w:hAnsi="仿宋_GB2312" w:eastAsia="仿宋_GB2312"/>
          <w:bCs/>
          <w:kern w:val="2"/>
          <w:sz w:val="30"/>
          <w:szCs w:val="30"/>
        </w:rPr>
        <w:t>请填写包括本人为第一作者或主编的论文与著作，或者本人在其中起主要作用所取得的各种工作成果。著作及成就众多者可选出最突出的前十项填写，尤其是对有助于担任独立董事的相关成就。</w:t>
      </w:r>
    </w:p>
    <w:p w14:paraId="548590A1">
      <w:pPr>
        <w:ind w:right="0" w:firstLine="555"/>
        <w:rPr>
          <w:rFonts w:ascii="仿宋_GB2312" w:hAnsi="仿宋_GB2312" w:eastAsia="仿宋_GB2312"/>
          <w:b/>
          <w:sz w:val="30"/>
          <w:szCs w:val="30"/>
        </w:rPr>
      </w:pPr>
      <w:r>
        <w:rPr>
          <w:rFonts w:ascii="仿宋_GB2312" w:hAnsi="仿宋_GB2312" w:eastAsia="仿宋_GB2312"/>
          <w:b/>
          <w:sz w:val="30"/>
          <w:szCs w:val="30"/>
        </w:rPr>
        <w:t>十、其他情况</w:t>
      </w:r>
    </w:p>
    <w:p w14:paraId="553B26A7">
      <w:pPr>
        <w:ind w:right="0" w:firstLine="555"/>
        <w:rPr>
          <w:rFonts w:ascii="仿宋_GB2312" w:hAnsi="仿宋_GB2312" w:eastAsia="仿宋_GB2312"/>
          <w:bCs/>
          <w:kern w:val="2"/>
          <w:sz w:val="30"/>
          <w:szCs w:val="30"/>
        </w:rPr>
      </w:pPr>
      <w:r>
        <w:rPr>
          <w:rFonts w:ascii="仿宋_GB2312" w:hAnsi="仿宋_GB2312" w:eastAsia="仿宋_GB2312"/>
          <w:bCs/>
          <w:kern w:val="2"/>
          <w:sz w:val="30"/>
          <w:szCs w:val="30"/>
        </w:rPr>
        <w:t>1. 获得的年度报酬总额：如为固定报酬，请填写XX万元；如为“固定+浮动”报酬，请填写“起步XX万元，每次参会XX万元” （仅作为举例，可根据实际情况填写）。</w:t>
      </w:r>
    </w:p>
    <w:p w14:paraId="2FB60E7E">
      <w:pPr>
        <w:ind w:right="0" w:firstLine="555"/>
        <w:rPr>
          <w:rFonts w:ascii="仿宋_GB2312" w:hAnsi="仿宋_GB2312" w:eastAsia="仿宋_GB2312"/>
          <w:bCs/>
          <w:kern w:val="2"/>
          <w:sz w:val="30"/>
          <w:szCs w:val="30"/>
        </w:rPr>
      </w:pPr>
      <w:r>
        <w:rPr>
          <w:rFonts w:ascii="仿宋_GB2312" w:hAnsi="仿宋_GB2312" w:eastAsia="仿宋_GB2312"/>
          <w:bCs/>
          <w:kern w:val="2"/>
          <w:sz w:val="30"/>
          <w:szCs w:val="30"/>
        </w:rPr>
        <w:t>2. 表格中所有“期间”项（包括学习、工作、培训、任职等），请填写起始年月（XXXX年XX月）到终止年月（XXXX年XX月）或至今。</w:t>
      </w:r>
    </w:p>
    <w:p w14:paraId="177C75D5">
      <w:pPr>
        <w:ind w:right="0" w:firstLine="555"/>
        <w:rPr>
          <w:rFonts w:ascii="仿宋_GB2312" w:hAnsi="仿宋_GB2312" w:eastAsia="仿宋_GB2312"/>
          <w:bCs/>
          <w:kern w:val="2"/>
          <w:sz w:val="30"/>
          <w:szCs w:val="30"/>
        </w:rPr>
      </w:pPr>
    </w:p>
    <w:p w14:paraId="356131B0">
      <w:pPr>
        <w:widowControl/>
        <w:jc w:val="left"/>
        <w:rPr>
          <w:rFonts w:ascii="仿宋_GB2312" w:hAnsi="仿宋_GB2312" w:eastAsia="仿宋_GB2312" w:cs="Times New Roman"/>
          <w:b/>
          <w:bCs/>
          <w:kern w:val="2"/>
          <w:sz w:val="30"/>
          <w:szCs w:val="30"/>
        </w:rPr>
      </w:pPr>
    </w:p>
    <w:p w14:paraId="16C5FD79">
      <w:pPr>
        <w:ind w:right="0" w:firstLine="555"/>
        <w:rPr>
          <w:rFonts w:ascii="仿宋_GB2312" w:hAnsi="仿宋_GB2312" w:eastAsia="仿宋_GB2312" w:cs="Times New Roman"/>
          <w:b/>
          <w:bCs/>
          <w:kern w:val="2"/>
          <w:sz w:val="30"/>
          <w:szCs w:val="30"/>
        </w:rPr>
      </w:pPr>
    </w:p>
    <w:p w14:paraId="694E22D3">
      <w:pPr>
        <w:widowControl/>
        <w:jc w:val="left"/>
        <w:rPr>
          <w:rFonts w:ascii="仿宋_GB2312" w:hAnsi="仿宋_GB2312" w:eastAsia="仿宋_GB2312" w:cs="Times New Roman"/>
          <w:b/>
          <w:bCs/>
          <w:kern w:val="2"/>
          <w:sz w:val="30"/>
          <w:szCs w:val="30"/>
        </w:rPr>
      </w:pPr>
    </w:p>
    <w:p w14:paraId="526FF19E">
      <w:pPr>
        <w:snapToGrid w:val="0"/>
        <w:spacing w:line="560" w:lineRule="exact"/>
        <w:ind w:right="0" w:firstLine="602"/>
        <w:jc w:val="left"/>
        <w:rPr>
          <w:rFonts w:ascii="仿宋_GB2312" w:hAnsi="仿宋_GB2312" w:eastAsia="仿宋_GB2312" w:cs="Times New Roman"/>
          <w:b/>
          <w:bCs/>
          <w:sz w:val="30"/>
          <w:szCs w:val="30"/>
        </w:rPr>
      </w:pPr>
      <w:r>
        <w:rPr>
          <w:rFonts w:ascii="仿宋_GB2312" w:hAnsi="仿宋_GB2312" w:eastAsia="仿宋_GB2312" w:cs="Times New Roman"/>
          <w:b/>
          <w:bCs/>
          <w:sz w:val="30"/>
          <w:szCs w:val="30"/>
        </w:rPr>
        <w:t>附件6</w:t>
      </w:r>
    </w:p>
    <w:p w14:paraId="0DFCABE0">
      <w:pPr>
        <w:spacing w:line="560" w:lineRule="exact"/>
        <w:rPr>
          <w:rFonts w:ascii="仿宋_GB2312" w:hAnsi="仿宋_GB2312" w:eastAsia="仿宋_GB2312" w:cs="Times New Roman"/>
          <w:b/>
          <w:bCs/>
          <w:sz w:val="28"/>
          <w:szCs w:val="30"/>
        </w:rPr>
      </w:pPr>
    </w:p>
    <w:p w14:paraId="516AE402">
      <w:pPr>
        <w:keepNext/>
        <w:keepLines/>
        <w:numPr>
          <w:ilvl w:val="0"/>
          <w:numId w:val="0"/>
        </w:numPr>
        <w:spacing w:line="540" w:lineRule="exact"/>
        <w:jc w:val="center"/>
        <w:outlineLvl w:val="0"/>
        <w:rPr>
          <w:rFonts w:ascii="黑体" w:hAnsi="黑体" w:eastAsia="黑体" w:cs="Arial Unicode MS;Times New Roma"/>
          <w:b/>
          <w:bCs/>
          <w:kern w:val="2"/>
          <w:sz w:val="44"/>
          <w:szCs w:val="44"/>
        </w:rPr>
      </w:pPr>
      <w:bookmarkStart w:id="64" w:name="__RefHeading___Toc189646170"/>
      <w:bookmarkEnd w:id="64"/>
      <w:r>
        <w:rPr>
          <w:rFonts w:ascii="黑体" w:hAnsi="黑体" w:eastAsia="黑体" w:cs="Arial Unicode MS;Times New Roma"/>
          <w:b/>
          <w:bCs/>
          <w:kern w:val="2"/>
          <w:sz w:val="44"/>
          <w:szCs w:val="44"/>
        </w:rPr>
        <w:t>控股股东、实际控制人声明及承诺书</w:t>
      </w:r>
    </w:p>
    <w:p w14:paraId="6D4EE3DD">
      <w:pPr>
        <w:spacing w:line="540" w:lineRule="exact"/>
        <w:ind w:right="0" w:firstLine="2250"/>
        <w:rPr>
          <w:rFonts w:ascii="仿宋_GB2312" w:hAnsi="仿宋_GB2312" w:eastAsia="仿宋_GB2312" w:cs="Arial Unicode MS;Times New Roma"/>
          <w:b/>
          <w:bCs/>
          <w:kern w:val="2"/>
          <w:sz w:val="30"/>
          <w:szCs w:val="30"/>
        </w:rPr>
      </w:pPr>
    </w:p>
    <w:p w14:paraId="7EE12D33">
      <w:pPr>
        <w:pStyle w:val="44"/>
        <w:spacing w:line="540" w:lineRule="exact"/>
        <w:jc w:val="center"/>
        <w:rPr>
          <w:rFonts w:ascii="仿宋_GB2312" w:hAnsi="仿宋_GB2312" w:eastAsia="仿宋_GB2312"/>
          <w:b/>
          <w:sz w:val="30"/>
          <w:szCs w:val="30"/>
        </w:rPr>
      </w:pPr>
      <w:r>
        <w:rPr>
          <w:rFonts w:ascii="仿宋_GB2312" w:hAnsi="仿宋_GB2312" w:eastAsia="仿宋_GB2312"/>
          <w:b/>
          <w:sz w:val="30"/>
          <w:szCs w:val="30"/>
        </w:rPr>
        <w:t>第一部分  声  明</w:t>
      </w:r>
    </w:p>
    <w:p w14:paraId="0512F9CC">
      <w:pPr>
        <w:pStyle w:val="44"/>
        <w:spacing w:line="540" w:lineRule="exact"/>
        <w:jc w:val="center"/>
        <w:rPr>
          <w:rFonts w:ascii="仿宋_GB2312" w:hAnsi="仿宋_GB2312" w:eastAsia="仿宋_GB2312"/>
          <w:b/>
          <w:sz w:val="30"/>
          <w:szCs w:val="30"/>
        </w:rPr>
      </w:pPr>
    </w:p>
    <w:p w14:paraId="687559E8">
      <w:pPr>
        <w:pStyle w:val="44"/>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一、基本情况</w:t>
      </w:r>
    </w:p>
    <w:p w14:paraId="721109DE">
      <w:pPr>
        <w:pStyle w:val="44"/>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（法人及其他组织填写如下内容）</w:t>
      </w:r>
    </w:p>
    <w:p w14:paraId="13E50911">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1.上市公司名称：</w:t>
      </w:r>
      <w:r>
        <w:rPr>
          <w:rFonts w:ascii="仿宋_GB2312" w:hAnsi="仿宋_GB2312" w:eastAsia="仿宋_GB2312"/>
          <w:sz w:val="30"/>
          <w:szCs w:val="30"/>
          <w:u w:val="single"/>
        </w:rPr>
        <w:t xml:space="preserve">                                    </w:t>
      </w:r>
    </w:p>
    <w:p w14:paraId="67908F52">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rPr>
        <w:t xml:space="preserve">2.上市公司股票简称： </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 股票代码：</w:t>
      </w:r>
      <w:r>
        <w:rPr>
          <w:rFonts w:ascii="仿宋_GB2312" w:hAnsi="仿宋_GB2312" w:eastAsia="仿宋_GB2312"/>
          <w:sz w:val="30"/>
          <w:szCs w:val="30"/>
          <w:u w:val="single"/>
        </w:rPr>
        <w:t xml:space="preserve">       </w:t>
      </w:r>
    </w:p>
    <w:p w14:paraId="28339389">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rPr>
        <w:t>3.本单位名称：</w:t>
      </w:r>
      <w:r>
        <w:rPr>
          <w:rFonts w:ascii="仿宋_GB2312" w:hAnsi="仿宋_GB2312" w:eastAsia="仿宋_GB2312"/>
          <w:sz w:val="30"/>
          <w:szCs w:val="30"/>
          <w:u w:val="single"/>
        </w:rPr>
        <w:t xml:space="preserve">                                      </w:t>
      </w:r>
    </w:p>
    <w:p w14:paraId="0993D53D">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rPr>
        <w:t>4.本单位住所：</w:t>
      </w:r>
      <w:r>
        <w:rPr>
          <w:rFonts w:ascii="仿宋_GB2312" w:hAnsi="仿宋_GB2312" w:eastAsia="仿宋_GB2312"/>
          <w:sz w:val="30"/>
          <w:szCs w:val="30"/>
          <w:u w:val="single"/>
        </w:rPr>
        <w:t xml:space="preserve">                                      </w:t>
      </w:r>
    </w:p>
    <w:p w14:paraId="7D349FF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5.本单位主要业务范围：</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 </w:t>
      </w:r>
    </w:p>
    <w:p w14:paraId="680C23DF">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（自然人填写如下内容）</w:t>
      </w:r>
    </w:p>
    <w:p w14:paraId="2347F29A">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1．上市公司名称：</w:t>
      </w:r>
      <w:r>
        <w:rPr>
          <w:rFonts w:ascii="仿宋_GB2312" w:hAnsi="仿宋_GB2312" w:eastAsia="仿宋_GB2312"/>
          <w:sz w:val="30"/>
          <w:szCs w:val="30"/>
          <w:u w:val="single"/>
        </w:rPr>
        <w:t xml:space="preserve">                                       </w:t>
      </w:r>
    </w:p>
    <w:p w14:paraId="04992BB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 xml:space="preserve">2．上市公司股票简称： </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 股票代码：</w:t>
      </w:r>
      <w:r>
        <w:rPr>
          <w:rFonts w:ascii="仿宋_GB2312" w:hAnsi="仿宋_GB2312" w:eastAsia="仿宋_GB2312"/>
          <w:sz w:val="30"/>
          <w:szCs w:val="30"/>
          <w:u w:val="single"/>
        </w:rPr>
        <w:t xml:space="preserve">          </w:t>
      </w:r>
    </w:p>
    <w:p w14:paraId="19134903">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3．本人姓名：</w:t>
      </w:r>
      <w:r>
        <w:rPr>
          <w:rFonts w:ascii="仿宋_GB2312" w:hAnsi="仿宋_GB2312" w:eastAsia="仿宋_GB2312"/>
          <w:sz w:val="30"/>
          <w:szCs w:val="30"/>
          <w:u w:val="single"/>
        </w:rPr>
        <w:t xml:space="preserve">                                           </w:t>
      </w:r>
    </w:p>
    <w:p w14:paraId="65401B46">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4．曾用名：</w:t>
      </w:r>
      <w:r>
        <w:rPr>
          <w:rFonts w:ascii="仿宋_GB2312" w:hAnsi="仿宋_GB2312" w:eastAsia="仿宋_GB2312" w:cs="宋体"/>
          <w:sz w:val="30"/>
          <w:szCs w:val="30"/>
          <w:u w:val="single"/>
        </w:rPr>
        <w:t xml:space="preserve">                                            </w:t>
      </w:r>
      <w:r>
        <w:rPr>
          <w:rFonts w:ascii="仿宋_GB2312" w:hAnsi="仿宋_GB2312" w:eastAsia="仿宋_GB2312" w:cs="Times New Roman"/>
          <w:color w:val="000000"/>
          <w:sz w:val="30"/>
          <w:szCs w:val="30"/>
        </w:rPr>
        <w:t xml:space="preserve"> </w:t>
      </w:r>
    </w:p>
    <w:p w14:paraId="4E0D86CF">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5．出生日期：</w:t>
      </w:r>
      <w:r>
        <w:rPr>
          <w:rFonts w:ascii="仿宋_GB2312" w:hAnsi="仿宋_GB2312" w:eastAsia="仿宋_GB2312" w:cs="宋体"/>
          <w:sz w:val="30"/>
          <w:szCs w:val="30"/>
          <w:u w:val="single"/>
        </w:rPr>
        <w:t xml:space="preserve">                                          </w:t>
      </w:r>
      <w:r>
        <w:rPr>
          <w:rFonts w:ascii="仿宋_GB2312" w:hAnsi="仿宋_GB2312" w:eastAsia="仿宋_GB2312" w:cs="Times New Roman"/>
          <w:color w:val="000000"/>
          <w:sz w:val="30"/>
          <w:szCs w:val="30"/>
        </w:rPr>
        <w:t xml:space="preserve"> </w:t>
      </w:r>
    </w:p>
    <w:p w14:paraId="31BA1336">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6．联系地址：</w:t>
      </w:r>
      <w:r>
        <w:rPr>
          <w:rFonts w:ascii="仿宋_GB2312" w:hAnsi="仿宋_GB2312" w:eastAsia="仿宋_GB2312" w:cs="宋体"/>
          <w:sz w:val="30"/>
          <w:szCs w:val="30"/>
          <w:u w:val="single"/>
        </w:rPr>
        <w:t xml:space="preserve">                                              </w:t>
      </w:r>
    </w:p>
    <w:p w14:paraId="33B96544">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7．国籍：</w:t>
      </w:r>
      <w:r>
        <w:rPr>
          <w:rFonts w:ascii="仿宋_GB2312" w:hAnsi="仿宋_GB2312" w:eastAsia="仿宋_GB2312" w:cs="宋体"/>
          <w:sz w:val="30"/>
          <w:szCs w:val="30"/>
          <w:u w:val="single"/>
        </w:rPr>
        <w:t xml:space="preserve">                                              </w:t>
      </w:r>
      <w:r>
        <w:rPr>
          <w:rFonts w:ascii="仿宋_GB2312" w:hAnsi="仿宋_GB2312" w:eastAsia="仿宋_GB2312" w:cs="Times New Roman"/>
          <w:color w:val="000000"/>
          <w:sz w:val="30"/>
          <w:szCs w:val="30"/>
        </w:rPr>
        <w:t xml:space="preserve"> </w:t>
      </w:r>
    </w:p>
    <w:p w14:paraId="575CDE2A">
      <w:pPr>
        <w:pStyle w:val="44"/>
        <w:spacing w:line="540" w:lineRule="exact"/>
        <w:ind w:right="0" w:firstLine="600"/>
        <w:rPr>
          <w:rFonts w:ascii="仿宋_GB2312" w:hAnsi="仿宋_GB2312" w:eastAsia="仿宋_GB2312" w:cs="宋体"/>
          <w:sz w:val="30"/>
          <w:szCs w:val="30"/>
          <w:u w:val="single"/>
        </w:rPr>
      </w:pPr>
      <w:r>
        <w:rPr>
          <w:rFonts w:ascii="仿宋_GB2312" w:hAnsi="仿宋_GB2312" w:eastAsia="仿宋_GB2312" w:cs="Times New Roman"/>
          <w:color w:val="000000"/>
          <w:sz w:val="30"/>
          <w:szCs w:val="30"/>
        </w:rPr>
        <w:t>8．拥有哪些国家或者地区的长期居留权（如适用）：</w:t>
      </w:r>
      <w:r>
        <w:rPr>
          <w:rFonts w:ascii="仿宋_GB2312" w:hAnsi="仿宋_GB2312" w:eastAsia="仿宋_GB2312" w:cs="宋体"/>
          <w:sz w:val="30"/>
          <w:szCs w:val="30"/>
          <w:u w:val="single"/>
        </w:rPr>
        <w:t xml:space="preserve">        </w:t>
      </w:r>
    </w:p>
    <w:p w14:paraId="6BE00447">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9．身份证件类型及号码：</w:t>
      </w:r>
      <w:r>
        <w:rPr>
          <w:rFonts w:ascii="仿宋_GB2312" w:hAnsi="仿宋_GB2312" w:eastAsia="仿宋_GB2312" w:cs="宋体"/>
          <w:sz w:val="30"/>
          <w:szCs w:val="30"/>
          <w:u w:val="single"/>
        </w:rPr>
        <w:t xml:space="preserve">                                        </w:t>
      </w:r>
    </w:p>
    <w:p w14:paraId="14AA74B2">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10．护照号码（如适用）：</w:t>
      </w:r>
      <w:r>
        <w:rPr>
          <w:rFonts w:ascii="仿宋_GB2312" w:hAnsi="仿宋_GB2312" w:eastAsia="仿宋_GB2312" w:cs="宋体"/>
          <w:sz w:val="30"/>
          <w:szCs w:val="30"/>
          <w:u w:val="single"/>
        </w:rPr>
        <w:t xml:space="preserve">                                </w:t>
      </w:r>
    </w:p>
    <w:p w14:paraId="72D4549D">
      <w:pPr>
        <w:pStyle w:val="44"/>
        <w:spacing w:line="540" w:lineRule="exact"/>
        <w:ind w:right="0" w:firstLine="600"/>
        <w:rPr>
          <w:rFonts w:ascii="仿宋_GB2312" w:hAnsi="仿宋_GB2312" w:eastAsia="仿宋_GB2312" w:cs="宋体"/>
          <w:sz w:val="30"/>
          <w:szCs w:val="30"/>
          <w:u w:val="single"/>
        </w:rPr>
      </w:pPr>
      <w:r>
        <w:rPr>
          <w:rFonts w:ascii="仿宋_GB2312" w:hAnsi="仿宋_GB2312" w:eastAsia="仿宋_GB2312" w:cs="Times New Roman"/>
          <w:color w:val="000000"/>
          <w:sz w:val="30"/>
          <w:szCs w:val="30"/>
        </w:rPr>
        <w:t>11．最近五年工作经历：</w:t>
      </w:r>
      <w:r>
        <w:rPr>
          <w:rFonts w:ascii="仿宋_GB2312" w:hAnsi="仿宋_GB2312" w:eastAsia="仿宋_GB2312" w:cs="宋体"/>
          <w:sz w:val="30"/>
          <w:szCs w:val="30"/>
          <w:u w:val="single"/>
        </w:rPr>
        <w:t xml:space="preserve">                               </w:t>
      </w:r>
    </w:p>
    <w:p w14:paraId="7AA59707">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二、是否负有数额较大的到期未清偿债务？</w:t>
      </w:r>
    </w:p>
    <w:p w14:paraId="1D8F9280">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6F2F0535">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 xml:space="preserve">如是，请详细说明。 </w:t>
      </w:r>
    </w:p>
    <w:p w14:paraId="4E5D430E">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 xml:space="preserve">三、是否存在占用上市公司资金或者要求上市公司违规提供担保的情形？ </w:t>
      </w:r>
    </w:p>
    <w:p w14:paraId="28A7FCCD">
      <w:pPr>
        <w:pStyle w:val="44"/>
        <w:spacing w:line="540" w:lineRule="exact"/>
        <w:ind w:right="0" w:firstLine="600"/>
      </w:pPr>
      <w:r>
        <w:rPr>
          <w:rFonts w:ascii="仿宋_GB2312" w:hAnsi="仿宋_GB2312" w:eastAsia="仿宋_GB2312" w:cs="宋体"/>
          <w:sz w:val="30"/>
          <w:szCs w:val="30"/>
          <w:u w:val="single"/>
        </w:rPr>
        <w:t xml:space="preserve">是□  否□  </w:t>
      </w:r>
    </w:p>
    <w:p w14:paraId="36928AA6">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如是，请详细说明。</w:t>
      </w:r>
    </w:p>
    <w:p w14:paraId="62EC3840">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sz w:val="30"/>
          <w:szCs w:val="30"/>
        </w:rPr>
        <w:t>四、本单位/本人</w:t>
      </w:r>
      <w:r>
        <w:rPr>
          <w:rFonts w:ascii="仿宋_GB2312" w:hAnsi="仿宋_GB2312" w:eastAsia="仿宋_GB2312" w:cs="宋体"/>
          <w:color w:val="000000"/>
          <w:kern w:val="0"/>
          <w:sz w:val="30"/>
          <w:szCs w:val="30"/>
        </w:rPr>
        <w:t>及本单位/本人控制的其他单位是否存在对上市公司构成重大不利影响的同业竞争？</w:t>
      </w:r>
    </w:p>
    <w:p w14:paraId="6B571361">
      <w:pPr>
        <w:pStyle w:val="44"/>
        <w:spacing w:line="540" w:lineRule="exact"/>
        <w:ind w:right="0" w:firstLine="600"/>
      </w:pPr>
      <w:r>
        <w:rPr>
          <w:rFonts w:ascii="仿宋_GB2312" w:hAnsi="仿宋_GB2312" w:eastAsia="仿宋_GB2312" w:cs="宋体"/>
          <w:sz w:val="30"/>
          <w:szCs w:val="30"/>
          <w:u w:val="single"/>
        </w:rPr>
        <w:t xml:space="preserve">是□  否□  </w:t>
      </w:r>
    </w:p>
    <w:p w14:paraId="385E39DF">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如是，请详细说明。</w:t>
      </w:r>
    </w:p>
    <w:p w14:paraId="1E131922">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五、</w:t>
      </w:r>
      <w:r>
        <w:rPr>
          <w:rFonts w:ascii="仿宋_GB2312" w:hAnsi="仿宋_GB2312" w:eastAsia="仿宋_GB2312"/>
          <w:sz w:val="30"/>
          <w:szCs w:val="30"/>
        </w:rPr>
        <w:t>本单位/本人</w:t>
      </w:r>
      <w:r>
        <w:rPr>
          <w:rFonts w:ascii="仿宋_GB2312" w:hAnsi="仿宋_GB2312" w:eastAsia="仿宋_GB2312" w:cs="宋体"/>
          <w:color w:val="000000"/>
          <w:kern w:val="0"/>
          <w:sz w:val="30"/>
          <w:szCs w:val="30"/>
        </w:rPr>
        <w:t>及本单位/本人控制的其他单位是否与上市公司存在严重影响其独立性或者显失公平的关联交易？</w:t>
      </w:r>
    </w:p>
    <w:p w14:paraId="30B18255">
      <w:pPr>
        <w:pStyle w:val="44"/>
        <w:spacing w:line="540" w:lineRule="exact"/>
        <w:ind w:right="0" w:firstLine="600"/>
      </w:pPr>
      <w:r>
        <w:rPr>
          <w:rFonts w:ascii="仿宋_GB2312" w:hAnsi="仿宋_GB2312" w:eastAsia="仿宋_GB2312" w:cs="宋体"/>
          <w:sz w:val="30"/>
          <w:szCs w:val="30"/>
          <w:u w:val="single"/>
        </w:rPr>
        <w:t xml:space="preserve">是□  否□  </w:t>
      </w:r>
    </w:p>
    <w:p w14:paraId="374C601C">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如是，请详细说明。</w:t>
      </w:r>
    </w:p>
    <w:p w14:paraId="5C0604E9">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六、是否存在贪污、贿赂、侵占财产、挪用财产或者破坏社会主义市场经济秩序的刑事犯罪行为？</w:t>
      </w:r>
    </w:p>
    <w:p w14:paraId="649A0BF7">
      <w:pPr>
        <w:pStyle w:val="44"/>
        <w:spacing w:line="540" w:lineRule="exact"/>
        <w:ind w:right="0" w:firstLine="600"/>
      </w:pPr>
      <w:r>
        <w:rPr>
          <w:rFonts w:ascii="仿宋_GB2312" w:hAnsi="仿宋_GB2312" w:eastAsia="仿宋_GB2312" w:cs="宋体"/>
          <w:sz w:val="30"/>
          <w:szCs w:val="30"/>
          <w:u w:val="single"/>
        </w:rPr>
        <w:t xml:space="preserve">是□  否□  </w:t>
      </w:r>
    </w:p>
    <w:p w14:paraId="0E570C7D">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如是，请详细说明。</w:t>
      </w:r>
    </w:p>
    <w:p w14:paraId="2F036C74">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七、是否存在欺诈发行、重大信息披露违法或者其他涉及国家安全、公共安全、生态安全、生产安全、公众健康安全等领域的重大违法行为？</w:t>
      </w:r>
    </w:p>
    <w:p w14:paraId="61C7A76A">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54750D2A">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如是，请详细说明。</w:t>
      </w:r>
    </w:p>
    <w:p w14:paraId="6ADF4A43">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八、是否曾因违反《证券法》等证券市场法律、行政法规</w:t>
      </w:r>
      <w:r>
        <w:rPr>
          <w:rFonts w:ascii="仿宋_GB2312" w:hAnsi="仿宋_GB2312" w:eastAsia="仿宋_GB2312" w:cs="宋体"/>
          <w:sz w:val="30"/>
          <w:szCs w:val="30"/>
        </w:rPr>
        <w:t>、部门规章而</w:t>
      </w:r>
      <w:r>
        <w:rPr>
          <w:rFonts w:ascii="仿宋_GB2312" w:hAnsi="仿宋_GB2312" w:eastAsia="仿宋_GB2312" w:cs="Times New Roman"/>
          <w:sz w:val="30"/>
          <w:szCs w:val="30"/>
        </w:rPr>
        <w:t xml:space="preserve">受到行政处罚？ </w:t>
      </w:r>
    </w:p>
    <w:p w14:paraId="53304FB7">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1F3C8E49">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如是，请详细说明。</w:t>
      </w:r>
    </w:p>
    <w:p w14:paraId="40B85A61">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九、除第六至第八条以外，是否曾因违反其他法律、行政法规受到刑事处罚、行政处罚或者正在处于有关诉讼程序中？</w:t>
      </w:r>
    </w:p>
    <w:p w14:paraId="0A85551F">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7AFEE807">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 xml:space="preserve">如是，请详细说明。 </w:t>
      </w:r>
    </w:p>
    <w:p w14:paraId="170CBE71">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 xml:space="preserve">十、是否因涉嫌违反证券市场法律、行政法规、部门规章的规定正受到中国证监会的调查或者涉及有关行政程序？是否曾因违反证券交易场所业务规则或者其他相关规定而受到处分？ </w:t>
      </w:r>
    </w:p>
    <w:p w14:paraId="7E27E9A5">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2775F5AA">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 xml:space="preserve">如是，请详细说明。 </w:t>
      </w:r>
    </w:p>
    <w:p w14:paraId="23C2C36A">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十一、在上市公司及其控股子公司业务中，过去或者现在是否拥有除股权以外的任何其他利益？</w:t>
      </w:r>
    </w:p>
    <w:p w14:paraId="6222321F">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13ACA5AD">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如是，请详细说明。</w:t>
      </w:r>
    </w:p>
    <w:p w14:paraId="7C0969DD">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 xml:space="preserve">十二、是否已明确知悉作为上市公司的控股股东、实际控制人，指使上市公司董事、高级管理人员违背对上市公司的忠实义务，利用职务便利，操纵上市公司从事下列行为之一，致使上市公司利益遭受重大或者特别重大损失的，将被追究刑事责任： </w:t>
      </w:r>
    </w:p>
    <w:p w14:paraId="39EB6271">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（一）无偿向其他单位或者个人提供资金、商品、服务或者其他资产的；</w:t>
      </w:r>
    </w:p>
    <w:p w14:paraId="50B940DD">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（二）以明显不公平的条件，提供或者接受资金、商品、服务或者其他资产的；</w:t>
      </w:r>
    </w:p>
    <w:p w14:paraId="1764AE8B">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（三）向明显不具有清偿能力的单位或者个人提供资金、商品、服务或者其他资产的；</w:t>
      </w:r>
    </w:p>
    <w:p w14:paraId="139EC863">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（四）向明显不具有清偿能力的单位或者个人提供担保，或者无正当理由为其他单位或者个人提供担保的；</w:t>
      </w:r>
    </w:p>
    <w:p w14:paraId="42F5CDC9">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（五）无正当理由放弃债权、承担债务的；</w:t>
      </w:r>
    </w:p>
    <w:p w14:paraId="6F324B71">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（六）采用其他方式损害上市公司利益的。</w:t>
      </w:r>
    </w:p>
    <w:p w14:paraId="58B275BB">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12D8FD3F">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十三、除上述问题所披露的信息外，是否有需要声明的其他事项，而不声明该等事项可能影响本单位/本人对上述问题回答的真实性、准确性或者完整性？</w:t>
      </w:r>
    </w:p>
    <w:p w14:paraId="4D3F2DAC">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0A6D10AE">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 xml:space="preserve">如是，请详细说明。 </w:t>
      </w:r>
    </w:p>
    <w:p w14:paraId="3BFDCE03">
      <w:pPr>
        <w:pStyle w:val="44"/>
        <w:spacing w:line="540" w:lineRule="exact"/>
        <w:ind w:right="0" w:firstLine="600"/>
        <w:rPr>
          <w:rFonts w:ascii="仿宋_GB2312" w:hAnsi="仿宋_GB2312" w:eastAsia="仿宋_GB2312" w:cs="Times New Roman"/>
          <w:color w:val="000000"/>
          <w:sz w:val="30"/>
          <w:szCs w:val="30"/>
        </w:rPr>
      </w:pPr>
    </w:p>
    <w:p w14:paraId="6B12F807">
      <w:pPr>
        <w:pStyle w:val="44"/>
        <w:spacing w:line="540" w:lineRule="exact"/>
        <w:ind w:right="0" w:firstLine="600"/>
        <w:rPr>
          <w:rFonts w:ascii="仿宋_GB2312" w:hAnsi="仿宋_GB2312" w:eastAsia="仿宋_GB2312" w:cs="Times New Roman"/>
          <w:color w:val="000000"/>
          <w:sz w:val="30"/>
          <w:szCs w:val="30"/>
        </w:rPr>
      </w:pPr>
    </w:p>
    <w:p w14:paraId="4715403A">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仿宋_GB2312"/>
          <w:sz w:val="30"/>
          <w:szCs w:val="30"/>
          <w:u w:val="single"/>
        </w:rPr>
        <w:t xml:space="preserve">             </w:t>
      </w:r>
      <w:r>
        <w:rPr>
          <w:rFonts w:ascii="仿宋_GB2312" w:hAnsi="仿宋_GB2312" w:eastAsia="仿宋_GB2312" w:cs="Times New Roman"/>
          <w:color w:val="000000"/>
          <w:sz w:val="30"/>
          <w:szCs w:val="30"/>
        </w:rPr>
        <w:t>（正楷体）郑重声明，上述回答是真实、准确和完整的，保证不存在任何虚假记载、误导性陈述或者</w:t>
      </w:r>
      <w:r>
        <w:rPr>
          <w:rFonts w:ascii="仿宋_GB2312" w:hAnsi="仿宋_GB2312" w:eastAsia="仿宋_GB2312" w:cs="宋体"/>
          <w:sz w:val="30"/>
          <w:szCs w:val="30"/>
        </w:rPr>
        <w:t>重大</w:t>
      </w:r>
      <w:r>
        <w:rPr>
          <w:rFonts w:ascii="仿宋_GB2312" w:hAnsi="仿宋_GB2312" w:eastAsia="仿宋_GB2312" w:cs="Times New Roman"/>
          <w:color w:val="000000"/>
          <w:sz w:val="30"/>
          <w:szCs w:val="30"/>
        </w:rPr>
        <w:t xml:space="preserve">遗漏。本单位/本人完全明白作出虚假声明可能导致的法律后果。 </w:t>
      </w:r>
    </w:p>
    <w:p w14:paraId="097E5CBD">
      <w:pPr>
        <w:pStyle w:val="44"/>
        <w:spacing w:line="540" w:lineRule="exact"/>
        <w:ind w:right="0" w:firstLine="600"/>
        <w:rPr>
          <w:rFonts w:ascii="仿宋_GB2312" w:hAnsi="仿宋_GB2312" w:eastAsia="仿宋_GB2312" w:cs="Times New Roman"/>
          <w:color w:val="000000"/>
          <w:sz w:val="30"/>
          <w:szCs w:val="30"/>
        </w:rPr>
      </w:pPr>
    </w:p>
    <w:p w14:paraId="68220583">
      <w:pPr>
        <w:pStyle w:val="44"/>
        <w:spacing w:line="540" w:lineRule="exact"/>
        <w:rPr>
          <w:rFonts w:ascii="仿宋_GB2312" w:hAnsi="仿宋_GB2312" w:eastAsia="仿宋_GB2312" w:cs="Times New Roman"/>
          <w:color w:val="000000"/>
          <w:sz w:val="30"/>
          <w:szCs w:val="30"/>
        </w:rPr>
      </w:pPr>
      <w:r>
        <w:rPr>
          <w:rFonts w:ascii="仿宋_GB2312" w:hAnsi="仿宋_GB2312" w:eastAsia="仿宋_GB2312" w:cs="仿宋_GB2312"/>
          <w:sz w:val="30"/>
          <w:szCs w:val="30"/>
        </w:rPr>
        <w:t xml:space="preserve">                    </w:t>
      </w:r>
      <w:r>
        <w:rPr>
          <w:rFonts w:ascii="仿宋_GB2312" w:hAnsi="仿宋_GB2312" w:eastAsia="仿宋_GB2312" w:cs="Times New Roman"/>
          <w:color w:val="000000"/>
          <w:sz w:val="30"/>
          <w:szCs w:val="30"/>
        </w:rPr>
        <w:t>声明人（盖章/签名）：</w:t>
      </w:r>
    </w:p>
    <w:p w14:paraId="7F93BBAC">
      <w:pPr>
        <w:pStyle w:val="44"/>
        <w:spacing w:line="540" w:lineRule="exact"/>
        <w:rPr>
          <w:rFonts w:ascii="仿宋_GB2312" w:hAnsi="仿宋_GB2312" w:eastAsia="仿宋_GB2312" w:cs="Times New Roman"/>
          <w:color w:val="000000"/>
          <w:sz w:val="30"/>
          <w:szCs w:val="30"/>
        </w:rPr>
      </w:pPr>
      <w:r>
        <w:rPr>
          <w:rFonts w:ascii="仿宋_GB2312" w:hAnsi="仿宋_GB2312" w:eastAsia="仿宋_GB2312" w:cs="仿宋_GB2312"/>
          <w:sz w:val="30"/>
          <w:szCs w:val="30"/>
        </w:rPr>
        <w:t xml:space="preserve">                    </w:t>
      </w:r>
      <w:r>
        <w:rPr>
          <w:rFonts w:ascii="仿宋_GB2312" w:hAnsi="仿宋_GB2312" w:eastAsia="仿宋_GB2312" w:cs="Times New Roman"/>
          <w:color w:val="000000"/>
          <w:sz w:val="30"/>
          <w:szCs w:val="30"/>
        </w:rPr>
        <w:t>法定代表人</w:t>
      </w:r>
      <w:r>
        <w:rPr>
          <w:rFonts w:ascii="仿宋_GB2312" w:hAnsi="仿宋_GB2312" w:eastAsia="仿宋_GB2312" w:cs="宋体"/>
          <w:sz w:val="30"/>
          <w:szCs w:val="30"/>
        </w:rPr>
        <w:t>（签名）（如适用）</w:t>
      </w:r>
      <w:r>
        <w:rPr>
          <w:rFonts w:ascii="仿宋_GB2312" w:hAnsi="仿宋_GB2312" w:eastAsia="仿宋_GB2312" w:cs="Times New Roman"/>
          <w:color w:val="000000"/>
          <w:sz w:val="30"/>
          <w:szCs w:val="30"/>
        </w:rPr>
        <w:t>：</w:t>
      </w:r>
    </w:p>
    <w:p w14:paraId="16968C26">
      <w:pPr>
        <w:pStyle w:val="44"/>
        <w:spacing w:line="540" w:lineRule="exact"/>
        <w:rPr>
          <w:rFonts w:ascii="仿宋_GB2312" w:hAnsi="仿宋_GB2312" w:eastAsia="仿宋_GB2312" w:cs="Times New Roman"/>
          <w:color w:val="000000"/>
          <w:sz w:val="30"/>
          <w:szCs w:val="30"/>
        </w:rPr>
      </w:pPr>
      <w:r>
        <w:rPr>
          <w:rFonts w:ascii="仿宋_GB2312" w:hAnsi="仿宋_GB2312" w:eastAsia="仿宋_GB2312" w:cs="仿宋_GB2312"/>
          <w:sz w:val="30"/>
          <w:szCs w:val="30"/>
        </w:rPr>
        <w:t xml:space="preserve">                    </w:t>
      </w:r>
      <w:r>
        <w:rPr>
          <w:rFonts w:ascii="仿宋_GB2312" w:hAnsi="仿宋_GB2312" w:eastAsia="仿宋_GB2312" w:cs="Times New Roman"/>
          <w:color w:val="000000"/>
          <w:sz w:val="30"/>
          <w:szCs w:val="30"/>
        </w:rPr>
        <w:t>日    期：</w:t>
      </w:r>
    </w:p>
    <w:p w14:paraId="2EBE3D64">
      <w:pPr>
        <w:pStyle w:val="44"/>
        <w:spacing w:line="540" w:lineRule="exact"/>
        <w:jc w:val="center"/>
        <w:rPr>
          <w:rFonts w:ascii="仿宋_GB2312" w:hAnsi="仿宋_GB2312" w:eastAsia="仿宋_GB2312" w:cs="Times New Roman"/>
          <w:color w:val="000000"/>
          <w:sz w:val="30"/>
          <w:szCs w:val="30"/>
        </w:rPr>
      </w:pPr>
    </w:p>
    <w:p w14:paraId="73DAECFC">
      <w:pPr>
        <w:snapToGrid w:val="0"/>
        <w:spacing w:line="540" w:lineRule="exact"/>
        <w:rPr>
          <w:rFonts w:ascii="仿宋_GB2312" w:hAnsi="仿宋_GB2312" w:eastAsia="仿宋_GB2312"/>
          <w:sz w:val="30"/>
          <w:szCs w:val="30"/>
        </w:rPr>
      </w:pPr>
      <w:r>
        <w:rPr>
          <w:rFonts w:ascii="仿宋_GB2312" w:hAnsi="仿宋_GB2312" w:eastAsia="仿宋_GB2312"/>
          <w:sz w:val="30"/>
          <w:szCs w:val="30"/>
        </w:rPr>
        <w:t>此项声明于</w:t>
      </w:r>
      <w:r>
        <w:rPr>
          <w:rFonts w:ascii="仿宋_GB2312" w:hAnsi="仿宋_GB2312" w:eastAsia="仿宋_GB2312"/>
          <w:sz w:val="30"/>
          <w:szCs w:val="30"/>
          <w:u w:val="single"/>
        </w:rPr>
        <w:t xml:space="preserve">    </w:t>
      </w:r>
      <w:r>
        <w:rPr>
          <w:rFonts w:ascii="仿宋_GB2312" w:hAnsi="仿宋_GB2312" w:eastAsia="仿宋_GB2312"/>
          <w:sz w:val="30"/>
          <w:szCs w:val="30"/>
        </w:rPr>
        <w:t>年</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月 </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日在  </w:t>
      </w:r>
      <w:r>
        <w:rPr>
          <w:rFonts w:ascii="仿宋_GB2312" w:hAnsi="仿宋_GB2312" w:eastAsia="仿宋_GB2312"/>
          <w:sz w:val="30"/>
          <w:szCs w:val="30"/>
          <w:u w:val="single"/>
        </w:rPr>
        <w:t xml:space="preserve">       </w:t>
      </w:r>
      <w:r>
        <w:rPr>
          <w:rFonts w:ascii="仿宋_GB2312" w:hAnsi="仿宋_GB2312" w:eastAsia="仿宋_GB2312"/>
          <w:sz w:val="30"/>
          <w:szCs w:val="30"/>
        </w:rPr>
        <w:t>（地点）作出。</w:t>
      </w:r>
    </w:p>
    <w:p w14:paraId="04A123EC">
      <w:pPr>
        <w:snapToGrid w:val="0"/>
        <w:spacing w:line="540" w:lineRule="exact"/>
        <w:rPr>
          <w:rFonts w:ascii="仿宋_GB2312" w:hAnsi="仿宋_GB2312" w:eastAsia="仿宋_GB2312"/>
          <w:sz w:val="30"/>
          <w:szCs w:val="30"/>
        </w:rPr>
      </w:pPr>
    </w:p>
    <w:p w14:paraId="4C5DAD34">
      <w:pPr>
        <w:pStyle w:val="44"/>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见证律师：</w:t>
      </w:r>
    </w:p>
    <w:p w14:paraId="2E5D06A9">
      <w:pPr>
        <w:pStyle w:val="44"/>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日    期：</w:t>
      </w:r>
      <w:r>
        <w:br w:type="page"/>
      </w:r>
    </w:p>
    <w:p w14:paraId="52FE4839">
      <w:pPr>
        <w:pStyle w:val="44"/>
        <w:spacing w:line="540" w:lineRule="exact"/>
        <w:jc w:val="center"/>
        <w:rPr>
          <w:rFonts w:ascii="仿宋_GB2312" w:hAnsi="仿宋_GB2312" w:eastAsia="仿宋_GB2312" w:cs="Times New Roman"/>
          <w:b/>
          <w:color w:val="000000"/>
          <w:sz w:val="30"/>
          <w:szCs w:val="30"/>
        </w:rPr>
      </w:pPr>
      <w:r>
        <w:rPr>
          <w:rFonts w:ascii="仿宋_GB2312" w:hAnsi="仿宋_GB2312" w:eastAsia="仿宋_GB2312" w:cs="Times New Roman"/>
          <w:b/>
          <w:color w:val="000000"/>
          <w:sz w:val="30"/>
          <w:szCs w:val="30"/>
        </w:rPr>
        <w:t>第二部分  承  诺</w:t>
      </w:r>
    </w:p>
    <w:p w14:paraId="7ECDBEA1">
      <w:pPr>
        <w:pStyle w:val="44"/>
        <w:spacing w:line="540" w:lineRule="exact"/>
        <w:ind w:right="0" w:firstLine="600"/>
        <w:rPr>
          <w:rFonts w:ascii="仿宋_GB2312" w:hAnsi="仿宋_GB2312" w:eastAsia="仿宋_GB2312" w:cs="宋体"/>
          <w:b/>
          <w:color w:val="000000"/>
          <w:sz w:val="30"/>
          <w:szCs w:val="30"/>
          <w:u w:val="single"/>
        </w:rPr>
      </w:pPr>
    </w:p>
    <w:p w14:paraId="018D1A36">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宋体"/>
          <w:sz w:val="30"/>
          <w:szCs w:val="30"/>
        </w:rPr>
        <w:t>本单位/本人</w:t>
      </w:r>
      <w:r>
        <w:rPr>
          <w:rFonts w:ascii="仿宋_GB2312" w:hAnsi="仿宋_GB2312" w:eastAsia="仿宋_GB2312" w:cs="宋体"/>
          <w:sz w:val="30"/>
          <w:szCs w:val="30"/>
          <w:u w:val="single"/>
        </w:rPr>
        <w:t xml:space="preserve">            </w:t>
      </w:r>
      <w:r>
        <w:rPr>
          <w:rFonts w:ascii="仿宋_GB2312" w:hAnsi="仿宋_GB2312" w:eastAsia="仿宋_GB2312" w:cs="Times New Roman"/>
          <w:color w:val="000000"/>
          <w:sz w:val="30"/>
          <w:szCs w:val="30"/>
        </w:rPr>
        <w:t>（正楷体）作为</w:t>
      </w:r>
      <w:r>
        <w:rPr>
          <w:rFonts w:ascii="仿宋_GB2312" w:hAnsi="仿宋_GB2312" w:eastAsia="仿宋_GB2312" w:cs="宋体"/>
          <w:sz w:val="30"/>
          <w:szCs w:val="30"/>
          <w:u w:val="single"/>
        </w:rPr>
        <w:t xml:space="preserve">            </w:t>
      </w:r>
      <w:r>
        <w:rPr>
          <w:rFonts w:ascii="仿宋_GB2312" w:hAnsi="仿宋_GB2312" w:eastAsia="仿宋_GB2312" w:cs="Times New Roman"/>
          <w:color w:val="000000"/>
          <w:sz w:val="30"/>
          <w:szCs w:val="30"/>
        </w:rPr>
        <w:t>股份有限公司（以下简称上市公司）的控股股东（或者实际控制人），向上海证券交易所承诺：</w:t>
      </w:r>
    </w:p>
    <w:p w14:paraId="6C529EE7">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一、本单位/本人保证严格遵守并促使上市公司严格遵守国家法律、法规和规章</w:t>
      </w:r>
      <w:r>
        <w:rPr>
          <w:rFonts w:ascii="仿宋_GB2312" w:hAnsi="仿宋_GB2312" w:eastAsia="仿宋_GB2312" w:cs="宋体"/>
          <w:sz w:val="30"/>
          <w:szCs w:val="30"/>
        </w:rPr>
        <w:t>等有关规定。</w:t>
      </w:r>
    </w:p>
    <w:p w14:paraId="24139CEF">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二、本单位/本人保证严格遵守并促使上市公司严格遵守</w:t>
      </w:r>
      <w:r>
        <w:rPr>
          <w:rFonts w:ascii="仿宋_GB2312" w:hAnsi="仿宋_GB2312" w:eastAsia="仿宋_GB2312" w:cs="宋体"/>
          <w:sz w:val="30"/>
          <w:szCs w:val="30"/>
        </w:rPr>
        <w:t>中国证监会发布的规章、规定和通知等有关要求。</w:t>
      </w:r>
    </w:p>
    <w:p w14:paraId="557A1B08">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三、本单位/本人保证严格遵守并促使上市公司严格遵守《上海证券交易所股票上市规则》和上海证券交易所</w:t>
      </w:r>
      <w:r>
        <w:rPr>
          <w:rFonts w:ascii="仿宋_GB2312" w:hAnsi="仿宋_GB2312" w:eastAsia="仿宋_GB2312" w:cs="宋体"/>
          <w:sz w:val="30"/>
          <w:szCs w:val="30"/>
        </w:rPr>
        <w:t>发布的其他业务规则、规定和通知等</w:t>
      </w:r>
      <w:r>
        <w:rPr>
          <w:rFonts w:ascii="仿宋_GB2312" w:hAnsi="仿宋_GB2312" w:eastAsia="仿宋_GB2312" w:cs="Times New Roman"/>
          <w:color w:val="000000"/>
          <w:sz w:val="30"/>
          <w:szCs w:val="30"/>
        </w:rPr>
        <w:t>。</w:t>
      </w:r>
    </w:p>
    <w:p w14:paraId="0D8189DE">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四、本单位/本人保证严格遵守并促使上市公司严格遵守公司章程。</w:t>
      </w:r>
    </w:p>
    <w:p w14:paraId="10C8136F">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五、本单位/本人保证依法行使股东权利，不滥用股东权利，不损害并促使本单位/本人控制的其他单位不损害上市公司或者其他股东的利益，包括但不限于：</w:t>
      </w:r>
    </w:p>
    <w:p w14:paraId="67F3B165">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（一）不以任何方式违规占用上市公司资金及要求上市公司违规提供担保；</w:t>
      </w:r>
    </w:p>
    <w:p w14:paraId="606DDC69">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（二）不通过关联交易、利润分配、资产重组、对外投资等方式损害上市公司利益，侵害上市公司财产权利，谋取上市公司商业机会和核心技术；</w:t>
      </w:r>
    </w:p>
    <w:p w14:paraId="0D99F31F">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（三）不利用上市公司未公开重大信息谋取利益，不以任何方式泄漏有关上市公司的未公开重大信息，不从事内幕交易、短线交易和操纵市场等违法违规行为；</w:t>
      </w:r>
    </w:p>
    <w:p w14:paraId="181910D0">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（四）不以任何方式影响上市公司的独立性，保证上市公司资产完整、业务及人员独立、财务独立和机构独立；</w:t>
      </w:r>
    </w:p>
    <w:p w14:paraId="5DE12F52">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（五）遵守法律法规和公司章程，不以任何方式直接或间接干预公司决策和经营活动；</w:t>
      </w:r>
    </w:p>
    <w:p w14:paraId="7C0323A4">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（六）配合上市公司履行信息披露义务,不以任何方式要求或者协助上市公司隐瞒重要信息。</w:t>
      </w:r>
    </w:p>
    <w:p w14:paraId="0710FB0C">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本单位/本人及本单位/本人的关联人存在占用上市公司资金或者要求上市公司违法违规提供担保的，在占用资金全部归还、违规担保全部解除之前不转让上市公司控制权，但转让控制权所得资金用以清偿占用资金、解除违规担保的除外。</w:t>
      </w:r>
    </w:p>
    <w:p w14:paraId="115E847A">
      <w:pPr>
        <w:widowControl/>
        <w:shd w:val="clear" w:fill="FFFFFF"/>
        <w:spacing w:line="560" w:lineRule="exact"/>
        <w:ind w:right="0" w:firstLine="601"/>
        <w:rPr>
          <w:rFonts w:ascii="仿宋_GB2312" w:hAnsi="仿宋_GB2312" w:eastAsia="仿宋_GB2312" w:cs="Times New Roman"/>
          <w:color w:val="000000"/>
          <w:sz w:val="30"/>
          <w:szCs w:val="30"/>
        </w:rPr>
      </w:pPr>
      <w:r>
        <w:rPr>
          <w:rFonts w:ascii="仿宋_GB2312" w:hAnsi="仿宋_GB2312" w:eastAsia="仿宋_GB2312"/>
          <w:sz w:val="30"/>
          <w:szCs w:val="30"/>
        </w:rPr>
        <w:t>六、本单位/本人承诺促使上市公司严格遵守科学伦理规范，尊重科学精神，恪守应有的价值观念、社会责任和行为规范，发挥科学技术的正面效应；</w:t>
      </w:r>
      <w:r>
        <w:rPr>
          <w:rFonts w:ascii="仿宋_GB2312" w:hAnsi="仿宋_GB2312" w:eastAsia="仿宋_GB2312" w:cs="Times New Roman"/>
          <w:color w:val="000000"/>
          <w:kern w:val="0"/>
          <w:sz w:val="30"/>
          <w:szCs w:val="30"/>
        </w:rPr>
        <w:t>避免研究、开发和使用危害自然环境、生命健康、公共安全、伦理道德的科学技术，不从事侵犯个人基本权利或者损害社会公共利益的研发和经营活动。</w:t>
      </w:r>
    </w:p>
    <w:p w14:paraId="52ED8C27">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七、对上市公司招股说明书、募集说明书等证券发行文件中存在的虚假记载、误导性陈述或者重大遗漏负有责任，致使投资者在证券交易中遭受损失的，本单位/本人将依法赔偿投资者的损失。</w:t>
      </w:r>
    </w:p>
    <w:p w14:paraId="03AF9781">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八、本单位/本人保证严格履行本单位作出的与上市公司相关的各项承诺，不擅自变更或者解除。</w:t>
      </w:r>
    </w:p>
    <w:p w14:paraId="7FB3F500">
      <w:pPr>
        <w:pStyle w:val="6"/>
        <w:snapToGrid w:val="0"/>
        <w:spacing w:before="0" w:after="0" w:line="540" w:lineRule="exact"/>
        <w:ind w:right="0" w:firstLine="600"/>
        <w:rPr>
          <w:rFonts w:ascii="仿宋_GB2312" w:hAnsi="仿宋_GB2312" w:eastAsia="仿宋_GB2312"/>
          <w:sz w:val="30"/>
          <w:szCs w:val="30"/>
        </w:rPr>
      </w:pPr>
      <w:r>
        <w:rPr>
          <w:rFonts w:ascii="仿宋_GB2312" w:hAnsi="仿宋_GB2312" w:eastAsia="仿宋_GB2312"/>
          <w:sz w:val="30"/>
          <w:szCs w:val="30"/>
        </w:rPr>
        <w:t>九、本单位/本人保证严格按照法律、行政法规、部门规章、规范性文件、《上海证券交易所股票上市规则》和上海证券交易所其他相关规定履行信息披露义务，并积极主动配合上市公司做好信息披露工作，及时告知上市公司已发生或者拟发生的重大事件。</w:t>
      </w:r>
    </w:p>
    <w:p w14:paraId="1B2E7953">
      <w:pPr>
        <w:pStyle w:val="6"/>
        <w:snapToGrid w:val="0"/>
        <w:spacing w:before="0" w:after="0" w:line="540" w:lineRule="exact"/>
        <w:ind w:right="0" w:firstLine="600"/>
        <w:rPr>
          <w:rFonts w:ascii="仿宋_GB2312" w:hAnsi="仿宋_GB2312" w:eastAsia="仿宋_GB2312"/>
          <w:sz w:val="30"/>
          <w:szCs w:val="30"/>
        </w:rPr>
      </w:pPr>
      <w:bookmarkStart w:id="65" w:name="OLE_LINK20"/>
      <w:bookmarkEnd w:id="65"/>
      <w:bookmarkStart w:id="66" w:name="OLE_LINK19"/>
      <w:bookmarkEnd w:id="66"/>
      <w:r>
        <w:rPr>
          <w:rFonts w:ascii="仿宋_GB2312" w:hAnsi="仿宋_GB2312" w:eastAsia="仿宋_GB2312"/>
          <w:sz w:val="30"/>
          <w:szCs w:val="30"/>
        </w:rPr>
        <w:t>十、</w:t>
      </w:r>
      <w:r>
        <w:rPr>
          <w:rFonts w:ascii="仿宋_GB2312" w:hAnsi="仿宋_GB2312" w:eastAsia="仿宋_GB2312" w:cs="宋体"/>
          <w:sz w:val="30"/>
          <w:szCs w:val="30"/>
        </w:rPr>
        <w:t>本单位/本人接受上海证券交易所的</w:t>
      </w:r>
      <w:r>
        <w:rPr>
          <w:rFonts w:ascii="仿宋_GB2312" w:hAnsi="仿宋_GB2312" w:eastAsia="仿宋_GB2312"/>
          <w:sz w:val="30"/>
          <w:szCs w:val="30"/>
        </w:rPr>
        <w:t>监管，包括及时、如实地答复上海证券交易所向本单位提出的任何问题，及时提供《上海证券交易所股票上市规则》和上海证券交易所的其他相关规定报送资料及提供的其他文件的正本或者副本，并出席本单位被要求出席的任何会议，接受上海证券交易所采取的监管措施和纪律处分等。</w:t>
      </w:r>
    </w:p>
    <w:p w14:paraId="7C714472">
      <w:pPr>
        <w:pStyle w:val="6"/>
        <w:snapToGrid w:val="0"/>
        <w:spacing w:before="0" w:after="0" w:line="540" w:lineRule="exact"/>
        <w:ind w:right="0" w:firstLine="600"/>
        <w:rPr>
          <w:rFonts w:ascii="仿宋_GB2312" w:hAnsi="仿宋_GB2312" w:eastAsia="仿宋_GB2312" w:cs="宋体"/>
          <w:sz w:val="30"/>
          <w:szCs w:val="30"/>
        </w:rPr>
      </w:pPr>
      <w:bookmarkStart w:id="67" w:name="OLE_LINK19"/>
      <w:bookmarkEnd w:id="67"/>
      <w:bookmarkStart w:id="68" w:name="OLE_LINK20"/>
      <w:bookmarkEnd w:id="68"/>
      <w:r>
        <w:rPr>
          <w:rFonts w:ascii="仿宋_GB2312" w:hAnsi="仿宋_GB2312" w:eastAsia="仿宋_GB2312"/>
          <w:sz w:val="30"/>
          <w:szCs w:val="30"/>
        </w:rPr>
        <w:t>十一、</w:t>
      </w:r>
      <w:r>
        <w:rPr>
          <w:rFonts w:ascii="仿宋_GB2312" w:hAnsi="仿宋_GB2312" w:eastAsia="仿宋_GB2312" w:cs="宋体"/>
          <w:sz w:val="30"/>
          <w:szCs w:val="30"/>
        </w:rPr>
        <w:t>本单位/本人授权上海证券交易所将本单位提供的声明与承诺资料向中国证监会报告。</w:t>
      </w:r>
    </w:p>
    <w:p w14:paraId="4C346EF1">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十二、本单位/本人如违反上述承诺和保证，愿意承担由此引起的一切法律责任。</w:t>
      </w:r>
    </w:p>
    <w:p w14:paraId="4E1696EA">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十三、本单位/本人因履行本承诺而与上海证券交易所发生争议提起诉讼时，由上海证券交易所住所地有管辖权的法院管辖。</w:t>
      </w:r>
    </w:p>
    <w:p w14:paraId="1DA79007">
      <w:pPr>
        <w:pStyle w:val="44"/>
        <w:spacing w:line="540" w:lineRule="exact"/>
        <w:ind w:right="0" w:firstLine="600"/>
        <w:rPr>
          <w:rFonts w:ascii="仿宋_GB2312" w:hAnsi="仿宋_GB2312" w:eastAsia="仿宋_GB2312" w:cs="Times New Roman"/>
          <w:color w:val="000000"/>
          <w:sz w:val="30"/>
          <w:szCs w:val="30"/>
        </w:rPr>
      </w:pPr>
    </w:p>
    <w:p w14:paraId="38B44376">
      <w:pPr>
        <w:pStyle w:val="44"/>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承诺人（盖章/签名）：</w:t>
      </w:r>
    </w:p>
    <w:p w14:paraId="66AC23DD">
      <w:pPr>
        <w:pStyle w:val="44"/>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法定代表人（签名）（如适用）：</w:t>
      </w:r>
    </w:p>
    <w:p w14:paraId="0E575958">
      <w:pPr>
        <w:pStyle w:val="44"/>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日    期：</w:t>
      </w:r>
    </w:p>
    <w:p w14:paraId="0BB4E282">
      <w:pPr>
        <w:pStyle w:val="44"/>
        <w:spacing w:line="540" w:lineRule="exact"/>
        <w:jc w:val="center"/>
        <w:rPr>
          <w:rFonts w:ascii="仿宋_GB2312" w:hAnsi="仿宋_GB2312" w:eastAsia="仿宋_GB2312" w:cs="Times New Roman"/>
          <w:color w:val="000000"/>
          <w:sz w:val="30"/>
          <w:szCs w:val="30"/>
        </w:rPr>
      </w:pPr>
    </w:p>
    <w:p w14:paraId="4B47683A">
      <w:pPr>
        <w:snapToGrid w:val="0"/>
        <w:spacing w:line="540" w:lineRule="exact"/>
        <w:rPr>
          <w:rFonts w:ascii="仿宋_GB2312" w:hAnsi="仿宋_GB2312" w:eastAsia="仿宋_GB2312"/>
          <w:sz w:val="30"/>
          <w:szCs w:val="30"/>
        </w:rPr>
      </w:pPr>
      <w:r>
        <w:rPr>
          <w:rFonts w:ascii="仿宋_GB2312" w:hAnsi="仿宋_GB2312" w:eastAsia="仿宋_GB2312"/>
          <w:sz w:val="30"/>
          <w:szCs w:val="30"/>
        </w:rPr>
        <w:t>此项承诺于</w:t>
      </w:r>
      <w:r>
        <w:rPr>
          <w:rFonts w:ascii="仿宋_GB2312" w:hAnsi="仿宋_GB2312" w:eastAsia="仿宋_GB2312"/>
          <w:sz w:val="30"/>
          <w:szCs w:val="30"/>
          <w:u w:val="single"/>
        </w:rPr>
        <w:t xml:space="preserve">    </w:t>
      </w:r>
      <w:r>
        <w:rPr>
          <w:rFonts w:ascii="仿宋_GB2312" w:hAnsi="仿宋_GB2312" w:eastAsia="仿宋_GB2312"/>
          <w:sz w:val="30"/>
          <w:szCs w:val="30"/>
        </w:rPr>
        <w:t>年</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月 </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日在  </w:t>
      </w:r>
      <w:r>
        <w:rPr>
          <w:rFonts w:ascii="仿宋_GB2312" w:hAnsi="仿宋_GB2312" w:eastAsia="仿宋_GB2312"/>
          <w:sz w:val="30"/>
          <w:szCs w:val="30"/>
          <w:u w:val="single"/>
        </w:rPr>
        <w:t xml:space="preserve">       </w:t>
      </w:r>
      <w:r>
        <w:rPr>
          <w:rFonts w:ascii="仿宋_GB2312" w:hAnsi="仿宋_GB2312" w:eastAsia="仿宋_GB2312"/>
          <w:sz w:val="30"/>
          <w:szCs w:val="30"/>
        </w:rPr>
        <w:t>（地点）作出。</w:t>
      </w:r>
    </w:p>
    <w:p w14:paraId="294B40C0">
      <w:pPr>
        <w:snapToGrid w:val="0"/>
        <w:spacing w:line="540" w:lineRule="exact"/>
        <w:rPr>
          <w:rFonts w:ascii="仿宋_GB2312" w:hAnsi="仿宋_GB2312" w:eastAsia="仿宋_GB2312"/>
          <w:sz w:val="30"/>
          <w:szCs w:val="30"/>
        </w:rPr>
      </w:pPr>
    </w:p>
    <w:p w14:paraId="28395C04">
      <w:pPr>
        <w:pStyle w:val="44"/>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见证律师：</w:t>
      </w:r>
    </w:p>
    <w:p w14:paraId="367C6FDA">
      <w:pPr>
        <w:pStyle w:val="44"/>
        <w:spacing w:line="540" w:lineRule="exact"/>
      </w:pPr>
      <w:r>
        <w:rPr>
          <w:rFonts w:ascii="仿宋_GB2312" w:hAnsi="仿宋_GB2312" w:eastAsia="仿宋_GB2312" w:cs="仿宋_GB2312"/>
          <w:sz w:val="30"/>
          <w:szCs w:val="30"/>
        </w:rPr>
        <w:t xml:space="preserve">                    </w:t>
      </w:r>
      <w:r>
        <w:rPr>
          <w:rFonts w:ascii="仿宋_GB2312" w:hAnsi="仿宋_GB2312" w:eastAsia="仿宋_GB2312" w:cs="宋体"/>
          <w:sz w:val="30"/>
          <w:szCs w:val="30"/>
        </w:rPr>
        <w:t>日    期：</w:t>
      </w:r>
    </w:p>
    <w:p w14:paraId="3F9E9EA9">
      <w:pPr>
        <w:spacing w:line="560" w:lineRule="exact"/>
        <w:rPr>
          <w:rFonts w:ascii="仿宋_GB2312" w:hAnsi="仿宋_GB2312" w:eastAsia="仿宋_GB2312"/>
          <w:sz w:val="28"/>
        </w:rPr>
      </w:pPr>
    </w:p>
    <w:p w14:paraId="108046FC">
      <w:pPr>
        <w:widowControl/>
        <w:jc w:val="left"/>
        <w:rPr>
          <w:rFonts w:ascii="仿宋_GB2312" w:hAnsi="仿宋_GB2312" w:eastAsia="仿宋_GB2312" w:cs="Times New Roman"/>
          <w:b/>
          <w:bCs/>
          <w:sz w:val="30"/>
          <w:szCs w:val="30"/>
        </w:rPr>
      </w:pPr>
      <w:r>
        <w:br w:type="page"/>
      </w:r>
    </w:p>
    <w:p w14:paraId="25874293">
      <w:pPr>
        <w:snapToGrid w:val="0"/>
        <w:spacing w:line="560" w:lineRule="exact"/>
        <w:ind w:right="0" w:firstLine="602"/>
        <w:jc w:val="left"/>
        <w:rPr>
          <w:rFonts w:ascii="仿宋_GB2312" w:hAnsi="仿宋_GB2312" w:eastAsia="仿宋_GB2312" w:cs="Times New Roman"/>
          <w:b/>
          <w:bCs/>
          <w:sz w:val="30"/>
          <w:szCs w:val="30"/>
        </w:rPr>
      </w:pPr>
      <w:r>
        <w:rPr>
          <w:rFonts w:ascii="仿宋_GB2312" w:hAnsi="仿宋_GB2312" w:eastAsia="仿宋_GB2312" w:cs="Times New Roman"/>
          <w:b/>
          <w:bCs/>
          <w:sz w:val="30"/>
          <w:szCs w:val="30"/>
        </w:rPr>
        <w:t>附件7</w:t>
      </w:r>
    </w:p>
    <w:p w14:paraId="6092533B">
      <w:pPr>
        <w:snapToGrid w:val="0"/>
        <w:spacing w:line="560" w:lineRule="exact"/>
        <w:ind w:right="0" w:firstLine="602"/>
        <w:jc w:val="left"/>
        <w:rPr>
          <w:rFonts w:ascii="仿宋_GB2312" w:hAnsi="仿宋_GB2312" w:eastAsia="仿宋_GB2312" w:cs="Times New Roman"/>
          <w:b/>
          <w:bCs/>
          <w:sz w:val="30"/>
          <w:szCs w:val="30"/>
        </w:rPr>
      </w:pPr>
    </w:p>
    <w:p w14:paraId="18A1B3EF">
      <w:pPr>
        <w:keepNext/>
        <w:keepLines/>
        <w:numPr>
          <w:ilvl w:val="0"/>
          <w:numId w:val="0"/>
        </w:numPr>
        <w:spacing w:line="540" w:lineRule="exact"/>
        <w:jc w:val="center"/>
        <w:outlineLvl w:val="0"/>
        <w:rPr>
          <w:rFonts w:ascii="黑体" w:hAnsi="黑体" w:eastAsia="黑体" w:cs="Arial Unicode MS;Times New Roma"/>
          <w:b/>
          <w:bCs/>
          <w:kern w:val="2"/>
          <w:sz w:val="44"/>
          <w:szCs w:val="44"/>
        </w:rPr>
      </w:pPr>
      <w:bookmarkStart w:id="69" w:name="__RefHeading___Toc189646171"/>
      <w:bookmarkEnd w:id="69"/>
      <w:r>
        <w:rPr>
          <w:rFonts w:ascii="黑体" w:hAnsi="黑体" w:eastAsia="黑体" w:cs="Arial Unicode MS;Times New Roma"/>
          <w:b/>
          <w:bCs/>
          <w:kern w:val="2"/>
          <w:sz w:val="44"/>
          <w:szCs w:val="44"/>
        </w:rPr>
        <w:t>红筹企业董事声明及承诺书</w:t>
      </w:r>
    </w:p>
    <w:p w14:paraId="1AB7E946">
      <w:pPr>
        <w:snapToGrid w:val="0"/>
        <w:spacing w:line="560" w:lineRule="exact"/>
        <w:jc w:val="center"/>
        <w:rPr>
          <w:rFonts w:ascii="仿宋_GB2312" w:hAnsi="仿宋_GB2312" w:eastAsia="仿宋_GB2312" w:cs="Arial Unicode MS;Times New Roma"/>
          <w:b/>
          <w:bCs/>
          <w:kern w:val="2"/>
          <w:sz w:val="30"/>
          <w:szCs w:val="30"/>
        </w:rPr>
      </w:pPr>
    </w:p>
    <w:p w14:paraId="062A10E6">
      <w:pPr>
        <w:snapToGrid w:val="0"/>
        <w:spacing w:line="540" w:lineRule="exact"/>
        <w:jc w:val="center"/>
        <w:rPr>
          <w:rFonts w:ascii="仿宋_GB2312" w:hAnsi="仿宋_GB2312" w:eastAsia="仿宋_GB2312"/>
          <w:b/>
          <w:sz w:val="30"/>
          <w:szCs w:val="30"/>
        </w:rPr>
      </w:pPr>
      <w:r>
        <w:rPr>
          <w:rFonts w:ascii="仿宋_GB2312" w:hAnsi="仿宋_GB2312" w:eastAsia="仿宋_GB2312"/>
          <w:b/>
          <w:sz w:val="30"/>
          <w:szCs w:val="30"/>
        </w:rPr>
        <w:t>第一部分  声  明</w:t>
      </w:r>
    </w:p>
    <w:p w14:paraId="4F730D3F">
      <w:pPr>
        <w:snapToGrid w:val="0"/>
        <w:spacing w:line="540" w:lineRule="exact"/>
        <w:jc w:val="center"/>
        <w:rPr>
          <w:rFonts w:ascii="仿宋_GB2312" w:hAnsi="仿宋_GB2312" w:eastAsia="仿宋_GB2312"/>
          <w:b/>
          <w:sz w:val="30"/>
          <w:szCs w:val="30"/>
        </w:rPr>
      </w:pPr>
    </w:p>
    <w:p w14:paraId="6336FED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一、基本情况</w:t>
      </w:r>
    </w:p>
    <w:p w14:paraId="71A6809D">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1.上市公司名称：</w:t>
      </w:r>
      <w:r>
        <w:rPr>
          <w:rFonts w:ascii="仿宋_GB2312" w:hAnsi="仿宋_GB2312" w:eastAsia="仿宋_GB2312"/>
          <w:sz w:val="30"/>
          <w:szCs w:val="30"/>
          <w:u w:val="single"/>
        </w:rPr>
        <w:t xml:space="preserve">                                       </w:t>
      </w:r>
    </w:p>
    <w:p w14:paraId="09D3E06C">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rPr>
        <w:t>2.上市公司股票或者存托凭证简称：</w:t>
      </w:r>
      <w:r>
        <w:rPr>
          <w:rFonts w:ascii="仿宋_GB2312" w:hAnsi="仿宋_GB2312" w:eastAsia="仿宋_GB2312"/>
          <w:sz w:val="30"/>
          <w:szCs w:val="30"/>
          <w:u w:val="single"/>
        </w:rPr>
        <w:t xml:space="preserve">                     </w:t>
      </w:r>
    </w:p>
    <w:p w14:paraId="04B9EFD6">
      <w:pPr>
        <w:snapToGrid w:val="0"/>
        <w:spacing w:line="540" w:lineRule="exact"/>
        <w:ind w:right="0" w:firstLine="900"/>
        <w:rPr>
          <w:rFonts w:ascii="仿宋_GB2312" w:hAnsi="仿宋_GB2312" w:eastAsia="仿宋_GB2312"/>
          <w:sz w:val="30"/>
          <w:szCs w:val="30"/>
        </w:rPr>
      </w:pPr>
      <w:r>
        <w:rPr>
          <w:rFonts w:ascii="仿宋_GB2312" w:hAnsi="仿宋_GB2312" w:eastAsia="仿宋_GB2312"/>
          <w:sz w:val="30"/>
          <w:szCs w:val="30"/>
        </w:rPr>
        <w:t>上市公司股票或者存托凭证代码：</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  </w:t>
      </w:r>
    </w:p>
    <w:p w14:paraId="6EA39C9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3.本人姓名：</w:t>
      </w:r>
      <w:r>
        <w:rPr>
          <w:rFonts w:ascii="仿宋_GB2312" w:hAnsi="仿宋_GB2312" w:eastAsia="仿宋_GB2312"/>
          <w:sz w:val="30"/>
          <w:szCs w:val="30"/>
          <w:u w:val="single"/>
        </w:rPr>
        <w:t xml:space="preserve">                     </w:t>
      </w:r>
      <w:r>
        <w:rPr>
          <w:rFonts w:ascii="仿宋_GB2312" w:hAnsi="仿宋_GB2312" w:eastAsia="仿宋_GB2312"/>
          <w:sz w:val="30"/>
          <w:szCs w:val="30"/>
        </w:rPr>
        <w:t>职务：</w:t>
      </w:r>
      <w:r>
        <w:rPr>
          <w:rFonts w:ascii="仿宋_GB2312" w:hAnsi="仿宋_GB2312" w:eastAsia="仿宋_GB2312"/>
          <w:sz w:val="30"/>
          <w:szCs w:val="30"/>
          <w:u w:val="single"/>
        </w:rPr>
        <w:t xml:space="preserve">                  </w:t>
      </w:r>
    </w:p>
    <w:p w14:paraId="0C023190">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4.别名：</w:t>
      </w:r>
      <w:r>
        <w:rPr>
          <w:rFonts w:ascii="仿宋_GB2312" w:hAnsi="仿宋_GB2312" w:eastAsia="仿宋_GB2312"/>
          <w:sz w:val="30"/>
          <w:szCs w:val="30"/>
          <w:u w:val="single"/>
        </w:rPr>
        <w:t xml:space="preserve">                                                 </w:t>
      </w:r>
    </w:p>
    <w:p w14:paraId="4C613C0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5.曾用名：</w:t>
      </w:r>
      <w:r>
        <w:rPr>
          <w:rFonts w:ascii="仿宋_GB2312" w:hAnsi="仿宋_GB2312" w:eastAsia="仿宋_GB2312"/>
          <w:sz w:val="30"/>
          <w:szCs w:val="30"/>
          <w:u w:val="single"/>
        </w:rPr>
        <w:t xml:space="preserve">                                               </w:t>
      </w:r>
    </w:p>
    <w:p w14:paraId="283EA9BB">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6.出生日期：</w:t>
      </w:r>
      <w:r>
        <w:rPr>
          <w:rFonts w:ascii="仿宋_GB2312" w:hAnsi="仿宋_GB2312" w:eastAsia="仿宋_GB2312"/>
          <w:sz w:val="30"/>
          <w:szCs w:val="30"/>
          <w:u w:val="single"/>
        </w:rPr>
        <w:t xml:space="preserve">                                             </w:t>
      </w:r>
    </w:p>
    <w:p w14:paraId="53CA134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7.联系地址：</w:t>
      </w:r>
      <w:r>
        <w:rPr>
          <w:rFonts w:ascii="仿宋_GB2312" w:hAnsi="仿宋_GB2312" w:eastAsia="仿宋_GB2312"/>
          <w:sz w:val="30"/>
          <w:szCs w:val="30"/>
          <w:u w:val="single"/>
        </w:rPr>
        <w:t xml:space="preserve">                                                 </w:t>
      </w:r>
    </w:p>
    <w:p w14:paraId="38839304">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8.国籍：</w:t>
      </w:r>
      <w:r>
        <w:rPr>
          <w:rFonts w:ascii="仿宋_GB2312" w:hAnsi="仿宋_GB2312" w:eastAsia="仿宋_GB2312"/>
          <w:sz w:val="30"/>
          <w:szCs w:val="30"/>
          <w:u w:val="single"/>
        </w:rPr>
        <w:t xml:space="preserve">                                                 </w:t>
      </w:r>
    </w:p>
    <w:p w14:paraId="14A680C3">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9.专业资格（如适用）：</w:t>
      </w:r>
      <w:r>
        <w:rPr>
          <w:rFonts w:ascii="仿宋_GB2312" w:hAnsi="仿宋_GB2312" w:eastAsia="仿宋_GB2312"/>
          <w:sz w:val="30"/>
          <w:szCs w:val="30"/>
          <w:u w:val="single"/>
        </w:rPr>
        <w:t xml:space="preserve">                                   </w:t>
      </w:r>
    </w:p>
    <w:p w14:paraId="12992653">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10.中国身份证号码（如适用）：</w:t>
      </w:r>
      <w:r>
        <w:rPr>
          <w:rFonts w:ascii="仿宋_GB2312" w:hAnsi="仿宋_GB2312" w:eastAsia="仿宋_GB2312"/>
          <w:sz w:val="30"/>
          <w:szCs w:val="30"/>
          <w:u w:val="single"/>
        </w:rPr>
        <w:t xml:space="preserve">                                          </w:t>
      </w:r>
    </w:p>
    <w:p w14:paraId="6D60F48B">
      <w:pPr>
        <w:tabs>
          <w:tab w:val="left" w:pos="3075"/>
        </w:tabs>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11.护照号码（如适用）：</w:t>
      </w:r>
      <w:r>
        <w:rPr>
          <w:rFonts w:ascii="仿宋_GB2312" w:hAnsi="仿宋_GB2312" w:eastAsia="仿宋_GB2312"/>
          <w:sz w:val="30"/>
          <w:szCs w:val="30"/>
          <w:u w:val="single"/>
        </w:rPr>
        <w:t xml:space="preserve">                                   </w:t>
      </w:r>
    </w:p>
    <w:p w14:paraId="745AF1C7">
      <w:pPr>
        <w:tabs>
          <w:tab w:val="left" w:pos="3075"/>
        </w:tabs>
        <w:snapToGrid w:val="0"/>
        <w:spacing w:line="540" w:lineRule="exact"/>
        <w:ind w:right="0" w:firstLine="600"/>
        <w:jc w:val="left"/>
        <w:rPr>
          <w:rFonts w:ascii="仿宋_GB2312" w:hAnsi="仿宋_GB2312" w:eastAsia="仿宋_GB2312"/>
          <w:sz w:val="30"/>
          <w:szCs w:val="30"/>
          <w:u w:val="single"/>
        </w:rPr>
      </w:pPr>
      <w:r>
        <w:rPr>
          <w:rFonts w:ascii="仿宋_GB2312" w:hAnsi="仿宋_GB2312" w:eastAsia="仿宋_GB2312"/>
          <w:sz w:val="30"/>
          <w:szCs w:val="30"/>
        </w:rPr>
        <w:t>12.最近五年的工作经历：</w:t>
      </w:r>
      <w:r>
        <w:rPr>
          <w:rFonts w:ascii="仿宋_GB2312" w:hAnsi="仿宋_GB2312" w:eastAsia="仿宋_GB2312"/>
          <w:sz w:val="30"/>
          <w:szCs w:val="30"/>
          <w:u w:val="single"/>
        </w:rPr>
        <w:t xml:space="preserve">                            </w:t>
      </w:r>
    </w:p>
    <w:p w14:paraId="2D2A4E87">
      <w:pPr>
        <w:pStyle w:val="44"/>
        <w:spacing w:line="540" w:lineRule="exact"/>
        <w:ind w:right="0" w:firstLine="600"/>
        <w:rPr>
          <w:rFonts w:ascii="仿宋_GB2312" w:hAnsi="仿宋_GB2312" w:eastAsia="仿宋_GB2312" w:cs="宋体"/>
          <w:sz w:val="30"/>
          <w:szCs w:val="30"/>
          <w:u w:val="single"/>
        </w:rPr>
      </w:pPr>
      <w:r>
        <w:rPr>
          <w:rFonts w:ascii="仿宋_GB2312" w:hAnsi="仿宋_GB2312" w:eastAsia="仿宋_GB2312" w:cs="仿宋_GB2312"/>
          <w:sz w:val="30"/>
          <w:szCs w:val="30"/>
          <w:u w:val="single"/>
        </w:rPr>
        <w:t xml:space="preserve">                                                                        </w:t>
      </w:r>
    </w:p>
    <w:p w14:paraId="3A64C212">
      <w:pPr>
        <w:spacing w:line="540" w:lineRule="exact"/>
        <w:ind w:right="0" w:firstLine="600"/>
        <w:rPr>
          <w:rFonts w:ascii="仿宋_GB2312" w:hAnsi="仿宋_GB2312" w:eastAsia="仿宋_GB2312"/>
          <w:kern w:val="2"/>
          <w:sz w:val="30"/>
          <w:szCs w:val="30"/>
        </w:rPr>
      </w:pPr>
      <w:r>
        <w:rPr>
          <w:rFonts w:ascii="仿宋_GB2312" w:hAnsi="仿宋_GB2312" w:eastAsia="仿宋_GB2312"/>
          <w:sz w:val="30"/>
          <w:szCs w:val="30"/>
        </w:rPr>
        <w:t>二、是否在其他公司任职</w:t>
      </w:r>
      <w:r>
        <w:rPr>
          <w:rFonts w:ascii="仿宋_GB2312" w:hAnsi="仿宋_GB2312" w:eastAsia="仿宋_GB2312"/>
          <w:kern w:val="2"/>
          <w:sz w:val="30"/>
          <w:szCs w:val="30"/>
        </w:rPr>
        <w:t>？</w:t>
      </w:r>
    </w:p>
    <w:p w14:paraId="0027BAD9">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2382ADF9">
      <w:pPr>
        <w:pStyle w:val="7"/>
        <w:snapToGrid w:val="0"/>
        <w:spacing w:line="540" w:lineRule="exact"/>
        <w:ind w:right="0" w:firstLine="600"/>
        <w:rPr>
          <w:rFonts w:cs="宋体"/>
          <w:sz w:val="30"/>
          <w:szCs w:val="30"/>
        </w:rPr>
      </w:pPr>
      <w:r>
        <w:rPr>
          <w:rFonts w:cs="宋体"/>
          <w:sz w:val="30"/>
          <w:szCs w:val="30"/>
        </w:rPr>
        <w:t>如是，请填报各公司的名称以及任职情况。</w:t>
      </w:r>
    </w:p>
    <w:p w14:paraId="629CAFB8">
      <w:pPr>
        <w:snapToGrid w:val="0"/>
        <w:spacing w:line="540" w:lineRule="exact"/>
        <w:ind w:right="0" w:firstLine="600"/>
        <w:rPr>
          <w:rFonts w:ascii="仿宋_GB2312" w:hAnsi="仿宋_GB2312" w:eastAsia="仿宋_GB2312" w:cs="仿宋;宋体"/>
          <w:sz w:val="30"/>
          <w:szCs w:val="30"/>
        </w:rPr>
      </w:pPr>
      <w:r>
        <w:rPr>
          <w:rFonts w:ascii="仿宋_GB2312" w:hAnsi="仿宋_GB2312" w:eastAsia="仿宋_GB2312" w:cs="仿宋;宋体"/>
          <w:sz w:val="30"/>
          <w:szCs w:val="30"/>
        </w:rPr>
        <w:t>三、是否持有上市公司特别表决权股份？</w:t>
      </w:r>
    </w:p>
    <w:p w14:paraId="7907774B">
      <w:pPr>
        <w:snapToGrid w:val="0"/>
        <w:spacing w:line="540" w:lineRule="exact"/>
        <w:ind w:right="0" w:firstLine="600"/>
        <w:rPr>
          <w:rFonts w:ascii="仿宋_GB2312" w:hAnsi="仿宋_GB2312" w:eastAsia="仿宋_GB2312" w:cs="仿宋;宋体"/>
          <w:sz w:val="30"/>
          <w:szCs w:val="30"/>
          <w:u w:val="single"/>
        </w:rPr>
      </w:pPr>
      <w:r>
        <w:rPr>
          <w:rFonts w:ascii="仿宋_GB2312" w:hAnsi="仿宋_GB2312" w:eastAsia="仿宋_GB2312" w:cs="仿宋;宋体"/>
          <w:sz w:val="30"/>
          <w:szCs w:val="30"/>
          <w:u w:val="single"/>
        </w:rPr>
        <w:t xml:space="preserve">是□  否□  </w:t>
      </w:r>
    </w:p>
    <w:p w14:paraId="30AD2FC9">
      <w:pPr>
        <w:snapToGrid w:val="0"/>
        <w:spacing w:line="540" w:lineRule="exact"/>
        <w:ind w:right="0" w:firstLine="600"/>
        <w:rPr>
          <w:rFonts w:ascii="仿宋_GB2312" w:hAnsi="仿宋_GB2312" w:eastAsia="仿宋_GB2312" w:cs="仿宋;宋体"/>
          <w:sz w:val="30"/>
          <w:szCs w:val="30"/>
        </w:rPr>
      </w:pPr>
      <w:r>
        <w:rPr>
          <w:rFonts w:ascii="仿宋_GB2312" w:hAnsi="仿宋_GB2312" w:eastAsia="仿宋_GB2312" w:cs="仿宋;宋体"/>
          <w:sz w:val="30"/>
          <w:szCs w:val="30"/>
        </w:rPr>
        <w:t>如是，请详细说明。</w:t>
      </w:r>
    </w:p>
    <w:p w14:paraId="5AAED3F3">
      <w:pPr>
        <w:snapToGrid w:val="0"/>
        <w:spacing w:line="540" w:lineRule="exact"/>
        <w:ind w:right="0" w:firstLine="600"/>
        <w:rPr>
          <w:rFonts w:ascii="仿宋_GB2312" w:hAnsi="仿宋_GB2312" w:eastAsia="仿宋_GB2312" w:cs="仿宋;宋体"/>
          <w:sz w:val="30"/>
          <w:szCs w:val="30"/>
        </w:rPr>
      </w:pPr>
      <w:r>
        <w:rPr>
          <w:rFonts w:ascii="仿宋_GB2312" w:hAnsi="仿宋_GB2312" w:eastAsia="仿宋_GB2312" w:cs="仿宋;宋体"/>
          <w:sz w:val="30"/>
          <w:szCs w:val="30"/>
        </w:rPr>
        <w:t>四、是否被中国证监会或者证券交易所认定为上市公司董事、高级管理人员的不合适人选？是否曾因违反证券交易场所业务规则或者其他相关规定而受到处分？</w:t>
      </w:r>
    </w:p>
    <w:p w14:paraId="777E226F">
      <w:pPr>
        <w:snapToGrid w:val="0"/>
        <w:spacing w:line="540" w:lineRule="exact"/>
        <w:ind w:right="0" w:firstLine="600"/>
        <w:rPr>
          <w:rFonts w:ascii="仿宋_GB2312" w:hAnsi="仿宋_GB2312" w:eastAsia="仿宋_GB2312" w:cs="仿宋;宋体"/>
          <w:sz w:val="30"/>
          <w:szCs w:val="30"/>
          <w:u w:val="single"/>
        </w:rPr>
      </w:pPr>
      <w:r>
        <w:rPr>
          <w:rFonts w:ascii="仿宋_GB2312" w:hAnsi="仿宋_GB2312" w:eastAsia="仿宋_GB2312" w:cs="仿宋;宋体"/>
          <w:sz w:val="30"/>
          <w:szCs w:val="30"/>
          <w:u w:val="single"/>
        </w:rPr>
        <w:t xml:space="preserve">是□  否□  </w:t>
      </w:r>
    </w:p>
    <w:p w14:paraId="5452306A">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cs="仿宋;宋体"/>
          <w:sz w:val="30"/>
          <w:szCs w:val="30"/>
        </w:rPr>
        <w:t>如是，请详细说明。</w:t>
      </w:r>
    </w:p>
    <w:p w14:paraId="474FB0D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五、过去十年中是否曾因违反境内外证券市场法律、法规或因涉及金融问题（如贪污、贿赂、诈骗、侵占等）而受到刑事、行政处罚或者正处于有关调查、诉讼程序中？</w:t>
      </w:r>
    </w:p>
    <w:p w14:paraId="155F2F5B">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2E128355">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4218B731">
      <w:pPr>
        <w:spacing w:line="540" w:lineRule="exact"/>
        <w:ind w:right="0" w:firstLine="600"/>
        <w:rPr>
          <w:rFonts w:ascii="仿宋_GB2312" w:hAnsi="仿宋_GB2312" w:eastAsia="仿宋_GB2312"/>
          <w:kern w:val="2"/>
          <w:sz w:val="30"/>
          <w:szCs w:val="30"/>
        </w:rPr>
      </w:pPr>
      <w:r>
        <w:rPr>
          <w:rFonts w:ascii="仿宋_GB2312" w:hAnsi="仿宋_GB2312" w:eastAsia="仿宋_GB2312"/>
          <w:sz w:val="30"/>
          <w:szCs w:val="30"/>
        </w:rPr>
        <w:t>六、</w:t>
      </w:r>
      <w:r>
        <w:rPr>
          <w:rFonts w:ascii="仿宋_GB2312" w:hAnsi="仿宋_GB2312" w:eastAsia="仿宋_GB2312"/>
          <w:kern w:val="2"/>
          <w:sz w:val="30"/>
          <w:szCs w:val="30"/>
        </w:rPr>
        <w:t>是否已明确知悉作为上市公司的董事，就公司向股东、存托凭证持有人和其他社会公众提供虚假或者隐瞒重要事实的财务会计报告，或者对依法应当披露的其他重要信息不按照规定披露，严重损害股东、存托凭证持有人或者其他人利益，或者有其他严重情节的，对其负有直接责任的主管人员和其他直接责任人员，将被追究刑事责任？</w:t>
      </w:r>
    </w:p>
    <w:p w14:paraId="23128C16">
      <w:pPr>
        <w:spacing w:line="540" w:lineRule="exact"/>
        <w:ind w:right="0" w:firstLine="600"/>
        <w:rPr>
          <w:rFonts w:ascii="仿宋_GB2312" w:hAnsi="仿宋_GB2312" w:eastAsia="仿宋_GB2312"/>
          <w:kern w:val="2"/>
          <w:sz w:val="30"/>
          <w:szCs w:val="30"/>
          <w:u w:val="single"/>
        </w:rPr>
      </w:pPr>
      <w:r>
        <w:rPr>
          <w:rFonts w:ascii="仿宋_GB2312" w:hAnsi="仿宋_GB2312" w:eastAsia="仿宋_GB2312"/>
          <w:kern w:val="2"/>
          <w:sz w:val="30"/>
          <w:szCs w:val="30"/>
          <w:u w:val="single"/>
        </w:rPr>
        <w:t>是□  否□</w:t>
      </w:r>
    </w:p>
    <w:p w14:paraId="6C66BC78">
      <w:pPr>
        <w:spacing w:line="540" w:lineRule="exact"/>
        <w:ind w:right="0" w:firstLine="600"/>
        <w:rPr>
          <w:rFonts w:ascii="仿宋_GB2312" w:hAnsi="仿宋_GB2312" w:eastAsia="仿宋_GB2312"/>
          <w:kern w:val="2"/>
          <w:sz w:val="30"/>
          <w:szCs w:val="30"/>
        </w:rPr>
      </w:pPr>
      <w:r>
        <w:rPr>
          <w:rFonts w:ascii="仿宋_GB2312" w:hAnsi="仿宋_GB2312" w:eastAsia="仿宋_GB2312"/>
          <w:kern w:val="2"/>
          <w:sz w:val="30"/>
          <w:szCs w:val="30"/>
        </w:rPr>
        <w:t>七、是否已明确知悉作为上市公司的董事，违背对公司的忠实义务，利用职务便利，操纵上市公司从事下列行为之一，致使上市公司利益遭受特别重大损失的，将被追究刑事责任：</w:t>
      </w:r>
    </w:p>
    <w:p w14:paraId="5736B39B">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（一）无偿向其他单位或者个人提供资金、商品、服务或者其他资产的；</w:t>
      </w:r>
    </w:p>
    <w:p w14:paraId="1806F7CD">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（二）以明显不公平的条件，提供或者接受资金、商品、服务或者其他资产的；</w:t>
      </w:r>
    </w:p>
    <w:p w14:paraId="002F349C">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（三）向明显不具有清偿能力的单位或者个人提供资金、商品、服务或者其他资产的；</w:t>
      </w:r>
    </w:p>
    <w:p w14:paraId="5D8ACA72">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（四）向明显不具有清偿能力的单位或者个人提供担保，或者无正当理由为其他单位或者个人提供担保的；</w:t>
      </w:r>
    </w:p>
    <w:p w14:paraId="53F615AC">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（五）无正当理由放弃债权、承担债务的；</w:t>
      </w:r>
    </w:p>
    <w:p w14:paraId="74605F42">
      <w:pPr>
        <w:spacing w:line="540" w:lineRule="exact"/>
        <w:ind w:right="0" w:firstLine="600"/>
        <w:rPr>
          <w:rFonts w:ascii="仿宋_GB2312" w:hAnsi="仿宋_GB2312" w:eastAsia="仿宋_GB2312"/>
          <w:kern w:val="2"/>
          <w:sz w:val="30"/>
          <w:szCs w:val="30"/>
        </w:rPr>
      </w:pPr>
      <w:r>
        <w:rPr>
          <w:rFonts w:ascii="仿宋_GB2312" w:hAnsi="仿宋_GB2312" w:eastAsia="仿宋_GB2312"/>
          <w:bCs/>
          <w:kern w:val="2"/>
          <w:sz w:val="30"/>
          <w:szCs w:val="30"/>
        </w:rPr>
        <w:t>（六）采用其他方式损害上市公司利益的。</w:t>
      </w:r>
    </w:p>
    <w:p w14:paraId="2C721C01">
      <w:pPr>
        <w:snapToGrid w:val="0"/>
        <w:spacing w:line="540" w:lineRule="exact"/>
        <w:ind w:right="0" w:firstLine="600"/>
        <w:rPr>
          <w:rFonts w:ascii="仿宋_GB2312" w:hAnsi="仿宋_GB2312" w:eastAsia="仿宋_GB2312"/>
          <w:kern w:val="2"/>
          <w:sz w:val="30"/>
          <w:szCs w:val="30"/>
          <w:u w:val="single"/>
        </w:rPr>
      </w:pPr>
      <w:r>
        <w:rPr>
          <w:rFonts w:ascii="仿宋_GB2312" w:hAnsi="仿宋_GB2312" w:eastAsia="仿宋_GB2312"/>
          <w:kern w:val="2"/>
          <w:sz w:val="30"/>
          <w:szCs w:val="30"/>
          <w:u w:val="single"/>
        </w:rPr>
        <w:t>是□  否□</w:t>
      </w:r>
    </w:p>
    <w:p w14:paraId="6854D740">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八、除上述问题所涉及的信息外，是否有需要声明的其他事项，而不声明该等事项可能影响您对上述问题回答的真实性、完整性或者准确性？</w:t>
      </w:r>
    </w:p>
    <w:p w14:paraId="006B1298">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u w:val="single"/>
        </w:rPr>
        <w:t xml:space="preserve">是□  否□  </w:t>
      </w:r>
    </w:p>
    <w:p w14:paraId="12A8C58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5C6D7D8B">
      <w:pPr>
        <w:snapToGrid w:val="0"/>
        <w:spacing w:line="540" w:lineRule="exact"/>
        <w:ind w:right="0" w:firstLine="600"/>
        <w:rPr>
          <w:rFonts w:ascii="仿宋_GB2312" w:hAnsi="仿宋_GB2312" w:eastAsia="仿宋_GB2312"/>
          <w:sz w:val="30"/>
          <w:szCs w:val="30"/>
        </w:rPr>
      </w:pPr>
    </w:p>
    <w:p w14:paraId="2FF821E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本人</w:t>
      </w:r>
      <w:r>
        <w:rPr>
          <w:rFonts w:ascii="仿宋_GB2312" w:hAnsi="仿宋_GB2312" w:eastAsia="仿宋_GB2312"/>
          <w:sz w:val="30"/>
          <w:szCs w:val="30"/>
          <w:u w:val="single"/>
        </w:rPr>
        <w:t xml:space="preserve">           </w:t>
      </w:r>
      <w:r>
        <w:rPr>
          <w:rFonts w:ascii="仿宋_GB2312" w:hAnsi="仿宋_GB2312" w:eastAsia="仿宋_GB2312"/>
          <w:sz w:val="30"/>
          <w:szCs w:val="30"/>
        </w:rPr>
        <w:t>（正楷体）郑重声明：上述回答是真实、准确和完整的，保证不存在任何虚假记载、误导性陈述或者重大遗漏。本人完全明白作出虚假声明可能导致的后果。</w:t>
      </w:r>
    </w:p>
    <w:p w14:paraId="42676E11">
      <w:pPr>
        <w:snapToGrid w:val="0"/>
        <w:spacing w:line="540" w:lineRule="exact"/>
        <w:ind w:right="0" w:firstLine="600"/>
        <w:rPr>
          <w:rFonts w:ascii="仿宋_GB2312" w:hAnsi="仿宋_GB2312" w:eastAsia="仿宋_GB2312"/>
          <w:sz w:val="30"/>
          <w:szCs w:val="30"/>
        </w:rPr>
      </w:pPr>
    </w:p>
    <w:p w14:paraId="396E7B87">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声明人（签名）：</w:t>
      </w:r>
    </w:p>
    <w:p w14:paraId="1A91938F">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日  期：</w:t>
      </w:r>
    </w:p>
    <w:p w14:paraId="7C23D8F0">
      <w:pPr>
        <w:snapToGrid w:val="0"/>
        <w:spacing w:line="540" w:lineRule="exact"/>
        <w:rPr>
          <w:rFonts w:ascii="仿宋_GB2312" w:hAnsi="仿宋_GB2312" w:eastAsia="仿宋_GB2312"/>
          <w:sz w:val="30"/>
          <w:szCs w:val="30"/>
        </w:rPr>
      </w:pPr>
    </w:p>
    <w:p w14:paraId="72117B4D">
      <w:pPr>
        <w:snapToGrid w:val="0"/>
        <w:spacing w:line="540" w:lineRule="exact"/>
        <w:rPr>
          <w:rFonts w:ascii="仿宋_GB2312" w:hAnsi="仿宋_GB2312" w:eastAsia="仿宋_GB2312"/>
          <w:sz w:val="30"/>
          <w:szCs w:val="30"/>
        </w:rPr>
      </w:pPr>
      <w:r>
        <w:rPr>
          <w:rFonts w:ascii="仿宋_GB2312" w:hAnsi="仿宋_GB2312" w:eastAsia="仿宋_GB2312"/>
          <w:sz w:val="30"/>
          <w:szCs w:val="30"/>
        </w:rPr>
        <w:t>此项声明于</w:t>
      </w:r>
      <w:r>
        <w:rPr>
          <w:rFonts w:ascii="仿宋_GB2312" w:hAnsi="仿宋_GB2312" w:eastAsia="仿宋_GB2312"/>
          <w:sz w:val="30"/>
          <w:szCs w:val="30"/>
          <w:u w:val="single"/>
        </w:rPr>
        <w:t xml:space="preserve">    </w:t>
      </w:r>
      <w:r>
        <w:rPr>
          <w:rFonts w:ascii="仿宋_GB2312" w:hAnsi="仿宋_GB2312" w:eastAsia="仿宋_GB2312"/>
          <w:sz w:val="30"/>
          <w:szCs w:val="30"/>
        </w:rPr>
        <w:t>年</w:t>
      </w:r>
      <w:r>
        <w:rPr>
          <w:rFonts w:ascii="仿宋_GB2312" w:hAnsi="仿宋_GB2312" w:eastAsia="仿宋_GB2312"/>
          <w:sz w:val="30"/>
          <w:szCs w:val="30"/>
          <w:u w:val="single"/>
        </w:rPr>
        <w:t xml:space="preserve">    </w:t>
      </w:r>
      <w:r>
        <w:rPr>
          <w:rFonts w:ascii="仿宋_GB2312" w:hAnsi="仿宋_GB2312" w:eastAsia="仿宋_GB2312"/>
          <w:sz w:val="30"/>
          <w:szCs w:val="30"/>
        </w:rPr>
        <w:t>月</w:t>
      </w:r>
      <w:r>
        <w:rPr>
          <w:rFonts w:ascii="仿宋_GB2312" w:hAnsi="仿宋_GB2312" w:eastAsia="仿宋_GB2312"/>
          <w:sz w:val="30"/>
          <w:szCs w:val="30"/>
          <w:u w:val="single"/>
        </w:rPr>
        <w:t xml:space="preserve">    </w:t>
      </w:r>
      <w:r>
        <w:rPr>
          <w:rFonts w:ascii="仿宋_GB2312" w:hAnsi="仿宋_GB2312" w:eastAsia="仿宋_GB2312"/>
          <w:sz w:val="30"/>
          <w:szCs w:val="30"/>
        </w:rPr>
        <w:t>日在</w:t>
      </w:r>
      <w:r>
        <w:rPr>
          <w:rFonts w:ascii="仿宋_GB2312" w:hAnsi="仿宋_GB2312" w:eastAsia="仿宋_GB2312"/>
          <w:sz w:val="30"/>
          <w:szCs w:val="30"/>
          <w:u w:val="single"/>
        </w:rPr>
        <w:t xml:space="preserve">          </w:t>
      </w:r>
      <w:r>
        <w:rPr>
          <w:rFonts w:ascii="仿宋_GB2312" w:hAnsi="仿宋_GB2312" w:eastAsia="仿宋_GB2312"/>
          <w:sz w:val="30"/>
          <w:szCs w:val="30"/>
        </w:rPr>
        <w:t>（地点）作出。</w:t>
      </w:r>
    </w:p>
    <w:p w14:paraId="46572175">
      <w:pPr>
        <w:snapToGrid w:val="0"/>
        <w:spacing w:line="540" w:lineRule="exact"/>
        <w:rPr>
          <w:rFonts w:ascii="仿宋_GB2312" w:hAnsi="仿宋_GB2312" w:eastAsia="仿宋_GB2312"/>
          <w:sz w:val="30"/>
          <w:szCs w:val="30"/>
        </w:rPr>
      </w:pPr>
    </w:p>
    <w:p w14:paraId="1AED8CBC">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见证律师：</w:t>
      </w:r>
    </w:p>
    <w:p w14:paraId="5813ECEE">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日    期：</w:t>
      </w:r>
      <w:r>
        <w:br w:type="page"/>
      </w:r>
    </w:p>
    <w:p w14:paraId="5173BFE4">
      <w:pPr>
        <w:snapToGrid w:val="0"/>
        <w:spacing w:line="540" w:lineRule="exact"/>
        <w:rPr>
          <w:rFonts w:ascii="仿宋_GB2312" w:hAnsi="仿宋_GB2312" w:eastAsia="仿宋_GB2312"/>
          <w:sz w:val="30"/>
          <w:szCs w:val="30"/>
        </w:rPr>
      </w:pPr>
    </w:p>
    <w:p w14:paraId="2BA55C22">
      <w:pPr>
        <w:snapToGrid w:val="0"/>
        <w:spacing w:line="560" w:lineRule="exact"/>
        <w:jc w:val="center"/>
        <w:rPr>
          <w:rFonts w:ascii="仿宋_GB2312" w:hAnsi="仿宋_GB2312" w:eastAsia="仿宋_GB2312"/>
          <w:b/>
          <w:sz w:val="30"/>
          <w:szCs w:val="30"/>
        </w:rPr>
      </w:pPr>
      <w:r>
        <w:rPr>
          <w:rFonts w:ascii="仿宋_GB2312" w:hAnsi="仿宋_GB2312" w:eastAsia="仿宋_GB2312"/>
          <w:b/>
          <w:sz w:val="30"/>
          <w:szCs w:val="30"/>
        </w:rPr>
        <w:t>第二部分  承  诺</w:t>
      </w:r>
    </w:p>
    <w:p w14:paraId="59AD78F5">
      <w:pPr>
        <w:snapToGrid w:val="0"/>
        <w:spacing w:line="560" w:lineRule="exact"/>
        <w:jc w:val="center"/>
        <w:rPr>
          <w:rFonts w:ascii="仿宋_GB2312" w:hAnsi="仿宋_GB2312" w:eastAsia="仿宋_GB2312"/>
          <w:b/>
          <w:sz w:val="30"/>
          <w:szCs w:val="30"/>
        </w:rPr>
      </w:pPr>
    </w:p>
    <w:p w14:paraId="1FDE0AB6">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本人</w:t>
      </w:r>
      <w:r>
        <w:rPr>
          <w:rFonts w:ascii="仿宋_GB2312" w:hAnsi="仿宋_GB2312" w:eastAsia="仿宋_GB2312"/>
          <w:sz w:val="30"/>
          <w:szCs w:val="30"/>
          <w:u w:val="single"/>
        </w:rPr>
        <w:t xml:space="preserve">           </w:t>
      </w:r>
      <w:r>
        <w:rPr>
          <w:rFonts w:ascii="仿宋_GB2312" w:hAnsi="仿宋_GB2312" w:eastAsia="仿宋_GB2312"/>
          <w:sz w:val="30"/>
          <w:szCs w:val="30"/>
        </w:rPr>
        <w:t>（正楷体）向上海证券交易所承诺：</w:t>
      </w:r>
    </w:p>
    <w:p w14:paraId="3809A945">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一、本人在履行上市公司董事的职责时，将遵守并促使本公司和本人的授权人遵守适用的法律、法规和规章等有关规定；</w:t>
      </w:r>
    </w:p>
    <w:p w14:paraId="744F3A85">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二、本人在履行上市公司董事的职责时，将遵守并促使本公司和本人的授权人遵守中国证监会发布的相关规章、规定和通知等有关要求；</w:t>
      </w:r>
    </w:p>
    <w:p w14:paraId="4E8795EA">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三、本人在履行上市公司董事的职责时，将遵守并促使本公司和本人的授权人遵守《上海证券交易所股票上市规则》和上海证券交易所发布的其他业务规则、规定和通知等；</w:t>
      </w:r>
    </w:p>
    <w:p w14:paraId="5807873C">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四、本人在履行上市公司董事的职责时，将遵守并促使本公司和本人的授权人遵守公司章程；</w:t>
      </w:r>
    </w:p>
    <w:p w14:paraId="4B73F2AA">
      <w:pPr>
        <w:pStyle w:val="6"/>
        <w:snapToGrid w:val="0"/>
        <w:spacing w:before="0" w:after="0" w:line="560" w:lineRule="exact"/>
        <w:ind w:right="0" w:firstLine="600"/>
        <w:rPr>
          <w:rFonts w:ascii="仿宋_GB2312" w:hAnsi="仿宋_GB2312" w:eastAsia="仿宋_GB2312"/>
          <w:sz w:val="30"/>
          <w:szCs w:val="30"/>
        </w:rPr>
      </w:pPr>
      <w:r>
        <w:rPr>
          <w:rFonts w:ascii="仿宋_GB2312" w:hAnsi="仿宋_GB2312" w:eastAsia="仿宋_GB2312"/>
          <w:sz w:val="30"/>
          <w:szCs w:val="30"/>
        </w:rPr>
        <w:t>五、本人作为上市公司董事接受上海证券交易所的监管，包括及时、如实地答复上海证券交易所向本人提出的任何问题，及时提供《上海证券交易所股票上市规则》规定应当报送的资料及要求提供的其他文件的正本或者副本，并出席本人被要求出席的任何会议，接受上海证券交易所采取的监管措施和纪律处分等；</w:t>
      </w:r>
    </w:p>
    <w:p w14:paraId="74D2F33D">
      <w:pPr>
        <w:pStyle w:val="6"/>
        <w:snapToGrid w:val="0"/>
        <w:spacing w:before="0" w:after="0" w:line="560" w:lineRule="exact"/>
        <w:ind w:right="0" w:firstLine="600"/>
        <w:rPr>
          <w:rFonts w:ascii="仿宋_GB2312" w:hAnsi="仿宋_GB2312" w:eastAsia="仿宋_GB2312" w:cs="宋体"/>
          <w:sz w:val="30"/>
          <w:szCs w:val="30"/>
        </w:rPr>
      </w:pPr>
      <w:r>
        <w:rPr>
          <w:rFonts w:ascii="仿宋_GB2312" w:hAnsi="仿宋_GB2312" w:eastAsia="仿宋_GB2312"/>
          <w:sz w:val="30"/>
          <w:szCs w:val="30"/>
        </w:rPr>
        <w:t>六、本人授权上海证券交易所将本人提供的声明与承诺资料向中国证监会报告；</w:t>
      </w:r>
    </w:p>
    <w:p w14:paraId="464C493B">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七、本人如违反上述承诺，愿意承担由此引起的一切法律责任；</w:t>
      </w:r>
    </w:p>
    <w:p w14:paraId="07B271C0">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八、本人在执行职务过程中，如果与上海证券交易所发生争议提起诉讼时，由上海证券交易所住所地有管辖权的法院管辖。</w:t>
      </w:r>
    </w:p>
    <w:p w14:paraId="1598FB06">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九、本人在执行职务过程中，与上海证券交易所以外的主体因发行人（上市公司）在境内发行股票或者存托凭证并在上海证券交易所主板上市发生争议提起诉讼的，适用中国法律，并由中国境内有管辖权的人民法院管辖。</w:t>
      </w:r>
    </w:p>
    <w:p w14:paraId="72C379BA">
      <w:pPr>
        <w:snapToGrid w:val="0"/>
        <w:spacing w:line="560" w:lineRule="exact"/>
        <w:rPr>
          <w:rFonts w:ascii="仿宋_GB2312" w:hAnsi="仿宋_GB2312" w:eastAsia="仿宋_GB2312"/>
          <w:sz w:val="30"/>
          <w:szCs w:val="30"/>
        </w:rPr>
      </w:pPr>
    </w:p>
    <w:p w14:paraId="57D9DAD8">
      <w:pPr>
        <w:snapToGrid w:val="0"/>
        <w:spacing w:line="56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 xml:space="preserve">承诺人（签名）：  </w:t>
      </w:r>
    </w:p>
    <w:p w14:paraId="2CF268C5">
      <w:pPr>
        <w:snapToGrid w:val="0"/>
        <w:spacing w:line="56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 xml:space="preserve">日    期：                    </w:t>
      </w:r>
    </w:p>
    <w:p w14:paraId="2036BBB8">
      <w:pPr>
        <w:snapToGrid w:val="0"/>
        <w:spacing w:line="560" w:lineRule="exact"/>
        <w:rPr>
          <w:rFonts w:ascii="仿宋_GB2312" w:hAnsi="仿宋_GB2312" w:eastAsia="仿宋_GB2312"/>
          <w:sz w:val="30"/>
          <w:szCs w:val="30"/>
        </w:rPr>
      </w:pPr>
    </w:p>
    <w:p w14:paraId="0FD7C239">
      <w:pPr>
        <w:snapToGrid w:val="0"/>
        <w:spacing w:line="560" w:lineRule="exact"/>
        <w:rPr>
          <w:rFonts w:ascii="仿宋_GB2312" w:hAnsi="仿宋_GB2312" w:eastAsia="仿宋_GB2312"/>
          <w:sz w:val="30"/>
          <w:szCs w:val="30"/>
        </w:rPr>
      </w:pPr>
      <w:r>
        <w:rPr>
          <w:rFonts w:ascii="仿宋_GB2312" w:hAnsi="仿宋_GB2312" w:eastAsia="仿宋_GB2312"/>
          <w:sz w:val="30"/>
          <w:szCs w:val="30"/>
        </w:rPr>
        <w:t>此项承诺于</w:t>
      </w:r>
      <w:r>
        <w:rPr>
          <w:rFonts w:ascii="仿宋_GB2312" w:hAnsi="仿宋_GB2312" w:eastAsia="仿宋_GB2312"/>
          <w:sz w:val="30"/>
          <w:szCs w:val="30"/>
          <w:u w:val="single"/>
        </w:rPr>
        <w:t xml:space="preserve">    </w:t>
      </w:r>
      <w:r>
        <w:rPr>
          <w:rFonts w:ascii="仿宋_GB2312" w:hAnsi="仿宋_GB2312" w:eastAsia="仿宋_GB2312"/>
          <w:sz w:val="30"/>
          <w:szCs w:val="30"/>
        </w:rPr>
        <w:t>年</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月 </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日在  </w:t>
      </w:r>
      <w:r>
        <w:rPr>
          <w:rFonts w:ascii="仿宋_GB2312" w:hAnsi="仿宋_GB2312" w:eastAsia="仿宋_GB2312"/>
          <w:sz w:val="30"/>
          <w:szCs w:val="30"/>
          <w:u w:val="single"/>
        </w:rPr>
        <w:t xml:space="preserve">       </w:t>
      </w:r>
      <w:r>
        <w:rPr>
          <w:rFonts w:ascii="仿宋_GB2312" w:hAnsi="仿宋_GB2312" w:eastAsia="仿宋_GB2312"/>
          <w:sz w:val="30"/>
          <w:szCs w:val="30"/>
        </w:rPr>
        <w:t>（地点）作出。</w:t>
      </w:r>
    </w:p>
    <w:p w14:paraId="66FEC821">
      <w:pPr>
        <w:snapToGrid w:val="0"/>
        <w:spacing w:line="560" w:lineRule="exact"/>
        <w:rPr>
          <w:rFonts w:ascii="仿宋_GB2312" w:hAnsi="仿宋_GB2312" w:eastAsia="仿宋_GB2312"/>
          <w:sz w:val="30"/>
          <w:szCs w:val="30"/>
        </w:rPr>
      </w:pPr>
    </w:p>
    <w:p w14:paraId="79AF149E">
      <w:pPr>
        <w:snapToGrid w:val="0"/>
        <w:spacing w:line="56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 xml:space="preserve">见证律师：                                             </w:t>
      </w:r>
    </w:p>
    <w:p w14:paraId="2C41B6C0">
      <w:pPr>
        <w:snapToGrid w:val="0"/>
        <w:spacing w:line="56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日    期：</w:t>
      </w:r>
    </w:p>
    <w:p w14:paraId="1A89DAF7">
      <w:pPr>
        <w:spacing w:line="560" w:lineRule="exact"/>
        <w:rPr>
          <w:rFonts w:ascii="仿宋_GB2312" w:hAnsi="仿宋_GB2312" w:eastAsia="仿宋_GB2312"/>
          <w:b/>
          <w:sz w:val="30"/>
          <w:szCs w:val="30"/>
        </w:rPr>
      </w:pPr>
    </w:p>
    <w:p w14:paraId="7676E055">
      <w:pPr>
        <w:widowControl/>
        <w:jc w:val="left"/>
        <w:rPr>
          <w:rFonts w:ascii="仿宋_GB2312" w:hAnsi="仿宋_GB2312" w:eastAsia="仿宋_GB2312"/>
          <w:b/>
          <w:sz w:val="30"/>
          <w:szCs w:val="30"/>
        </w:rPr>
      </w:pPr>
      <w:r>
        <w:br w:type="page"/>
      </w:r>
    </w:p>
    <w:p w14:paraId="1ACF0772">
      <w:pPr>
        <w:snapToGrid w:val="0"/>
        <w:spacing w:line="560" w:lineRule="exact"/>
        <w:ind w:right="0" w:firstLine="602"/>
        <w:jc w:val="left"/>
        <w:rPr>
          <w:rFonts w:ascii="仿宋_GB2312" w:hAnsi="仿宋_GB2312" w:eastAsia="仿宋_GB2312"/>
          <w:sz w:val="30"/>
          <w:szCs w:val="30"/>
        </w:rPr>
      </w:pPr>
      <w:r>
        <w:rPr>
          <w:rFonts w:ascii="仿宋_GB2312" w:hAnsi="仿宋_GB2312" w:eastAsia="仿宋_GB2312" w:cs="仿宋_GB2312"/>
          <w:b/>
          <w:bCs/>
          <w:sz w:val="30"/>
          <w:szCs w:val="30"/>
        </w:rPr>
        <w:t xml:space="preserve"> </w:t>
      </w:r>
      <w:r>
        <w:br w:type="page"/>
      </w:r>
    </w:p>
    <w:p w14:paraId="6298DC1E">
      <w:pPr>
        <w:widowControl/>
        <w:spacing w:line="560" w:lineRule="exact"/>
        <w:jc w:val="left"/>
        <w:rPr>
          <w:rFonts w:ascii="仿宋_GB2312" w:hAnsi="仿宋_GB2312" w:eastAsia="仿宋_GB2312" w:cs="Times New Roman"/>
          <w:b/>
          <w:bCs/>
          <w:sz w:val="30"/>
          <w:szCs w:val="30"/>
        </w:rPr>
      </w:pPr>
      <w:r>
        <w:rPr>
          <w:rFonts w:ascii="仿宋_GB2312" w:hAnsi="仿宋_GB2312" w:eastAsia="仿宋_GB2312" w:cs="Times New Roman"/>
          <w:b/>
          <w:bCs/>
          <w:sz w:val="30"/>
          <w:szCs w:val="30"/>
        </w:rPr>
        <w:t>附件8</w:t>
      </w:r>
    </w:p>
    <w:p w14:paraId="27DEA4EF">
      <w:pPr>
        <w:spacing w:line="560" w:lineRule="exact"/>
        <w:rPr>
          <w:rFonts w:ascii="仿宋_GB2312" w:hAnsi="仿宋_GB2312" w:eastAsia="仿宋_GB2312" w:cs="Times New Roman"/>
          <w:b/>
          <w:bCs/>
          <w:sz w:val="28"/>
          <w:szCs w:val="30"/>
        </w:rPr>
      </w:pPr>
    </w:p>
    <w:p w14:paraId="759FABFE">
      <w:pPr>
        <w:keepNext/>
        <w:keepLines/>
        <w:numPr>
          <w:ilvl w:val="0"/>
          <w:numId w:val="0"/>
        </w:numPr>
        <w:spacing w:line="540" w:lineRule="exact"/>
        <w:jc w:val="center"/>
        <w:outlineLvl w:val="0"/>
        <w:rPr>
          <w:rFonts w:ascii="黑体" w:hAnsi="黑体" w:eastAsia="黑体" w:cs="Arial Unicode MS;Times New Roma"/>
          <w:b/>
          <w:bCs/>
          <w:kern w:val="2"/>
          <w:sz w:val="44"/>
          <w:szCs w:val="44"/>
        </w:rPr>
      </w:pPr>
      <w:bookmarkStart w:id="70" w:name="__RefHeading___Toc189646172"/>
      <w:bookmarkEnd w:id="70"/>
      <w:r>
        <w:rPr>
          <w:rFonts w:ascii="黑体" w:hAnsi="黑体" w:eastAsia="黑体" w:cs="Arial Unicode MS;Times New Roma"/>
          <w:b/>
          <w:bCs/>
          <w:kern w:val="2"/>
          <w:sz w:val="44"/>
          <w:szCs w:val="44"/>
        </w:rPr>
        <w:t>红筹企业高级管理人员声明及承诺书</w:t>
      </w:r>
    </w:p>
    <w:p w14:paraId="4AAF9DFC">
      <w:pPr>
        <w:snapToGrid w:val="0"/>
        <w:spacing w:line="560" w:lineRule="exact"/>
        <w:jc w:val="center"/>
        <w:rPr>
          <w:rFonts w:ascii="仿宋_GB2312" w:hAnsi="仿宋_GB2312" w:eastAsia="仿宋_GB2312" w:cs="Arial Unicode MS;Times New Roma"/>
          <w:b/>
          <w:bCs/>
          <w:kern w:val="2"/>
          <w:sz w:val="30"/>
          <w:szCs w:val="30"/>
        </w:rPr>
      </w:pPr>
    </w:p>
    <w:p w14:paraId="1B2C612E">
      <w:pPr>
        <w:snapToGrid w:val="0"/>
        <w:spacing w:line="540" w:lineRule="exact"/>
        <w:jc w:val="center"/>
        <w:rPr>
          <w:rFonts w:ascii="仿宋_GB2312" w:hAnsi="仿宋_GB2312" w:eastAsia="仿宋_GB2312"/>
          <w:b/>
          <w:sz w:val="30"/>
          <w:szCs w:val="30"/>
        </w:rPr>
      </w:pPr>
      <w:r>
        <w:rPr>
          <w:rFonts w:ascii="仿宋_GB2312" w:hAnsi="仿宋_GB2312" w:eastAsia="仿宋_GB2312"/>
          <w:b/>
          <w:sz w:val="30"/>
          <w:szCs w:val="30"/>
        </w:rPr>
        <w:t>第一部分  声  明</w:t>
      </w:r>
    </w:p>
    <w:p w14:paraId="753E8520">
      <w:pPr>
        <w:snapToGrid w:val="0"/>
        <w:spacing w:line="540" w:lineRule="exact"/>
        <w:jc w:val="center"/>
        <w:rPr>
          <w:rFonts w:ascii="仿宋_GB2312" w:hAnsi="仿宋_GB2312" w:eastAsia="仿宋_GB2312"/>
          <w:b/>
          <w:sz w:val="30"/>
          <w:szCs w:val="30"/>
        </w:rPr>
      </w:pPr>
    </w:p>
    <w:p w14:paraId="20AF763B">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一、基本情况</w:t>
      </w:r>
    </w:p>
    <w:p w14:paraId="37366528">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1.上市公司名称：</w:t>
      </w:r>
      <w:r>
        <w:rPr>
          <w:rFonts w:ascii="仿宋_GB2312" w:hAnsi="仿宋_GB2312" w:eastAsia="仿宋_GB2312"/>
          <w:sz w:val="30"/>
          <w:szCs w:val="30"/>
          <w:u w:val="single"/>
        </w:rPr>
        <w:t xml:space="preserve">                                         </w:t>
      </w:r>
    </w:p>
    <w:p w14:paraId="674422EA">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2.上市公司股票或者存托凭证简称：</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   </w:t>
      </w:r>
    </w:p>
    <w:p w14:paraId="68A3D821">
      <w:pPr>
        <w:snapToGrid w:val="0"/>
        <w:spacing w:line="540" w:lineRule="exact"/>
        <w:ind w:right="0" w:firstLine="900"/>
        <w:rPr>
          <w:rFonts w:ascii="仿宋_GB2312" w:hAnsi="仿宋_GB2312" w:eastAsia="仿宋_GB2312"/>
          <w:sz w:val="30"/>
          <w:szCs w:val="30"/>
        </w:rPr>
      </w:pPr>
      <w:r>
        <w:rPr>
          <w:rFonts w:ascii="仿宋_GB2312" w:hAnsi="仿宋_GB2312" w:eastAsia="仿宋_GB2312"/>
          <w:sz w:val="30"/>
          <w:szCs w:val="30"/>
        </w:rPr>
        <w:t>上市公司股票或者存托凭证代码：</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     </w:t>
      </w:r>
    </w:p>
    <w:p w14:paraId="1B1DFAE2">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3.本人姓名：</w:t>
      </w:r>
      <w:r>
        <w:rPr>
          <w:rFonts w:ascii="仿宋_GB2312" w:hAnsi="仿宋_GB2312" w:eastAsia="仿宋_GB2312"/>
          <w:sz w:val="30"/>
          <w:szCs w:val="30"/>
          <w:u w:val="single"/>
        </w:rPr>
        <w:t xml:space="preserve">                     </w:t>
      </w:r>
      <w:r>
        <w:rPr>
          <w:rFonts w:ascii="仿宋_GB2312" w:hAnsi="仿宋_GB2312" w:eastAsia="仿宋_GB2312"/>
          <w:sz w:val="30"/>
          <w:szCs w:val="30"/>
        </w:rPr>
        <w:t>职务：</w:t>
      </w:r>
      <w:r>
        <w:rPr>
          <w:rFonts w:ascii="仿宋_GB2312" w:hAnsi="仿宋_GB2312" w:eastAsia="仿宋_GB2312"/>
          <w:sz w:val="30"/>
          <w:szCs w:val="30"/>
          <w:u w:val="single"/>
        </w:rPr>
        <w:t xml:space="preserve">                  </w:t>
      </w:r>
    </w:p>
    <w:p w14:paraId="52728E8D">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4.别名：</w:t>
      </w:r>
      <w:r>
        <w:rPr>
          <w:rFonts w:ascii="仿宋_GB2312" w:hAnsi="仿宋_GB2312" w:eastAsia="仿宋_GB2312"/>
          <w:sz w:val="30"/>
          <w:szCs w:val="30"/>
          <w:u w:val="single"/>
        </w:rPr>
        <w:t xml:space="preserve">                                                 </w:t>
      </w:r>
    </w:p>
    <w:p w14:paraId="662D0FEF">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5.曾用名：</w:t>
      </w:r>
      <w:r>
        <w:rPr>
          <w:rFonts w:ascii="仿宋_GB2312" w:hAnsi="仿宋_GB2312" w:eastAsia="仿宋_GB2312"/>
          <w:sz w:val="30"/>
          <w:szCs w:val="30"/>
          <w:u w:val="single"/>
        </w:rPr>
        <w:t xml:space="preserve">                                               </w:t>
      </w:r>
    </w:p>
    <w:p w14:paraId="6D055534">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6.出生日期：</w:t>
      </w:r>
      <w:r>
        <w:rPr>
          <w:rFonts w:ascii="仿宋_GB2312" w:hAnsi="仿宋_GB2312" w:eastAsia="仿宋_GB2312"/>
          <w:sz w:val="30"/>
          <w:szCs w:val="30"/>
          <w:u w:val="single"/>
        </w:rPr>
        <w:t xml:space="preserve">                                             </w:t>
      </w:r>
    </w:p>
    <w:p w14:paraId="7013851C">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7.联系地址：</w:t>
      </w:r>
      <w:r>
        <w:rPr>
          <w:rFonts w:ascii="仿宋_GB2312" w:hAnsi="仿宋_GB2312" w:eastAsia="仿宋_GB2312"/>
          <w:sz w:val="30"/>
          <w:szCs w:val="30"/>
          <w:u w:val="single"/>
        </w:rPr>
        <w:t xml:space="preserve">                                                 </w:t>
      </w:r>
    </w:p>
    <w:p w14:paraId="378AFDE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8.国籍：</w:t>
      </w:r>
      <w:r>
        <w:rPr>
          <w:rFonts w:ascii="仿宋_GB2312" w:hAnsi="仿宋_GB2312" w:eastAsia="仿宋_GB2312"/>
          <w:sz w:val="30"/>
          <w:szCs w:val="30"/>
          <w:u w:val="single"/>
        </w:rPr>
        <w:t xml:space="preserve">                                                 </w:t>
      </w:r>
    </w:p>
    <w:p w14:paraId="28FC580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9.专业资格（如适用）：</w:t>
      </w:r>
      <w:r>
        <w:rPr>
          <w:rFonts w:ascii="仿宋_GB2312" w:hAnsi="仿宋_GB2312" w:eastAsia="仿宋_GB2312"/>
          <w:sz w:val="30"/>
          <w:szCs w:val="30"/>
          <w:u w:val="single"/>
        </w:rPr>
        <w:t xml:space="preserve">                                   </w:t>
      </w:r>
    </w:p>
    <w:p w14:paraId="3D5E8470">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10.中国身份证号码（如适用）：</w:t>
      </w:r>
      <w:r>
        <w:rPr>
          <w:rFonts w:ascii="仿宋_GB2312" w:hAnsi="仿宋_GB2312" w:eastAsia="仿宋_GB2312"/>
          <w:sz w:val="30"/>
          <w:szCs w:val="30"/>
          <w:u w:val="single"/>
        </w:rPr>
        <w:t xml:space="preserve">                                          </w:t>
      </w:r>
    </w:p>
    <w:p w14:paraId="17E1F5DD">
      <w:pPr>
        <w:tabs>
          <w:tab w:val="left" w:pos="3075"/>
        </w:tabs>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11.护照号码（如适用）：</w:t>
      </w:r>
      <w:r>
        <w:rPr>
          <w:rFonts w:ascii="仿宋_GB2312" w:hAnsi="仿宋_GB2312" w:eastAsia="仿宋_GB2312"/>
          <w:sz w:val="30"/>
          <w:szCs w:val="30"/>
          <w:u w:val="single"/>
        </w:rPr>
        <w:t xml:space="preserve">                                   </w:t>
      </w:r>
    </w:p>
    <w:p w14:paraId="0B12FBB0">
      <w:pPr>
        <w:tabs>
          <w:tab w:val="left" w:pos="3075"/>
        </w:tabs>
        <w:snapToGrid w:val="0"/>
        <w:spacing w:line="540" w:lineRule="exact"/>
        <w:ind w:right="0" w:firstLine="600"/>
        <w:jc w:val="left"/>
        <w:rPr>
          <w:rFonts w:ascii="仿宋_GB2312" w:hAnsi="仿宋_GB2312" w:eastAsia="仿宋_GB2312"/>
          <w:sz w:val="30"/>
          <w:szCs w:val="30"/>
          <w:u w:val="single"/>
        </w:rPr>
      </w:pPr>
      <w:r>
        <w:rPr>
          <w:rFonts w:ascii="仿宋_GB2312" w:hAnsi="仿宋_GB2312" w:eastAsia="仿宋_GB2312"/>
          <w:sz w:val="30"/>
          <w:szCs w:val="30"/>
        </w:rPr>
        <w:t>12.最近五年的工作经历：</w:t>
      </w:r>
      <w:r>
        <w:rPr>
          <w:rFonts w:ascii="仿宋_GB2312" w:hAnsi="仿宋_GB2312" w:eastAsia="仿宋_GB2312"/>
          <w:sz w:val="30"/>
          <w:szCs w:val="30"/>
          <w:u w:val="single"/>
        </w:rPr>
        <w:t xml:space="preserve">                                 </w:t>
      </w:r>
    </w:p>
    <w:p w14:paraId="2341DD7E">
      <w:pPr>
        <w:tabs>
          <w:tab w:val="left" w:pos="3075"/>
        </w:tabs>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cs="仿宋_GB2312"/>
          <w:sz w:val="30"/>
          <w:szCs w:val="30"/>
          <w:u w:val="single"/>
        </w:rPr>
        <w:t xml:space="preserve">                                                         </w:t>
      </w:r>
    </w:p>
    <w:p w14:paraId="796D94B3">
      <w:pPr>
        <w:tabs>
          <w:tab w:val="left" w:pos="3075"/>
        </w:tabs>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cs="仿宋_GB2312"/>
          <w:sz w:val="30"/>
          <w:szCs w:val="30"/>
          <w:u w:val="single"/>
        </w:rPr>
        <w:t xml:space="preserve">                                                         </w:t>
      </w:r>
    </w:p>
    <w:p w14:paraId="1557D4A5">
      <w:pPr>
        <w:spacing w:line="540" w:lineRule="exact"/>
        <w:ind w:right="0" w:firstLine="600"/>
        <w:rPr>
          <w:rFonts w:ascii="仿宋_GB2312" w:hAnsi="仿宋_GB2312" w:eastAsia="仿宋_GB2312"/>
          <w:kern w:val="2"/>
          <w:sz w:val="30"/>
          <w:szCs w:val="30"/>
        </w:rPr>
      </w:pPr>
      <w:r>
        <w:rPr>
          <w:rFonts w:ascii="仿宋_GB2312" w:hAnsi="仿宋_GB2312" w:eastAsia="仿宋_GB2312"/>
          <w:sz w:val="30"/>
          <w:szCs w:val="30"/>
        </w:rPr>
        <w:t>二、是否在其他公司任职</w:t>
      </w:r>
      <w:r>
        <w:rPr>
          <w:rFonts w:ascii="仿宋_GB2312" w:hAnsi="仿宋_GB2312" w:eastAsia="仿宋_GB2312"/>
          <w:kern w:val="2"/>
          <w:sz w:val="30"/>
          <w:szCs w:val="30"/>
        </w:rPr>
        <w:t>？</w:t>
      </w:r>
    </w:p>
    <w:p w14:paraId="24125069">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57ABE76D">
      <w:pPr>
        <w:pStyle w:val="7"/>
        <w:snapToGrid w:val="0"/>
        <w:spacing w:line="540" w:lineRule="exact"/>
        <w:ind w:right="0" w:firstLine="600"/>
        <w:rPr>
          <w:rFonts w:cs="宋体"/>
          <w:sz w:val="30"/>
          <w:szCs w:val="30"/>
        </w:rPr>
      </w:pPr>
      <w:r>
        <w:rPr>
          <w:rFonts w:cs="宋体"/>
          <w:sz w:val="30"/>
          <w:szCs w:val="30"/>
        </w:rPr>
        <w:t>如是，请填报各公司的名称以及任职情况。</w:t>
      </w:r>
    </w:p>
    <w:p w14:paraId="6E3B8194">
      <w:pPr>
        <w:snapToGrid w:val="0"/>
        <w:spacing w:line="540" w:lineRule="exact"/>
        <w:ind w:right="0" w:firstLine="600"/>
        <w:rPr>
          <w:rFonts w:ascii="仿宋_GB2312" w:hAnsi="仿宋_GB2312" w:eastAsia="仿宋_GB2312" w:cs="仿宋;宋体"/>
          <w:sz w:val="30"/>
          <w:szCs w:val="30"/>
        </w:rPr>
      </w:pPr>
      <w:r>
        <w:rPr>
          <w:rFonts w:ascii="仿宋_GB2312" w:hAnsi="仿宋_GB2312" w:eastAsia="仿宋_GB2312" w:cs="仿宋;宋体"/>
          <w:sz w:val="30"/>
          <w:szCs w:val="30"/>
        </w:rPr>
        <w:t>三、是否被中国证监会或者证券交易所认定为上市公司董事、高级管理人员的不合适人选？是否曾因违反证券交易场所业务规则或者其他相关规定而受到处分？</w:t>
      </w:r>
    </w:p>
    <w:p w14:paraId="54FE1E4C">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54F29FBB">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481FB24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 xml:space="preserve">四、过去十年中是否曾因违反境内外证券市场法律、法规或因涉及金融问题（如贪污、贿赂、诈骗、侵占等）而受到刑事、行政处罚或者正处于有关调查、诉讼程序中？ </w:t>
      </w:r>
    </w:p>
    <w:p w14:paraId="6814C743">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7D7A2E33">
      <w:pPr>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36499ECE">
      <w:pPr>
        <w:spacing w:line="540" w:lineRule="exact"/>
        <w:ind w:right="0" w:firstLine="600"/>
        <w:rPr>
          <w:rFonts w:ascii="仿宋_GB2312" w:hAnsi="仿宋_GB2312" w:eastAsia="仿宋_GB2312"/>
          <w:kern w:val="2"/>
          <w:sz w:val="30"/>
          <w:szCs w:val="30"/>
        </w:rPr>
      </w:pPr>
      <w:r>
        <w:rPr>
          <w:rFonts w:ascii="仿宋_GB2312" w:hAnsi="仿宋_GB2312" w:eastAsia="仿宋_GB2312"/>
          <w:sz w:val="30"/>
          <w:szCs w:val="30"/>
        </w:rPr>
        <w:t>五、</w:t>
      </w:r>
      <w:r>
        <w:rPr>
          <w:rFonts w:ascii="仿宋_GB2312" w:hAnsi="仿宋_GB2312" w:eastAsia="仿宋_GB2312"/>
          <w:kern w:val="2"/>
          <w:sz w:val="30"/>
          <w:szCs w:val="30"/>
        </w:rPr>
        <w:t>是否已明确知悉作为上市公司的高级管理人员，就公司向股东、存托凭证持有人和其他社会公众提供虚假或者隐瞒重要事实的财务会计报告，或者对依法应当披露的其他重要信息不按照规定披露，严重损害股东、存托凭证持有人或者其他人利益，或者有其他严重情节的，对其负有直接责任的主管人员和其他直接责任人员，将被追究刑事责任？</w:t>
      </w:r>
    </w:p>
    <w:p w14:paraId="523840B0">
      <w:pPr>
        <w:spacing w:line="540" w:lineRule="exact"/>
        <w:ind w:right="0" w:firstLine="600"/>
        <w:rPr>
          <w:rFonts w:ascii="仿宋_GB2312" w:hAnsi="仿宋_GB2312" w:eastAsia="仿宋_GB2312"/>
          <w:kern w:val="2"/>
          <w:sz w:val="30"/>
          <w:szCs w:val="30"/>
          <w:u w:val="single"/>
        </w:rPr>
      </w:pPr>
      <w:r>
        <w:rPr>
          <w:rFonts w:ascii="仿宋_GB2312" w:hAnsi="仿宋_GB2312" w:eastAsia="仿宋_GB2312"/>
          <w:kern w:val="2"/>
          <w:sz w:val="30"/>
          <w:szCs w:val="30"/>
          <w:u w:val="single"/>
        </w:rPr>
        <w:t>是□  否□</w:t>
      </w:r>
    </w:p>
    <w:p w14:paraId="313E21F5">
      <w:pPr>
        <w:spacing w:line="540" w:lineRule="exact"/>
        <w:ind w:right="0" w:firstLine="600"/>
        <w:rPr>
          <w:rFonts w:ascii="仿宋_GB2312" w:hAnsi="仿宋_GB2312" w:eastAsia="仿宋_GB2312"/>
          <w:kern w:val="2"/>
          <w:sz w:val="30"/>
          <w:szCs w:val="30"/>
        </w:rPr>
      </w:pPr>
      <w:r>
        <w:rPr>
          <w:rFonts w:ascii="仿宋_GB2312" w:hAnsi="仿宋_GB2312" w:eastAsia="仿宋_GB2312"/>
          <w:kern w:val="2"/>
          <w:sz w:val="30"/>
          <w:szCs w:val="30"/>
        </w:rPr>
        <w:t>六、是否已明确知悉作为上市公司的高级管理人员，违背对公司的忠实义务，利用职务便利，操纵上市公司从事下列行为之一，致使上市公司利益遭受特别重大损失的，将被追究刑事责任：</w:t>
      </w:r>
    </w:p>
    <w:p w14:paraId="43ADD6E3">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（一）无偿向其他单位或者个人提供资金、商品、服务或者其他资产的；</w:t>
      </w:r>
    </w:p>
    <w:p w14:paraId="3D910CDF">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（二）以明显不公平的条件，提供或者接受资金、商品、服务或者其他资产的；</w:t>
      </w:r>
    </w:p>
    <w:p w14:paraId="1D6DAF27">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（三）向明显不具有清偿能力的单位或者个人提供资金、商品、服务或者其他资产的；</w:t>
      </w:r>
    </w:p>
    <w:p w14:paraId="52FAFAB8">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（四）向明显不具有清偿能力的单位或者个人提供担保，或者无正当理由为其他单位或者个人提供担保的；</w:t>
      </w:r>
    </w:p>
    <w:p w14:paraId="3C8C8C44">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（五）无正当理由放弃债权、承担债务的；</w:t>
      </w:r>
    </w:p>
    <w:p w14:paraId="0F4EBCEB">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（六）采用其他方式损害上市公司利益的。</w:t>
      </w:r>
    </w:p>
    <w:p w14:paraId="57E1BF35">
      <w:pPr>
        <w:spacing w:line="540" w:lineRule="exact"/>
        <w:ind w:right="0" w:firstLine="600"/>
        <w:rPr>
          <w:rFonts w:ascii="仿宋_GB2312" w:hAnsi="仿宋_GB2312" w:eastAsia="仿宋_GB2312"/>
          <w:kern w:val="2"/>
          <w:sz w:val="30"/>
          <w:szCs w:val="30"/>
        </w:rPr>
      </w:pPr>
      <w:r>
        <w:rPr>
          <w:rFonts w:ascii="仿宋_GB2312" w:hAnsi="仿宋_GB2312" w:eastAsia="仿宋_GB2312"/>
          <w:kern w:val="2"/>
          <w:sz w:val="30"/>
          <w:szCs w:val="30"/>
          <w:u w:val="single"/>
        </w:rPr>
        <w:t>是□  否□</w:t>
      </w:r>
    </w:p>
    <w:p w14:paraId="340484E9">
      <w:pPr>
        <w:snapToGrid w:val="0"/>
        <w:spacing w:line="540" w:lineRule="exact"/>
        <w:ind w:right="0" w:firstLine="600"/>
        <w:rPr>
          <w:rFonts w:ascii="仿宋_GB2312" w:hAnsi="仿宋_GB2312" w:eastAsia="仿宋_GB2312"/>
          <w:sz w:val="30"/>
          <w:szCs w:val="30"/>
        </w:rPr>
      </w:pPr>
      <w:r>
        <w:rPr>
          <w:rFonts w:ascii="仿宋_GB2312" w:hAnsi="仿宋_GB2312" w:eastAsia="仿宋_GB2312"/>
          <w:kern w:val="2"/>
          <w:sz w:val="30"/>
          <w:szCs w:val="30"/>
        </w:rPr>
        <w:t>七、</w:t>
      </w:r>
      <w:r>
        <w:rPr>
          <w:rFonts w:ascii="仿宋_GB2312" w:hAnsi="仿宋_GB2312" w:eastAsia="仿宋_GB2312"/>
          <w:sz w:val="30"/>
          <w:szCs w:val="30"/>
        </w:rPr>
        <w:t>除上述问题所涉及的信息外，是否有需要声明的其他事项，而不声明该等事项可能影响您对上述问题回答的真实性、完整性或者准确性？</w:t>
      </w:r>
    </w:p>
    <w:p w14:paraId="503DBCDF">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u w:val="single"/>
        </w:rPr>
        <w:t xml:space="preserve">是□  否□  </w:t>
      </w:r>
    </w:p>
    <w:p w14:paraId="6853069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4266823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本人</w:t>
      </w:r>
      <w:r>
        <w:rPr>
          <w:rFonts w:ascii="仿宋_GB2312" w:hAnsi="仿宋_GB2312" w:eastAsia="仿宋_GB2312"/>
          <w:sz w:val="30"/>
          <w:szCs w:val="30"/>
          <w:u w:val="single"/>
        </w:rPr>
        <w:t xml:space="preserve">           </w:t>
      </w:r>
      <w:r>
        <w:rPr>
          <w:rFonts w:ascii="仿宋_GB2312" w:hAnsi="仿宋_GB2312" w:eastAsia="仿宋_GB2312"/>
          <w:sz w:val="30"/>
          <w:szCs w:val="30"/>
        </w:rPr>
        <w:t>（正楷体）郑重声明：上述回答是真实、准确和完整的，保证不存在任何虚假记载、误导性陈述或者重大遗漏。本人完全明白作出虚假声明可能导致的后果。</w:t>
      </w:r>
    </w:p>
    <w:p w14:paraId="1DEB61AC">
      <w:pPr>
        <w:snapToGrid w:val="0"/>
        <w:spacing w:line="540" w:lineRule="exact"/>
        <w:ind w:right="0" w:firstLine="600"/>
        <w:rPr>
          <w:rFonts w:ascii="仿宋_GB2312" w:hAnsi="仿宋_GB2312" w:eastAsia="仿宋_GB2312"/>
          <w:sz w:val="30"/>
          <w:szCs w:val="30"/>
        </w:rPr>
      </w:pPr>
    </w:p>
    <w:p w14:paraId="205984C9">
      <w:pPr>
        <w:snapToGrid w:val="0"/>
        <w:spacing w:line="540" w:lineRule="exact"/>
        <w:jc w:val="lef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声明人（签名）：</w:t>
      </w:r>
    </w:p>
    <w:p w14:paraId="1B3A9BD8">
      <w:pPr>
        <w:snapToGrid w:val="0"/>
        <w:spacing w:line="540" w:lineRule="exact"/>
        <w:jc w:val="lef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日    期：</w:t>
      </w:r>
    </w:p>
    <w:p w14:paraId="5AA90A72">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p>
    <w:p w14:paraId="3BF6E638">
      <w:pPr>
        <w:snapToGrid w:val="0"/>
        <w:spacing w:line="540" w:lineRule="exact"/>
        <w:rPr>
          <w:rFonts w:ascii="仿宋_GB2312" w:hAnsi="仿宋_GB2312" w:eastAsia="仿宋_GB2312"/>
          <w:sz w:val="30"/>
          <w:szCs w:val="30"/>
        </w:rPr>
      </w:pPr>
      <w:r>
        <w:rPr>
          <w:rFonts w:ascii="仿宋_GB2312" w:hAnsi="仿宋_GB2312" w:eastAsia="仿宋_GB2312"/>
          <w:sz w:val="30"/>
          <w:szCs w:val="30"/>
        </w:rPr>
        <w:t>此项声明于</w:t>
      </w:r>
      <w:r>
        <w:rPr>
          <w:rFonts w:ascii="仿宋_GB2312" w:hAnsi="仿宋_GB2312" w:eastAsia="仿宋_GB2312"/>
          <w:sz w:val="30"/>
          <w:szCs w:val="30"/>
          <w:u w:val="single"/>
        </w:rPr>
        <w:t xml:space="preserve">        </w:t>
      </w:r>
      <w:r>
        <w:rPr>
          <w:rFonts w:ascii="仿宋_GB2312" w:hAnsi="仿宋_GB2312" w:eastAsia="仿宋_GB2312"/>
          <w:sz w:val="30"/>
          <w:szCs w:val="30"/>
        </w:rPr>
        <w:t>年</w:t>
      </w:r>
      <w:r>
        <w:rPr>
          <w:rFonts w:ascii="仿宋_GB2312" w:hAnsi="仿宋_GB2312" w:eastAsia="仿宋_GB2312"/>
          <w:sz w:val="30"/>
          <w:szCs w:val="30"/>
          <w:u w:val="single"/>
        </w:rPr>
        <w:t xml:space="preserve">      </w:t>
      </w:r>
      <w:r>
        <w:rPr>
          <w:rFonts w:ascii="仿宋_GB2312" w:hAnsi="仿宋_GB2312" w:eastAsia="仿宋_GB2312"/>
          <w:sz w:val="30"/>
          <w:szCs w:val="30"/>
        </w:rPr>
        <w:t>月</w:t>
      </w:r>
      <w:r>
        <w:rPr>
          <w:rFonts w:ascii="仿宋_GB2312" w:hAnsi="仿宋_GB2312" w:eastAsia="仿宋_GB2312"/>
          <w:sz w:val="30"/>
          <w:szCs w:val="30"/>
          <w:u w:val="single"/>
        </w:rPr>
        <w:t xml:space="preserve">       </w:t>
      </w:r>
      <w:r>
        <w:rPr>
          <w:rFonts w:ascii="仿宋_GB2312" w:hAnsi="仿宋_GB2312" w:eastAsia="仿宋_GB2312"/>
          <w:sz w:val="30"/>
          <w:szCs w:val="30"/>
        </w:rPr>
        <w:t>日在</w:t>
      </w:r>
      <w:r>
        <w:rPr>
          <w:rFonts w:ascii="仿宋_GB2312" w:hAnsi="仿宋_GB2312" w:eastAsia="仿宋_GB2312"/>
          <w:sz w:val="30"/>
          <w:szCs w:val="30"/>
          <w:u w:val="single"/>
        </w:rPr>
        <w:t xml:space="preserve">     </w:t>
      </w:r>
      <w:r>
        <w:rPr>
          <w:rFonts w:ascii="仿宋_GB2312" w:hAnsi="仿宋_GB2312" w:eastAsia="仿宋_GB2312"/>
          <w:sz w:val="30"/>
          <w:szCs w:val="30"/>
        </w:rPr>
        <w:t>（地点）作出。</w:t>
      </w:r>
    </w:p>
    <w:p w14:paraId="134052DC">
      <w:pPr>
        <w:snapToGrid w:val="0"/>
        <w:spacing w:line="540" w:lineRule="exact"/>
        <w:rPr>
          <w:rFonts w:ascii="仿宋_GB2312" w:hAnsi="仿宋_GB2312" w:eastAsia="仿宋_GB2312"/>
          <w:sz w:val="30"/>
          <w:szCs w:val="30"/>
        </w:rPr>
      </w:pPr>
    </w:p>
    <w:p w14:paraId="4C7C7843">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见证律师：</w:t>
      </w:r>
    </w:p>
    <w:p w14:paraId="5D6616A2">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日    期：</w:t>
      </w:r>
      <w:r>
        <w:br w:type="page"/>
      </w:r>
    </w:p>
    <w:p w14:paraId="3388D03E">
      <w:pPr>
        <w:snapToGrid w:val="0"/>
        <w:spacing w:line="540" w:lineRule="exact"/>
        <w:rPr>
          <w:rFonts w:ascii="仿宋_GB2312" w:hAnsi="仿宋_GB2312" w:eastAsia="仿宋_GB2312"/>
          <w:sz w:val="30"/>
          <w:szCs w:val="30"/>
        </w:rPr>
      </w:pPr>
    </w:p>
    <w:p w14:paraId="47ACC65B">
      <w:pPr>
        <w:snapToGrid w:val="0"/>
        <w:spacing w:line="540" w:lineRule="exact"/>
        <w:jc w:val="center"/>
        <w:rPr>
          <w:rFonts w:ascii="仿宋_GB2312" w:hAnsi="仿宋_GB2312" w:eastAsia="仿宋_GB2312"/>
          <w:b/>
          <w:sz w:val="30"/>
          <w:szCs w:val="30"/>
        </w:rPr>
      </w:pPr>
      <w:r>
        <w:rPr>
          <w:rFonts w:ascii="仿宋_GB2312" w:hAnsi="仿宋_GB2312" w:eastAsia="仿宋_GB2312"/>
          <w:b/>
          <w:sz w:val="30"/>
          <w:szCs w:val="30"/>
        </w:rPr>
        <w:t>第二部分  承  诺</w:t>
      </w:r>
    </w:p>
    <w:p w14:paraId="646BA009">
      <w:pPr>
        <w:snapToGrid w:val="0"/>
        <w:spacing w:line="540" w:lineRule="exact"/>
        <w:jc w:val="center"/>
        <w:rPr>
          <w:rFonts w:ascii="仿宋_GB2312" w:hAnsi="仿宋_GB2312" w:eastAsia="仿宋_GB2312"/>
          <w:b/>
          <w:sz w:val="30"/>
          <w:szCs w:val="30"/>
        </w:rPr>
      </w:pPr>
    </w:p>
    <w:p w14:paraId="72D932C3">
      <w:pPr>
        <w:snapToGrid w:val="0"/>
        <w:spacing w:line="540" w:lineRule="exact"/>
        <w:rPr>
          <w:rFonts w:ascii="仿宋_GB2312" w:hAnsi="仿宋_GB2312" w:eastAsia="仿宋_GB2312"/>
          <w:sz w:val="30"/>
          <w:szCs w:val="30"/>
        </w:rPr>
      </w:pPr>
      <w:r>
        <w:rPr>
          <w:rFonts w:ascii="仿宋_GB2312" w:hAnsi="仿宋_GB2312" w:eastAsia="仿宋_GB2312"/>
          <w:sz w:val="30"/>
          <w:szCs w:val="30"/>
        </w:rPr>
        <w:t>本人</w:t>
      </w:r>
      <w:r>
        <w:rPr>
          <w:rFonts w:ascii="仿宋_GB2312" w:hAnsi="仿宋_GB2312" w:eastAsia="仿宋_GB2312"/>
          <w:sz w:val="30"/>
          <w:szCs w:val="30"/>
          <w:u w:val="single"/>
        </w:rPr>
        <w:t xml:space="preserve">           </w:t>
      </w:r>
      <w:r>
        <w:rPr>
          <w:rFonts w:ascii="仿宋_GB2312" w:hAnsi="仿宋_GB2312" w:eastAsia="仿宋_GB2312"/>
          <w:sz w:val="30"/>
          <w:szCs w:val="30"/>
        </w:rPr>
        <w:t>（正楷体）向上海证券交易所承诺：</w:t>
      </w:r>
    </w:p>
    <w:p w14:paraId="61E3ECD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一、本人在履行上市公司高级管理人员的职责时，将遵守并促使本公司遵守适用的法律、法规和规章等有关规定；</w:t>
      </w:r>
    </w:p>
    <w:p w14:paraId="4A08E274">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二、本人在履行上市公司高级管理人员的职责时，将遵守并促使本公司遵守中国证监会发布的相关规章、规定和通知等有关要求；</w:t>
      </w:r>
    </w:p>
    <w:p w14:paraId="11586DBD">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三、本人在履行上市公司高级管理人员的职责时，将遵守并促使本公司遵守《上海证券交易所股票上市规则》和上海证券交易所发布的其他业务规则、规定和通知等；</w:t>
      </w:r>
    </w:p>
    <w:p w14:paraId="3487CBA3">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四、本人在履行上市公司高级管理人员的职责时，将遵守并促使本公司遵守公司章程；</w:t>
      </w:r>
    </w:p>
    <w:p w14:paraId="5B42A30D">
      <w:pPr>
        <w:pStyle w:val="6"/>
        <w:snapToGrid w:val="0"/>
        <w:spacing w:before="0" w:after="0" w:line="540" w:lineRule="exact"/>
        <w:ind w:right="0" w:firstLine="600"/>
        <w:rPr>
          <w:rFonts w:ascii="仿宋_GB2312" w:hAnsi="仿宋_GB2312" w:eastAsia="仿宋_GB2312"/>
          <w:sz w:val="30"/>
          <w:szCs w:val="30"/>
        </w:rPr>
      </w:pPr>
      <w:r>
        <w:rPr>
          <w:rFonts w:ascii="仿宋_GB2312" w:hAnsi="仿宋_GB2312" w:eastAsia="仿宋_GB2312" w:cs="宋体"/>
          <w:sz w:val="30"/>
          <w:szCs w:val="30"/>
        </w:rPr>
        <w:t>五、本人作为上市公司高级管理人员接受上海证券交易所的监管，</w:t>
      </w:r>
      <w:r>
        <w:rPr>
          <w:rFonts w:ascii="仿宋_GB2312" w:hAnsi="仿宋_GB2312" w:eastAsia="仿宋_GB2312"/>
          <w:sz w:val="30"/>
          <w:szCs w:val="30"/>
        </w:rPr>
        <w:t>包括及时、如实地答复上海证券交易所向本人提出的任何问题，及时提供《上海证券交易所股票上市规则》规定应当报送的资料及要求提供的其他文件的正本或者副本，并出席本人被要求出席的任何会议，接受上海证券交易所的监管措施和纪律处分等；</w:t>
      </w:r>
    </w:p>
    <w:p w14:paraId="4E4E148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六、本人授权上海证券交易所将本人提供的声明与承诺资料向中国证监会报告；</w:t>
      </w:r>
    </w:p>
    <w:p w14:paraId="13F62D1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七、本人如违反上述承诺，愿意承担由此引起的一切法律责任；</w:t>
      </w:r>
    </w:p>
    <w:p w14:paraId="7FD0DA44">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八、本人在执行职务过程中，如果与上海证券交易所发生争议提起诉讼时，由上海证券交易所住所地有管辖权的法院管辖。</w:t>
      </w:r>
    </w:p>
    <w:p w14:paraId="6F35EAED">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九、本人在执行职务过程中，与上海证券交易所以外的主体因发行人（上市公司）在境内发行股票或者存托凭证并在上海证券交易所主板上市发生争议提起诉讼的，适用中国法律，并由中国境内有管辖权的人民法院管辖。</w:t>
      </w:r>
    </w:p>
    <w:p w14:paraId="2770CC3C">
      <w:pPr>
        <w:snapToGrid w:val="0"/>
        <w:spacing w:line="540" w:lineRule="exact"/>
        <w:ind w:right="0" w:firstLine="600"/>
        <w:rPr>
          <w:rFonts w:ascii="仿宋_GB2312" w:hAnsi="仿宋_GB2312" w:eastAsia="仿宋_GB2312"/>
          <w:sz w:val="30"/>
          <w:szCs w:val="30"/>
        </w:rPr>
      </w:pPr>
    </w:p>
    <w:p w14:paraId="365206D3">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 xml:space="preserve">承诺人（签名）：     </w:t>
      </w:r>
    </w:p>
    <w:p w14:paraId="7B04DD31">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 xml:space="preserve">日    期：         </w:t>
      </w:r>
    </w:p>
    <w:p w14:paraId="3C93EECC">
      <w:pPr>
        <w:snapToGrid w:val="0"/>
        <w:spacing w:line="540" w:lineRule="exact"/>
        <w:rPr>
          <w:rFonts w:ascii="仿宋_GB2312" w:hAnsi="仿宋_GB2312" w:eastAsia="仿宋_GB2312"/>
          <w:sz w:val="30"/>
          <w:szCs w:val="30"/>
        </w:rPr>
      </w:pPr>
    </w:p>
    <w:p w14:paraId="07978BBA">
      <w:pPr>
        <w:snapToGrid w:val="0"/>
        <w:spacing w:line="540" w:lineRule="exact"/>
        <w:rPr>
          <w:rFonts w:ascii="仿宋_GB2312" w:hAnsi="仿宋_GB2312" w:eastAsia="仿宋_GB2312"/>
          <w:sz w:val="30"/>
          <w:szCs w:val="30"/>
        </w:rPr>
      </w:pPr>
      <w:r>
        <w:rPr>
          <w:rFonts w:ascii="仿宋_GB2312" w:hAnsi="仿宋_GB2312" w:eastAsia="仿宋_GB2312"/>
          <w:sz w:val="30"/>
          <w:szCs w:val="30"/>
        </w:rPr>
        <w:t>此项承诺于</w:t>
      </w:r>
      <w:r>
        <w:rPr>
          <w:rFonts w:ascii="仿宋_GB2312" w:hAnsi="仿宋_GB2312" w:eastAsia="仿宋_GB2312"/>
          <w:sz w:val="30"/>
          <w:szCs w:val="30"/>
          <w:u w:val="single"/>
        </w:rPr>
        <w:t xml:space="preserve">    </w:t>
      </w:r>
      <w:r>
        <w:rPr>
          <w:rFonts w:ascii="仿宋_GB2312" w:hAnsi="仿宋_GB2312" w:eastAsia="仿宋_GB2312"/>
          <w:sz w:val="30"/>
          <w:szCs w:val="30"/>
        </w:rPr>
        <w:t>年</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月 </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日在  </w:t>
      </w:r>
      <w:r>
        <w:rPr>
          <w:rFonts w:ascii="仿宋_GB2312" w:hAnsi="仿宋_GB2312" w:eastAsia="仿宋_GB2312"/>
          <w:sz w:val="30"/>
          <w:szCs w:val="30"/>
          <w:u w:val="single"/>
        </w:rPr>
        <w:t xml:space="preserve">       </w:t>
      </w:r>
      <w:r>
        <w:rPr>
          <w:rFonts w:ascii="仿宋_GB2312" w:hAnsi="仿宋_GB2312" w:eastAsia="仿宋_GB2312"/>
          <w:sz w:val="30"/>
          <w:szCs w:val="30"/>
        </w:rPr>
        <w:t>（地点）作出。</w:t>
      </w:r>
    </w:p>
    <w:p w14:paraId="7A39F6FB">
      <w:pPr>
        <w:snapToGrid w:val="0"/>
        <w:spacing w:line="540" w:lineRule="exact"/>
        <w:rPr>
          <w:rFonts w:ascii="仿宋_GB2312" w:hAnsi="仿宋_GB2312" w:eastAsia="仿宋_GB2312"/>
          <w:sz w:val="30"/>
          <w:szCs w:val="30"/>
        </w:rPr>
      </w:pPr>
    </w:p>
    <w:p w14:paraId="0EA2D862">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见证律师：</w:t>
      </w:r>
    </w:p>
    <w:p w14:paraId="1F8E60AF">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日    期：</w:t>
      </w:r>
    </w:p>
    <w:p w14:paraId="5546AB7F">
      <w:pPr>
        <w:spacing w:line="540" w:lineRule="exact"/>
        <w:rPr>
          <w:rFonts w:ascii="仿宋_GB2312" w:hAnsi="仿宋_GB2312" w:eastAsia="仿宋_GB2312"/>
          <w:sz w:val="30"/>
          <w:szCs w:val="30"/>
        </w:rPr>
      </w:pPr>
    </w:p>
    <w:p w14:paraId="49AD64B5">
      <w:pPr>
        <w:spacing w:line="540" w:lineRule="exact"/>
        <w:rPr>
          <w:rFonts w:ascii="仿宋_GB2312" w:hAnsi="仿宋_GB2312" w:eastAsia="仿宋_GB2312"/>
          <w:sz w:val="30"/>
          <w:szCs w:val="30"/>
        </w:rPr>
      </w:pPr>
    </w:p>
    <w:p w14:paraId="3FCE09FA">
      <w:pPr>
        <w:spacing w:line="540" w:lineRule="exact"/>
        <w:rPr>
          <w:rFonts w:ascii="仿宋_GB2312" w:hAnsi="仿宋_GB2312" w:eastAsia="仿宋_GB2312"/>
          <w:sz w:val="30"/>
          <w:szCs w:val="30"/>
        </w:rPr>
      </w:pPr>
    </w:p>
    <w:p w14:paraId="19C706BB">
      <w:pPr>
        <w:spacing w:line="560" w:lineRule="exact"/>
        <w:rPr>
          <w:rFonts w:ascii="仿宋_GB2312" w:hAnsi="仿宋_GB2312" w:eastAsia="仿宋_GB2312"/>
          <w:sz w:val="30"/>
          <w:szCs w:val="30"/>
        </w:rPr>
      </w:pPr>
    </w:p>
    <w:p w14:paraId="7D09AB1E">
      <w:pPr>
        <w:spacing w:line="560" w:lineRule="exact"/>
        <w:rPr>
          <w:rFonts w:ascii="仿宋_GB2312" w:hAnsi="仿宋_GB2312" w:eastAsia="仿宋_GB2312"/>
          <w:sz w:val="30"/>
          <w:szCs w:val="30"/>
        </w:rPr>
      </w:pPr>
    </w:p>
    <w:p w14:paraId="6871C154">
      <w:pPr>
        <w:spacing w:line="560" w:lineRule="exact"/>
        <w:rPr>
          <w:rFonts w:ascii="仿宋_GB2312" w:hAnsi="仿宋_GB2312" w:eastAsia="仿宋_GB2312"/>
          <w:sz w:val="30"/>
          <w:szCs w:val="30"/>
        </w:rPr>
      </w:pPr>
    </w:p>
    <w:p w14:paraId="1C69A36D">
      <w:pPr>
        <w:widowControl/>
        <w:spacing w:line="560" w:lineRule="exact"/>
        <w:jc w:val="left"/>
        <w:rPr>
          <w:rFonts w:ascii="仿宋_GB2312" w:hAnsi="仿宋_GB2312" w:eastAsia="仿宋_GB2312"/>
          <w:sz w:val="30"/>
          <w:szCs w:val="30"/>
        </w:rPr>
      </w:pPr>
      <w:r>
        <w:br w:type="page"/>
      </w:r>
    </w:p>
    <w:p w14:paraId="5214C95D">
      <w:pPr>
        <w:snapToGrid w:val="0"/>
        <w:spacing w:line="560" w:lineRule="exact"/>
        <w:ind w:right="0" w:firstLine="602"/>
        <w:jc w:val="left"/>
        <w:rPr>
          <w:rFonts w:ascii="仿宋_GB2312" w:hAnsi="仿宋_GB2312" w:eastAsia="仿宋_GB2312" w:cs="Times New Roman"/>
          <w:b/>
          <w:bCs/>
          <w:sz w:val="30"/>
          <w:szCs w:val="30"/>
        </w:rPr>
      </w:pPr>
      <w:r>
        <w:rPr>
          <w:rFonts w:ascii="仿宋_GB2312" w:hAnsi="仿宋_GB2312" w:eastAsia="仿宋_GB2312" w:cs="Times New Roman"/>
          <w:b/>
          <w:bCs/>
          <w:sz w:val="30"/>
          <w:szCs w:val="30"/>
        </w:rPr>
        <w:t>附件9</w:t>
      </w:r>
    </w:p>
    <w:p w14:paraId="06ABFC34">
      <w:pPr>
        <w:spacing w:line="560" w:lineRule="exact"/>
        <w:rPr>
          <w:rFonts w:ascii="仿宋_GB2312" w:hAnsi="仿宋_GB2312" w:eastAsia="仿宋_GB2312" w:cs="Times New Roman"/>
          <w:b/>
          <w:bCs/>
          <w:sz w:val="28"/>
          <w:szCs w:val="30"/>
        </w:rPr>
      </w:pPr>
    </w:p>
    <w:p w14:paraId="6656ABDC">
      <w:pPr>
        <w:keepNext/>
        <w:keepLines/>
        <w:numPr>
          <w:ilvl w:val="0"/>
          <w:numId w:val="0"/>
        </w:numPr>
        <w:spacing w:line="540" w:lineRule="exact"/>
        <w:jc w:val="center"/>
        <w:outlineLvl w:val="0"/>
        <w:rPr>
          <w:rFonts w:ascii="黑体" w:hAnsi="黑体" w:eastAsia="黑体" w:cs="Arial Unicode MS;Times New Roma"/>
          <w:b/>
          <w:bCs/>
          <w:kern w:val="2"/>
          <w:sz w:val="44"/>
          <w:szCs w:val="44"/>
        </w:rPr>
      </w:pPr>
      <w:bookmarkStart w:id="71" w:name="__RefHeading___Toc189646173"/>
      <w:bookmarkEnd w:id="71"/>
      <w:r>
        <w:rPr>
          <w:rFonts w:ascii="黑体" w:hAnsi="黑体" w:eastAsia="黑体" w:cs="Arial Unicode MS;Times New Roma"/>
          <w:b/>
          <w:bCs/>
          <w:kern w:val="2"/>
          <w:sz w:val="44"/>
          <w:szCs w:val="44"/>
        </w:rPr>
        <w:t>红筹企业控股股东、实际控制人声明及承诺书</w:t>
      </w:r>
    </w:p>
    <w:p w14:paraId="32D7F9CB">
      <w:pPr>
        <w:spacing w:line="560" w:lineRule="exact"/>
        <w:ind w:right="0" w:firstLine="2250"/>
        <w:rPr>
          <w:rFonts w:ascii="仿宋_GB2312" w:hAnsi="仿宋_GB2312" w:eastAsia="仿宋_GB2312" w:cs="Arial Unicode MS;Times New Roma"/>
          <w:b/>
          <w:bCs/>
          <w:kern w:val="2"/>
          <w:sz w:val="30"/>
          <w:szCs w:val="30"/>
        </w:rPr>
      </w:pPr>
    </w:p>
    <w:p w14:paraId="167983F5">
      <w:pPr>
        <w:pStyle w:val="44"/>
        <w:spacing w:line="540" w:lineRule="exact"/>
        <w:jc w:val="center"/>
        <w:rPr>
          <w:rFonts w:ascii="仿宋_GB2312" w:hAnsi="仿宋_GB2312" w:eastAsia="仿宋_GB2312"/>
          <w:b/>
          <w:sz w:val="30"/>
          <w:szCs w:val="30"/>
        </w:rPr>
      </w:pPr>
      <w:r>
        <w:rPr>
          <w:rFonts w:ascii="仿宋_GB2312" w:hAnsi="仿宋_GB2312" w:eastAsia="仿宋_GB2312"/>
          <w:b/>
          <w:sz w:val="30"/>
          <w:szCs w:val="30"/>
        </w:rPr>
        <w:t>第一部分  声  明</w:t>
      </w:r>
    </w:p>
    <w:p w14:paraId="29E3E061">
      <w:pPr>
        <w:pStyle w:val="44"/>
        <w:spacing w:line="540" w:lineRule="exact"/>
        <w:jc w:val="center"/>
        <w:rPr>
          <w:rFonts w:ascii="仿宋_GB2312" w:hAnsi="仿宋_GB2312" w:eastAsia="仿宋_GB2312"/>
          <w:b/>
          <w:sz w:val="30"/>
          <w:szCs w:val="30"/>
        </w:rPr>
      </w:pPr>
    </w:p>
    <w:p w14:paraId="71BCC7D6">
      <w:pPr>
        <w:pStyle w:val="44"/>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一（A）、基本情况（法人及其他组织填写）</w:t>
      </w:r>
    </w:p>
    <w:p w14:paraId="70912313">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1.上市公司名称：</w:t>
      </w:r>
      <w:r>
        <w:rPr>
          <w:rFonts w:ascii="仿宋_GB2312" w:hAnsi="仿宋_GB2312" w:eastAsia="仿宋_GB2312"/>
          <w:sz w:val="30"/>
          <w:szCs w:val="30"/>
          <w:u w:val="single"/>
        </w:rPr>
        <w:t xml:space="preserve">                                    </w:t>
      </w:r>
    </w:p>
    <w:p w14:paraId="1B0777F1">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rPr>
        <w:t>2.上市公司股票或者存托凭证简称：</w:t>
      </w:r>
      <w:r>
        <w:rPr>
          <w:rFonts w:ascii="仿宋_GB2312" w:hAnsi="仿宋_GB2312" w:eastAsia="仿宋_GB2312"/>
          <w:sz w:val="30"/>
          <w:szCs w:val="30"/>
          <w:u w:val="single"/>
        </w:rPr>
        <w:t xml:space="preserve">                      </w:t>
      </w:r>
    </w:p>
    <w:p w14:paraId="77D24B92">
      <w:pPr>
        <w:snapToGrid w:val="0"/>
        <w:spacing w:line="540" w:lineRule="exact"/>
        <w:ind w:right="0" w:firstLine="900"/>
        <w:rPr>
          <w:rFonts w:ascii="仿宋_GB2312" w:hAnsi="仿宋_GB2312" w:eastAsia="仿宋_GB2312"/>
          <w:sz w:val="30"/>
          <w:szCs w:val="30"/>
          <w:u w:val="single"/>
        </w:rPr>
      </w:pPr>
      <w:r>
        <w:rPr>
          <w:rFonts w:ascii="仿宋_GB2312" w:hAnsi="仿宋_GB2312" w:eastAsia="仿宋_GB2312"/>
          <w:sz w:val="30"/>
          <w:szCs w:val="30"/>
        </w:rPr>
        <w:t>上市公司股票或者存托凭证代码：</w:t>
      </w:r>
      <w:r>
        <w:rPr>
          <w:rFonts w:ascii="仿宋_GB2312" w:hAnsi="仿宋_GB2312" w:eastAsia="仿宋_GB2312"/>
          <w:sz w:val="30"/>
          <w:szCs w:val="30"/>
          <w:u w:val="single"/>
        </w:rPr>
        <w:t xml:space="preserve">                     </w:t>
      </w:r>
    </w:p>
    <w:p w14:paraId="2717C637">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rPr>
        <w:t>3.本单位名称：</w:t>
      </w:r>
      <w:r>
        <w:rPr>
          <w:rFonts w:ascii="仿宋_GB2312" w:hAnsi="仿宋_GB2312" w:eastAsia="仿宋_GB2312"/>
          <w:sz w:val="30"/>
          <w:szCs w:val="30"/>
          <w:u w:val="single"/>
        </w:rPr>
        <w:t xml:space="preserve">                                      </w:t>
      </w:r>
    </w:p>
    <w:p w14:paraId="24BE405C">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rPr>
        <w:t>4.本单位联系地址：</w:t>
      </w:r>
      <w:r>
        <w:rPr>
          <w:rFonts w:ascii="仿宋_GB2312" w:hAnsi="仿宋_GB2312" w:eastAsia="仿宋_GB2312"/>
          <w:sz w:val="30"/>
          <w:szCs w:val="30"/>
          <w:u w:val="single"/>
        </w:rPr>
        <w:t xml:space="preserve">                                  </w:t>
      </w:r>
    </w:p>
    <w:p w14:paraId="47854132">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一（B）、基本情况（自然人填写）</w:t>
      </w:r>
    </w:p>
    <w:p w14:paraId="0FCDAFE4">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1.上市公司名称：</w:t>
      </w:r>
      <w:r>
        <w:rPr>
          <w:rFonts w:ascii="仿宋_GB2312" w:hAnsi="仿宋_GB2312" w:eastAsia="仿宋_GB2312"/>
          <w:sz w:val="30"/>
          <w:szCs w:val="30"/>
          <w:u w:val="single"/>
        </w:rPr>
        <w:t xml:space="preserve">                                       </w:t>
      </w:r>
    </w:p>
    <w:p w14:paraId="65F55D1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2.上市公司股票或者存托凭证简称：</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 </w:t>
      </w:r>
    </w:p>
    <w:p w14:paraId="11241F82">
      <w:pPr>
        <w:snapToGrid w:val="0"/>
        <w:spacing w:line="540" w:lineRule="exact"/>
        <w:ind w:right="0" w:firstLine="900"/>
        <w:rPr>
          <w:rFonts w:ascii="仿宋_GB2312" w:hAnsi="仿宋_GB2312" w:eastAsia="仿宋_GB2312"/>
          <w:sz w:val="30"/>
          <w:szCs w:val="30"/>
          <w:u w:val="single"/>
        </w:rPr>
      </w:pPr>
      <w:r>
        <w:rPr>
          <w:rFonts w:ascii="仿宋_GB2312" w:hAnsi="仿宋_GB2312" w:eastAsia="仿宋_GB2312"/>
          <w:sz w:val="30"/>
          <w:szCs w:val="30"/>
        </w:rPr>
        <w:t>上市公司股票或者存托凭证代码：</w:t>
      </w:r>
      <w:r>
        <w:rPr>
          <w:rFonts w:ascii="仿宋_GB2312" w:hAnsi="仿宋_GB2312" w:eastAsia="仿宋_GB2312"/>
          <w:sz w:val="30"/>
          <w:szCs w:val="30"/>
          <w:u w:val="single"/>
        </w:rPr>
        <w:t xml:space="preserve">                      </w:t>
      </w:r>
    </w:p>
    <w:p w14:paraId="674D56B3">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3.本人姓名：</w:t>
      </w:r>
      <w:r>
        <w:rPr>
          <w:rFonts w:ascii="仿宋_GB2312" w:hAnsi="仿宋_GB2312" w:eastAsia="仿宋_GB2312"/>
          <w:sz w:val="30"/>
          <w:szCs w:val="30"/>
          <w:u w:val="single"/>
        </w:rPr>
        <w:t xml:space="preserve">                                           </w:t>
      </w:r>
    </w:p>
    <w:p w14:paraId="0F239114">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4.别名：</w:t>
      </w:r>
      <w:r>
        <w:rPr>
          <w:rFonts w:ascii="仿宋_GB2312" w:hAnsi="仿宋_GB2312" w:eastAsia="仿宋_GB2312"/>
          <w:sz w:val="30"/>
          <w:szCs w:val="30"/>
          <w:u w:val="single"/>
        </w:rPr>
        <w:t xml:space="preserve">                                              </w:t>
      </w:r>
    </w:p>
    <w:p w14:paraId="3D44AA81">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5.曾用名：</w:t>
      </w:r>
      <w:r>
        <w:rPr>
          <w:rFonts w:ascii="仿宋_GB2312" w:hAnsi="仿宋_GB2312" w:eastAsia="仿宋_GB2312" w:cs="宋体"/>
          <w:sz w:val="30"/>
          <w:szCs w:val="30"/>
          <w:u w:val="single"/>
        </w:rPr>
        <w:t xml:space="preserve">                                            </w:t>
      </w:r>
      <w:r>
        <w:rPr>
          <w:rFonts w:ascii="仿宋_GB2312" w:hAnsi="仿宋_GB2312" w:eastAsia="仿宋_GB2312" w:cs="Times New Roman"/>
          <w:color w:val="000000"/>
          <w:sz w:val="30"/>
          <w:szCs w:val="30"/>
        </w:rPr>
        <w:t xml:space="preserve"> </w:t>
      </w:r>
    </w:p>
    <w:p w14:paraId="7A8BD7C7">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6.出生日期：</w:t>
      </w:r>
      <w:r>
        <w:rPr>
          <w:rFonts w:ascii="仿宋_GB2312" w:hAnsi="仿宋_GB2312" w:eastAsia="仿宋_GB2312" w:cs="宋体"/>
          <w:sz w:val="30"/>
          <w:szCs w:val="30"/>
          <w:u w:val="single"/>
        </w:rPr>
        <w:t xml:space="preserve">                                          </w:t>
      </w:r>
      <w:r>
        <w:rPr>
          <w:rFonts w:ascii="仿宋_GB2312" w:hAnsi="仿宋_GB2312" w:eastAsia="仿宋_GB2312" w:cs="Times New Roman"/>
          <w:color w:val="000000"/>
          <w:sz w:val="30"/>
          <w:szCs w:val="30"/>
        </w:rPr>
        <w:t xml:space="preserve"> </w:t>
      </w:r>
    </w:p>
    <w:p w14:paraId="19B1D053">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7.联系地址：</w:t>
      </w:r>
      <w:r>
        <w:rPr>
          <w:rFonts w:ascii="仿宋_GB2312" w:hAnsi="仿宋_GB2312" w:eastAsia="仿宋_GB2312" w:cs="宋体"/>
          <w:sz w:val="30"/>
          <w:szCs w:val="30"/>
          <w:u w:val="single"/>
        </w:rPr>
        <w:t xml:space="preserve">                                              </w:t>
      </w:r>
    </w:p>
    <w:p w14:paraId="310478FA">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8.国籍：</w:t>
      </w:r>
      <w:r>
        <w:rPr>
          <w:rFonts w:ascii="仿宋_GB2312" w:hAnsi="仿宋_GB2312" w:eastAsia="仿宋_GB2312" w:cs="宋体"/>
          <w:sz w:val="30"/>
          <w:szCs w:val="30"/>
          <w:u w:val="single"/>
        </w:rPr>
        <w:t xml:space="preserve">                                              </w:t>
      </w:r>
      <w:r>
        <w:rPr>
          <w:rFonts w:ascii="仿宋_GB2312" w:hAnsi="仿宋_GB2312" w:eastAsia="仿宋_GB2312" w:cs="Times New Roman"/>
          <w:color w:val="000000"/>
          <w:sz w:val="30"/>
          <w:szCs w:val="30"/>
        </w:rPr>
        <w:t xml:space="preserve"> </w:t>
      </w:r>
    </w:p>
    <w:p w14:paraId="67BF7A18">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宋体"/>
          <w:sz w:val="30"/>
          <w:szCs w:val="30"/>
        </w:rPr>
        <w:t>9</w:t>
      </w:r>
      <w:r>
        <w:rPr>
          <w:rFonts w:ascii="仿宋_GB2312" w:hAnsi="仿宋_GB2312" w:eastAsia="仿宋_GB2312" w:cs="Times New Roman"/>
          <w:color w:val="000000"/>
          <w:sz w:val="30"/>
          <w:szCs w:val="30"/>
        </w:rPr>
        <w:t>.专业资格（如适用）：</w:t>
      </w:r>
      <w:r>
        <w:rPr>
          <w:rFonts w:ascii="仿宋_GB2312" w:hAnsi="仿宋_GB2312" w:eastAsia="仿宋_GB2312" w:cs="宋体"/>
          <w:sz w:val="30"/>
          <w:szCs w:val="30"/>
          <w:u w:val="single"/>
        </w:rPr>
        <w:t xml:space="preserve">                                 </w:t>
      </w:r>
    </w:p>
    <w:p w14:paraId="0DA0F061">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10.</w:t>
      </w:r>
      <w:r>
        <w:rPr>
          <w:rFonts w:ascii="仿宋_GB2312" w:hAnsi="仿宋_GB2312" w:eastAsia="仿宋_GB2312" w:cs="宋体"/>
          <w:sz w:val="30"/>
          <w:szCs w:val="30"/>
        </w:rPr>
        <w:t>中国身份证号码（如适用）：</w:t>
      </w:r>
      <w:r>
        <w:rPr>
          <w:rFonts w:ascii="仿宋_GB2312" w:hAnsi="仿宋_GB2312" w:eastAsia="仿宋_GB2312" w:cs="宋体"/>
          <w:sz w:val="30"/>
          <w:szCs w:val="30"/>
          <w:u w:val="single"/>
        </w:rPr>
        <w:t xml:space="preserve">                                       </w:t>
      </w:r>
    </w:p>
    <w:p w14:paraId="4FCC7BEE">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11.护照号码（如适用）：</w:t>
      </w:r>
      <w:r>
        <w:rPr>
          <w:rFonts w:ascii="仿宋_GB2312" w:hAnsi="仿宋_GB2312" w:eastAsia="仿宋_GB2312" w:cs="宋体"/>
          <w:sz w:val="30"/>
          <w:szCs w:val="30"/>
          <w:u w:val="single"/>
        </w:rPr>
        <w:t xml:space="preserve">                                </w:t>
      </w:r>
    </w:p>
    <w:p w14:paraId="5088729B">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12.最近五年工作经历：</w:t>
      </w:r>
      <w:r>
        <w:rPr>
          <w:rFonts w:ascii="仿宋_GB2312" w:hAnsi="仿宋_GB2312" w:eastAsia="仿宋_GB2312" w:cs="宋体"/>
          <w:sz w:val="30"/>
          <w:szCs w:val="30"/>
          <w:u w:val="single"/>
        </w:rPr>
        <w:t xml:space="preserve">                               </w:t>
      </w:r>
    </w:p>
    <w:p w14:paraId="2010DC23">
      <w:pPr>
        <w:pStyle w:val="44"/>
        <w:spacing w:line="540" w:lineRule="exact"/>
        <w:ind w:right="0" w:firstLine="600"/>
        <w:rPr>
          <w:rFonts w:ascii="仿宋_GB2312" w:hAnsi="仿宋_GB2312" w:eastAsia="仿宋_GB2312" w:cs="宋体"/>
          <w:sz w:val="30"/>
          <w:szCs w:val="30"/>
          <w:u w:val="single"/>
        </w:rPr>
      </w:pPr>
      <w:r>
        <w:rPr>
          <w:rFonts w:ascii="仿宋_GB2312" w:hAnsi="仿宋_GB2312" w:eastAsia="仿宋_GB2312" w:cs="仿宋_GB2312"/>
          <w:sz w:val="30"/>
          <w:szCs w:val="30"/>
          <w:u w:val="single"/>
        </w:rPr>
        <w:t xml:space="preserve">                                                                        </w:t>
      </w:r>
    </w:p>
    <w:p w14:paraId="41B60B4E">
      <w:pPr>
        <w:pStyle w:val="44"/>
        <w:spacing w:line="540" w:lineRule="exact"/>
        <w:ind w:right="0" w:firstLine="600"/>
        <w:rPr>
          <w:rFonts w:ascii="仿宋_GB2312" w:hAnsi="仿宋_GB2312" w:eastAsia="仿宋_GB2312" w:cs="宋体"/>
          <w:sz w:val="30"/>
          <w:szCs w:val="30"/>
          <w:u w:val="single"/>
        </w:rPr>
      </w:pPr>
      <w:r>
        <w:rPr>
          <w:rFonts w:ascii="仿宋_GB2312" w:hAnsi="仿宋_GB2312" w:eastAsia="仿宋_GB2312" w:cs="仿宋_GB2312"/>
          <w:sz w:val="30"/>
          <w:szCs w:val="30"/>
          <w:u w:val="single"/>
        </w:rPr>
        <w:t xml:space="preserve">                                                   </w:t>
      </w:r>
    </w:p>
    <w:p w14:paraId="6055855A">
      <w:pPr>
        <w:pStyle w:val="44"/>
        <w:spacing w:line="540" w:lineRule="exact"/>
        <w:ind w:right="0" w:firstLine="600"/>
        <w:rPr>
          <w:rFonts w:ascii="仿宋_GB2312" w:hAnsi="仿宋_GB2312" w:eastAsia="仿宋_GB2312" w:cs="宋体"/>
          <w:sz w:val="30"/>
          <w:szCs w:val="30"/>
          <w:u w:val="single"/>
        </w:rPr>
      </w:pPr>
      <w:r>
        <w:rPr>
          <w:rFonts w:ascii="仿宋_GB2312" w:hAnsi="仿宋_GB2312" w:eastAsia="仿宋_GB2312" w:cs="宋体"/>
          <w:sz w:val="30"/>
          <w:szCs w:val="30"/>
          <w:u w:val="single"/>
        </w:rPr>
        <w:t xml:space="preserve">13. 在其他公司任职情况（如适用）：                               </w:t>
      </w:r>
    </w:p>
    <w:p w14:paraId="6ED13A49">
      <w:pPr>
        <w:pStyle w:val="44"/>
        <w:spacing w:line="540" w:lineRule="exact"/>
        <w:ind w:right="0" w:firstLine="600"/>
        <w:rPr>
          <w:rFonts w:ascii="仿宋_GB2312" w:hAnsi="仿宋_GB2312" w:eastAsia="仿宋_GB2312"/>
          <w:sz w:val="30"/>
          <w:szCs w:val="30"/>
          <w:u w:val="single"/>
        </w:rPr>
      </w:pPr>
      <w:r>
        <w:rPr>
          <w:rFonts w:ascii="仿宋_GB2312" w:hAnsi="仿宋_GB2312" w:eastAsia="仿宋_GB2312" w:cs="仿宋_GB2312"/>
          <w:sz w:val="30"/>
          <w:szCs w:val="30"/>
          <w:u w:val="single"/>
        </w:rPr>
        <w:t xml:space="preserve">                                                        </w:t>
      </w:r>
    </w:p>
    <w:p w14:paraId="7AD05B2C">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sz w:val="30"/>
          <w:szCs w:val="30"/>
        </w:rPr>
        <w:t>二、是否负有数额较大的到期未清偿债务？</w:t>
      </w:r>
    </w:p>
    <w:p w14:paraId="5FB88CFE">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0FADB796">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sz w:val="30"/>
          <w:szCs w:val="30"/>
        </w:rPr>
        <w:t xml:space="preserve">如是，请详细说明。 </w:t>
      </w:r>
    </w:p>
    <w:p w14:paraId="4EC48D55">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sz w:val="30"/>
          <w:szCs w:val="30"/>
        </w:rPr>
        <w:t xml:space="preserve">三、是否存在占用上市公司资金或者要求上市公司违规提供担保的情形？ </w:t>
      </w:r>
    </w:p>
    <w:p w14:paraId="2CF069FF">
      <w:pPr>
        <w:pStyle w:val="44"/>
        <w:spacing w:line="540" w:lineRule="exact"/>
        <w:ind w:right="0" w:firstLine="600"/>
      </w:pPr>
      <w:r>
        <w:rPr>
          <w:rFonts w:ascii="仿宋_GB2312" w:hAnsi="仿宋_GB2312" w:eastAsia="仿宋_GB2312" w:cs="宋体"/>
          <w:sz w:val="30"/>
          <w:szCs w:val="30"/>
          <w:u w:val="single"/>
        </w:rPr>
        <w:t xml:space="preserve">是□  否□  </w:t>
      </w:r>
    </w:p>
    <w:p w14:paraId="3B0701E6">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如是，请详细说明。</w:t>
      </w:r>
    </w:p>
    <w:p w14:paraId="643B97BB">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sz w:val="30"/>
          <w:szCs w:val="30"/>
        </w:rPr>
        <w:t>四、本单位/本人</w:t>
      </w:r>
      <w:r>
        <w:rPr>
          <w:rFonts w:ascii="仿宋_GB2312" w:hAnsi="仿宋_GB2312" w:eastAsia="仿宋_GB2312" w:cs="宋体"/>
          <w:color w:val="000000"/>
          <w:kern w:val="0"/>
          <w:sz w:val="30"/>
          <w:szCs w:val="30"/>
        </w:rPr>
        <w:t>及本单位/本人控制的其他单位是否存在对上市公司构成重大不利影响的同业竞争？</w:t>
      </w:r>
    </w:p>
    <w:p w14:paraId="43AD23AC">
      <w:pPr>
        <w:pStyle w:val="44"/>
        <w:spacing w:line="540" w:lineRule="exact"/>
        <w:ind w:right="0" w:firstLine="600"/>
      </w:pPr>
      <w:r>
        <w:rPr>
          <w:rFonts w:ascii="仿宋_GB2312" w:hAnsi="仿宋_GB2312" w:eastAsia="仿宋_GB2312" w:cs="宋体"/>
          <w:sz w:val="30"/>
          <w:szCs w:val="30"/>
          <w:u w:val="single"/>
        </w:rPr>
        <w:t xml:space="preserve">是□  否□  </w:t>
      </w:r>
    </w:p>
    <w:p w14:paraId="207E33CC">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如是，请详细说明。</w:t>
      </w:r>
    </w:p>
    <w:p w14:paraId="4469F8C8">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五、</w:t>
      </w:r>
      <w:r>
        <w:rPr>
          <w:rFonts w:ascii="仿宋_GB2312" w:hAnsi="仿宋_GB2312" w:eastAsia="仿宋_GB2312"/>
          <w:sz w:val="30"/>
          <w:szCs w:val="30"/>
        </w:rPr>
        <w:t>本单位/本人</w:t>
      </w:r>
      <w:r>
        <w:rPr>
          <w:rFonts w:ascii="仿宋_GB2312" w:hAnsi="仿宋_GB2312" w:eastAsia="仿宋_GB2312" w:cs="宋体"/>
          <w:color w:val="000000"/>
          <w:kern w:val="0"/>
          <w:sz w:val="30"/>
          <w:szCs w:val="30"/>
        </w:rPr>
        <w:t>及本单位/本人控制的其他单位是否与上市公司存在严重影响其独立性或者显失公平的关联交易？</w:t>
      </w:r>
    </w:p>
    <w:p w14:paraId="55756946">
      <w:pPr>
        <w:pStyle w:val="44"/>
        <w:spacing w:line="540" w:lineRule="exact"/>
        <w:ind w:right="0" w:firstLine="600"/>
      </w:pPr>
      <w:r>
        <w:rPr>
          <w:rFonts w:ascii="仿宋_GB2312" w:hAnsi="仿宋_GB2312" w:eastAsia="仿宋_GB2312" w:cs="宋体"/>
          <w:sz w:val="30"/>
          <w:szCs w:val="30"/>
          <w:u w:val="single"/>
        </w:rPr>
        <w:t xml:space="preserve">是□  否□  </w:t>
      </w:r>
    </w:p>
    <w:p w14:paraId="15B768DD">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如是，请详细说明。</w:t>
      </w:r>
    </w:p>
    <w:p w14:paraId="69C455E5">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sz w:val="30"/>
          <w:szCs w:val="30"/>
        </w:rPr>
        <w:t>六、是否存在贪污、贿赂、侵占财产、挪用财产或者破坏社会主义市场经济秩序的刑事犯罪行为？</w:t>
      </w:r>
    </w:p>
    <w:p w14:paraId="3167340D">
      <w:pPr>
        <w:pStyle w:val="44"/>
        <w:spacing w:line="540" w:lineRule="exact"/>
        <w:ind w:right="0" w:firstLine="600"/>
      </w:pPr>
      <w:r>
        <w:rPr>
          <w:rFonts w:ascii="仿宋_GB2312" w:hAnsi="仿宋_GB2312" w:eastAsia="仿宋_GB2312" w:cs="宋体"/>
          <w:sz w:val="30"/>
          <w:szCs w:val="30"/>
          <w:u w:val="single"/>
        </w:rPr>
        <w:t xml:space="preserve">是□  否□  </w:t>
      </w:r>
    </w:p>
    <w:p w14:paraId="0B93F9EE">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如是，请详细说明。</w:t>
      </w:r>
    </w:p>
    <w:p w14:paraId="47DBD5F3">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sz w:val="30"/>
          <w:szCs w:val="30"/>
        </w:rPr>
        <w:t>七、是否存在欺诈发行、重大信息披露违法或者其他涉及国家安全、公共安全、生态安全、生产安全、公众健康安全等领域的重大违法行为？</w:t>
      </w:r>
    </w:p>
    <w:p w14:paraId="597B49E8">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7EE449FA">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sz w:val="30"/>
          <w:szCs w:val="30"/>
        </w:rPr>
        <w:t>如是，请详细说明。</w:t>
      </w:r>
    </w:p>
    <w:p w14:paraId="3EAF2CA7">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sz w:val="30"/>
          <w:szCs w:val="30"/>
        </w:rPr>
        <w:t>八、是否曾因违反《证券法》等证券市场法律、行政法规</w:t>
      </w:r>
      <w:r>
        <w:rPr>
          <w:rFonts w:ascii="仿宋_GB2312" w:hAnsi="仿宋_GB2312" w:eastAsia="仿宋_GB2312" w:cs="宋体"/>
          <w:sz w:val="30"/>
          <w:szCs w:val="30"/>
        </w:rPr>
        <w:t>、部门规章而</w:t>
      </w:r>
      <w:r>
        <w:rPr>
          <w:rFonts w:ascii="仿宋_GB2312" w:hAnsi="仿宋_GB2312" w:eastAsia="仿宋_GB2312"/>
          <w:sz w:val="30"/>
          <w:szCs w:val="30"/>
        </w:rPr>
        <w:t>受到行政处罚？</w:t>
      </w:r>
    </w:p>
    <w:p w14:paraId="336D7C03">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490C92FD">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sz w:val="30"/>
          <w:szCs w:val="30"/>
        </w:rPr>
        <w:t>如是，请详细说明。</w:t>
      </w:r>
    </w:p>
    <w:p w14:paraId="70677718">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sz w:val="30"/>
          <w:szCs w:val="30"/>
        </w:rPr>
        <w:t>九、除第六至第八条以外，是否曾因违反其他法律、行政法规受到刑事处罚、行政处罚或者正处于有关诉讼程序中？</w:t>
      </w:r>
    </w:p>
    <w:p w14:paraId="31EEE7A6">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5971E714">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sz w:val="30"/>
          <w:szCs w:val="30"/>
        </w:rPr>
        <w:t>如是，请详细说明。</w:t>
      </w:r>
    </w:p>
    <w:p w14:paraId="50FB2FFD">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sz w:val="30"/>
          <w:szCs w:val="30"/>
        </w:rPr>
        <w:t xml:space="preserve">十、是否因涉嫌违反证券市场法律、行政法规、部门规章的规定正受到中国证监会的调查或者涉及有关行政程序？是否曾因违反证券交易场所业务规则或者其他相关规定而受到处分？ </w:t>
      </w:r>
    </w:p>
    <w:p w14:paraId="76A9A4A0">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352ACA27">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sz w:val="30"/>
          <w:szCs w:val="30"/>
        </w:rPr>
        <w:t>如是，请详细说明。</w:t>
      </w:r>
      <w:r>
        <w:rPr>
          <w:rFonts w:ascii="仿宋_GB2312" w:hAnsi="仿宋_GB2312" w:eastAsia="仿宋_GB2312" w:cs="Times New Roman"/>
          <w:color w:val="000000"/>
          <w:sz w:val="30"/>
          <w:szCs w:val="30"/>
        </w:rPr>
        <w:t xml:space="preserve"> </w:t>
      </w:r>
    </w:p>
    <w:p w14:paraId="522294A1">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 xml:space="preserve">十一、是否已明确知悉作为上市公司的控股股东、实际控制人，指使上市公司董事、高级管理人员违背对上市公司的忠实义务，利用职务便利，操纵上市公司从事下列行为之一，致使上市公司利益遭受重大或者特别重大损失的，将被追究刑事责任： </w:t>
      </w:r>
    </w:p>
    <w:p w14:paraId="779E5D5D">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 xml:space="preserve">（一）无偿向其他单位或者个人提供资金、商品、服务或者其他资产的； </w:t>
      </w:r>
    </w:p>
    <w:p w14:paraId="0425424F">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 xml:space="preserve">（二）以明显不公平的条件，提供或者接受资金、商品、服务或者其他资产的； </w:t>
      </w:r>
    </w:p>
    <w:p w14:paraId="4BBE9A95">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 xml:space="preserve">（三）向明显不具有清偿能力的单位或者个人提供资金、商品、服务或者其他资产的； </w:t>
      </w:r>
    </w:p>
    <w:p w14:paraId="734AAA5E">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 xml:space="preserve">（四）向明显不具有清偿能力的单位或者个人提供担保，或者无正当理由为其他单位或者个人提供担保的； </w:t>
      </w:r>
    </w:p>
    <w:p w14:paraId="010E704C">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 xml:space="preserve">（五）无正当理由放弃债权、承担债务的； </w:t>
      </w:r>
    </w:p>
    <w:p w14:paraId="123640C7">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 xml:space="preserve">（六）采用其他方式损害上市公司利益的。 </w:t>
      </w:r>
    </w:p>
    <w:p w14:paraId="56198304">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1ABB0146">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十二、除上述问题所披露的信息外，是否有需要声明的其他事项，而不声明该等事项可能影响本单位对上述问题回答的真实性、准确性或者完整性？</w:t>
      </w:r>
    </w:p>
    <w:p w14:paraId="1302FEDF">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77032F9F">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 xml:space="preserve">如是，请详细说明。 </w:t>
      </w:r>
    </w:p>
    <w:p w14:paraId="6002B202">
      <w:pPr>
        <w:pStyle w:val="44"/>
        <w:spacing w:line="540" w:lineRule="exact"/>
        <w:ind w:right="0" w:firstLine="600"/>
        <w:rPr>
          <w:rFonts w:ascii="仿宋_GB2312" w:hAnsi="仿宋_GB2312" w:eastAsia="仿宋_GB2312" w:cs="Times New Roman"/>
          <w:color w:val="000000"/>
          <w:sz w:val="30"/>
          <w:szCs w:val="30"/>
        </w:rPr>
      </w:pPr>
    </w:p>
    <w:p w14:paraId="357E3150">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仿宋_GB2312"/>
          <w:sz w:val="30"/>
          <w:szCs w:val="30"/>
          <w:u w:val="single"/>
        </w:rPr>
        <w:t xml:space="preserve">             </w:t>
      </w:r>
      <w:r>
        <w:rPr>
          <w:rFonts w:ascii="仿宋_GB2312" w:hAnsi="仿宋_GB2312" w:eastAsia="仿宋_GB2312" w:cs="Times New Roman"/>
          <w:color w:val="000000"/>
          <w:sz w:val="30"/>
          <w:szCs w:val="30"/>
        </w:rPr>
        <w:t>（正楷体）郑重声明，上述回答是真实、准确和完整的，保证不存在任何虚假记载、误导性陈述或者</w:t>
      </w:r>
      <w:r>
        <w:rPr>
          <w:rFonts w:ascii="仿宋_GB2312" w:hAnsi="仿宋_GB2312" w:eastAsia="仿宋_GB2312" w:cs="宋体"/>
          <w:sz w:val="30"/>
          <w:szCs w:val="30"/>
        </w:rPr>
        <w:t>重大</w:t>
      </w:r>
      <w:r>
        <w:rPr>
          <w:rFonts w:ascii="仿宋_GB2312" w:hAnsi="仿宋_GB2312" w:eastAsia="仿宋_GB2312" w:cs="Times New Roman"/>
          <w:color w:val="000000"/>
          <w:sz w:val="30"/>
          <w:szCs w:val="30"/>
        </w:rPr>
        <w:t xml:space="preserve">遗漏。本单位完全明白作出虚假声明可能导致的法律后果。 </w:t>
      </w:r>
    </w:p>
    <w:p w14:paraId="05EA4996">
      <w:pPr>
        <w:pStyle w:val="44"/>
        <w:spacing w:line="540" w:lineRule="exact"/>
        <w:ind w:right="0" w:firstLine="600"/>
        <w:rPr>
          <w:rFonts w:ascii="仿宋_GB2312" w:hAnsi="仿宋_GB2312" w:eastAsia="仿宋_GB2312" w:cs="Times New Roman"/>
          <w:color w:val="000000"/>
          <w:sz w:val="30"/>
          <w:szCs w:val="30"/>
        </w:rPr>
      </w:pPr>
    </w:p>
    <w:p w14:paraId="11D5D172">
      <w:pPr>
        <w:pStyle w:val="44"/>
        <w:spacing w:line="540" w:lineRule="exact"/>
        <w:rPr>
          <w:rFonts w:ascii="仿宋_GB2312" w:hAnsi="仿宋_GB2312" w:eastAsia="仿宋_GB2312" w:cs="Times New Roman"/>
          <w:color w:val="000000"/>
          <w:sz w:val="30"/>
          <w:szCs w:val="30"/>
        </w:rPr>
      </w:pPr>
      <w:r>
        <w:rPr>
          <w:rFonts w:ascii="仿宋_GB2312" w:hAnsi="仿宋_GB2312" w:eastAsia="仿宋_GB2312" w:cs="仿宋_GB2312"/>
          <w:sz w:val="30"/>
          <w:szCs w:val="30"/>
        </w:rPr>
        <w:t xml:space="preserve">                    </w:t>
      </w:r>
      <w:r>
        <w:rPr>
          <w:rFonts w:ascii="仿宋_GB2312" w:hAnsi="仿宋_GB2312" w:eastAsia="仿宋_GB2312" w:cs="Times New Roman"/>
          <w:color w:val="000000"/>
          <w:sz w:val="30"/>
          <w:szCs w:val="30"/>
        </w:rPr>
        <w:t>声明人（盖章/签名）：</w:t>
      </w:r>
    </w:p>
    <w:p w14:paraId="7AB4F9E2">
      <w:pPr>
        <w:pStyle w:val="44"/>
        <w:spacing w:line="540" w:lineRule="exact"/>
        <w:rPr>
          <w:rFonts w:ascii="仿宋_GB2312" w:hAnsi="仿宋_GB2312" w:eastAsia="仿宋_GB2312" w:cs="Times New Roman"/>
          <w:color w:val="000000"/>
          <w:sz w:val="30"/>
          <w:szCs w:val="30"/>
        </w:rPr>
      </w:pPr>
      <w:r>
        <w:rPr>
          <w:rFonts w:ascii="仿宋_GB2312" w:hAnsi="仿宋_GB2312" w:eastAsia="仿宋_GB2312" w:cs="仿宋_GB2312"/>
          <w:sz w:val="30"/>
          <w:szCs w:val="30"/>
        </w:rPr>
        <w:t xml:space="preserve">                    </w:t>
      </w:r>
      <w:r>
        <w:rPr>
          <w:rFonts w:ascii="仿宋_GB2312" w:hAnsi="仿宋_GB2312" w:eastAsia="仿宋_GB2312" w:cs="Times New Roman"/>
          <w:color w:val="000000"/>
          <w:sz w:val="30"/>
          <w:szCs w:val="30"/>
        </w:rPr>
        <w:t>法定代表人</w:t>
      </w:r>
      <w:r>
        <w:rPr>
          <w:rFonts w:ascii="仿宋_GB2312" w:hAnsi="仿宋_GB2312" w:eastAsia="仿宋_GB2312" w:cs="宋体"/>
          <w:sz w:val="30"/>
          <w:szCs w:val="30"/>
        </w:rPr>
        <w:t>（签名）（如适用）</w:t>
      </w:r>
      <w:r>
        <w:rPr>
          <w:rFonts w:ascii="仿宋_GB2312" w:hAnsi="仿宋_GB2312" w:eastAsia="仿宋_GB2312" w:cs="Times New Roman"/>
          <w:color w:val="000000"/>
          <w:sz w:val="30"/>
          <w:szCs w:val="30"/>
        </w:rPr>
        <w:t>：</w:t>
      </w:r>
    </w:p>
    <w:p w14:paraId="10BF7B53">
      <w:pPr>
        <w:pStyle w:val="44"/>
        <w:spacing w:line="540" w:lineRule="exact"/>
        <w:rPr>
          <w:rFonts w:ascii="仿宋_GB2312" w:hAnsi="仿宋_GB2312" w:eastAsia="仿宋_GB2312" w:cs="Times New Roman"/>
          <w:color w:val="000000"/>
          <w:sz w:val="30"/>
          <w:szCs w:val="30"/>
        </w:rPr>
      </w:pPr>
      <w:r>
        <w:rPr>
          <w:rFonts w:ascii="仿宋_GB2312" w:hAnsi="仿宋_GB2312" w:eastAsia="仿宋_GB2312" w:cs="仿宋_GB2312"/>
          <w:sz w:val="30"/>
          <w:szCs w:val="30"/>
        </w:rPr>
        <w:t xml:space="preserve">                    </w:t>
      </w:r>
      <w:r>
        <w:rPr>
          <w:rFonts w:ascii="仿宋_GB2312" w:hAnsi="仿宋_GB2312" w:eastAsia="仿宋_GB2312" w:cs="Times New Roman"/>
          <w:color w:val="000000"/>
          <w:sz w:val="30"/>
          <w:szCs w:val="30"/>
        </w:rPr>
        <w:t>日    期：</w:t>
      </w:r>
    </w:p>
    <w:p w14:paraId="60180B89">
      <w:pPr>
        <w:pStyle w:val="44"/>
        <w:spacing w:line="540" w:lineRule="exact"/>
        <w:jc w:val="center"/>
        <w:rPr>
          <w:rFonts w:ascii="仿宋_GB2312" w:hAnsi="仿宋_GB2312" w:eastAsia="仿宋_GB2312" w:cs="Times New Roman"/>
          <w:color w:val="000000"/>
          <w:sz w:val="30"/>
          <w:szCs w:val="30"/>
        </w:rPr>
      </w:pPr>
    </w:p>
    <w:p w14:paraId="52AED17A">
      <w:pPr>
        <w:snapToGrid w:val="0"/>
        <w:spacing w:line="540" w:lineRule="exact"/>
        <w:rPr>
          <w:rFonts w:ascii="仿宋_GB2312" w:hAnsi="仿宋_GB2312" w:eastAsia="仿宋_GB2312"/>
          <w:sz w:val="30"/>
          <w:szCs w:val="30"/>
        </w:rPr>
      </w:pPr>
      <w:r>
        <w:rPr>
          <w:rFonts w:ascii="仿宋_GB2312" w:hAnsi="仿宋_GB2312" w:eastAsia="仿宋_GB2312"/>
          <w:sz w:val="30"/>
          <w:szCs w:val="30"/>
        </w:rPr>
        <w:t>此项声明于</w:t>
      </w:r>
      <w:r>
        <w:rPr>
          <w:rFonts w:ascii="仿宋_GB2312" w:hAnsi="仿宋_GB2312" w:eastAsia="仿宋_GB2312"/>
          <w:sz w:val="30"/>
          <w:szCs w:val="30"/>
          <w:u w:val="single"/>
        </w:rPr>
        <w:t xml:space="preserve">    </w:t>
      </w:r>
      <w:r>
        <w:rPr>
          <w:rFonts w:ascii="仿宋_GB2312" w:hAnsi="仿宋_GB2312" w:eastAsia="仿宋_GB2312"/>
          <w:sz w:val="30"/>
          <w:szCs w:val="30"/>
        </w:rPr>
        <w:t>年</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月 </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日在  </w:t>
      </w:r>
      <w:r>
        <w:rPr>
          <w:rFonts w:ascii="仿宋_GB2312" w:hAnsi="仿宋_GB2312" w:eastAsia="仿宋_GB2312"/>
          <w:sz w:val="30"/>
          <w:szCs w:val="30"/>
          <w:u w:val="single"/>
        </w:rPr>
        <w:t xml:space="preserve">       </w:t>
      </w:r>
      <w:r>
        <w:rPr>
          <w:rFonts w:ascii="仿宋_GB2312" w:hAnsi="仿宋_GB2312" w:eastAsia="仿宋_GB2312"/>
          <w:sz w:val="30"/>
          <w:szCs w:val="30"/>
        </w:rPr>
        <w:t>（地点）作出。</w:t>
      </w:r>
    </w:p>
    <w:p w14:paraId="3258BEAF">
      <w:pPr>
        <w:snapToGrid w:val="0"/>
        <w:spacing w:line="540" w:lineRule="exact"/>
        <w:rPr>
          <w:rFonts w:ascii="仿宋_GB2312" w:hAnsi="仿宋_GB2312" w:eastAsia="仿宋_GB2312"/>
          <w:sz w:val="30"/>
          <w:szCs w:val="30"/>
        </w:rPr>
      </w:pPr>
    </w:p>
    <w:p w14:paraId="1DF9DDDF">
      <w:pPr>
        <w:pStyle w:val="44"/>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见证律师：</w:t>
      </w:r>
    </w:p>
    <w:p w14:paraId="56CF000A">
      <w:pPr>
        <w:pStyle w:val="44"/>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日    期：</w:t>
      </w:r>
      <w:r>
        <w:br w:type="page"/>
      </w:r>
    </w:p>
    <w:p w14:paraId="24BC75EF">
      <w:pPr>
        <w:pStyle w:val="44"/>
        <w:spacing w:line="540" w:lineRule="exact"/>
        <w:jc w:val="center"/>
        <w:rPr>
          <w:rFonts w:ascii="仿宋_GB2312" w:hAnsi="仿宋_GB2312" w:eastAsia="仿宋_GB2312" w:cs="Times New Roman"/>
          <w:b/>
          <w:color w:val="000000"/>
          <w:sz w:val="30"/>
          <w:szCs w:val="30"/>
        </w:rPr>
      </w:pPr>
      <w:r>
        <w:rPr>
          <w:rFonts w:ascii="仿宋_GB2312" w:hAnsi="仿宋_GB2312" w:eastAsia="仿宋_GB2312" w:cs="Times New Roman"/>
          <w:b/>
          <w:color w:val="000000"/>
          <w:sz w:val="30"/>
          <w:szCs w:val="30"/>
        </w:rPr>
        <w:t>第二部分  承  诺</w:t>
      </w:r>
    </w:p>
    <w:p w14:paraId="3EEE3CC1">
      <w:pPr>
        <w:pStyle w:val="44"/>
        <w:spacing w:line="540" w:lineRule="exact"/>
        <w:ind w:right="0" w:firstLine="600"/>
        <w:rPr>
          <w:rFonts w:ascii="仿宋_GB2312" w:hAnsi="仿宋_GB2312" w:eastAsia="仿宋_GB2312" w:cs="宋体"/>
          <w:b/>
          <w:color w:val="000000"/>
          <w:sz w:val="30"/>
          <w:szCs w:val="30"/>
          <w:u w:val="single"/>
        </w:rPr>
      </w:pPr>
    </w:p>
    <w:p w14:paraId="5DC8CCF8">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宋体"/>
          <w:sz w:val="30"/>
          <w:szCs w:val="30"/>
        </w:rPr>
        <w:t>本单位/本人</w:t>
      </w:r>
      <w:r>
        <w:rPr>
          <w:rFonts w:ascii="仿宋_GB2312" w:hAnsi="仿宋_GB2312" w:eastAsia="仿宋_GB2312" w:cs="宋体"/>
          <w:sz w:val="30"/>
          <w:szCs w:val="30"/>
          <w:u w:val="single"/>
        </w:rPr>
        <w:t xml:space="preserve">            </w:t>
      </w:r>
      <w:r>
        <w:rPr>
          <w:rFonts w:ascii="仿宋_GB2312" w:hAnsi="仿宋_GB2312" w:eastAsia="仿宋_GB2312" w:cs="Times New Roman"/>
          <w:color w:val="000000"/>
          <w:sz w:val="30"/>
          <w:szCs w:val="30"/>
        </w:rPr>
        <w:t>（正楷体）作为</w:t>
      </w:r>
      <w:r>
        <w:rPr>
          <w:rFonts w:ascii="仿宋_GB2312" w:hAnsi="仿宋_GB2312" w:eastAsia="仿宋_GB2312" w:cs="宋体"/>
          <w:sz w:val="30"/>
          <w:szCs w:val="30"/>
          <w:u w:val="single"/>
        </w:rPr>
        <w:t xml:space="preserve">            </w:t>
      </w:r>
      <w:r>
        <w:rPr>
          <w:rFonts w:ascii="仿宋_GB2312" w:hAnsi="仿宋_GB2312" w:eastAsia="仿宋_GB2312" w:cs="Times New Roman"/>
          <w:color w:val="000000"/>
          <w:sz w:val="30"/>
          <w:szCs w:val="30"/>
        </w:rPr>
        <w:t>股份有限公司/有限责任公司（以下简称上市公司）的控股股东（或者实际控制人），向上海证券交易所承诺：</w:t>
      </w:r>
    </w:p>
    <w:p w14:paraId="5F8D373A">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一、本单位/本人保证严格遵守并促使上市公司严格遵守适用的法律、法规和规章等有关规定。</w:t>
      </w:r>
    </w:p>
    <w:p w14:paraId="1380580A">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二、本单位/本人保证严格遵守并促使上市公司严格遵守</w:t>
      </w:r>
      <w:r>
        <w:rPr>
          <w:rFonts w:ascii="仿宋_GB2312" w:hAnsi="仿宋_GB2312" w:eastAsia="仿宋_GB2312" w:cs="宋体"/>
          <w:sz w:val="30"/>
          <w:szCs w:val="30"/>
        </w:rPr>
        <w:t>中国证监会发布的</w:t>
      </w:r>
      <w:r>
        <w:rPr>
          <w:rFonts w:ascii="仿宋_GB2312" w:hAnsi="仿宋_GB2312" w:eastAsia="仿宋_GB2312"/>
          <w:sz w:val="30"/>
          <w:szCs w:val="30"/>
        </w:rPr>
        <w:t>相关</w:t>
      </w:r>
      <w:r>
        <w:rPr>
          <w:rFonts w:ascii="仿宋_GB2312" w:hAnsi="仿宋_GB2312" w:eastAsia="仿宋_GB2312" w:cs="宋体"/>
          <w:sz w:val="30"/>
          <w:szCs w:val="30"/>
        </w:rPr>
        <w:t>规章、规定和通知等有关要求。</w:t>
      </w:r>
    </w:p>
    <w:p w14:paraId="282961CB">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三、本单位/本人保证严格遵守并促使上市公司严格遵守《上海证券交易所股票上市规则》和上海证券交易所</w:t>
      </w:r>
      <w:r>
        <w:rPr>
          <w:rFonts w:ascii="仿宋_GB2312" w:hAnsi="仿宋_GB2312" w:eastAsia="仿宋_GB2312" w:cs="宋体"/>
          <w:sz w:val="30"/>
          <w:szCs w:val="30"/>
        </w:rPr>
        <w:t>发布的其他业务规则、规定和通知等</w:t>
      </w:r>
      <w:r>
        <w:rPr>
          <w:rFonts w:ascii="仿宋_GB2312" w:hAnsi="仿宋_GB2312" w:eastAsia="仿宋_GB2312" w:cs="Times New Roman"/>
          <w:color w:val="000000"/>
          <w:sz w:val="30"/>
          <w:szCs w:val="30"/>
        </w:rPr>
        <w:t>。</w:t>
      </w:r>
    </w:p>
    <w:p w14:paraId="6EFAE79A">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四、本单位/本人保证严格遵守并促使上市公司严格遵守公司章程。</w:t>
      </w:r>
    </w:p>
    <w:p w14:paraId="51C085EA">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五、本单位/本人保证依法行使股东权利，不滥用股东权利，不损害并促使本单位/本人控制的其他单位不损害上市公司或者其他股东的利益，包括但不限于：</w:t>
      </w:r>
    </w:p>
    <w:p w14:paraId="0F8488B4">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（一）不以任何方式违规占用上市公司资金及要求上市公司违规提供担保；</w:t>
      </w:r>
    </w:p>
    <w:p w14:paraId="62E36D10">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（二）不通过关联交易、利润分配、资产重组、对外投资等方式损害上市公司利益，侵害上市公司财产权利，谋取上市公司商业机会和核心技术；</w:t>
      </w:r>
    </w:p>
    <w:p w14:paraId="4C830CFF">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（三）不利用上市公司未公开重大信息谋取利益，不以任何方式泄漏有关上市公司的未公开重大信息，不从事内幕交易、短线交易和操纵市场等违法违规行为；</w:t>
      </w:r>
    </w:p>
    <w:p w14:paraId="5E21A80B">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（四）不以任何方式影响上市公司的独立性，保证上市公司资产完整、业务及人员独立、财务独立和机构独立；</w:t>
      </w:r>
    </w:p>
    <w:p w14:paraId="733258B6">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（五）遵守法律法规和公司章程，不以任何方式直接或间接干预公司决策和经营活动；</w:t>
      </w:r>
    </w:p>
    <w:p w14:paraId="7CDADF06">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（六）配合上市公司履行信息披露义务,不以任何方式要求或者协助上市公司隐瞒重要信息。</w:t>
      </w:r>
    </w:p>
    <w:p w14:paraId="6B84A6BD">
      <w:pPr>
        <w:widowControl/>
        <w:shd w:val="clear" w:fill="FFFFFF"/>
        <w:spacing w:line="560" w:lineRule="exact"/>
        <w:ind w:right="0" w:firstLine="601"/>
        <w:rPr>
          <w:rFonts w:ascii="仿宋_GB2312" w:hAnsi="仿宋_GB2312" w:eastAsia="仿宋_GB2312" w:cs="Times New Roman"/>
          <w:color w:val="000000"/>
          <w:sz w:val="30"/>
          <w:szCs w:val="30"/>
        </w:rPr>
      </w:pPr>
      <w:r>
        <w:rPr>
          <w:rFonts w:ascii="仿宋_GB2312" w:hAnsi="仿宋_GB2312" w:eastAsia="仿宋_GB2312"/>
          <w:sz w:val="30"/>
          <w:szCs w:val="30"/>
        </w:rPr>
        <w:t>六、本单位/本人承诺促使上市公司严格遵守科学伦理规范，尊重科学精神，恪守应有的价值观念、社会责任和行为规范，发挥科学技术的正面效应；</w:t>
      </w:r>
      <w:r>
        <w:rPr>
          <w:rFonts w:ascii="仿宋_GB2312" w:hAnsi="仿宋_GB2312" w:eastAsia="仿宋_GB2312" w:cs="Times New Roman"/>
          <w:color w:val="000000"/>
          <w:kern w:val="0"/>
          <w:sz w:val="30"/>
          <w:szCs w:val="30"/>
        </w:rPr>
        <w:t>避免研究、开发和使用危害自然环境、生命健康、公共安全、伦理道德的科学技术，不从事侵犯个人基本权利或者损害社会公共利益的研发和经营活动。</w:t>
      </w:r>
    </w:p>
    <w:p w14:paraId="3FA76DEA">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七、对上市公司招股说明书、募集说明书等证券发行文件中存在的虚假记载、误导性陈述或者重大遗漏负有责任，致使投资者在证券交易中遭受损失的，本单位/本人将依法赔偿投资者的损失。</w:t>
      </w:r>
    </w:p>
    <w:p w14:paraId="3888E588">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八、本单位/本人保证严格履行本单位作出的与上市公司相关的各项承诺，不擅自变更或者解除。</w:t>
      </w:r>
    </w:p>
    <w:p w14:paraId="633445DE">
      <w:pPr>
        <w:pStyle w:val="6"/>
        <w:snapToGrid w:val="0"/>
        <w:spacing w:before="0" w:after="0" w:line="540" w:lineRule="exact"/>
        <w:ind w:right="0" w:firstLine="600"/>
        <w:rPr>
          <w:rFonts w:ascii="仿宋_GB2312" w:hAnsi="仿宋_GB2312" w:eastAsia="仿宋_GB2312"/>
          <w:sz w:val="30"/>
          <w:szCs w:val="30"/>
        </w:rPr>
      </w:pPr>
      <w:r>
        <w:rPr>
          <w:rFonts w:ascii="仿宋_GB2312" w:hAnsi="仿宋_GB2312" w:eastAsia="仿宋_GB2312"/>
          <w:sz w:val="30"/>
          <w:szCs w:val="30"/>
        </w:rPr>
        <w:t>九、本单位/本人保证严格按照法律、行政法规、部门规章、规范性文件、《上海证券交易所股票上市规则》和上海证券交易所其他相关规定履行信息披露义务，并积极主动配合上市公司做好信息披露工作，及时告知上市公司已发生或者拟发生的重大事件。</w:t>
      </w:r>
    </w:p>
    <w:p w14:paraId="3C355522">
      <w:pPr>
        <w:pStyle w:val="6"/>
        <w:snapToGrid w:val="0"/>
        <w:spacing w:before="0" w:after="0" w:line="540" w:lineRule="exact"/>
        <w:ind w:right="0" w:firstLine="600"/>
        <w:rPr>
          <w:rFonts w:ascii="仿宋_GB2312" w:hAnsi="仿宋_GB2312" w:eastAsia="仿宋_GB2312"/>
          <w:sz w:val="30"/>
          <w:szCs w:val="30"/>
        </w:rPr>
      </w:pPr>
      <w:r>
        <w:rPr>
          <w:rFonts w:ascii="仿宋_GB2312" w:hAnsi="仿宋_GB2312" w:eastAsia="仿宋_GB2312"/>
          <w:sz w:val="30"/>
          <w:szCs w:val="30"/>
        </w:rPr>
        <w:t>十、</w:t>
      </w:r>
      <w:r>
        <w:rPr>
          <w:rFonts w:ascii="仿宋_GB2312" w:hAnsi="仿宋_GB2312" w:eastAsia="仿宋_GB2312" w:cs="宋体"/>
          <w:sz w:val="30"/>
          <w:szCs w:val="30"/>
        </w:rPr>
        <w:t>本单位/本人接受上海证券交易所的</w:t>
      </w:r>
      <w:r>
        <w:rPr>
          <w:rFonts w:ascii="仿宋_GB2312" w:hAnsi="仿宋_GB2312" w:eastAsia="仿宋_GB2312"/>
          <w:sz w:val="30"/>
          <w:szCs w:val="30"/>
        </w:rPr>
        <w:t>监管，包括及时、如实地答复上海证券交易所向本单位提出的任何问题，及时提供《上海证券交易所股票上市规则》和上海证券交易所的其他相关规定报送资料及提供的其他文件的正本或者副本，并出席本单位被要求出席的任何会议，接受上海证券交易所采取的监管措施和纪律处分等。</w:t>
      </w:r>
    </w:p>
    <w:p w14:paraId="31244982">
      <w:pPr>
        <w:pStyle w:val="6"/>
        <w:snapToGrid w:val="0"/>
        <w:spacing w:before="0" w:after="0" w:line="540" w:lineRule="exact"/>
        <w:ind w:right="0" w:firstLine="600"/>
        <w:rPr>
          <w:rFonts w:ascii="仿宋_GB2312" w:hAnsi="仿宋_GB2312" w:eastAsia="仿宋_GB2312" w:cs="宋体"/>
          <w:sz w:val="30"/>
          <w:szCs w:val="30"/>
        </w:rPr>
      </w:pPr>
      <w:r>
        <w:rPr>
          <w:rFonts w:ascii="仿宋_GB2312" w:hAnsi="仿宋_GB2312" w:eastAsia="仿宋_GB2312"/>
          <w:sz w:val="30"/>
          <w:szCs w:val="30"/>
        </w:rPr>
        <w:t>十一、本单位/本人</w:t>
      </w:r>
      <w:r>
        <w:rPr>
          <w:rFonts w:ascii="仿宋_GB2312" w:hAnsi="仿宋_GB2312" w:eastAsia="仿宋_GB2312" w:cs="宋体"/>
          <w:sz w:val="30"/>
          <w:szCs w:val="30"/>
        </w:rPr>
        <w:t>授权上海证券交易所将本单位提供的声明与承诺资料向中国证监会报告。</w:t>
      </w:r>
    </w:p>
    <w:p w14:paraId="3A0AC04D">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十二、本单位/本人如违反上述承诺和保证，愿意承担由此引起的一切法律责任。</w:t>
      </w:r>
    </w:p>
    <w:p w14:paraId="6B9BF31D">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十三、本单位/本人因履行本承诺而与上海证券交易所发生争议提起诉讼时，由上海证券交易所住所地有管辖权的法院管辖。</w:t>
      </w:r>
    </w:p>
    <w:p w14:paraId="10A3F22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十四、本单位/本人与上海证券交易所以外的主体因发行人（上市公司）在境内发行股票或者存托凭证并在上海证券交易所主板上市发生争议提起诉讼的，适用中国法律，并由中国境内有管辖权的人民法院管辖。</w:t>
      </w:r>
    </w:p>
    <w:p w14:paraId="504405BB">
      <w:pPr>
        <w:pStyle w:val="44"/>
        <w:spacing w:line="540" w:lineRule="exact"/>
        <w:ind w:right="0" w:firstLine="600"/>
        <w:rPr>
          <w:rFonts w:ascii="仿宋_GB2312" w:hAnsi="仿宋_GB2312" w:eastAsia="仿宋_GB2312" w:cs="Times New Roman"/>
          <w:color w:val="000000"/>
          <w:sz w:val="30"/>
          <w:szCs w:val="30"/>
        </w:rPr>
      </w:pPr>
    </w:p>
    <w:p w14:paraId="3802970A">
      <w:pPr>
        <w:pStyle w:val="44"/>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承诺人（盖章/签名）：</w:t>
      </w:r>
    </w:p>
    <w:p w14:paraId="323E5CB5">
      <w:pPr>
        <w:pStyle w:val="44"/>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法定代表人（签名）（如适用）：</w:t>
      </w:r>
    </w:p>
    <w:p w14:paraId="4D02F9A8">
      <w:pPr>
        <w:pStyle w:val="44"/>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日    期：</w:t>
      </w:r>
    </w:p>
    <w:p w14:paraId="51D384A1">
      <w:pPr>
        <w:pStyle w:val="44"/>
        <w:spacing w:line="540" w:lineRule="exact"/>
        <w:jc w:val="center"/>
        <w:rPr>
          <w:rFonts w:ascii="仿宋_GB2312" w:hAnsi="仿宋_GB2312" w:eastAsia="仿宋_GB2312" w:cs="Times New Roman"/>
          <w:color w:val="000000"/>
          <w:sz w:val="30"/>
          <w:szCs w:val="30"/>
        </w:rPr>
      </w:pPr>
    </w:p>
    <w:p w14:paraId="17150AAC">
      <w:pPr>
        <w:snapToGrid w:val="0"/>
        <w:spacing w:line="540" w:lineRule="exact"/>
        <w:rPr>
          <w:rFonts w:ascii="仿宋_GB2312" w:hAnsi="仿宋_GB2312" w:eastAsia="仿宋_GB2312"/>
          <w:sz w:val="30"/>
          <w:szCs w:val="30"/>
        </w:rPr>
      </w:pPr>
      <w:r>
        <w:rPr>
          <w:rFonts w:ascii="仿宋_GB2312" w:hAnsi="仿宋_GB2312" w:eastAsia="仿宋_GB2312"/>
          <w:sz w:val="30"/>
          <w:szCs w:val="30"/>
        </w:rPr>
        <w:t>此项承诺于</w:t>
      </w:r>
      <w:r>
        <w:rPr>
          <w:rFonts w:ascii="仿宋_GB2312" w:hAnsi="仿宋_GB2312" w:eastAsia="仿宋_GB2312"/>
          <w:sz w:val="30"/>
          <w:szCs w:val="30"/>
          <w:u w:val="single"/>
        </w:rPr>
        <w:t xml:space="preserve">    </w:t>
      </w:r>
      <w:r>
        <w:rPr>
          <w:rFonts w:ascii="仿宋_GB2312" w:hAnsi="仿宋_GB2312" w:eastAsia="仿宋_GB2312"/>
          <w:sz w:val="30"/>
          <w:szCs w:val="30"/>
        </w:rPr>
        <w:t>年</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月 </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日在  </w:t>
      </w:r>
      <w:r>
        <w:rPr>
          <w:rFonts w:ascii="仿宋_GB2312" w:hAnsi="仿宋_GB2312" w:eastAsia="仿宋_GB2312"/>
          <w:sz w:val="30"/>
          <w:szCs w:val="30"/>
          <w:u w:val="single"/>
        </w:rPr>
        <w:t xml:space="preserve">       </w:t>
      </w:r>
      <w:r>
        <w:rPr>
          <w:rFonts w:ascii="仿宋_GB2312" w:hAnsi="仿宋_GB2312" w:eastAsia="仿宋_GB2312"/>
          <w:sz w:val="30"/>
          <w:szCs w:val="30"/>
        </w:rPr>
        <w:t>（地点）作出。</w:t>
      </w:r>
    </w:p>
    <w:p w14:paraId="0CE3EB1A">
      <w:pPr>
        <w:snapToGrid w:val="0"/>
        <w:spacing w:line="540" w:lineRule="exact"/>
        <w:rPr>
          <w:rFonts w:ascii="仿宋_GB2312" w:hAnsi="仿宋_GB2312" w:eastAsia="仿宋_GB2312"/>
          <w:sz w:val="30"/>
          <w:szCs w:val="30"/>
        </w:rPr>
      </w:pPr>
    </w:p>
    <w:p w14:paraId="6B6B4444">
      <w:pPr>
        <w:pStyle w:val="44"/>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见证律师：</w:t>
      </w:r>
    </w:p>
    <w:p w14:paraId="715DEDAD">
      <w:pPr>
        <w:pStyle w:val="44"/>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日    期：</w:t>
      </w:r>
    </w:p>
    <w:p w14:paraId="2F75C9B5">
      <w:pPr>
        <w:rPr>
          <w:rFonts w:ascii="仿宋_GB2312" w:hAnsi="仿宋_GB2312" w:eastAsia="仿宋_GB2312" w:cs="宋体"/>
          <w:sz w:val="30"/>
          <w:szCs w:val="30"/>
        </w:rPr>
      </w:pPr>
    </w:p>
    <w:sectPr>
      <w:footerReference r:id="rId6" w:type="first"/>
      <w:footerReference r:id="rId5" w:type="default"/>
      <w:pgSz w:w="11906" w:h="16838"/>
      <w:pgMar w:top="1800" w:right="1440" w:bottom="1800" w:left="1440" w:header="0" w:footer="992"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Arial Unicode MS">
    <w:altName w:val="Times New Roman"/>
    <w:panose1 w:val="020B0604020202020204"/>
    <w:charset w:val="86"/>
    <w:family w:val="auto"/>
    <w:pitch w:val="default"/>
    <w:sig w:usb0="00000000" w:usb1="00000000" w:usb2="0000003F" w:usb3="00000000" w:csb0="603F01FF" w:csb1="FFFF0000"/>
  </w:font>
  <w:font w:name="Liberation Serif">
    <w:altName w:val="Times New Roman"/>
    <w:panose1 w:val="00000000000000000000"/>
    <w:charset w:val="01"/>
    <w:family w:val="roman"/>
    <w:pitch w:val="default"/>
    <w:sig w:usb0="00000000" w:usb1="00000000" w:usb2="00000000" w:usb3="00000000" w:csb0="00000000" w:csb1="00000000"/>
  </w:font>
  <w:font w:name="华文宋体">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Light;宋体">
    <w:altName w:val="宋体"/>
    <w:panose1 w:val="00000000000000000000"/>
    <w:charset w:val="00"/>
    <w:family w:val="auto"/>
    <w:pitch w:val="default"/>
    <w:sig w:usb0="00000000" w:usb1="00000000" w:usb2="00000000" w:usb3="00000000" w:csb0="00000000" w:csb1="00000000"/>
  </w:font>
  <w:font w:name="Liberation Sans">
    <w:altName w:val="Times New Roman"/>
    <w:panose1 w:val="00000000000000000000"/>
    <w:charset w:val="01"/>
    <w:family w:val="swiss"/>
    <w:pitch w:val="default"/>
    <w:sig w:usb0="00000000" w:usb1="00000000" w:usb2="00000000" w:usb3="00000000" w:csb0="00000000" w:csb1="00000000"/>
  </w:font>
  <w:font w:name="Courier New;DejaVu Sans">
    <w:altName w:val="Times New Roman"/>
    <w:panose1 w:val="00000000000000000000"/>
    <w:charset w:val="00"/>
    <w:family w:val="auto"/>
    <w:pitch w:val="default"/>
    <w:sig w:usb0="00000000" w:usb1="00000000" w:usb2="00000000" w:usb3="00000000" w:csb0="00000000" w:csb1="00000000"/>
  </w:font>
  <w:font w:name="楷体_GB2312">
    <w:panose1 w:val="02000000000000000000"/>
    <w:charset w:val="86"/>
    <w:family w:val="modern"/>
    <w:pitch w:val="default"/>
    <w:sig w:usb0="A00002BF" w:usb1="184F6CFA" w:usb2="00000012" w:usb3="00000000" w:csb0="00040001" w:csb1="00000000"/>
  </w:font>
  <w:font w:name="方正大标宋简体">
    <w:panose1 w:val="02000000000000000000"/>
    <w:charset w:val="86"/>
    <w:family w:val="script"/>
    <w:pitch w:val="default"/>
    <w:sig w:usb0="A00002BF" w:usb1="184F6CFA" w:usb2="00000012" w:usb3="00000000" w:csb0="00040001" w:csb1="00000000"/>
  </w:font>
  <w:font w:name="Calibri;DejaVu Sans">
    <w:altName w:val="Times New Roman"/>
    <w:panose1 w:val="00000000000000000000"/>
    <w:charset w:val="00"/>
    <w:family w:val="auto"/>
    <w:pitch w:val="default"/>
    <w:sig w:usb0="00000000" w:usb1="00000000" w:usb2="00000000" w:usb3="00000000" w:csb0="00000000" w:csb1="00000000"/>
  </w:font>
  <w:font w:name="Arial Unicode MS;Times New Roma">
    <w:altName w:val="Times New Roman"/>
    <w:panose1 w:val="00000000000000000000"/>
    <w:charset w:val="00"/>
    <w:family w:val="auto"/>
    <w:pitch w:val="default"/>
    <w:sig w:usb0="00000000" w:usb1="00000000" w:usb2="00000000" w:usb3="00000000" w:csb0="00000000" w:csb1="00000000"/>
  </w:font>
  <w:font w:name="仿宋;宋体">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B5D66">
    <w:pPr>
      <w:pStyle w:val="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130</w:t>
    </w:r>
    <w:r>
      <w:rPr>
        <w:rFonts w:ascii="Times New Roman" w:hAnsi="Times New Roman" w:cs="Times New Roman"/>
      </w:rPr>
      <w:fldChar w:fldCharType="end"/>
    </w:r>
  </w:p>
  <w:p w14:paraId="2F863813">
    <w:pPr>
      <w:pStyle w:val="8"/>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5879B">
    <w:pPr>
      <w:pStyle w:val="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163</w:t>
    </w:r>
    <w:r>
      <w:rPr>
        <w:rFonts w:ascii="Times New Roman" w:hAnsi="Times New Roman" w:cs="Times New Roman"/>
      </w:rPr>
      <w:fldChar w:fldCharType="end"/>
    </w:r>
  </w:p>
  <w:p w14:paraId="32BAEAE3">
    <w:pPr>
      <w:pStyle w:val="8"/>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7BC4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6579">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3ED4E6"/>
    <w:multiLevelType w:val="multilevel"/>
    <w:tmpl w:val="DB3ED4E6"/>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7FDFDE6D"/>
    <w:multiLevelType w:val="singleLevel"/>
    <w:tmpl w:val="7FDFDE6D"/>
    <w:lvl w:ilvl="0" w:tentative="0">
      <w:start w:val="2"/>
      <w:numFmt w:val="chineseCountingThousand"/>
      <w:lvlText w:val="%1、"/>
      <w:lvlJc w:val="left"/>
      <w:pPr>
        <w:tabs>
          <w:tab w:val="left" w:pos="0"/>
        </w:tabs>
        <w:ind w:left="129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autoHyphenation/>
  <w:hyphenationZone w:val="0"/>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yZGNlY2U2YzgyZTA5MjA2OWI2MTBiMDAyMmZkMzgifQ=="/>
  </w:docVars>
  <w:rsids>
    <w:rsidRoot w:val="00000000"/>
    <w:rsid w:val="154FC6D6"/>
    <w:rsid w:val="3AFFF6ED"/>
    <w:rsid w:val="3D7FE0FC"/>
    <w:rsid w:val="3EB9D3FC"/>
    <w:rsid w:val="3FBFC06F"/>
    <w:rsid w:val="5A7FAF46"/>
    <w:rsid w:val="5AD7906C"/>
    <w:rsid w:val="5F3D211C"/>
    <w:rsid w:val="5FE78FA0"/>
    <w:rsid w:val="6F7C265E"/>
    <w:rsid w:val="6FFF2132"/>
    <w:rsid w:val="7BC73FDB"/>
    <w:rsid w:val="7DFFC656"/>
    <w:rsid w:val="7FDCC433"/>
    <w:rsid w:val="AFF35B68"/>
    <w:rsid w:val="B7A881C0"/>
    <w:rsid w:val="BBF58F48"/>
    <w:rsid w:val="BDDC36AF"/>
    <w:rsid w:val="CC736C69"/>
    <w:rsid w:val="CEDB443B"/>
    <w:rsid w:val="DF3F8859"/>
    <w:rsid w:val="DF6FE33F"/>
    <w:rsid w:val="ECEBDC1C"/>
    <w:rsid w:val="EEEF49BD"/>
    <w:rsid w:val="EFBFE86D"/>
    <w:rsid w:val="F2F3E4B4"/>
    <w:rsid w:val="F3BEECAB"/>
    <w:rsid w:val="F7EF7BD5"/>
    <w:rsid w:val="FB7E5EAB"/>
    <w:rsid w:val="FDEFE48A"/>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华文宋体" w:cs="Arial Unicode M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宋体" w:hAnsi="宋体" w:eastAsia="宋体" w:cs="宋体"/>
      <w:color w:val="auto"/>
      <w:kern w:val="2"/>
      <w:sz w:val="24"/>
      <w:szCs w:val="22"/>
      <w:lang w:val="en-US" w:eastAsia="zh-CN" w:bidi="ar-SA"/>
    </w:rPr>
  </w:style>
  <w:style w:type="paragraph" w:styleId="2">
    <w:name w:val="heading 1"/>
    <w:basedOn w:val="1"/>
    <w:next w:val="1"/>
    <w:qFormat/>
    <w:uiPriority w:val="0"/>
    <w:pPr>
      <w:keepNext/>
      <w:keepLines/>
      <w:numPr>
        <w:ilvl w:val="0"/>
        <w:numId w:val="1"/>
      </w:numPr>
      <w:spacing w:line="600" w:lineRule="exact"/>
      <w:jc w:val="center"/>
      <w:outlineLvl w:val="0"/>
    </w:pPr>
    <w:rPr>
      <w:rFonts w:eastAsia="仿宋_GB2312"/>
      <w:b/>
      <w:bCs/>
      <w:kern w:val="2"/>
      <w:sz w:val="30"/>
      <w:szCs w:val="44"/>
    </w:rPr>
  </w:style>
  <w:style w:type="paragraph" w:styleId="3">
    <w:name w:val="heading 2"/>
    <w:basedOn w:val="1"/>
    <w:next w:val="1"/>
    <w:qFormat/>
    <w:uiPriority w:val="0"/>
    <w:pPr>
      <w:keepNext/>
      <w:keepLines/>
      <w:numPr>
        <w:ilvl w:val="1"/>
        <w:numId w:val="1"/>
      </w:numPr>
      <w:spacing w:line="600" w:lineRule="exact"/>
      <w:jc w:val="center"/>
      <w:outlineLvl w:val="1"/>
    </w:pPr>
    <w:rPr>
      <w:rFonts w:ascii="等线 Light;宋体" w:hAnsi="等线 Light;宋体" w:eastAsia="仿宋_GB2312" w:cs="等线 Light;宋体"/>
      <w:b/>
      <w:bCs/>
      <w:kern w:val="0"/>
      <w:sz w:val="30"/>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caption"/>
    <w:basedOn w:val="1"/>
    <w:qFormat/>
    <w:uiPriority w:val="0"/>
    <w:pPr>
      <w:suppressLineNumbers/>
      <w:spacing w:before="120" w:after="120"/>
    </w:pPr>
    <w:rPr>
      <w:rFonts w:cs="Arial Unicode MS"/>
      <w:i/>
      <w:iCs/>
      <w:sz w:val="24"/>
      <w:szCs w:val="24"/>
    </w:rPr>
  </w:style>
  <w:style w:type="paragraph" w:styleId="5">
    <w:name w:val="annotation text"/>
    <w:basedOn w:val="1"/>
    <w:unhideWhenUsed/>
    <w:qFormat/>
    <w:uiPriority w:val="99"/>
    <w:pPr>
      <w:jc w:val="left"/>
    </w:pPr>
  </w:style>
  <w:style w:type="paragraph" w:styleId="6">
    <w:name w:val="Body Text"/>
    <w:basedOn w:val="1"/>
    <w:qFormat/>
    <w:uiPriority w:val="0"/>
    <w:pPr>
      <w:spacing w:before="0" w:after="120"/>
    </w:pPr>
    <w:rPr>
      <w:rFonts w:ascii="Times New Roman" w:hAnsi="Times New Roman" w:cs="Times New Roman"/>
      <w:kern w:val="0"/>
      <w:sz w:val="20"/>
      <w:szCs w:val="24"/>
    </w:rPr>
  </w:style>
  <w:style w:type="paragraph" w:styleId="7">
    <w:name w:val="Body Text Indent"/>
    <w:basedOn w:val="1"/>
    <w:qFormat/>
    <w:uiPriority w:val="0"/>
    <w:pPr>
      <w:spacing w:line="600" w:lineRule="atLeast"/>
      <w:ind w:left="0" w:right="0" w:firstLine="646"/>
    </w:pPr>
    <w:rPr>
      <w:rFonts w:ascii="仿宋_GB2312" w:hAnsi="仿宋_GB2312" w:eastAsia="仿宋_GB2312" w:cs="Times New Roman"/>
      <w:kern w:val="0"/>
      <w:sz w:val="32"/>
      <w:szCs w:val="20"/>
    </w:rPr>
  </w:style>
  <w:style w:type="paragraph" w:styleId="8">
    <w:name w:val="footer"/>
    <w:basedOn w:val="1"/>
    <w:qFormat/>
    <w:uiPriority w:val="0"/>
    <w:pPr>
      <w:tabs>
        <w:tab w:val="center" w:pos="4153"/>
        <w:tab w:val="right" w:pos="8306"/>
      </w:tabs>
      <w:snapToGrid w:val="0"/>
      <w:jc w:val="left"/>
    </w:pPr>
    <w:rPr>
      <w:kern w:val="0"/>
      <w:sz w:val="18"/>
      <w:szCs w:val="18"/>
    </w:rPr>
  </w:style>
  <w:style w:type="paragraph" w:styleId="9">
    <w:name w:val="header"/>
    <w:basedOn w:val="1"/>
    <w:qFormat/>
    <w:uiPriority w:val="0"/>
    <w:pPr>
      <w:pBdr>
        <w:bottom w:val="single" w:color="000000" w:sz="6" w:space="1"/>
      </w:pBdr>
      <w:tabs>
        <w:tab w:val="center" w:pos="4153"/>
        <w:tab w:val="right" w:pos="8306"/>
      </w:tabs>
      <w:snapToGrid w:val="0"/>
      <w:jc w:val="center"/>
    </w:pPr>
    <w:rPr>
      <w:kern w:val="0"/>
      <w:sz w:val="18"/>
      <w:szCs w:val="18"/>
    </w:rPr>
  </w:style>
  <w:style w:type="paragraph" w:styleId="10">
    <w:name w:val="toc 1"/>
    <w:basedOn w:val="1"/>
    <w:next w:val="1"/>
    <w:qFormat/>
    <w:uiPriority w:val="0"/>
  </w:style>
  <w:style w:type="paragraph" w:styleId="11">
    <w:name w:val="List"/>
    <w:basedOn w:val="6"/>
    <w:qFormat/>
    <w:uiPriority w:val="0"/>
    <w:rPr>
      <w:rFonts w:cs="Arial Unicode MS"/>
    </w:rPr>
  </w:style>
  <w:style w:type="paragraph" w:styleId="12">
    <w:name w:val="toc 2"/>
    <w:basedOn w:val="1"/>
    <w:next w:val="1"/>
    <w:qFormat/>
    <w:uiPriority w:val="0"/>
    <w:pPr>
      <w:ind w:left="420" w:right="0" w:firstLine="0"/>
    </w:pPr>
  </w:style>
  <w:style w:type="character" w:styleId="15">
    <w:name w:val="Hyperlink"/>
    <w:qFormat/>
    <w:uiPriority w:val="0"/>
    <w:rPr>
      <w:color w:val="0563C1"/>
      <w:u w:val="single"/>
    </w:rPr>
  </w:style>
  <w:style w:type="character" w:customStyle="1" w:styleId="16">
    <w:name w:val="WW8Num1z0"/>
    <w:qFormat/>
    <w:uiPriority w:val="0"/>
  </w:style>
  <w:style w:type="character" w:customStyle="1" w:styleId="17">
    <w:name w:val="默认段落字体1"/>
    <w:qFormat/>
    <w:uiPriority w:val="0"/>
  </w:style>
  <w:style w:type="character" w:customStyle="1" w:styleId="18">
    <w:name w:val="标题 1 Char"/>
    <w:qFormat/>
    <w:uiPriority w:val="0"/>
    <w:rPr>
      <w:rFonts w:ascii="宋体" w:hAnsi="宋体" w:eastAsia="仿宋_GB2312" w:cs="宋体"/>
      <w:b/>
      <w:bCs/>
      <w:kern w:val="2"/>
      <w:sz w:val="30"/>
      <w:szCs w:val="44"/>
    </w:rPr>
  </w:style>
  <w:style w:type="character" w:customStyle="1" w:styleId="19">
    <w:name w:val="标题 2 Char"/>
    <w:qFormat/>
    <w:uiPriority w:val="0"/>
    <w:rPr>
      <w:rFonts w:ascii="等线 Light;宋体" w:hAnsi="等线 Light;宋体" w:eastAsia="仿宋_GB2312" w:cs="Times New Roman"/>
      <w:b/>
      <w:bCs/>
      <w:sz w:val="30"/>
      <w:szCs w:val="32"/>
    </w:rPr>
  </w:style>
  <w:style w:type="character" w:customStyle="1" w:styleId="20">
    <w:name w:val="文档结构图 Char"/>
    <w:qFormat/>
    <w:uiPriority w:val="0"/>
    <w:rPr>
      <w:rFonts w:ascii="宋体" w:hAnsi="宋体" w:eastAsia="宋体" w:cs="宋体"/>
      <w:sz w:val="18"/>
      <w:szCs w:val="18"/>
    </w:rPr>
  </w:style>
  <w:style w:type="character" w:customStyle="1" w:styleId="21">
    <w:name w:val="批注文字 Char"/>
    <w:qFormat/>
    <w:uiPriority w:val="0"/>
    <w:rPr>
      <w:rFonts w:ascii="Times New Roman" w:hAnsi="Times New Roman" w:eastAsia="宋体" w:cs="Times New Roman"/>
      <w:szCs w:val="24"/>
    </w:rPr>
  </w:style>
  <w:style w:type="character" w:customStyle="1" w:styleId="22">
    <w:name w:val="正文文本 Char"/>
    <w:qFormat/>
    <w:uiPriority w:val="0"/>
    <w:rPr>
      <w:rFonts w:ascii="Times New Roman" w:hAnsi="Times New Roman" w:eastAsia="宋体" w:cs="Times New Roman"/>
      <w:kern w:val="0"/>
      <w:sz w:val="20"/>
      <w:szCs w:val="24"/>
    </w:rPr>
  </w:style>
  <w:style w:type="character" w:customStyle="1" w:styleId="23">
    <w:name w:val="正文文本缩进 Char"/>
    <w:qFormat/>
    <w:uiPriority w:val="0"/>
    <w:rPr>
      <w:rFonts w:ascii="仿宋_GB2312" w:hAnsi="仿宋_GB2312" w:eastAsia="仿宋_GB2312" w:cs="Times New Roman"/>
      <w:kern w:val="0"/>
      <w:sz w:val="32"/>
      <w:szCs w:val="20"/>
    </w:rPr>
  </w:style>
  <w:style w:type="character" w:customStyle="1" w:styleId="24">
    <w:name w:val="纯文本 Char"/>
    <w:qFormat/>
    <w:uiPriority w:val="0"/>
    <w:rPr>
      <w:rFonts w:ascii="宋体" w:hAnsi="宋体" w:eastAsia="宋体" w:cs="Times New Roman"/>
      <w:kern w:val="0"/>
      <w:sz w:val="20"/>
      <w:szCs w:val="20"/>
    </w:rPr>
  </w:style>
  <w:style w:type="character" w:customStyle="1" w:styleId="25">
    <w:name w:val="日期 Char"/>
    <w:qFormat/>
    <w:uiPriority w:val="0"/>
    <w:rPr>
      <w:rFonts w:ascii="宋体" w:hAnsi="宋体" w:eastAsia="宋体" w:cs="宋体"/>
      <w:sz w:val="24"/>
    </w:rPr>
  </w:style>
  <w:style w:type="character" w:customStyle="1" w:styleId="26">
    <w:name w:val="批注框文本 Char"/>
    <w:qFormat/>
    <w:uiPriority w:val="0"/>
    <w:rPr>
      <w:rFonts w:ascii="宋体" w:hAnsi="宋体" w:eastAsia="宋体" w:cs="宋体"/>
      <w:sz w:val="18"/>
      <w:szCs w:val="18"/>
    </w:rPr>
  </w:style>
  <w:style w:type="character" w:customStyle="1" w:styleId="27">
    <w:name w:val="页脚 Char"/>
    <w:qFormat/>
    <w:uiPriority w:val="0"/>
    <w:rPr>
      <w:rFonts w:ascii="宋体" w:hAnsi="宋体" w:eastAsia="宋体" w:cs="宋体"/>
      <w:sz w:val="18"/>
      <w:szCs w:val="18"/>
    </w:rPr>
  </w:style>
  <w:style w:type="character" w:customStyle="1" w:styleId="28">
    <w:name w:val="页眉 Char"/>
    <w:qFormat/>
    <w:uiPriority w:val="0"/>
    <w:rPr>
      <w:rFonts w:ascii="宋体" w:hAnsi="宋体" w:eastAsia="宋体" w:cs="宋体"/>
      <w:sz w:val="18"/>
      <w:szCs w:val="18"/>
    </w:rPr>
  </w:style>
  <w:style w:type="character" w:customStyle="1" w:styleId="29">
    <w:name w:val="批注主题 Char"/>
    <w:qFormat/>
    <w:uiPriority w:val="0"/>
    <w:rPr>
      <w:rFonts w:ascii="Times New Roman" w:hAnsi="Times New Roman" w:eastAsia="宋体" w:cs="Times New Roman"/>
      <w:b/>
      <w:bCs/>
      <w:szCs w:val="24"/>
    </w:rPr>
  </w:style>
  <w:style w:type="character" w:customStyle="1" w:styleId="30">
    <w:name w:val="批注引用1"/>
    <w:qFormat/>
    <w:uiPriority w:val="0"/>
    <w:rPr>
      <w:sz w:val="21"/>
      <w:szCs w:val="21"/>
    </w:rPr>
  </w:style>
  <w:style w:type="character" w:customStyle="1" w:styleId="31">
    <w:name w:val="font61"/>
    <w:qFormat/>
    <w:uiPriority w:val="0"/>
    <w:rPr>
      <w:rFonts w:ascii="仿宋_GB2312" w:hAnsi="仿宋_GB2312" w:eastAsia="仿宋_GB2312" w:cs="仿宋_GB2312"/>
      <w:color w:val="000000"/>
      <w:sz w:val="24"/>
      <w:szCs w:val="24"/>
      <w:u w:val="none"/>
    </w:rPr>
  </w:style>
  <w:style w:type="character" w:customStyle="1" w:styleId="32">
    <w:name w:val="font11"/>
    <w:qFormat/>
    <w:uiPriority w:val="0"/>
    <w:rPr>
      <w:rFonts w:ascii="仿宋_GB2312" w:hAnsi="仿宋_GB2312" w:eastAsia="仿宋_GB2312" w:cs="仿宋_GB2312"/>
      <w:b/>
      <w:color w:val="000000"/>
      <w:sz w:val="24"/>
      <w:szCs w:val="24"/>
      <w:u w:val="none"/>
    </w:rPr>
  </w:style>
  <w:style w:type="character" w:customStyle="1" w:styleId="33">
    <w:name w:val="Index Link"/>
    <w:qFormat/>
    <w:uiPriority w:val="0"/>
  </w:style>
  <w:style w:type="paragraph" w:customStyle="1" w:styleId="34">
    <w:name w:val="Heading"/>
    <w:basedOn w:val="1"/>
    <w:next w:val="6"/>
    <w:qFormat/>
    <w:uiPriority w:val="0"/>
    <w:pPr>
      <w:keepNext/>
      <w:spacing w:before="240" w:after="120"/>
    </w:pPr>
    <w:rPr>
      <w:rFonts w:ascii="Liberation Sans" w:hAnsi="Liberation Sans" w:eastAsia="Arial Unicode MS" w:cs="Arial Unicode MS"/>
      <w:sz w:val="28"/>
      <w:szCs w:val="28"/>
    </w:rPr>
  </w:style>
  <w:style w:type="paragraph" w:customStyle="1" w:styleId="35">
    <w:name w:val="Index"/>
    <w:basedOn w:val="1"/>
    <w:qFormat/>
    <w:uiPriority w:val="0"/>
    <w:pPr>
      <w:suppressLineNumbers/>
    </w:pPr>
    <w:rPr>
      <w:rFonts w:cs="Arial Unicode MS"/>
    </w:rPr>
  </w:style>
  <w:style w:type="paragraph" w:customStyle="1" w:styleId="36">
    <w:name w:val="文档结构图1"/>
    <w:basedOn w:val="1"/>
    <w:qFormat/>
    <w:uiPriority w:val="0"/>
    <w:rPr>
      <w:kern w:val="0"/>
      <w:sz w:val="18"/>
      <w:szCs w:val="18"/>
    </w:rPr>
  </w:style>
  <w:style w:type="paragraph" w:customStyle="1" w:styleId="37">
    <w:name w:val="批注文字1"/>
    <w:basedOn w:val="1"/>
    <w:qFormat/>
    <w:uiPriority w:val="0"/>
    <w:pPr>
      <w:jc w:val="left"/>
    </w:pPr>
    <w:rPr>
      <w:rFonts w:ascii="Times New Roman" w:hAnsi="Times New Roman" w:cs="Times New Roman"/>
      <w:kern w:val="0"/>
      <w:sz w:val="20"/>
      <w:szCs w:val="24"/>
    </w:rPr>
  </w:style>
  <w:style w:type="paragraph" w:customStyle="1" w:styleId="38">
    <w:name w:val="纯文本1"/>
    <w:basedOn w:val="1"/>
    <w:qFormat/>
    <w:uiPriority w:val="0"/>
    <w:rPr>
      <w:rFonts w:cs="Courier New;DejaVu Sans"/>
      <w:kern w:val="0"/>
      <w:sz w:val="20"/>
      <w:szCs w:val="20"/>
    </w:rPr>
  </w:style>
  <w:style w:type="paragraph" w:customStyle="1" w:styleId="39">
    <w:name w:val="日期1"/>
    <w:basedOn w:val="1"/>
    <w:next w:val="1"/>
    <w:qFormat/>
    <w:uiPriority w:val="0"/>
    <w:pPr>
      <w:ind w:left="100" w:right="0" w:firstLine="0"/>
    </w:pPr>
    <w:rPr>
      <w:kern w:val="0"/>
      <w:szCs w:val="20"/>
    </w:rPr>
  </w:style>
  <w:style w:type="paragraph" w:customStyle="1" w:styleId="40">
    <w:name w:val="批注框文本1"/>
    <w:basedOn w:val="1"/>
    <w:qFormat/>
    <w:uiPriority w:val="0"/>
    <w:rPr>
      <w:kern w:val="0"/>
      <w:sz w:val="18"/>
      <w:szCs w:val="18"/>
    </w:rPr>
  </w:style>
  <w:style w:type="paragraph" w:customStyle="1" w:styleId="41">
    <w:name w:val="Header and Footer"/>
    <w:basedOn w:val="1"/>
    <w:qFormat/>
    <w:uiPriority w:val="0"/>
    <w:pPr>
      <w:suppressLineNumbers/>
      <w:tabs>
        <w:tab w:val="center" w:pos="4819"/>
        <w:tab w:val="right" w:pos="9638"/>
      </w:tabs>
    </w:pPr>
  </w:style>
  <w:style w:type="paragraph" w:customStyle="1" w:styleId="42">
    <w:name w:val="批注主题1"/>
    <w:basedOn w:val="37"/>
    <w:next w:val="37"/>
    <w:qFormat/>
    <w:uiPriority w:val="0"/>
    <w:rPr>
      <w:b/>
      <w:bCs/>
    </w:rPr>
  </w:style>
  <w:style w:type="paragraph" w:customStyle="1" w:styleId="43">
    <w:name w:val="TOC 标题1"/>
    <w:basedOn w:val="2"/>
    <w:next w:val="1"/>
    <w:qFormat/>
    <w:uiPriority w:val="0"/>
    <w:pPr>
      <w:widowControl/>
      <w:numPr>
        <w:ilvl w:val="0"/>
        <w:numId w:val="0"/>
      </w:numPr>
      <w:spacing w:before="480" w:after="0" w:line="276" w:lineRule="auto"/>
      <w:jc w:val="left"/>
      <w:outlineLvl w:val="9"/>
    </w:pPr>
    <w:rPr>
      <w:rFonts w:ascii="等线 Light;宋体" w:hAnsi="等线 Light;宋体" w:eastAsia="等线 Light;宋体" w:cs="等线 Light;宋体"/>
      <w:color w:val="2F5496"/>
      <w:kern w:val="0"/>
      <w:sz w:val="28"/>
      <w:szCs w:val="28"/>
    </w:rPr>
  </w:style>
  <w:style w:type="paragraph" w:customStyle="1" w:styleId="44">
    <w:name w:val="Default"/>
    <w:qFormat/>
    <w:uiPriority w:val="0"/>
    <w:pPr>
      <w:widowControl w:val="0"/>
      <w:suppressAutoHyphens/>
      <w:autoSpaceDE w:val="0"/>
      <w:bidi w:val="0"/>
    </w:pPr>
    <w:rPr>
      <w:rFonts w:ascii="宋体" w:hAnsi="宋体" w:eastAsia="宋体" w:cs="宋体"/>
      <w:color w:val="000000"/>
      <w:sz w:val="24"/>
      <w:szCs w:val="24"/>
      <w:lang w:val="en-US" w:eastAsia="zh-CN" w:bidi="ar-SA"/>
    </w:rPr>
  </w:style>
  <w:style w:type="paragraph" w:customStyle="1" w:styleId="45">
    <w:name w:val="列出段落"/>
    <w:basedOn w:val="1"/>
    <w:qFormat/>
    <w:uiPriority w:val="0"/>
    <w:pPr>
      <w:ind w:left="0" w:right="0" w:firstLine="420"/>
    </w:pPr>
    <w:rPr>
      <w:rFonts w:ascii="Times New Roman" w:hAnsi="Times New Roman" w:cs="Times New Roman"/>
      <w:sz w:val="21"/>
      <w:szCs w:val="24"/>
    </w:rPr>
  </w:style>
  <w:style w:type="paragraph" w:customStyle="1" w:styleId="46">
    <w:name w:val="修订1"/>
    <w:qFormat/>
    <w:uiPriority w:val="0"/>
    <w:pPr>
      <w:widowControl/>
      <w:suppressAutoHyphens/>
      <w:bidi w:val="0"/>
    </w:pPr>
    <w:rPr>
      <w:rFonts w:ascii="宋体" w:hAnsi="宋体" w:eastAsia="宋体" w:cs="宋体"/>
      <w:color w:val="auto"/>
      <w:kern w:val="2"/>
      <w:sz w:val="24"/>
      <w:szCs w:val="22"/>
      <w:lang w:val="en-US" w:eastAsia="zh-CN" w:bidi="ar-SA"/>
    </w:rPr>
  </w:style>
  <w:style w:type="paragraph" w:customStyle="1" w:styleId="47">
    <w:name w:val="第一节"/>
    <w:basedOn w:val="1"/>
    <w:qFormat/>
    <w:uiPriority w:val="0"/>
    <w:pPr>
      <w:snapToGrid w:val="0"/>
      <w:spacing w:line="560" w:lineRule="exact"/>
      <w:jc w:val="center"/>
    </w:pPr>
    <w:rPr>
      <w:rFonts w:ascii="楷体_GB2312" w:hAnsi="楷体_GB2312" w:eastAsia="楷体_GB2312"/>
      <w:kern w:val="0"/>
      <w:sz w:val="30"/>
      <w:szCs w:val="30"/>
      <w:lang w:bidi="mn-Mong-CN"/>
    </w:rPr>
  </w:style>
  <w:style w:type="paragraph" w:customStyle="1" w:styleId="48">
    <w:name w:val="Table Contents"/>
    <w:basedOn w:val="1"/>
    <w:qFormat/>
    <w:uiPriority w:val="0"/>
    <w:pPr>
      <w:widowControl w:val="0"/>
      <w:suppressLineNumbers/>
    </w:pPr>
  </w:style>
  <w:style w:type="paragraph" w:customStyle="1" w:styleId="49">
    <w:name w:val="Table Heading"/>
    <w:basedOn w:val="48"/>
    <w:qFormat/>
    <w:uiPriority w:val="0"/>
    <w:pPr>
      <w:suppressLineNumbers/>
      <w:jc w:val="center"/>
    </w:pPr>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168</Pages>
  <TotalTime>10</TotalTime>
  <ScaleCrop>false</ScaleCrop>
  <LinksUpToDate>false</LinksUpToDate>
  <Application>WPS Office_12.8.2.19313_F1E327BC-269C-435d-A152-05C5408002CA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2025-12-21T17:33:00Z</dcterms:created>
  <dc:creator>yxfu</dc:creator>
  <cp:lastModifiedBy>wentinglou</cp:lastModifiedBy>
  <dcterms:modified xsi:type="dcterms:W3CDTF">2025-12-31T16:22:35Z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14994E91B669BB26C59E4B69DFADFD5E_43</vt:lpwstr>
  </property>
  <property fmtid="{D5CDD505-2E9C-101B-9397-08002B2CF9AE}" pid="3" name="KSOProductBuildVer">
    <vt:lpwstr>2052-12.8.2.19313</vt:lpwstr>
  </property>
  <property fmtid="{D5CDD505-2E9C-101B-9397-08002B2CF9AE}" pid="4" name="KSOTemplateDocerSaveRecord">
    <vt:lpwstr>eyJoZGlkIjoiODk5NWU4M2VjYWJkZThkN2NmYmU0ZWUxMTU1NGM0OWIiLCJ1c2VySWQiOiI1ODQwMzMwNDgifQ==</vt:lpwstr>
  </property>
</Properties>
</file>