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3B417">
      <w:pPr>
        <w:spacing w:line="560" w:lineRule="exact"/>
        <w:jc w:val="left"/>
        <w:outlineLvl w:val="0"/>
        <w:rPr>
          <w:rFonts w:hint="eastAsia" w:ascii="黑体" w:hAnsi="黑体" w:eastAsia="黑体" w:cs="黑体"/>
          <w:b w:val="0"/>
          <w:bCs w:val="0"/>
          <w:sz w:val="32"/>
          <w:szCs w:val="32"/>
          <w:lang w:eastAsia="zh-CN"/>
        </w:rPr>
      </w:pPr>
      <w:bookmarkStart w:id="0" w:name="_GoBack"/>
      <w:bookmarkEnd w:id="0"/>
      <w:r>
        <w:rPr>
          <w:rFonts w:hint="eastAsia" w:ascii="黑体" w:hAnsi="黑体" w:eastAsia="黑体" w:cs="黑体"/>
          <w:b w:val="0"/>
          <w:bCs w:val="0"/>
          <w:sz w:val="32"/>
          <w:szCs w:val="32"/>
          <w:lang w:eastAsia="zh"/>
        </w:rPr>
        <w:t>附件</w:t>
      </w:r>
      <w:r>
        <w:rPr>
          <w:rFonts w:hint="eastAsia" w:ascii="Times New Roman" w:hAnsi="Times New Roman" w:eastAsia="黑体" w:cs="Times New Roman"/>
          <w:b w:val="0"/>
          <w:bCs w:val="0"/>
          <w:sz w:val="32"/>
          <w:szCs w:val="32"/>
          <w:lang w:val="en-US" w:eastAsia="zh-CN"/>
        </w:rPr>
        <w:t>2</w:t>
      </w:r>
    </w:p>
    <w:p w14:paraId="0D45AF92">
      <w:pPr>
        <w:spacing w:line="560" w:lineRule="exact"/>
        <w:jc w:val="center"/>
        <w:outlineLvl w:val="0"/>
        <w:rPr>
          <w:rFonts w:hint="eastAsia" w:ascii="方正大标宋简体" w:hAnsi="方正大标宋简体" w:eastAsia="方正大标宋简体" w:cs="方正大标宋简体"/>
          <w:b w:val="0"/>
          <w:bCs w:val="0"/>
          <w:sz w:val="44"/>
          <w:szCs w:val="44"/>
          <w:lang w:eastAsia="zh"/>
        </w:rPr>
      </w:pPr>
    </w:p>
    <w:p w14:paraId="09A95687">
      <w:pPr>
        <w:spacing w:line="560" w:lineRule="exact"/>
        <w:jc w:val="center"/>
        <w:outlineLvl w:val="0"/>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《上海证券交易所股票上市规则</w:t>
      </w:r>
    </w:p>
    <w:p w14:paraId="7E50B809">
      <w:pPr>
        <w:spacing w:line="560" w:lineRule="exact"/>
        <w:jc w:val="center"/>
        <w:outlineLvl w:val="0"/>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lang w:eastAsia="zh-CN"/>
        </w:rPr>
        <w:t>（征求意见稿）</w:t>
      </w:r>
      <w:r>
        <w:rPr>
          <w:rFonts w:hint="eastAsia" w:ascii="方正大标宋简体" w:hAnsi="方正大标宋简体" w:eastAsia="方正大标宋简体" w:cs="方正大标宋简体"/>
          <w:b w:val="0"/>
          <w:bCs w:val="0"/>
          <w:sz w:val="44"/>
          <w:szCs w:val="44"/>
        </w:rPr>
        <w:t>》修订说明</w:t>
      </w:r>
    </w:p>
    <w:p w14:paraId="23B36EFA">
      <w:pPr>
        <w:spacing w:line="560" w:lineRule="exact"/>
        <w:ind w:firstLine="640" w:firstLineChars="200"/>
        <w:rPr>
          <w:rFonts w:ascii="Times New Roman" w:hAnsi="Times New Roman" w:eastAsia="楷体_GB2312"/>
          <w:sz w:val="32"/>
          <w:szCs w:val="32"/>
        </w:rPr>
      </w:pPr>
    </w:p>
    <w:p w14:paraId="07CF1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CN"/>
        </w:rPr>
        <w:t>落实中国证监会《上市公司治理准则》《上市公司董事会秘书监管规则（征求意见稿）》相关要求，进一步规范上市公司董事、高级管理人员（以下简称高管）和控股股东、实际控制人等“关键少数”行为，促进和保障董事会秘书（以下简称董秘）积极履职，</w:t>
      </w:r>
      <w:r>
        <w:rPr>
          <w:rFonts w:hint="default" w:ascii="Times New Roman" w:hAnsi="Times New Roman" w:eastAsia="仿宋_GB2312"/>
          <w:sz w:val="32"/>
          <w:szCs w:val="32"/>
          <w:highlight w:val="none"/>
          <w:lang w:val="en-US" w:eastAsia="zh-CN"/>
        </w:rPr>
        <w:t>优化上市公司合并流程</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rPr>
        <w:t>切实保护中小投资者合法权益，上海证券交易所</w:t>
      </w:r>
      <w:r>
        <w:rPr>
          <w:rFonts w:hint="eastAsia" w:ascii="Times New Roman" w:hAnsi="Times New Roman" w:eastAsia="仿宋_GB2312"/>
          <w:sz w:val="32"/>
          <w:szCs w:val="32"/>
        </w:rPr>
        <w:t>（以下简称本所）</w:t>
      </w:r>
      <w:r>
        <w:rPr>
          <w:rFonts w:ascii="Times New Roman" w:hAnsi="Times New Roman" w:eastAsia="仿宋_GB2312"/>
          <w:sz w:val="32"/>
          <w:szCs w:val="32"/>
        </w:rPr>
        <w:t>修订了《上海证券交易所股票上市规则》（以下简称《股票上市规则》），现将有关情况说明如下。</w:t>
      </w:r>
    </w:p>
    <w:p w14:paraId="0680D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一、修订背景</w:t>
      </w:r>
    </w:p>
    <w:p w14:paraId="13F3F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随着资本市场的不断发展，上市公司治理实践日益丰富，治理制度持续完善，近期中国证监会发布了《上市公司治理准则》《上市公司董事会秘书监管规则（征求意见稿）》，进一步强化上市公司董事、高管和控股股东、实际控制人等“关键少数”的责任，提升董秘履职能力和水平，规范上市公司运作，提高上市公司治理水平。</w:t>
      </w:r>
      <w:r>
        <w:rPr>
          <w:rFonts w:ascii="Times New Roman" w:hAnsi="Times New Roman" w:eastAsia="仿宋_GB2312"/>
          <w:sz w:val="32"/>
          <w:szCs w:val="32"/>
        </w:rPr>
        <w:t>《股票上市规则》作为</w:t>
      </w:r>
      <w:r>
        <w:rPr>
          <w:rFonts w:hint="eastAsia" w:ascii="Times New Roman" w:hAnsi="Times New Roman" w:eastAsia="仿宋_GB2312"/>
          <w:sz w:val="32"/>
          <w:szCs w:val="32"/>
          <w:lang w:eastAsia="zh-CN"/>
        </w:rPr>
        <w:t>本</w:t>
      </w:r>
      <w:r>
        <w:rPr>
          <w:rFonts w:ascii="Times New Roman" w:hAnsi="Times New Roman" w:eastAsia="仿宋_GB2312"/>
          <w:sz w:val="32"/>
          <w:szCs w:val="32"/>
        </w:rPr>
        <w:t>所信息披露自律监管的基础性规则，相应调整</w:t>
      </w:r>
      <w:r>
        <w:rPr>
          <w:rFonts w:hint="eastAsia" w:ascii="Times New Roman" w:hAnsi="Times New Roman" w:eastAsia="仿宋_GB2312"/>
          <w:sz w:val="32"/>
          <w:szCs w:val="32"/>
          <w:lang w:eastAsia="zh-CN"/>
        </w:rPr>
        <w:t>完善相关制度</w:t>
      </w:r>
      <w:r>
        <w:rPr>
          <w:rFonts w:ascii="Times New Roman" w:hAnsi="Times New Roman" w:eastAsia="仿宋_GB2312"/>
          <w:sz w:val="32"/>
          <w:szCs w:val="32"/>
        </w:rPr>
        <w:t>，与</w:t>
      </w:r>
      <w:r>
        <w:rPr>
          <w:rFonts w:hint="eastAsia" w:ascii="Times New Roman" w:hAnsi="Times New Roman" w:eastAsia="仿宋_GB2312"/>
          <w:sz w:val="32"/>
          <w:szCs w:val="32"/>
          <w:lang w:eastAsia="zh-CN"/>
        </w:rPr>
        <w:t>中国证监会相关规则</w:t>
      </w:r>
      <w:r>
        <w:rPr>
          <w:rFonts w:ascii="Times New Roman" w:hAnsi="Times New Roman" w:eastAsia="仿宋_GB2312"/>
          <w:sz w:val="32"/>
          <w:szCs w:val="32"/>
        </w:rPr>
        <w:t>做好衔接。</w:t>
      </w:r>
      <w:r>
        <w:rPr>
          <w:rFonts w:hint="eastAsia" w:ascii="Times New Roman" w:hAnsi="Times New Roman" w:eastAsia="仿宋_GB2312"/>
          <w:sz w:val="32"/>
          <w:szCs w:val="32"/>
          <w:lang w:eastAsia="zh-CN"/>
        </w:rPr>
        <w:t>同时，自</w:t>
      </w:r>
      <w:r>
        <w:rPr>
          <w:rFonts w:hint="eastAsia" w:ascii="Times New Roman" w:hAnsi="Times New Roman" w:eastAsia="仿宋_GB2312"/>
          <w:sz w:val="32"/>
          <w:szCs w:val="32"/>
          <w:lang w:val="en-US" w:eastAsia="zh-CN"/>
        </w:rPr>
        <w:t>2024年新“国九条”</w:t>
      </w:r>
      <w:r>
        <w:rPr>
          <w:rFonts w:hint="eastAsia" w:ascii="仿宋_GB2312" w:hAnsi="仿宋_GB2312" w:eastAsia="仿宋_GB2312" w:cs="仿宋_GB2312"/>
          <w:sz w:val="32"/>
          <w:szCs w:val="32"/>
          <w:lang w:val="en-US" w:eastAsia="zh"/>
        </w:rPr>
        <w:t>“</w:t>
      </w:r>
      <w:r>
        <w:rPr>
          <w:rFonts w:hint="eastAsia" w:ascii="仿宋_GB2312" w:hAnsi="仿宋_GB2312" w:eastAsia="仿宋_GB2312" w:cs="仿宋_GB2312"/>
          <w:sz w:val="32"/>
          <w:szCs w:val="32"/>
          <w:lang w:val="en-US" w:eastAsia="zh-CN"/>
        </w:rPr>
        <w:t>并购六条</w:t>
      </w:r>
      <w:r>
        <w:rPr>
          <w:rFonts w:hint="eastAsia" w:ascii="仿宋_GB2312" w:hAnsi="仿宋_GB2312" w:eastAsia="仿宋_GB2312" w:cs="仿宋_GB2312"/>
          <w:sz w:val="32"/>
          <w:szCs w:val="32"/>
          <w:lang w:val="en-US" w:eastAsia="zh"/>
        </w:rPr>
        <w:t>”</w:t>
      </w:r>
      <w:r>
        <w:rPr>
          <w:rFonts w:hint="eastAsia" w:ascii="Times New Roman" w:hAnsi="Times New Roman" w:eastAsia="仿宋_GB2312"/>
          <w:sz w:val="32"/>
          <w:szCs w:val="32"/>
          <w:lang w:val="en-US" w:eastAsia="zh-CN"/>
        </w:rPr>
        <w:t>发布以来，多家沪市公司披露了吸收合并公告，上市公司加强产业整合稳步推进。为进一步优化上市公司合并相关机制，对《股票上市规则》相关内容进行修订。</w:t>
      </w:r>
    </w:p>
    <w:p w14:paraId="65C9E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sz w:val="32"/>
          <w:szCs w:val="32"/>
        </w:rPr>
      </w:pPr>
      <w:r>
        <w:rPr>
          <w:rFonts w:ascii="Times New Roman" w:hAnsi="Times New Roman" w:eastAsia="黑体"/>
          <w:sz w:val="32"/>
          <w:szCs w:val="32"/>
        </w:rPr>
        <w:t>二、主要修订内容</w:t>
      </w:r>
    </w:p>
    <w:p w14:paraId="6A50C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Times New Roman" w:eastAsia="仿宋_GB2312"/>
          <w:b/>
          <w:sz w:val="32"/>
          <w:szCs w:val="32"/>
        </w:rPr>
        <w:t>一是</w:t>
      </w:r>
      <w:r>
        <w:rPr>
          <w:rFonts w:hint="eastAsia" w:ascii="仿宋_GB2312" w:hAnsi="Times New Roman" w:eastAsia="仿宋_GB2312"/>
          <w:b/>
          <w:sz w:val="32"/>
          <w:szCs w:val="32"/>
          <w:lang w:eastAsia="zh-CN"/>
        </w:rPr>
        <w:t>厘清董秘职责范围。</w:t>
      </w:r>
      <w:r>
        <w:rPr>
          <w:rFonts w:hint="eastAsia" w:ascii="仿宋_GB2312" w:hAnsi="Times New Roman" w:eastAsia="仿宋_GB2312"/>
          <w:b/>
          <w:bCs w:val="0"/>
          <w:sz w:val="32"/>
          <w:szCs w:val="32"/>
          <w:lang w:eastAsia="zh-CN"/>
        </w:rPr>
        <w:t>其一，明确董秘在公司治理方面的职责。</w:t>
      </w:r>
      <w:r>
        <w:rPr>
          <w:rFonts w:hint="eastAsia" w:ascii="仿宋_GB2312" w:hAnsi="Times New Roman" w:eastAsia="仿宋_GB2312"/>
          <w:b w:val="0"/>
          <w:bCs/>
          <w:sz w:val="32"/>
          <w:szCs w:val="32"/>
          <w:lang w:eastAsia="zh-CN"/>
        </w:rPr>
        <w:t>进一步明确董秘组织筹备董事会及股东会，</w:t>
      </w:r>
      <w:r>
        <w:rPr>
          <w:rFonts w:hint="eastAsia" w:ascii="仿宋_GB2312" w:hAnsi="仿宋_GB2312" w:eastAsia="仿宋_GB2312" w:cs="仿宋_GB2312"/>
          <w:b w:val="0"/>
          <w:bCs w:val="0"/>
          <w:color w:val="000000"/>
          <w:sz w:val="32"/>
          <w:szCs w:val="32"/>
          <w:lang w:val="en-US" w:eastAsia="zh-CN"/>
        </w:rPr>
        <w:t>协助审查公司章程、组织机构设置和职权分配的合规性，发现内部控制问题及时报告等职能要求，推动提升公司治理有效性。</w:t>
      </w:r>
      <w:r>
        <w:rPr>
          <w:rFonts w:hint="eastAsia" w:ascii="仿宋_GB2312" w:hAnsi="Times New Roman" w:eastAsia="仿宋_GB2312"/>
          <w:b/>
          <w:bCs w:val="0"/>
          <w:sz w:val="32"/>
          <w:szCs w:val="32"/>
          <w:lang w:eastAsia="zh-CN"/>
        </w:rPr>
        <w:t>其二，强化董秘在信息披露事务方面的职责。</w:t>
      </w:r>
      <w:r>
        <w:rPr>
          <w:rFonts w:hint="eastAsia" w:ascii="仿宋_GB2312" w:hAnsi="Times New Roman" w:eastAsia="仿宋_GB2312"/>
          <w:b w:val="0"/>
          <w:bCs/>
          <w:sz w:val="32"/>
          <w:szCs w:val="32"/>
          <w:lang w:eastAsia="zh-CN"/>
        </w:rPr>
        <w:t>董秘应当维护信息披露制度的有效运行，强化董秘在组织定期报告和临时报告的编制和披露、信息披露暂缓和豁免、内幕信息管理等方面的职责，督促董秘守好上市公司合规底线。</w:t>
      </w:r>
      <w:r>
        <w:rPr>
          <w:rFonts w:hint="eastAsia" w:ascii="仿宋_GB2312" w:hAnsi="仿宋_GB2312" w:eastAsia="仿宋_GB2312" w:cs="仿宋_GB2312"/>
          <w:b/>
          <w:bCs/>
          <w:color w:val="000000"/>
          <w:sz w:val="32"/>
          <w:szCs w:val="32"/>
          <w:lang w:val="en-US" w:eastAsia="zh-CN"/>
        </w:rPr>
        <w:t>其三，细化董秘在内外部沟通和协调方面的职责。</w:t>
      </w:r>
      <w:r>
        <w:rPr>
          <w:rFonts w:hint="eastAsia" w:ascii="仿宋_GB2312" w:hAnsi="仿宋_GB2312" w:eastAsia="仿宋_GB2312" w:cs="仿宋_GB2312"/>
          <w:b w:val="0"/>
          <w:bCs w:val="0"/>
          <w:color w:val="000000"/>
          <w:sz w:val="32"/>
          <w:szCs w:val="32"/>
          <w:lang w:val="en-US" w:eastAsia="zh-CN"/>
        </w:rPr>
        <w:t>细化董秘在保障独立董事履职、投资者关系管理、股东持股管理及加强上市公司与相关各方沟通协调等方面的职责，优化董秘在确保各方合规履职及行权、传递上市公司价值等方面的机制安排。</w:t>
      </w:r>
    </w:p>
    <w:p w14:paraId="06FD0D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二是提高董秘任职要求。其一，提高董秘任职准入门槛。</w:t>
      </w:r>
      <w:r>
        <w:rPr>
          <w:rFonts w:hint="eastAsia" w:ascii="仿宋_GB2312" w:hAnsi="仿宋_GB2312" w:eastAsia="仿宋_GB2312" w:cs="仿宋_GB2312"/>
          <w:b w:val="0"/>
          <w:bCs w:val="0"/>
          <w:color w:val="000000"/>
          <w:sz w:val="32"/>
          <w:szCs w:val="32"/>
          <w:lang w:val="en-US" w:eastAsia="zh-CN"/>
        </w:rPr>
        <w:t>明确董秘应当具备履职所必须的工作经验具体要求，并将受到三次以上行政监管措施新增为任职负面清单，要求上市公司就董秘候选人符合任职资格作出说明并披露。</w:t>
      </w:r>
      <w:r>
        <w:rPr>
          <w:rFonts w:hint="eastAsia" w:ascii="仿宋_GB2312" w:hAnsi="仿宋_GB2312" w:eastAsia="仿宋_GB2312" w:cs="仿宋_GB2312"/>
          <w:b/>
          <w:bCs/>
          <w:color w:val="000000"/>
          <w:sz w:val="32"/>
          <w:szCs w:val="32"/>
          <w:lang w:val="en-US" w:eastAsia="zh-CN"/>
        </w:rPr>
        <w:t>其二，强化董秘兼职管理。</w:t>
      </w:r>
      <w:r>
        <w:rPr>
          <w:rFonts w:hint="eastAsia" w:ascii="仿宋_GB2312" w:hAnsi="仿宋_GB2312" w:eastAsia="仿宋_GB2312" w:cs="仿宋_GB2312"/>
          <w:b w:val="0"/>
          <w:bCs w:val="0"/>
          <w:color w:val="000000"/>
          <w:sz w:val="32"/>
          <w:szCs w:val="32"/>
          <w:lang w:val="en-US" w:eastAsia="zh-CN"/>
        </w:rPr>
        <w:t>明确董秘兼任其他高管的，应当避免利益冲突，保障充足时间和精力独立履职。</w:t>
      </w:r>
      <w:r>
        <w:rPr>
          <w:rFonts w:hint="eastAsia" w:ascii="仿宋_GB2312" w:hAnsi="仿宋_GB2312" w:eastAsia="仿宋_GB2312" w:cs="仿宋_GB2312"/>
          <w:b/>
          <w:bCs/>
          <w:color w:val="000000"/>
          <w:sz w:val="32"/>
          <w:szCs w:val="32"/>
          <w:lang w:val="en-US" w:eastAsia="zh-CN"/>
        </w:rPr>
        <w:t>其三，加强董秘履职约束。</w:t>
      </w:r>
      <w:r>
        <w:rPr>
          <w:rFonts w:hint="eastAsia" w:ascii="仿宋_GB2312" w:hAnsi="仿宋_GB2312" w:eastAsia="仿宋_GB2312" w:cs="仿宋_GB2312"/>
          <w:b w:val="0"/>
          <w:bCs w:val="0"/>
          <w:color w:val="000000"/>
          <w:sz w:val="32"/>
          <w:szCs w:val="32"/>
          <w:lang w:val="en-US" w:eastAsia="zh-CN"/>
        </w:rPr>
        <w:t>要求上市公司建立董秘履职定期评价及责任追究机制，强化内部追责；明确触及任职负面情形、连续不能履职达</w:t>
      </w:r>
      <w:r>
        <w:rPr>
          <w:rFonts w:hint="default" w:ascii="Times New Roman" w:hAnsi="Times New Roman"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个月、给投资者造成重大损失或者给上市公司造成重大影响等情形的应当立即解聘。同时，为保障上市公司信息披露规范运作，明确董秘空缺期不得超过</w:t>
      </w: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个月。</w:t>
      </w:r>
    </w:p>
    <w:p w14:paraId="76E90F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三是健全董秘履职保障。其一，加强信息互通。</w:t>
      </w:r>
      <w:r>
        <w:rPr>
          <w:rFonts w:hint="eastAsia" w:ascii="仿宋_GB2312" w:hAnsi="仿宋_GB2312" w:eastAsia="仿宋_GB2312" w:cs="仿宋_GB2312"/>
          <w:b w:val="0"/>
          <w:bCs w:val="0"/>
          <w:color w:val="000000"/>
          <w:sz w:val="32"/>
          <w:szCs w:val="32"/>
          <w:lang w:val="en-US" w:eastAsia="zh-CN"/>
        </w:rPr>
        <w:t>要求上市公司将董秘履职保障嵌入日常经营管理流程，且董事、高管、各职能部门积极配合董秘履职、报告重大事项及其进展，为董秘履职提供便利；明确赋予董秘列席股东会和董事会及了解必要信息等权利。</w:t>
      </w:r>
      <w:r>
        <w:rPr>
          <w:rFonts w:hint="eastAsia" w:ascii="仿宋_GB2312" w:hAnsi="仿宋_GB2312" w:eastAsia="仿宋_GB2312" w:cs="仿宋_GB2312"/>
          <w:b/>
          <w:bCs/>
          <w:color w:val="000000"/>
          <w:sz w:val="32"/>
          <w:szCs w:val="32"/>
          <w:lang w:val="en-US" w:eastAsia="zh-CN"/>
        </w:rPr>
        <w:t>其二，完善履职保障。</w:t>
      </w:r>
      <w:r>
        <w:rPr>
          <w:rFonts w:hint="eastAsia" w:ascii="仿宋_GB2312" w:hAnsi="仿宋_GB2312" w:eastAsia="仿宋_GB2312" w:cs="仿宋_GB2312"/>
          <w:b w:val="0"/>
          <w:bCs w:val="0"/>
          <w:color w:val="000000"/>
          <w:sz w:val="32"/>
          <w:szCs w:val="32"/>
          <w:lang w:val="en-US" w:eastAsia="zh-CN"/>
        </w:rPr>
        <w:t>明确董秘履职受到不当妨碍或者阻挠、发现上市公司存在信息披露违法违规等情形时，应当及时报告等要求，并赋予董事长协调各方配合的义务，为董秘履职提供必要的保障和救济。</w:t>
      </w:r>
    </w:p>
    <w:p w14:paraId="68A0FB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仿宋_GB2312" w:hAnsi="Times New Roman" w:eastAsia="仿宋_GB2312"/>
          <w:b/>
          <w:bCs w:val="0"/>
          <w:sz w:val="32"/>
          <w:szCs w:val="32"/>
          <w:lang w:eastAsia="zh-CN"/>
        </w:rPr>
        <w:t>四是强化</w:t>
      </w:r>
      <w:r>
        <w:rPr>
          <w:rFonts w:hint="eastAsia" w:ascii="仿宋_GB2312" w:hAnsi="Times New Roman" w:eastAsia="仿宋_GB2312"/>
          <w:b/>
          <w:bCs w:val="0"/>
          <w:sz w:val="32"/>
          <w:szCs w:val="32"/>
          <w:lang w:val="en-US" w:eastAsia="zh-CN"/>
        </w:rPr>
        <w:t>董事、高管履职监管</w:t>
      </w:r>
      <w:r>
        <w:rPr>
          <w:rFonts w:hint="eastAsia" w:ascii="仿宋_GB2312" w:hAnsi="Times New Roman" w:eastAsia="仿宋_GB2312"/>
          <w:b/>
          <w:bCs w:val="0"/>
          <w:sz w:val="32"/>
          <w:szCs w:val="32"/>
          <w:lang w:eastAsia="zh-CN"/>
        </w:rPr>
        <w:t>。</w:t>
      </w:r>
      <w:r>
        <w:rPr>
          <w:rFonts w:hint="default" w:ascii="Times New Roman" w:hAnsi="Times New Roman" w:eastAsia="仿宋_GB2312" w:cs="Times New Roman"/>
          <w:b w:val="0"/>
          <w:bCs w:val="0"/>
          <w:color w:val="000000"/>
          <w:sz w:val="32"/>
          <w:szCs w:val="32"/>
          <w:lang w:val="en-US" w:eastAsia="zh-CN"/>
        </w:rPr>
        <w:t>根据《</w:t>
      </w:r>
      <w:r>
        <w:rPr>
          <w:rFonts w:hint="eastAsia" w:ascii="Times New Roman" w:hAnsi="Times New Roman" w:eastAsia="仿宋_GB2312" w:cs="Times New Roman"/>
          <w:b w:val="0"/>
          <w:bCs w:val="0"/>
          <w:color w:val="000000"/>
          <w:sz w:val="32"/>
          <w:szCs w:val="32"/>
          <w:lang w:val="en-US" w:eastAsia="zh-CN"/>
        </w:rPr>
        <w:t>上市</w:t>
      </w:r>
      <w:r>
        <w:rPr>
          <w:rFonts w:hint="default" w:ascii="Times New Roman" w:hAnsi="Times New Roman" w:eastAsia="仿宋_GB2312" w:cs="Times New Roman"/>
          <w:b w:val="0"/>
          <w:bCs w:val="0"/>
          <w:color w:val="000000"/>
          <w:sz w:val="32"/>
          <w:szCs w:val="32"/>
          <w:lang w:val="en-US" w:eastAsia="zh-CN"/>
        </w:rPr>
        <w:t>公司治理准则》的要求，加强了董事、高管履职监管，包括细化董事和高管忠实义务，进一步明确董事、高管解聘要求。</w:t>
      </w:r>
    </w:p>
    <w:p w14:paraId="66BCCC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五是加强规范上市公司预重整有关事项的信息披露。</w:t>
      </w:r>
      <w:r>
        <w:rPr>
          <w:rFonts w:hint="eastAsia" w:ascii="仿宋_GB2312" w:hAnsi="仿宋_GB2312" w:eastAsia="仿宋_GB2312" w:cs="仿宋_GB2312"/>
          <w:b w:val="0"/>
          <w:bCs w:val="0"/>
          <w:color w:val="000000"/>
          <w:sz w:val="32"/>
          <w:szCs w:val="32"/>
          <w:lang w:val="en-US" w:eastAsia="zh-CN"/>
        </w:rPr>
        <w:t>债权人向法院申请上市公司预重整的，公司知悉并披露法院受理债权人申请时,应当充分评估自身启动重整的可行性等事项，不得披露存在重大不确定性的重整信息误导投资者。</w:t>
      </w:r>
    </w:p>
    <w:p w14:paraId="6CE99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sz w:val="32"/>
          <w:szCs w:val="32"/>
          <w:lang w:val="en-US" w:eastAsia="zh-CN"/>
        </w:rPr>
        <w:t>此外，本次修订</w:t>
      </w:r>
      <w:r>
        <w:rPr>
          <w:rFonts w:hint="eastAsia" w:ascii="仿宋_GB2312" w:hAnsi="仿宋_GB2312" w:eastAsia="仿宋_GB2312" w:cs="仿宋_GB2312"/>
          <w:b w:val="0"/>
          <w:bCs w:val="0"/>
          <w:color w:val="000000"/>
          <w:sz w:val="32"/>
          <w:szCs w:val="32"/>
          <w:lang w:val="en-US" w:eastAsia="zh-CN"/>
        </w:rPr>
        <w:t>简化了上市公司合并中的终止上市流程。考虑到上市公司合并方案已经过股东会审议、证监会注册，为提高效率，保护投资者合法权益，取消因上市公司合并导致终止上市情形下的上市委审议流程，本所</w:t>
      </w:r>
      <w:r>
        <w:rPr>
          <w:rFonts w:hint="eastAsia" w:ascii="仿宋_GB2312" w:hAnsi="仿宋_GB2312" w:eastAsia="仿宋_GB2312" w:cs="仿宋_GB2312"/>
          <w:b w:val="0"/>
          <w:bCs w:val="0"/>
          <w:color w:val="000000"/>
          <w:sz w:val="32"/>
          <w:szCs w:val="32"/>
          <w:lang w:val="en-US" w:eastAsia="zh"/>
        </w:rPr>
        <w:t>结合</w:t>
      </w:r>
      <w:r>
        <w:rPr>
          <w:rFonts w:hint="eastAsia" w:ascii="仿宋_GB2312" w:hAnsi="仿宋_GB2312" w:eastAsia="仿宋_GB2312" w:cs="仿宋_GB2312"/>
          <w:b w:val="0"/>
          <w:bCs w:val="0"/>
          <w:color w:val="000000"/>
          <w:sz w:val="32"/>
          <w:szCs w:val="32"/>
          <w:lang w:val="en-US" w:eastAsia="zh-CN"/>
        </w:rPr>
        <w:t>证监会的注册</w:t>
      </w:r>
      <w:r>
        <w:rPr>
          <w:rFonts w:hint="eastAsia" w:ascii="仿宋_GB2312" w:hAnsi="仿宋_GB2312" w:eastAsia="仿宋_GB2312" w:cs="仿宋_GB2312"/>
          <w:b w:val="0"/>
          <w:bCs w:val="0"/>
          <w:color w:val="000000"/>
          <w:sz w:val="32"/>
          <w:szCs w:val="32"/>
          <w:lang w:val="en-US" w:eastAsia="zh"/>
        </w:rPr>
        <w:t>批复文件和公司合并实施情况等</w:t>
      </w:r>
      <w:r>
        <w:rPr>
          <w:rFonts w:hint="eastAsia" w:ascii="仿宋_GB2312" w:hAnsi="仿宋_GB2312" w:eastAsia="仿宋_GB2312" w:cs="仿宋_GB2312"/>
          <w:b w:val="0"/>
          <w:bCs w:val="0"/>
          <w:color w:val="000000"/>
          <w:sz w:val="32"/>
          <w:szCs w:val="32"/>
          <w:lang w:val="en-US" w:eastAsia="zh-CN"/>
        </w:rPr>
        <w:t>作出</w:t>
      </w:r>
      <w:r>
        <w:rPr>
          <w:rFonts w:hint="eastAsia" w:ascii="仿宋_GB2312" w:hAnsi="仿宋_GB2312" w:eastAsia="仿宋_GB2312" w:cs="仿宋_GB2312"/>
          <w:b w:val="0"/>
          <w:bCs w:val="0"/>
          <w:color w:val="000000"/>
          <w:sz w:val="32"/>
          <w:szCs w:val="32"/>
          <w:lang w:val="en-US" w:eastAsia="zh"/>
        </w:rPr>
        <w:t>是否</w:t>
      </w:r>
      <w:r>
        <w:rPr>
          <w:rFonts w:hint="eastAsia" w:ascii="仿宋_GB2312" w:hAnsi="仿宋_GB2312" w:eastAsia="仿宋_GB2312" w:cs="仿宋_GB2312"/>
          <w:b w:val="0"/>
          <w:bCs w:val="0"/>
          <w:color w:val="000000"/>
          <w:sz w:val="32"/>
          <w:szCs w:val="32"/>
          <w:lang w:val="en-US" w:eastAsia="zh-CN"/>
        </w:rPr>
        <w:t>终止</w:t>
      </w:r>
      <w:r>
        <w:rPr>
          <w:rFonts w:hint="eastAsia" w:ascii="仿宋_GB2312" w:hAnsi="仿宋_GB2312" w:eastAsia="仿宋_GB2312" w:cs="仿宋_GB2312"/>
          <w:b w:val="0"/>
          <w:bCs w:val="0"/>
          <w:color w:val="000000"/>
          <w:sz w:val="32"/>
          <w:szCs w:val="32"/>
          <w:lang w:val="en-US" w:eastAsia="zh"/>
        </w:rPr>
        <w:t>股票</w:t>
      </w:r>
      <w:r>
        <w:rPr>
          <w:rFonts w:hint="eastAsia" w:ascii="仿宋_GB2312" w:hAnsi="仿宋_GB2312" w:eastAsia="仿宋_GB2312" w:cs="仿宋_GB2312"/>
          <w:b w:val="0"/>
          <w:bCs w:val="0"/>
          <w:color w:val="000000"/>
          <w:sz w:val="32"/>
          <w:szCs w:val="32"/>
          <w:lang w:val="en-US" w:eastAsia="zh-CN"/>
        </w:rPr>
        <w:t>上市的决定。</w:t>
      </w:r>
    </w:p>
    <w:p w14:paraId="2BECD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7C10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245C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8453F"/>
    <w:rsid w:val="17F188BB"/>
    <w:rsid w:val="25EFADCC"/>
    <w:rsid w:val="29EE0094"/>
    <w:rsid w:val="2FDF2548"/>
    <w:rsid w:val="353F2139"/>
    <w:rsid w:val="3F1F65F6"/>
    <w:rsid w:val="45F63183"/>
    <w:rsid w:val="55FFAE95"/>
    <w:rsid w:val="5FDF64B9"/>
    <w:rsid w:val="5FED18BA"/>
    <w:rsid w:val="68DF7655"/>
    <w:rsid w:val="6EEEA9CE"/>
    <w:rsid w:val="72FF0851"/>
    <w:rsid w:val="772F19B2"/>
    <w:rsid w:val="7ABF29BB"/>
    <w:rsid w:val="7B6300C5"/>
    <w:rsid w:val="7D3EA5A9"/>
    <w:rsid w:val="7EF7291C"/>
    <w:rsid w:val="7FDC8489"/>
    <w:rsid w:val="7FFD23FE"/>
    <w:rsid w:val="92675F65"/>
    <w:rsid w:val="971D8595"/>
    <w:rsid w:val="9FFA0039"/>
    <w:rsid w:val="B4D53DE0"/>
    <w:rsid w:val="BDC80932"/>
    <w:rsid w:val="BEF90FB5"/>
    <w:rsid w:val="BFBB1EE8"/>
    <w:rsid w:val="C7459DE2"/>
    <w:rsid w:val="D2DE2AC6"/>
    <w:rsid w:val="D3FF1416"/>
    <w:rsid w:val="DDEFA4AD"/>
    <w:rsid w:val="DDEFBBC4"/>
    <w:rsid w:val="DDFBD846"/>
    <w:rsid w:val="EAF559D7"/>
    <w:rsid w:val="ED2D4E19"/>
    <w:rsid w:val="EFBB2B73"/>
    <w:rsid w:val="F72E01B1"/>
    <w:rsid w:val="FBBFC900"/>
    <w:rsid w:val="FBEBC640"/>
    <w:rsid w:val="FE78453F"/>
    <w:rsid w:val="FE9AD622"/>
    <w:rsid w:val="FEEB9D04"/>
    <w:rsid w:val="FEFEA160"/>
    <w:rsid w:val="FFF692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style01"/>
    <w:basedOn w:val="5"/>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5.33333333333333</TotalTime>
  <ScaleCrop>false</ScaleCrop>
  <LinksUpToDate>false</LinksUpToDate>
  <CharactersWithSpaces>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2025-12-24T09:31:00Z</dcterms:created>
  <dc:creator>wentinglou</dc:creator>
  <cp:lastModifiedBy>whxu</cp:lastModifiedBy>
  <cp:lastPrinted>2026-01-01T15:15:24Z</cp:lastPrinted>
  <dcterms:modified xsi:type="dcterms:W3CDTF">2025-12-31T17:16:14Z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1714C998DC0BE3FCDEE9546995D2AA6A_43</vt:lpwstr>
  </property>
</Properties>
</file>