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4F918">
      <w:pPr>
        <w:spacing w:line="560" w:lineRule="exact"/>
        <w:jc w:val="left"/>
        <w:rPr>
          <w:rFonts w:hint="eastAsia" w:ascii="黑体" w:hAnsi="黑体" w:eastAsia="黑体" w:cs="黑体"/>
          <w:sz w:val="32"/>
          <w:szCs w:val="30"/>
          <w:highlight w:val="none"/>
          <w:lang w:val="en-US" w:eastAsia="zh-CN"/>
        </w:rPr>
      </w:pPr>
      <w:bookmarkStart w:id="0" w:name="_GoBack"/>
      <w:bookmarkEnd w:id="0"/>
      <w:r>
        <w:rPr>
          <w:rFonts w:hint="eastAsia" w:ascii="黑体" w:hAnsi="黑体" w:eastAsia="黑体" w:cs="黑体"/>
          <w:sz w:val="32"/>
          <w:szCs w:val="30"/>
          <w:highlight w:val="none"/>
        </w:rPr>
        <w:t>附件</w:t>
      </w:r>
      <w:r>
        <w:rPr>
          <w:rFonts w:hint="eastAsia" w:ascii="黑体" w:hAnsi="黑体" w:eastAsia="黑体" w:cs="黑体"/>
          <w:sz w:val="32"/>
          <w:szCs w:val="30"/>
          <w:highlight w:val="none"/>
          <w:lang w:eastAsia="zh"/>
        </w:rPr>
        <w:t>1</w:t>
      </w:r>
    </w:p>
    <w:p w14:paraId="1AE700BB">
      <w:pPr>
        <w:adjustRightInd w:val="0"/>
        <w:snapToGrid w:val="0"/>
        <w:spacing w:line="560" w:lineRule="exact"/>
        <w:rPr>
          <w:rFonts w:eastAsia="仿宋_GB2312"/>
          <w:sz w:val="32"/>
          <w:szCs w:val="32"/>
        </w:rPr>
      </w:pPr>
    </w:p>
    <w:p w14:paraId="2F630DD6">
      <w:pPr>
        <w:spacing w:line="560" w:lineRule="exact"/>
        <w:jc w:val="center"/>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上海证券交易所上市公司证券发行与</w:t>
      </w:r>
    </w:p>
    <w:p w14:paraId="2BBEA6BF">
      <w:pPr>
        <w:spacing w:line="560" w:lineRule="exact"/>
        <w:jc w:val="center"/>
        <w:rPr>
          <w:rFonts w:hint="eastAsia" w:ascii="方正大标宋简体" w:hAnsi="方正大标宋简体" w:eastAsia="方正大标宋简体" w:cs="方正大标宋简体"/>
          <w:b w:val="0"/>
          <w:bCs w:val="0"/>
          <w:sz w:val="44"/>
          <w:szCs w:val="44"/>
          <w:highlight w:val="none"/>
        </w:rPr>
      </w:pPr>
      <w:r>
        <w:rPr>
          <w:rFonts w:hint="eastAsia" w:ascii="方正大标宋简体" w:hAnsi="方正大标宋简体" w:eastAsia="方正大标宋简体" w:cs="方正大标宋简体"/>
          <w:b w:val="0"/>
          <w:bCs w:val="0"/>
          <w:sz w:val="44"/>
          <w:szCs w:val="44"/>
        </w:rPr>
        <w:t>承销</w:t>
      </w:r>
      <w:r>
        <w:rPr>
          <w:rFonts w:hint="eastAsia" w:ascii="方正大标宋简体" w:hAnsi="方正大标宋简体" w:eastAsia="方正大标宋简体" w:cs="方正大标宋简体"/>
          <w:b w:val="0"/>
          <w:bCs w:val="0"/>
          <w:sz w:val="44"/>
          <w:szCs w:val="44"/>
          <w:highlight w:val="none"/>
        </w:rPr>
        <w:t>业务实施细则</w:t>
      </w:r>
    </w:p>
    <w:p w14:paraId="45F11473">
      <w:pPr>
        <w:spacing w:line="560" w:lineRule="exact"/>
        <w:jc w:val="center"/>
        <w:rPr>
          <w:rFonts w:hint="eastAsia" w:ascii="方正大标宋简体" w:hAnsi="方正大标宋简体" w:eastAsia="方正大标宋简体" w:cs="方正大标宋简体"/>
          <w:b w:val="0"/>
          <w:bCs w:val="0"/>
          <w:sz w:val="44"/>
          <w:szCs w:val="44"/>
          <w:highlight w:val="none"/>
        </w:rPr>
      </w:pPr>
      <w:r>
        <w:rPr>
          <w:rFonts w:hint="eastAsia" w:ascii="楷体_GB2312" w:hAnsi="楷体_GB2312" w:eastAsia="楷体_GB2312" w:cs="楷体_GB2312"/>
          <w:kern w:val="0"/>
          <w:sz w:val="32"/>
          <w:szCs w:val="30"/>
          <w:highlight w:val="none"/>
        </w:rPr>
        <w:t>（</w:t>
      </w:r>
      <w:r>
        <w:rPr>
          <w:rFonts w:hint="eastAsia" w:ascii="楷体_GB2312" w:hAnsi="楷体_GB2312" w:eastAsia="楷体_GB2312" w:cs="楷体_GB2312"/>
          <w:kern w:val="0"/>
          <w:sz w:val="32"/>
          <w:szCs w:val="30"/>
          <w:highlight w:val="none"/>
          <w:lang w:eastAsia="zh-CN"/>
        </w:rPr>
        <w:t>征求意见</w:t>
      </w:r>
      <w:r>
        <w:rPr>
          <w:rFonts w:hint="eastAsia" w:ascii="楷体_GB2312" w:hAnsi="楷体_GB2312" w:eastAsia="楷体_GB2312" w:cs="楷体_GB2312"/>
          <w:kern w:val="0"/>
          <w:sz w:val="32"/>
          <w:szCs w:val="30"/>
          <w:highlight w:val="none"/>
        </w:rPr>
        <w:t>稿）</w:t>
      </w:r>
    </w:p>
    <w:p w14:paraId="70EBBE29">
      <w:pPr>
        <w:spacing w:line="560" w:lineRule="exact"/>
        <w:jc w:val="center"/>
        <w:rPr>
          <w:rFonts w:eastAsia="仿宋_GB2312" w:cs="仿宋"/>
          <w:sz w:val="32"/>
          <w:szCs w:val="32"/>
        </w:rPr>
      </w:pPr>
    </w:p>
    <w:p w14:paraId="276B5AED">
      <w:pPr>
        <w:adjustRightInd w:val="0"/>
        <w:snapToGrid w:val="0"/>
        <w:spacing w:line="560" w:lineRule="exact"/>
        <w:jc w:val="center"/>
        <w:rPr>
          <w:rFonts w:ascii="黑体" w:hAnsi="黑体" w:eastAsia="黑体" w:cs="黑体"/>
          <w:b w:val="0"/>
          <w:bCs w:val="0"/>
          <w:sz w:val="32"/>
          <w:szCs w:val="32"/>
        </w:rPr>
      </w:pPr>
      <w:r>
        <w:rPr>
          <w:rFonts w:hint="eastAsia" w:ascii="黑体" w:hAnsi="黑体" w:eastAsia="黑体" w:cs="黑体"/>
          <w:b w:val="0"/>
          <w:bCs w:val="0"/>
          <w:sz w:val="32"/>
          <w:szCs w:val="32"/>
        </w:rPr>
        <w:t>第一章  总 则</w:t>
      </w:r>
    </w:p>
    <w:p w14:paraId="2A514631">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第一条 </w:t>
      </w:r>
      <w:r>
        <w:rPr>
          <w:rFonts w:hint="eastAsia" w:eastAsia="仿宋_GB2312" w:cs="仿宋"/>
          <w:sz w:val="32"/>
          <w:szCs w:val="32"/>
        </w:rPr>
        <w:t>为了规范上海证券交易所（以下简称本所）上市公司证券发行与承销行为，根据《证券发行与承销管理办法》（以下简称《承销办法》）、《上市公司证券发行注册管理办法》（以下简称《再融资办法》）、《优先股试点管理办法》等有关规定，制定本细则。</w:t>
      </w:r>
    </w:p>
    <w:p w14:paraId="1F0812F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第二条 </w:t>
      </w:r>
      <w:r>
        <w:rPr>
          <w:rFonts w:hint="eastAsia" w:eastAsia="仿宋_GB2312" w:cs="仿宋"/>
          <w:sz w:val="32"/>
          <w:szCs w:val="32"/>
        </w:rPr>
        <w:t>经中国证券监督管理委员会（以下简称中国证监会）注册后，上市公司股票、可转换公司债券（以下简称可转债）、存托凭证和中国证监会认可的其他品种（以下统称证券）在本所的发行承销业务，适用本细则。本细则未作规定的，适用本所其他有关规定。</w:t>
      </w:r>
    </w:p>
    <w:p w14:paraId="123B49A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第三条 </w:t>
      </w:r>
      <w:r>
        <w:rPr>
          <w:rFonts w:hint="eastAsia" w:eastAsia="仿宋_GB2312" w:cs="仿宋"/>
          <w:sz w:val="32"/>
          <w:szCs w:val="32"/>
        </w:rPr>
        <w:t>上市公司董事、高级管理人员、证券公司、证券服务机构及其相关执业人员，以及上市公司控股股东、实际控制人及其知情人员，应当遵守有关法律法规、规章、规范性文件及本所其他业务规则，勤勉尽责，不得利用上市公司发行证券谋取不正当利益，禁止泄露内幕信息和利用内幕信息进行证券交易或者操纵证券交易价格。</w:t>
      </w:r>
    </w:p>
    <w:p w14:paraId="5A41E41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第四条 </w:t>
      </w:r>
      <w:r>
        <w:rPr>
          <w:rFonts w:hint="eastAsia" w:eastAsia="仿宋_GB2312" w:cs="仿宋"/>
          <w:sz w:val="32"/>
          <w:szCs w:val="32"/>
        </w:rPr>
        <w:t>上市公司的控股股东、实际控制人和发行对象，应当按照有关规定及时向上市公司提供信息，配合上市公司真实、准确、完整地履行信息披露义务。</w:t>
      </w:r>
    </w:p>
    <w:p w14:paraId="419E470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第五条 </w:t>
      </w:r>
      <w:r>
        <w:rPr>
          <w:rFonts w:hint="eastAsia" w:eastAsia="仿宋_GB2312" w:cs="仿宋"/>
          <w:sz w:val="32"/>
          <w:szCs w:val="32"/>
        </w:rPr>
        <w:t>上市公司、承销商选择发行证券的发行对象和确定发行价格、利率，应当遵循公平、公正原则。</w:t>
      </w:r>
    </w:p>
    <w:p w14:paraId="33607B4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上市公司、承销商和发行对象，不得在证券发行过程中进行合谋报价、利益输送或者谋取其他不正当利益。</w:t>
      </w:r>
    </w:p>
    <w:p w14:paraId="43ECE0C8">
      <w:pPr>
        <w:numPr>
          <w:ilvl w:val="0"/>
          <w:numId w:val="0"/>
        </w:numPr>
        <w:adjustRightInd w:val="0"/>
        <w:snapToGrid w:val="0"/>
        <w:spacing w:line="560" w:lineRule="exact"/>
        <w:ind w:left="0" w:leftChars="0" w:firstLine="643" w:firstLineChars="200"/>
        <w:rPr>
          <w:rFonts w:hint="eastAsia"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第六条 </w:t>
      </w:r>
      <w:r>
        <w:rPr>
          <w:rFonts w:hint="eastAsia" w:eastAsia="仿宋_GB2312" w:cs="仿宋"/>
          <w:sz w:val="32"/>
          <w:szCs w:val="32"/>
        </w:rPr>
        <w:t>采用代销方式的，上市公司和主承销商应当事先约定发行失败的情形及安排。代销期届满，向投资者出售的股票数量未达到拟公开发行股票数量的70%，本次发行失败。</w:t>
      </w:r>
    </w:p>
    <w:p w14:paraId="2911A338">
      <w:pPr>
        <w:numPr>
          <w:ilvl w:val="0"/>
          <w:numId w:val="0"/>
        </w:numPr>
        <w:adjustRightInd w:val="0"/>
        <w:snapToGrid w:val="0"/>
        <w:spacing w:line="560" w:lineRule="exact"/>
        <w:ind w:left="0" w:leftChars="0" w:firstLine="640" w:firstLineChars="200"/>
        <w:rPr>
          <w:rFonts w:hint="default" w:eastAsia="仿宋_GB2312" w:cs="仿宋"/>
          <w:sz w:val="32"/>
          <w:szCs w:val="32"/>
          <w:lang w:val="en-US" w:eastAsia="zh-CN"/>
        </w:rPr>
      </w:pPr>
      <w:r>
        <w:rPr>
          <w:rFonts w:hint="eastAsia" w:eastAsia="仿宋_GB2312" w:cs="仿宋"/>
          <w:sz w:val="32"/>
          <w:szCs w:val="32"/>
          <w:lang w:val="en-US" w:eastAsia="zh-CN"/>
        </w:rPr>
        <w:t>上市公司向特定对象发行股票适用一次注册、分次发行的，当次发行出现本条第一款规定的发行失败情形，该次发行额度不得再发行。上市公司有尚未启动发行额度的，可实施后续发行。</w:t>
      </w:r>
    </w:p>
    <w:p w14:paraId="4A9DE642">
      <w:pPr>
        <w:adjustRightInd w:val="0"/>
        <w:snapToGrid w:val="0"/>
        <w:spacing w:line="560" w:lineRule="exact"/>
        <w:jc w:val="center"/>
        <w:rPr>
          <w:rFonts w:ascii="黑体" w:hAnsi="黑体" w:eastAsia="黑体" w:cs="黑体"/>
          <w:b w:val="0"/>
          <w:bCs w:val="0"/>
          <w:sz w:val="32"/>
          <w:szCs w:val="32"/>
        </w:rPr>
      </w:pPr>
      <w:r>
        <w:rPr>
          <w:rFonts w:hint="eastAsia" w:ascii="黑体" w:hAnsi="黑体" w:eastAsia="黑体" w:cs="黑体"/>
          <w:b w:val="0"/>
          <w:bCs w:val="0"/>
          <w:sz w:val="32"/>
          <w:szCs w:val="32"/>
        </w:rPr>
        <w:t>第二章  向不特定对象发行证券</w:t>
      </w:r>
    </w:p>
    <w:p w14:paraId="58A3AC5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第七条 </w:t>
      </w:r>
      <w:r>
        <w:rPr>
          <w:rFonts w:hint="eastAsia" w:eastAsia="仿宋_GB2312" w:cs="仿宋"/>
          <w:sz w:val="32"/>
          <w:szCs w:val="32"/>
        </w:rPr>
        <w:t>上市公司向原股东配售股份（以下简称配股），应当向股权登记日登记在册的股东配售，且配售比例应当相同。</w:t>
      </w:r>
    </w:p>
    <w:p w14:paraId="3235CFB4">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第八条 </w:t>
      </w:r>
      <w:r>
        <w:rPr>
          <w:rFonts w:hint="eastAsia" w:eastAsia="仿宋_GB2312" w:cs="仿宋"/>
          <w:sz w:val="32"/>
          <w:szCs w:val="32"/>
        </w:rPr>
        <w:t>上市公司配股的，配股价格应当由上市公司和主承销商根据公司股票在二级市场的价格、市盈率及市净率、募集资金投资项目的资金需求量等因素协商确定，配股价格不得低于1元/股。</w:t>
      </w:r>
    </w:p>
    <w:p w14:paraId="2BDDE24F">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第九条 </w:t>
      </w:r>
      <w:r>
        <w:rPr>
          <w:rFonts w:hint="eastAsia" w:eastAsia="仿宋_GB2312" w:cs="仿宋"/>
          <w:sz w:val="32"/>
          <w:szCs w:val="32"/>
        </w:rPr>
        <w:t>上市公司向不特定对象募集股份（以下简称增发）或向不特定对象发行可转债，向股权登记日登记在册的原股东优先配售的，优先配售比例应当在发行公告中披露。</w:t>
      </w:r>
      <w:r>
        <w:rPr>
          <w:rFonts w:hint="eastAsia" w:eastAsia="仿宋_GB2312"/>
          <w:sz w:val="32"/>
          <w:szCs w:val="32"/>
        </w:rPr>
        <w:t>原股东参与优先配售后的剩余部分可全部用于网上发行，或用于网上和网下发行。</w:t>
      </w:r>
    </w:p>
    <w:p w14:paraId="5022540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网上发行应当通过本所交易系统进行。上市公司和主承销商可以向机构投资者自行组织网下发行，机构投资者的具体条件、发行程序应当在发行公告中确定并披露。</w:t>
      </w:r>
    </w:p>
    <w:p w14:paraId="3E9413E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第十条 </w:t>
      </w:r>
      <w:r>
        <w:rPr>
          <w:rFonts w:hint="eastAsia" w:eastAsia="仿宋_GB2312" w:cs="仿宋"/>
          <w:sz w:val="32"/>
          <w:szCs w:val="32"/>
        </w:rPr>
        <w:t>上市公司增发的，发行价格可以由上市公司与主承销商协商确定，但应当不低于公告招股意向书前20个交易日或者前一个交易日公司股票均价。</w:t>
      </w:r>
    </w:p>
    <w:p w14:paraId="51A671DA">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向不特定对象发行可转债的，转股价格和利率由上市公司与主承销商协商确定，但转股价格应当不低于募集说明书公告日前20个交易日上市公司股票交易均价和前一个交易日均价，利率应当符合国家有关规定。</w:t>
      </w:r>
    </w:p>
    <w:p w14:paraId="3889E5AD">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第十一条 </w:t>
      </w:r>
      <w:r>
        <w:rPr>
          <w:rFonts w:hint="eastAsia" w:eastAsia="仿宋_GB2312" w:cs="仿宋"/>
          <w:sz w:val="32"/>
          <w:szCs w:val="32"/>
        </w:rPr>
        <w:t>上市公司原股东参与优先配售，通过网上方式进行，确有需要的，可以通过网下方式进行。</w:t>
      </w:r>
    </w:p>
    <w:p w14:paraId="26B66084">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机构投资者可以同时通过网上、网下两种方式参与申购，其他投资者通过网上方式参与申购。</w:t>
      </w:r>
    </w:p>
    <w:p w14:paraId="75A69BB7">
      <w:pPr>
        <w:adjustRightInd w:val="0"/>
        <w:snapToGrid w:val="0"/>
        <w:spacing w:line="560" w:lineRule="exact"/>
        <w:ind w:firstLine="640" w:firstLineChars="200"/>
        <w:rPr>
          <w:rFonts w:eastAsia="仿宋_GB2312"/>
          <w:sz w:val="32"/>
          <w:szCs w:val="32"/>
        </w:rPr>
      </w:pPr>
      <w:r>
        <w:rPr>
          <w:rFonts w:hint="eastAsia" w:eastAsia="仿宋_GB2312" w:cs="仿宋"/>
          <w:sz w:val="32"/>
          <w:szCs w:val="32"/>
        </w:rPr>
        <w:t>原股东除可参与优先配售外，也可参与优先配售后剩余部分的网上、网下发行。</w:t>
      </w:r>
    </w:p>
    <w:p w14:paraId="08E0B264">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第十二条 </w:t>
      </w:r>
      <w:r>
        <w:rPr>
          <w:rFonts w:hint="eastAsia" w:eastAsia="仿宋_GB2312" w:cs="仿宋"/>
          <w:sz w:val="32"/>
          <w:szCs w:val="32"/>
        </w:rPr>
        <w:t>上市公司和主承销商应当在发行公告中明确发行承销方式，以及网上、网下有效申购不足部分、</w:t>
      </w:r>
      <w:r>
        <w:rPr>
          <w:rFonts w:hint="eastAsia" w:eastAsia="仿宋_GB2312"/>
          <w:sz w:val="32"/>
          <w:szCs w:val="32"/>
        </w:rPr>
        <w:t>投资者申购后未足额缴付认购资金部分（以下简称弃购部分）</w:t>
      </w:r>
      <w:r>
        <w:rPr>
          <w:rFonts w:hint="eastAsia" w:eastAsia="仿宋_GB2312" w:cs="仿宋"/>
          <w:sz w:val="32"/>
          <w:szCs w:val="32"/>
        </w:rPr>
        <w:t>的处理安排</w:t>
      </w:r>
      <w:r>
        <w:rPr>
          <w:rFonts w:hint="eastAsia" w:eastAsia="仿宋_GB2312"/>
          <w:sz w:val="32"/>
          <w:szCs w:val="32"/>
        </w:rPr>
        <w:t>。弃购部分拟向网下机构投资者二次配售的，还应明确二次配售的投资者范围、配售原则、实施程序及二次配售后仍存在弃购部分的处理安排等。</w:t>
      </w:r>
    </w:p>
    <w:p w14:paraId="3908522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第十三条 </w:t>
      </w:r>
      <w:r>
        <w:rPr>
          <w:rFonts w:hint="eastAsia" w:eastAsia="仿宋_GB2312" w:cs="仿宋"/>
          <w:sz w:val="32"/>
          <w:szCs w:val="32"/>
        </w:rPr>
        <w:t>参与网上申购的投资者可以使用所持上海市场证券账户在T日（T日为网上申购日，下同）申购上市公司的证券，申购时间为T日9:30-11:30、13:00-15:00。</w:t>
      </w:r>
    </w:p>
    <w:p w14:paraId="10F0BEDA">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上市公司增发的，</w:t>
      </w:r>
      <w:r>
        <w:rPr>
          <w:rFonts w:hint="eastAsia" w:eastAsia="仿宋_GB2312"/>
          <w:sz w:val="32"/>
          <w:szCs w:val="32"/>
        </w:rPr>
        <w:t>网下发行应当和网上发行同日进行。</w:t>
      </w:r>
      <w:r>
        <w:rPr>
          <w:rFonts w:hint="eastAsia" w:eastAsia="仿宋_GB2312" w:cs="仿宋"/>
          <w:sz w:val="32"/>
          <w:szCs w:val="32"/>
        </w:rPr>
        <w:t>向不特定对象发行可转债的，网下申购日应不晚于T日。</w:t>
      </w:r>
    </w:p>
    <w:p w14:paraId="327914B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第十四条 </w:t>
      </w:r>
      <w:r>
        <w:rPr>
          <w:rFonts w:hint="eastAsia" w:eastAsia="仿宋_GB2312" w:cs="仿宋"/>
          <w:sz w:val="32"/>
          <w:szCs w:val="32"/>
        </w:rPr>
        <w:t>申购时间内，参与网上申购的投资者以发行价格填写申购委托单。一经申报，不得撤单。申购配号根据实际有效申购进行，每一有效申购单位配一个号，对所有有效申购单位按时间顺序连续配号。</w:t>
      </w:r>
    </w:p>
    <w:p w14:paraId="75898342">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第十五条 </w:t>
      </w:r>
      <w:r>
        <w:rPr>
          <w:rFonts w:hint="eastAsia" w:eastAsia="仿宋_GB2312"/>
          <w:sz w:val="32"/>
          <w:szCs w:val="32"/>
        </w:rPr>
        <w:t>上市公司和主承销商应当合理确定并在发行公告中披露网上申购上限。</w:t>
      </w:r>
    </w:p>
    <w:p w14:paraId="6BC662D4">
      <w:pPr>
        <w:pStyle w:val="64"/>
        <w:adjustRightInd w:val="0"/>
        <w:snapToGrid w:val="0"/>
        <w:spacing w:line="560" w:lineRule="exact"/>
        <w:ind w:firstLine="640"/>
        <w:rPr>
          <w:rFonts w:eastAsia="仿宋_GB2312"/>
          <w:sz w:val="32"/>
          <w:szCs w:val="32"/>
        </w:rPr>
      </w:pPr>
      <w:r>
        <w:rPr>
          <w:rFonts w:hint="eastAsia" w:eastAsia="仿宋_GB2312"/>
          <w:sz w:val="32"/>
          <w:szCs w:val="32"/>
        </w:rPr>
        <w:t>上市公司增发的，网上申购最小单位应当符合</w:t>
      </w:r>
      <w:r>
        <w:rPr>
          <w:rFonts w:hint="eastAsia" w:eastAsia="仿宋_GB2312" w:cs="仿宋"/>
          <w:sz w:val="32"/>
          <w:szCs w:val="32"/>
        </w:rPr>
        <w:t>《上海市场首次公开发行股票网上发行实施细则》</w:t>
      </w:r>
      <w:r>
        <w:rPr>
          <w:rFonts w:hint="eastAsia" w:eastAsia="仿宋_GB2312"/>
          <w:sz w:val="32"/>
          <w:szCs w:val="32"/>
        </w:rPr>
        <w:t>的规定。向不特定对象发行可转债的，网上申购最小单位为1手（1000元），申购数量应当为1手或1手的整数倍。网上申购数量不得高于发行公告中确定的申购上限，如超过则该笔申购无效。</w:t>
      </w:r>
    </w:p>
    <w:p w14:paraId="47FD95C8">
      <w:pPr>
        <w:pStyle w:val="64"/>
        <w:adjustRightInd w:val="0"/>
        <w:snapToGrid w:val="0"/>
        <w:spacing w:line="560" w:lineRule="exact"/>
        <w:ind w:firstLine="640"/>
        <w:rPr>
          <w:rFonts w:eastAsia="仿宋_GB2312" w:cs="仿宋"/>
          <w:sz w:val="32"/>
          <w:szCs w:val="32"/>
        </w:rPr>
      </w:pPr>
      <w:r>
        <w:rPr>
          <w:rFonts w:hint="eastAsia" w:eastAsia="仿宋_GB2312"/>
          <w:sz w:val="32"/>
          <w:szCs w:val="32"/>
        </w:rPr>
        <w:t>为保证申购的有序进行，本所可根据市场情况和技术系统承载能力对申购单位、最大申购数量、申购时间进行调整，并向市场公告。</w:t>
      </w:r>
    </w:p>
    <w:p w14:paraId="4CF0BE78">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第十六条 </w:t>
      </w:r>
      <w:r>
        <w:rPr>
          <w:rFonts w:hint="eastAsia" w:eastAsia="仿宋_GB2312"/>
          <w:sz w:val="32"/>
          <w:szCs w:val="32"/>
        </w:rPr>
        <w:t>投资者参与网上申购只能使用一个证券账户。同一投资者使用多个证券账户参与同一只证券申购的，或者投资者使用同一证券账户多次参与同一只证券申购的，以该投资者的第一笔申购为有效申购，其余申购均为无效申购。</w:t>
      </w:r>
    </w:p>
    <w:p w14:paraId="4C9943C1">
      <w:pPr>
        <w:adjustRightInd w:val="0"/>
        <w:snapToGrid w:val="0"/>
        <w:spacing w:line="560" w:lineRule="exact"/>
        <w:ind w:firstLine="640" w:firstLineChars="200"/>
        <w:rPr>
          <w:rFonts w:eastAsia="仿宋_GB2312"/>
          <w:sz w:val="32"/>
          <w:szCs w:val="32"/>
        </w:rPr>
      </w:pPr>
      <w:r>
        <w:rPr>
          <w:rFonts w:hint="eastAsia" w:eastAsia="仿宋_GB2312"/>
          <w:sz w:val="32"/>
          <w:szCs w:val="32"/>
        </w:rPr>
        <w:t>确认多个证券账户为同一投资者持有的原则为证券账户注册资料中的“账户持有人名称”“有效身份证明文件号码”均相同。证券公司客户定向资产管理专用账户、企业年金账户以及职业年金账户，证券账户注册资料中“账户持有人名称”相同且“有效身份证明文件号码”相同的，按不同投资者进行统计。</w:t>
      </w:r>
    </w:p>
    <w:p w14:paraId="69FB24F6">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不合格、休眠和注销的证券账户不得参与证券的申购。</w:t>
      </w:r>
    </w:p>
    <w:p w14:paraId="3F91514B">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第十七条 </w:t>
      </w:r>
      <w:r>
        <w:rPr>
          <w:rFonts w:hint="eastAsia" w:eastAsia="仿宋_GB2312"/>
          <w:sz w:val="32"/>
          <w:szCs w:val="32"/>
        </w:rPr>
        <w:t>参与网上申购的投资者应自主表达申购意向，证券公司不得接受投资者的概括委托代其进行申购。</w:t>
      </w:r>
    </w:p>
    <w:p w14:paraId="5F038A04">
      <w:pPr>
        <w:adjustRightInd w:val="0"/>
        <w:snapToGrid w:val="0"/>
        <w:spacing w:line="560" w:lineRule="exact"/>
        <w:ind w:firstLine="640" w:firstLineChars="200"/>
        <w:rPr>
          <w:rFonts w:eastAsia="仿宋_GB2312"/>
          <w:sz w:val="32"/>
          <w:szCs w:val="32"/>
        </w:rPr>
      </w:pPr>
      <w:r>
        <w:rPr>
          <w:rFonts w:hint="eastAsia" w:eastAsia="仿宋_GB2312"/>
          <w:sz w:val="32"/>
          <w:szCs w:val="32"/>
        </w:rPr>
        <w:t>对于参与网上申购的投资者，证券公司在中签认购资金交收日前（含T+3日），不得为其申报撤销指定交易及注销相应证券账户。</w:t>
      </w:r>
    </w:p>
    <w:p w14:paraId="609CCC3F">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第十八条 </w:t>
      </w:r>
      <w:r>
        <w:rPr>
          <w:rFonts w:hint="eastAsia" w:eastAsia="仿宋_GB2312"/>
          <w:sz w:val="32"/>
          <w:szCs w:val="32"/>
        </w:rPr>
        <w:t>参与可转债网下申购的同一配售对象只能使用一个证券账户。同一网下机构投资者管理多个证券投资产品的，每个产品可视作一个配售对象；其他投资者，每个投资者视作一个配售对象。</w:t>
      </w:r>
    </w:p>
    <w:p w14:paraId="0B37FAA9">
      <w:pPr>
        <w:numPr>
          <w:ilvl w:val="0"/>
          <w:numId w:val="0"/>
        </w:numPr>
        <w:adjustRightInd w:val="0"/>
        <w:snapToGrid w:val="0"/>
        <w:spacing w:line="560" w:lineRule="exact"/>
        <w:ind w:left="0" w:leftChars="0" w:firstLine="643" w:firstLineChars="200"/>
        <w:rPr>
          <w:rFonts w:eastAsia="仿宋_GB2312" w:cs="仿宋"/>
          <w:sz w:val="32"/>
          <w:szCs w:val="32"/>
          <w:u w:val="single"/>
        </w:rPr>
      </w:pPr>
      <w:r>
        <w:rPr>
          <w:rFonts w:hint="eastAsia" w:ascii="仿宋_GB2312" w:hAnsi="黑体" w:eastAsia="仿宋_GB2312" w:cs="仿宋"/>
          <w:b/>
          <w:bCs/>
          <w:i w:val="0"/>
          <w:kern w:val="2"/>
          <w:sz w:val="32"/>
          <w:szCs w:val="32"/>
          <w:lang w:val="en-US" w:eastAsia="zh-CN" w:bidi="ar-SA"/>
        </w:rPr>
        <w:t xml:space="preserve">第十九条 </w:t>
      </w:r>
      <w:r>
        <w:rPr>
          <w:rFonts w:hint="eastAsia" w:eastAsia="仿宋_GB2312" w:cs="仿宋"/>
          <w:sz w:val="32"/>
          <w:szCs w:val="32"/>
        </w:rPr>
        <w:t>上市公司增发或向不特定对象发行可转债，主承销商对参与网下配售的机构投资者或其管理的配售对象进行分类的，应当在发行公告中充分说明分类配售的理由、必要性和分类标准，可以对不同类别网下机构投资者或配售对象设定不同的配售比例，但对同一类别网下机构投资者或配售对象应当按相同的比例配售。</w:t>
      </w:r>
    </w:p>
    <w:p w14:paraId="44C7AFE4">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第二十条 </w:t>
      </w:r>
      <w:r>
        <w:rPr>
          <w:rFonts w:hint="eastAsia" w:eastAsia="仿宋_GB2312" w:cs="仿宋"/>
          <w:sz w:val="32"/>
          <w:szCs w:val="32"/>
        </w:rPr>
        <w:t>上市公司增发的，上市公司和主承销商</w:t>
      </w:r>
      <w:r>
        <w:rPr>
          <w:rFonts w:hint="eastAsia" w:eastAsia="仿宋_GB2312"/>
          <w:sz w:val="32"/>
          <w:szCs w:val="32"/>
        </w:rPr>
        <w:t>可以在发行公告中明确，参与</w:t>
      </w:r>
      <w:r>
        <w:rPr>
          <w:rFonts w:hint="eastAsia" w:eastAsia="仿宋_GB2312" w:cs="仿宋"/>
          <w:sz w:val="32"/>
          <w:szCs w:val="32"/>
        </w:rPr>
        <w:t>网上发行的投资者和参与优先配售的原股东在申购时</w:t>
      </w:r>
      <w:r>
        <w:rPr>
          <w:rFonts w:hint="eastAsia" w:eastAsia="仿宋_GB2312"/>
          <w:sz w:val="32"/>
          <w:szCs w:val="32"/>
        </w:rPr>
        <w:t>全额缴纳申购资金，参与网下发行</w:t>
      </w:r>
      <w:r>
        <w:rPr>
          <w:rFonts w:hint="eastAsia" w:eastAsia="仿宋_GB2312" w:cs="仿宋"/>
          <w:sz w:val="32"/>
          <w:szCs w:val="32"/>
        </w:rPr>
        <w:t>的机构投资者在申购时缴纳不超过拟</w:t>
      </w:r>
      <w:r>
        <w:rPr>
          <w:rFonts w:hint="eastAsia" w:eastAsia="仿宋_GB2312"/>
          <w:sz w:val="32"/>
          <w:szCs w:val="32"/>
        </w:rPr>
        <w:t>申购金额20%的保证金，</w:t>
      </w:r>
      <w:r>
        <w:rPr>
          <w:rFonts w:hint="eastAsia" w:eastAsia="仿宋_GB2312" w:cs="仿宋"/>
          <w:sz w:val="32"/>
          <w:szCs w:val="32"/>
        </w:rPr>
        <w:t>明确网下机构投资者在申购后未足额缴付资金时的保证金处理方式。主承销商对网下机构投资者分类配售的，可以根据投资者或其</w:t>
      </w:r>
      <w:r>
        <w:rPr>
          <w:rFonts w:hint="eastAsia" w:eastAsia="仿宋_GB2312"/>
          <w:sz w:val="32"/>
          <w:szCs w:val="32"/>
        </w:rPr>
        <w:t>管理的配售对象类别设定不同的保证金比例。</w:t>
      </w:r>
    </w:p>
    <w:p w14:paraId="5755E81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第二十一条 </w:t>
      </w:r>
      <w:r>
        <w:rPr>
          <w:rFonts w:hint="eastAsia" w:eastAsia="仿宋_GB2312"/>
          <w:sz w:val="32"/>
          <w:szCs w:val="32"/>
        </w:rPr>
        <w:t>上市公司向</w:t>
      </w:r>
      <w:r>
        <w:rPr>
          <w:rFonts w:hint="eastAsia" w:eastAsia="仿宋_GB2312" w:cs="仿宋"/>
          <w:sz w:val="32"/>
          <w:szCs w:val="32"/>
        </w:rPr>
        <w:t>不特定对象</w:t>
      </w:r>
      <w:r>
        <w:rPr>
          <w:rFonts w:hint="eastAsia" w:eastAsia="仿宋_GB2312"/>
          <w:sz w:val="32"/>
          <w:szCs w:val="32"/>
        </w:rPr>
        <w:t>发行可转债的</w:t>
      </w:r>
      <w:r>
        <w:rPr>
          <w:rFonts w:hint="eastAsia" w:eastAsia="仿宋_GB2312" w:cs="仿宋"/>
          <w:sz w:val="32"/>
          <w:szCs w:val="32"/>
        </w:rPr>
        <w:t>，网上投资者在申购时无需缴付申购资金。上市公司和主承销商可以在发行公告中明确，参与优先配售的原股东在申购时全额缴纳申购资金，参与网下发行的单一申购账户在申购时缴纳不超过50万元的保证金，明确网下机构投资者在申购后未足额缴付资金时保证金的处理方式。主承销商对网下机构投资者分类配售的，可以根据投资者或其</w:t>
      </w:r>
      <w:r>
        <w:rPr>
          <w:rFonts w:hint="eastAsia" w:eastAsia="仿宋_GB2312"/>
          <w:sz w:val="32"/>
          <w:szCs w:val="32"/>
        </w:rPr>
        <w:t>管理的配售对象类别设定不同的保证金金额。</w:t>
      </w:r>
    </w:p>
    <w:p w14:paraId="6445A694">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第二十二条 </w:t>
      </w:r>
      <w:r>
        <w:rPr>
          <w:rFonts w:hint="eastAsia" w:eastAsia="仿宋_GB2312" w:cs="仿宋"/>
          <w:sz w:val="32"/>
          <w:szCs w:val="32"/>
        </w:rPr>
        <w:t>上市公司和主承销商应当在网下配售和网上发行之间建立回拨机制，回拨后网上发行中签率和网下发行的最低获配比例趋于一致。</w:t>
      </w:r>
    </w:p>
    <w:p w14:paraId="139E83E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主承销商根据网上有效申购总量和回拨后的网上发行数量确定中签率，并根据总配号量和中签率组织摇号抽签，公布中签结果。</w:t>
      </w:r>
    </w:p>
    <w:p w14:paraId="33747993">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第二十三条 </w:t>
      </w:r>
      <w:r>
        <w:rPr>
          <w:rFonts w:hint="eastAsia" w:eastAsia="仿宋_GB2312" w:cs="仿宋"/>
          <w:sz w:val="32"/>
          <w:szCs w:val="32"/>
        </w:rPr>
        <w:t>根据本细则和发行公告，网上投资者在申购时无需缴付申购资金的，应当在中签后根据中国证券登记结算有限责任公司（以下简称中国结</w:t>
      </w:r>
      <w:r>
        <w:rPr>
          <w:rFonts w:hint="eastAsia" w:eastAsia="仿宋_GB2312"/>
          <w:sz w:val="32"/>
          <w:szCs w:val="32"/>
        </w:rPr>
        <w:t>算）上海分公司的规定，确保其资金账户在T+2日日终有足额认购资金。投资者认购资金不足的，不足部分视为放弃认购，由此产生的后果及相关法律责任，由投资者自行承担。</w:t>
      </w:r>
    </w:p>
    <w:p w14:paraId="60121418">
      <w:pPr>
        <w:pStyle w:val="64"/>
        <w:adjustRightInd w:val="0"/>
        <w:snapToGrid w:val="0"/>
        <w:spacing w:line="560" w:lineRule="exact"/>
        <w:ind w:firstLine="640"/>
        <w:rPr>
          <w:rFonts w:eastAsia="仿宋_GB2312"/>
          <w:sz w:val="32"/>
          <w:szCs w:val="32"/>
        </w:rPr>
      </w:pPr>
      <w:r>
        <w:rPr>
          <w:rFonts w:hint="eastAsia" w:eastAsia="仿宋_GB2312"/>
          <w:sz w:val="32"/>
          <w:szCs w:val="32"/>
        </w:rPr>
        <w:t>投资者放弃认购及中国结算上海分公司做无效认购处理的，按发行公告确定的方式处理。</w:t>
      </w:r>
    </w:p>
    <w:p w14:paraId="3A9F6CAE">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第二十四条 </w:t>
      </w: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市场发生重大变化，投资者弃购数量占发行总数比例超过10%的，上市公司和主承销商可以将投资者弃购部分向网下机构投资者二次配售。</w:t>
      </w:r>
    </w:p>
    <w:p w14:paraId="3A72FD30">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第二十五条 </w:t>
      </w:r>
      <w:r>
        <w:rPr>
          <w:rFonts w:hint="eastAsia" w:eastAsia="仿宋_GB2312"/>
          <w:sz w:val="32"/>
          <w:szCs w:val="32"/>
        </w:rPr>
        <w:t>上市公司</w:t>
      </w:r>
      <w:r>
        <w:rPr>
          <w:rFonts w:eastAsia="仿宋_GB2312"/>
          <w:sz w:val="32"/>
          <w:szCs w:val="32"/>
        </w:rPr>
        <w:t>增发或向不</w:t>
      </w:r>
      <w:r>
        <w:rPr>
          <w:rFonts w:hint="eastAsia" w:eastAsia="仿宋_GB2312"/>
          <w:sz w:val="32"/>
          <w:szCs w:val="32"/>
        </w:rPr>
        <w:t>特定对象</w:t>
      </w:r>
      <w:r>
        <w:rPr>
          <w:rFonts w:eastAsia="仿宋_GB2312"/>
          <w:sz w:val="32"/>
          <w:szCs w:val="32"/>
        </w:rPr>
        <w:t>发行可转债</w:t>
      </w:r>
      <w:r>
        <w:rPr>
          <w:rFonts w:hint="eastAsia" w:eastAsia="仿宋_GB2312"/>
          <w:sz w:val="32"/>
          <w:szCs w:val="32"/>
        </w:rPr>
        <w:t>安排二</w:t>
      </w:r>
      <w:r>
        <w:rPr>
          <w:rFonts w:hint="eastAsia" w:eastAsia="仿宋_GB2312"/>
          <w:kern w:val="0"/>
          <w:sz w:val="32"/>
          <w:szCs w:val="32"/>
        </w:rPr>
        <w:t>次配售的，上市公司和主承销商应当将弃购部分按照发行公告预先确定的原则优先向初次配售全额缴款的网下机构投资者配售。上市公司和主承销商应当发布二次配售公告，披露网下机构投资者二次配售及缴款安排。二次缴款后仍存在弃购部分的，按照事先公告的方式处理</w:t>
      </w:r>
      <w:r>
        <w:rPr>
          <w:rFonts w:hint="eastAsia" w:eastAsia="仿宋_GB2312"/>
          <w:sz w:val="32"/>
          <w:szCs w:val="32"/>
        </w:rPr>
        <w:t>。</w:t>
      </w:r>
    </w:p>
    <w:p w14:paraId="265EFBE4">
      <w:pPr>
        <w:pStyle w:val="64"/>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第二十六条 </w:t>
      </w:r>
      <w:r>
        <w:rPr>
          <w:rFonts w:hint="eastAsia" w:eastAsia="仿宋_GB2312"/>
          <w:sz w:val="32"/>
          <w:szCs w:val="32"/>
        </w:rPr>
        <w:t>网上投资者连续12个月内累计出现3次中签但未足额缴款的情形时，自结算参与人最近一次申报其放弃认购的次日起6个月（按180个自然日计算，含次日）内不得参与新股、可转债、可交换债和存托凭证的网上申购。</w:t>
      </w:r>
    </w:p>
    <w:p w14:paraId="1E66A5FC">
      <w:pPr>
        <w:adjustRightInd w:val="0"/>
        <w:snapToGrid w:val="0"/>
        <w:spacing w:line="560" w:lineRule="exact"/>
        <w:ind w:firstLine="640" w:firstLineChars="200"/>
        <w:rPr>
          <w:rFonts w:eastAsia="仿宋_GB2312"/>
          <w:sz w:val="32"/>
          <w:szCs w:val="32"/>
        </w:rPr>
      </w:pPr>
      <w:r>
        <w:rPr>
          <w:rFonts w:hint="eastAsia" w:eastAsia="仿宋_GB2312"/>
          <w:sz w:val="32"/>
          <w:szCs w:val="32"/>
        </w:rPr>
        <w:t>本所根据中国结算上海分公司提供的不得参与新股、可转债、可交换债和存托凭证申购的投资者名单，在申购后、配号前对相应申购做无效处理。</w:t>
      </w:r>
    </w:p>
    <w:p w14:paraId="39D3F762">
      <w:pPr>
        <w:adjustRightInd w:val="0"/>
        <w:snapToGrid w:val="0"/>
        <w:spacing w:line="560" w:lineRule="exact"/>
        <w:ind w:firstLine="640" w:firstLineChars="200"/>
        <w:rPr>
          <w:rFonts w:eastAsia="仿宋_GB2312"/>
          <w:sz w:val="32"/>
          <w:szCs w:val="32"/>
        </w:rPr>
      </w:pPr>
      <w:r>
        <w:rPr>
          <w:rFonts w:hint="eastAsia" w:eastAsia="仿宋_GB2312"/>
          <w:sz w:val="32"/>
          <w:szCs w:val="32"/>
        </w:rPr>
        <w:t>放弃认购情形以投资者为单位进行判断，即投资者持有多个证券账户的，其名下任何一个证券账户（含不合格、注销证券账户）发生放弃认购情形的，均纳入该投资者放弃认购次数。放弃认购的次数按照投资者实际放弃认购新股、可转债、可交换债和存托凭证的次数合并计算。</w:t>
      </w:r>
    </w:p>
    <w:p w14:paraId="73DD56A1">
      <w:pPr>
        <w:adjustRightInd w:val="0"/>
        <w:snapToGrid w:val="0"/>
        <w:spacing w:line="560" w:lineRule="exact"/>
        <w:ind w:firstLine="640" w:firstLineChars="200"/>
        <w:rPr>
          <w:rFonts w:eastAsia="仿宋_GB2312"/>
          <w:sz w:val="32"/>
          <w:szCs w:val="32"/>
        </w:rPr>
      </w:pPr>
      <w:r>
        <w:rPr>
          <w:rFonts w:hint="eastAsia" w:eastAsia="仿宋_GB2312"/>
          <w:sz w:val="32"/>
          <w:szCs w:val="32"/>
        </w:rPr>
        <w:t>上市公司增发或向不特定对象发行可转债的，网下和网上投资者缴款认购的新股或可转债数量合计不足本次公开发行数量的70%时，可以中止发行。</w:t>
      </w:r>
    </w:p>
    <w:p w14:paraId="52C96428">
      <w:pPr>
        <w:numPr>
          <w:ilvl w:val="0"/>
          <w:numId w:val="0"/>
        </w:numPr>
        <w:adjustRightInd w:val="0"/>
        <w:snapToGrid w:val="0"/>
        <w:spacing w:line="560" w:lineRule="exact"/>
        <w:ind w:left="0" w:leftChars="0" w:firstLine="643" w:firstLineChars="200"/>
        <w:rPr>
          <w:rFonts w:eastAsia="仿宋_GB2312"/>
          <w:sz w:val="32"/>
          <w:szCs w:val="32"/>
          <w:highlight w:val="none"/>
        </w:rPr>
      </w:pPr>
      <w:r>
        <w:rPr>
          <w:rFonts w:hint="eastAsia" w:ascii="仿宋_GB2312" w:hAnsi="黑体" w:eastAsia="仿宋_GB2312" w:cs="Times New Roman"/>
          <w:b/>
          <w:bCs/>
          <w:i w:val="0"/>
          <w:kern w:val="2"/>
          <w:sz w:val="32"/>
          <w:szCs w:val="32"/>
          <w:highlight w:val="none"/>
          <w:lang w:val="en-US" w:eastAsia="zh-CN" w:bidi="ar-SA"/>
        </w:rPr>
        <w:t xml:space="preserve">第二十七条 </w:t>
      </w:r>
      <w:r>
        <w:rPr>
          <w:rFonts w:hint="eastAsia" w:eastAsia="仿宋_GB2312"/>
          <w:sz w:val="32"/>
          <w:szCs w:val="32"/>
          <w:highlight w:val="none"/>
        </w:rPr>
        <w:t>中国证监会作出予以注册决定后，由上市公司和主承销商在注册决定的有效期内选择发行时间。在启动发行前，上市公司和主承销商应当及时向本所报备发行与承销方案。本所3个工作日内表示无异议的，上市公司和主承销商可以启动发行工作。</w:t>
      </w:r>
    </w:p>
    <w:p w14:paraId="43D6D3C9">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第二十八条 </w:t>
      </w:r>
      <w:r>
        <w:rPr>
          <w:rFonts w:hint="eastAsia" w:eastAsia="仿宋_GB2312"/>
          <w:sz w:val="32"/>
          <w:szCs w:val="32"/>
        </w:rPr>
        <w:t>证券上市之日起10个工作日内，主承销商应当将验资报告、专项法律意见书、承销总结报告等文件一并通过本所向中国证监会备案。</w:t>
      </w:r>
    </w:p>
    <w:p w14:paraId="7777BE82">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第二十九条 </w:t>
      </w:r>
      <w:r>
        <w:rPr>
          <w:rFonts w:hint="eastAsia" w:eastAsia="仿宋_GB2312"/>
          <w:sz w:val="32"/>
          <w:szCs w:val="32"/>
        </w:rPr>
        <w:t>上市公司增发采用超额配售选择权的，上市公司和主承销商应当审慎评估采用超额配售选择权的可行性、预期目标等，在首次预先披露的募集说明书中明确是否采用超额配售选择权，并在招股意向书中详细披露超额配售选择权实施方案，包括实施目标、操作策略、可能发生的情形以及预期达到的效果。</w:t>
      </w:r>
    </w:p>
    <w:p w14:paraId="3729B165">
      <w:pPr>
        <w:adjustRightInd w:val="0"/>
        <w:snapToGrid w:val="0"/>
        <w:spacing w:line="560" w:lineRule="exact"/>
        <w:ind w:firstLine="640" w:firstLineChars="200"/>
        <w:rPr>
          <w:rFonts w:eastAsia="仿宋_GB2312"/>
          <w:sz w:val="32"/>
          <w:szCs w:val="32"/>
        </w:rPr>
      </w:pPr>
      <w:r>
        <w:rPr>
          <w:rFonts w:hint="eastAsia" w:eastAsia="仿宋_GB2312"/>
          <w:sz w:val="32"/>
          <w:szCs w:val="32"/>
        </w:rPr>
        <w:t>采用超额配售选择权的其他安排，参照适用</w:t>
      </w:r>
      <w:r>
        <w:rPr>
          <w:rFonts w:hint="eastAsia" w:eastAsia="仿宋_GB2312" w:cs="仿宋"/>
          <w:sz w:val="32"/>
          <w:szCs w:val="32"/>
        </w:rPr>
        <w:t>《上海证券交易所</w:t>
      </w:r>
      <w:r>
        <w:rPr>
          <w:rFonts w:eastAsia="仿宋_GB2312" w:cs="仿宋"/>
          <w:sz w:val="32"/>
          <w:szCs w:val="32"/>
        </w:rPr>
        <w:t>首次公开发行证券发行与承销业务实施细则</w:t>
      </w:r>
      <w:r>
        <w:rPr>
          <w:rFonts w:hint="eastAsia" w:eastAsia="仿宋_GB2312" w:cs="仿宋"/>
          <w:sz w:val="32"/>
          <w:szCs w:val="32"/>
        </w:rPr>
        <w:t>》</w:t>
      </w:r>
      <w:r>
        <w:rPr>
          <w:rFonts w:hint="eastAsia" w:eastAsia="仿宋_GB2312"/>
          <w:sz w:val="32"/>
          <w:szCs w:val="32"/>
        </w:rPr>
        <w:t>等规则的规定。</w:t>
      </w:r>
    </w:p>
    <w:p w14:paraId="13D6E97D">
      <w:pPr>
        <w:adjustRightInd w:val="0"/>
        <w:snapToGrid w:val="0"/>
        <w:spacing w:line="560" w:lineRule="exact"/>
        <w:jc w:val="center"/>
        <w:rPr>
          <w:rFonts w:ascii="黑体" w:hAnsi="黑体" w:eastAsia="黑体" w:cs="黑体"/>
          <w:b w:val="0"/>
          <w:bCs w:val="0"/>
          <w:sz w:val="32"/>
          <w:szCs w:val="32"/>
        </w:rPr>
      </w:pPr>
      <w:r>
        <w:rPr>
          <w:rFonts w:hint="eastAsia" w:ascii="黑体" w:hAnsi="黑体" w:eastAsia="黑体" w:cs="黑体"/>
          <w:b w:val="0"/>
          <w:bCs w:val="0"/>
          <w:sz w:val="32"/>
          <w:szCs w:val="32"/>
        </w:rPr>
        <w:t>第三章  向特定对象发行证券</w:t>
      </w:r>
    </w:p>
    <w:p w14:paraId="212ECF8E">
      <w:pPr>
        <w:adjustRightInd w:val="0"/>
        <w:snapToGrid w:val="0"/>
        <w:spacing w:line="560" w:lineRule="exact"/>
        <w:jc w:val="center"/>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第一节  一般规定</w:t>
      </w:r>
    </w:p>
    <w:p w14:paraId="7FAFC2D2">
      <w:pPr>
        <w:numPr>
          <w:ilvl w:val="0"/>
          <w:numId w:val="0"/>
        </w:numPr>
        <w:adjustRightInd w:val="0"/>
        <w:snapToGrid w:val="0"/>
        <w:spacing w:line="560" w:lineRule="exact"/>
        <w:ind w:left="0" w:leftChars="0" w:firstLine="643" w:firstLineChars="200"/>
        <w:rPr>
          <w:rFonts w:eastAsia="仿宋_GB2312"/>
          <w:sz w:val="32"/>
          <w:szCs w:val="32"/>
        </w:rPr>
      </w:pPr>
      <w:r>
        <w:rPr>
          <w:rFonts w:hint="eastAsia" w:ascii="仿宋_GB2312" w:hAnsi="黑体" w:eastAsia="仿宋_GB2312" w:cs="Times New Roman"/>
          <w:b/>
          <w:bCs/>
          <w:i w:val="0"/>
          <w:kern w:val="2"/>
          <w:sz w:val="32"/>
          <w:szCs w:val="32"/>
          <w:lang w:val="en-US" w:eastAsia="zh-CN" w:bidi="ar-SA"/>
        </w:rPr>
        <w:t xml:space="preserve">第三十条 </w:t>
      </w:r>
      <w:r>
        <w:rPr>
          <w:rFonts w:hint="eastAsia" w:eastAsia="仿宋_GB2312"/>
          <w:sz w:val="32"/>
          <w:szCs w:val="32"/>
        </w:rPr>
        <w:t>向特定对象发行证券，上市公司和主承销商向投资者进行推介或者提供投资价值研究报告的（以下统称路演推介），不得采用任何公开方式，且不得早于上市公司董事会关于向特定对象发行证券的决议公告日，但本细则另有规定的除外。路演推介内容不得超出中国证监会和本所认可的公开信息披露范围，不得对股票二级市场交易价格作出预测。</w:t>
      </w:r>
    </w:p>
    <w:p w14:paraId="25125C0E">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第三十一条 </w:t>
      </w:r>
      <w:r>
        <w:rPr>
          <w:rFonts w:hint="eastAsia" w:eastAsia="仿宋_GB2312" w:cs="仿宋"/>
          <w:sz w:val="32"/>
          <w:szCs w:val="32"/>
        </w:rPr>
        <w:t>《再融资办法》所称“发行对象不超过三十五名”，是指认购并获得本次向特定对象发行证券的法人、自然人或者其他合法投资组织不超过35名。</w:t>
      </w:r>
    </w:p>
    <w:p w14:paraId="47E5170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证券投资基金管理公司、证券公司、理财公司、保险公司、合格境外机构投资者、人民币合格境外机构投资者以其管理的2只以上产品认购的，视为一个发行对象。</w:t>
      </w:r>
    </w:p>
    <w:p w14:paraId="3332B48A">
      <w:pPr>
        <w:adjustRightInd w:val="0"/>
        <w:snapToGrid w:val="0"/>
        <w:spacing w:line="560" w:lineRule="exact"/>
        <w:ind w:left="600"/>
        <w:rPr>
          <w:rFonts w:eastAsia="仿宋_GB2312" w:cs="仿宋"/>
          <w:sz w:val="32"/>
          <w:szCs w:val="32"/>
        </w:rPr>
      </w:pPr>
      <w:r>
        <w:rPr>
          <w:rFonts w:hint="eastAsia" w:eastAsia="仿宋_GB2312" w:cs="仿宋"/>
          <w:sz w:val="32"/>
          <w:szCs w:val="32"/>
        </w:rPr>
        <w:t>信托公司作为发行对象，只能以自有资金认购。</w:t>
      </w:r>
    </w:p>
    <w:p w14:paraId="481657E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第三十二条 </w:t>
      </w:r>
      <w:r>
        <w:rPr>
          <w:rFonts w:hint="eastAsia" w:eastAsia="仿宋_GB2312" w:cs="仿宋"/>
          <w:sz w:val="32"/>
          <w:szCs w:val="32"/>
        </w:rPr>
        <w:t>向特定对象发行证券采用竞价方式的，上市公司和主承销商的控股股东、实际控制人、董事、监事、高级管理人员及其控制或者施加重大影响的关联方不得参与竞价。</w:t>
      </w:r>
    </w:p>
    <w:p w14:paraId="318D59AD">
      <w:pPr>
        <w:adjustRightInd w:val="0"/>
        <w:snapToGrid w:val="0"/>
        <w:spacing w:line="560" w:lineRule="exact"/>
        <w:jc w:val="center"/>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第二节  适用一般程序的向特定对象发行股票</w:t>
      </w:r>
    </w:p>
    <w:p w14:paraId="26779F1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第三十三条 </w:t>
      </w:r>
      <w:r>
        <w:rPr>
          <w:rFonts w:hint="eastAsia" w:eastAsia="仿宋_GB2312" w:cs="仿宋"/>
          <w:sz w:val="32"/>
          <w:szCs w:val="32"/>
        </w:rPr>
        <w:t>上市公司向特定对象发行股票，董事会决议确定全部发行对象的，董事会决议中应当同时确定具体发行对象及其认购数量或金额、定价原则，并经股东会作出决议。</w:t>
      </w:r>
    </w:p>
    <w:p w14:paraId="08CF58C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上市公司和主承销商在取得中国证监会的予以注册决定后，应当按照股东会决议及认购合同的约定发行股票。</w:t>
      </w:r>
    </w:p>
    <w:p w14:paraId="676BBC4B">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第三十四条 </w:t>
      </w:r>
      <w:r>
        <w:rPr>
          <w:rFonts w:hint="eastAsia" w:eastAsia="仿宋_GB2312" w:cs="仿宋"/>
          <w:sz w:val="32"/>
          <w:szCs w:val="32"/>
        </w:rPr>
        <w:t>董事会决议确定部分发行对象的，上市公司和主承销商应当向符合条件的特定对象提供认购邀请书，并通过竞价方式确定发行价格和其他发行对象。股东会应当就上述事项作出决议。</w:t>
      </w:r>
    </w:p>
    <w:p w14:paraId="573D89D0">
      <w:pPr>
        <w:adjustRightInd w:val="0"/>
        <w:snapToGrid w:val="0"/>
        <w:spacing w:line="560" w:lineRule="exact"/>
        <w:ind w:firstLine="640" w:firstLineChars="200"/>
        <w:rPr>
          <w:rFonts w:hint="eastAsia" w:eastAsia="仿宋_GB2312" w:cs="仿宋"/>
          <w:sz w:val="32"/>
          <w:szCs w:val="32"/>
        </w:rPr>
      </w:pPr>
      <w:r>
        <w:rPr>
          <w:rFonts w:hint="eastAsia" w:eastAsia="仿宋_GB2312" w:cs="仿宋"/>
          <w:sz w:val="32"/>
          <w:szCs w:val="32"/>
        </w:rPr>
        <w:t>董事会决议确定的发行对象不得参与本次发行的竞价，且应当接受竞价结果</w:t>
      </w:r>
      <w:r>
        <w:rPr>
          <w:rFonts w:hint="eastAsia" w:eastAsia="仿宋_GB2312" w:cs="仿宋"/>
          <w:sz w:val="32"/>
          <w:szCs w:val="32"/>
          <w:lang w:eastAsia="zh-CN"/>
        </w:rPr>
        <w:t>。确定的发行对象应当明确拟认购的金额上限和下限、认购数量确定原则、定价原则</w:t>
      </w:r>
      <w:r>
        <w:rPr>
          <w:rFonts w:hint="eastAsia" w:eastAsia="仿宋_GB2312" w:cs="仿宋"/>
          <w:sz w:val="32"/>
          <w:szCs w:val="32"/>
        </w:rPr>
        <w:t>。</w:t>
      </w:r>
    </w:p>
    <w:p w14:paraId="63E83947">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第三十五条 </w:t>
      </w:r>
      <w:r>
        <w:rPr>
          <w:rFonts w:hint="eastAsia" w:eastAsia="仿宋_GB2312" w:cs="仿宋"/>
          <w:sz w:val="32"/>
          <w:szCs w:val="32"/>
        </w:rPr>
        <w:t>董事会决议确定具体发行对象的，上市公司应当在召开董事会的当日或者前一日与相应发行对象签订附生效条件的股份认购合同。</w:t>
      </w:r>
    </w:p>
    <w:p w14:paraId="1C2B49C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本条所述认购合同应当载明该发行对象拟认购股份的数量或数量</w:t>
      </w:r>
      <w:r>
        <w:rPr>
          <w:rFonts w:hint="eastAsia" w:eastAsia="仿宋_GB2312" w:cs="仿宋"/>
          <w:sz w:val="32"/>
          <w:szCs w:val="32"/>
          <w:lang w:eastAsia="zh-CN"/>
        </w:rPr>
        <w:t>确定原则、认购</w:t>
      </w:r>
      <w:r>
        <w:rPr>
          <w:rFonts w:hint="eastAsia" w:eastAsia="仿宋_GB2312" w:cs="仿宋"/>
          <w:sz w:val="32"/>
          <w:szCs w:val="32"/>
        </w:rPr>
        <w:t>金额或金额</w:t>
      </w:r>
      <w:r>
        <w:rPr>
          <w:rFonts w:hint="eastAsia" w:eastAsia="仿宋_GB2312" w:cs="仿宋"/>
          <w:sz w:val="32"/>
          <w:szCs w:val="32"/>
          <w:lang w:eastAsia="zh-CN"/>
        </w:rPr>
        <w:t>上下限</w:t>
      </w:r>
      <w:r>
        <w:rPr>
          <w:rFonts w:hint="eastAsia" w:eastAsia="仿宋_GB2312" w:cs="仿宋"/>
          <w:sz w:val="32"/>
          <w:szCs w:val="32"/>
        </w:rPr>
        <w:t>、定价原则、限售期及违约情形处置安排，同时约定本次发行经上市公司董事会、股东会批准并经中国证监会注册，该合同即应生效。</w:t>
      </w:r>
    </w:p>
    <w:p w14:paraId="573BC224">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第三十六条 </w:t>
      </w:r>
      <w:r>
        <w:rPr>
          <w:rFonts w:hint="eastAsia" w:eastAsia="仿宋_GB2312" w:cs="仿宋"/>
          <w:sz w:val="32"/>
          <w:szCs w:val="32"/>
        </w:rPr>
        <w:t>上市公司向特定对象发行股票，董事会决议未确定发行对象的，通过竞价方式确定发行价格和发行对象，董事会决议应当明确本次发行对象的范围、资格和依据，以及定价原则，并经股东会作出决议。</w:t>
      </w:r>
    </w:p>
    <w:p w14:paraId="3DF0289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第三十七条 </w:t>
      </w:r>
      <w:r>
        <w:rPr>
          <w:rFonts w:hint="eastAsia" w:eastAsia="仿宋_GB2312" w:cs="仿宋"/>
          <w:sz w:val="32"/>
          <w:szCs w:val="32"/>
        </w:rPr>
        <w:t>上市公司向特定对象发行股票董事会决议公告后，符合条件的特定对象可以向上市公司和主承销商提交认购意向书。</w:t>
      </w:r>
    </w:p>
    <w:p w14:paraId="50DF28BE">
      <w:pPr>
        <w:numPr>
          <w:ilvl w:val="0"/>
          <w:numId w:val="0"/>
        </w:numPr>
        <w:adjustRightInd w:val="0"/>
        <w:snapToGrid w:val="0"/>
        <w:spacing w:line="560" w:lineRule="exact"/>
        <w:ind w:left="0" w:leftChars="0" w:firstLine="643" w:firstLineChars="200"/>
        <w:rPr>
          <w:rFonts w:hint="eastAsia" w:eastAsia="仿宋_GB2312" w:cs="仿宋"/>
          <w:sz w:val="32"/>
          <w:szCs w:val="32"/>
          <w:highlight w:val="none"/>
        </w:rPr>
      </w:pPr>
      <w:r>
        <w:rPr>
          <w:rFonts w:hint="eastAsia" w:ascii="仿宋_GB2312" w:hAnsi="黑体" w:eastAsia="仿宋_GB2312" w:cs="仿宋"/>
          <w:b/>
          <w:bCs/>
          <w:i w:val="0"/>
          <w:kern w:val="2"/>
          <w:sz w:val="32"/>
          <w:szCs w:val="32"/>
          <w:highlight w:val="none"/>
          <w:lang w:val="en-US" w:eastAsia="zh-CN" w:bidi="ar-SA"/>
        </w:rPr>
        <w:t xml:space="preserve">第三十八条 </w:t>
      </w:r>
      <w:r>
        <w:rPr>
          <w:rFonts w:hint="eastAsia" w:eastAsia="仿宋_GB2312" w:cs="仿宋"/>
          <w:sz w:val="32"/>
          <w:szCs w:val="32"/>
          <w:highlight w:val="none"/>
        </w:rPr>
        <w:t>中国证监会作出予以注册决定后，由上市公司和主承销商在注册决定的有效期内选择发行时间。</w:t>
      </w:r>
    </w:p>
    <w:p w14:paraId="71FB0BE6">
      <w:pPr>
        <w:numPr>
          <w:ilvl w:val="0"/>
          <w:numId w:val="0"/>
        </w:numPr>
        <w:adjustRightInd w:val="0"/>
        <w:snapToGrid w:val="0"/>
        <w:spacing w:line="560" w:lineRule="exact"/>
        <w:ind w:left="0" w:leftChars="0" w:firstLine="640" w:firstLineChars="200"/>
        <w:rPr>
          <w:rFonts w:hint="eastAsia" w:eastAsia="仿宋_GB2312" w:cs="仿宋"/>
          <w:sz w:val="32"/>
          <w:szCs w:val="32"/>
          <w:highlight w:val="none"/>
          <w:lang w:eastAsia="zh-CN"/>
        </w:rPr>
      </w:pPr>
      <w:r>
        <w:rPr>
          <w:rFonts w:hint="eastAsia" w:eastAsia="仿宋_GB2312" w:cs="仿宋"/>
          <w:sz w:val="32"/>
          <w:szCs w:val="32"/>
          <w:lang w:val="en-US" w:eastAsia="zh-CN"/>
        </w:rPr>
        <w:t>上市公司向特定对象发行股票适用一次注册、分次发行</w:t>
      </w:r>
      <w:r>
        <w:rPr>
          <w:rFonts w:hint="eastAsia" w:eastAsia="仿宋_GB2312" w:cs="仿宋"/>
          <w:sz w:val="32"/>
          <w:szCs w:val="32"/>
          <w:highlight w:val="none"/>
          <w:lang w:eastAsia="zh-CN"/>
        </w:rPr>
        <w:t>的，应当在中国证监会作出予以注册决定后</w:t>
      </w:r>
      <w:r>
        <w:rPr>
          <w:rFonts w:hint="eastAsia" w:eastAsia="仿宋_GB2312" w:cs="仿宋"/>
          <w:sz w:val="32"/>
          <w:szCs w:val="32"/>
          <w:highlight w:val="none"/>
          <w:lang w:val="en-US" w:eastAsia="zh-CN"/>
        </w:rPr>
        <w:t>1年内实施首次发行，未在1年内实施首次发行的，后续不得发行。</w:t>
      </w:r>
    </w:p>
    <w:p w14:paraId="64B8F33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第三十九条 </w:t>
      </w:r>
      <w:r>
        <w:rPr>
          <w:rFonts w:hint="eastAsia" w:eastAsia="仿宋_GB2312" w:cs="仿宋"/>
          <w:sz w:val="32"/>
          <w:szCs w:val="32"/>
        </w:rPr>
        <w:t>在启动发行前，上市公司和主承销商应当及时向本所报备发行与承销方案，本所3个工作日内表示无异议的，上市公司和主承销商可以启动发行工作。上市公司根据《再融资办法》的规定自行销售的，由上市公司向本所报备发行与承销方案。</w:t>
      </w:r>
    </w:p>
    <w:p w14:paraId="5E038F87">
      <w:pPr>
        <w:adjustRightInd w:val="0"/>
        <w:snapToGrid w:val="0"/>
        <w:spacing w:line="560" w:lineRule="exact"/>
        <w:ind w:firstLine="640" w:firstLineChars="200"/>
        <w:rPr>
          <w:rFonts w:hint="eastAsia" w:eastAsia="仿宋_GB2312" w:cs="仿宋"/>
          <w:sz w:val="32"/>
          <w:szCs w:val="32"/>
        </w:rPr>
      </w:pPr>
      <w:r>
        <w:rPr>
          <w:rFonts w:hint="eastAsia" w:eastAsia="仿宋_GB2312" w:cs="仿宋"/>
          <w:sz w:val="32"/>
          <w:szCs w:val="32"/>
        </w:rPr>
        <w:t>向本所报备的发行与承销方案及认购邀请书，应当明确中止发行情形和相应处置安排，可以约定认购不足或者缴款不足时追加认购的操作程序、对象要求等。根据认购邀请书的约定启动追加认购的，应当在10个工作日内完成。</w:t>
      </w:r>
    </w:p>
    <w:p w14:paraId="6AD9B47D">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第四十条 </w:t>
      </w:r>
      <w:r>
        <w:rPr>
          <w:rFonts w:hint="eastAsia" w:eastAsia="仿宋_GB2312" w:cs="仿宋"/>
          <w:sz w:val="32"/>
          <w:szCs w:val="32"/>
        </w:rPr>
        <w:t>上市公司和主承销商应当按照公正、透明的原则，在认购邀请书中事先约定选择发行对象、收取认购保证金及符合条件的特定对象违约时保证金的处理方式、确定认购价格、分配认购数量等事项的操作规则，主承销商向符合条件的特定对象收取的认购保证金不得超过拟认购金额的20%。</w:t>
      </w:r>
    </w:p>
    <w:p w14:paraId="1B7EEED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第四十一条 </w:t>
      </w:r>
      <w:r>
        <w:rPr>
          <w:rFonts w:hint="eastAsia" w:eastAsia="仿宋_GB2312" w:cs="仿宋"/>
          <w:sz w:val="32"/>
          <w:szCs w:val="32"/>
        </w:rPr>
        <w:t>在发行期首日前一工作日，上市公司和主承销商可以向符合条件的特定对象提供认购邀请书。</w:t>
      </w:r>
    </w:p>
    <w:p w14:paraId="2355170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认购邀请书发送对象除应当包含董事会决议公告后已经提交认购意向书的投资者、公司前20名股东外，还应当包括下列投资者：</w:t>
      </w:r>
    </w:p>
    <w:p w14:paraId="3D8F5248">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（一）不少于20家证券投资基金管理公司；</w:t>
      </w:r>
    </w:p>
    <w:p w14:paraId="77E72575">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（二）不少于10家证券公司；</w:t>
      </w:r>
    </w:p>
    <w:p w14:paraId="623F729C">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（三）不少于5家保险机构投资者。</w:t>
      </w:r>
    </w:p>
    <w:p w14:paraId="20F4C3D7">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上述发送认购邀请书的对象应当同时符合本所相关规定。</w:t>
      </w:r>
    </w:p>
    <w:p w14:paraId="5FBCF792">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2B57B80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第四十二条 </w:t>
      </w:r>
      <w:r>
        <w:rPr>
          <w:rFonts w:hint="eastAsia" w:eastAsia="仿宋_GB2312" w:cs="仿宋"/>
          <w:sz w:val="32"/>
          <w:szCs w:val="32"/>
        </w:rPr>
        <w:t>认购邀请书发出后，上市公司和主承销商应当在认购邀请书约定的时间内收集符合条件的特定对象签署的申购报价表。</w:t>
      </w:r>
    </w:p>
    <w:p w14:paraId="15F29516">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在申购报价期间，上市公司和主承销商及相关人员应当确保不以任何方式泄露符合条件的特定对象申购报价情况，申购报价过程应当由发行人律师现场见证。</w:t>
      </w:r>
    </w:p>
    <w:p w14:paraId="3B8CB2D5">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无有效报价时，上市公司和主承销商可以中止发行。</w:t>
      </w:r>
    </w:p>
    <w:p w14:paraId="02010F5D">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第四十三条 </w:t>
      </w:r>
      <w:r>
        <w:rPr>
          <w:rFonts w:hint="eastAsia" w:eastAsia="仿宋_GB2312" w:cs="仿宋"/>
          <w:sz w:val="32"/>
          <w:szCs w:val="32"/>
        </w:rPr>
        <w:t>申购报价结束后，上市公司和主承销商应当对有效申购按照报价高低进行累计统计，按照价格优先及董事会决议确定的其他原则合理确定发行价格和发行对象。董事会决议确定的原则应当公平、公正，符合上市公司及其全体股东的利益。</w:t>
      </w:r>
    </w:p>
    <w:p w14:paraId="521EBB17">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第四十四条 </w:t>
      </w:r>
      <w:r>
        <w:rPr>
          <w:rFonts w:hint="eastAsia" w:eastAsia="仿宋_GB2312" w:cs="仿宋"/>
          <w:sz w:val="32"/>
          <w:szCs w:val="32"/>
        </w:rPr>
        <w:t>发行结果确定后，上市公司应当与发行对象签订正式股份认购合同，发行对象应当按照合同约定缴款。</w:t>
      </w:r>
    </w:p>
    <w:p w14:paraId="631AB92F">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发行对象的认购资金应当先划入主承销商为本次发行专门开立的账户，验资完毕后，扣除相关费用再划入上市公司募集资金专项存储账户。</w:t>
      </w:r>
    </w:p>
    <w:p w14:paraId="2C973415">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第四十五条 </w:t>
      </w:r>
      <w:r>
        <w:rPr>
          <w:rFonts w:hint="eastAsia" w:eastAsia="仿宋_GB2312" w:cs="仿宋"/>
          <w:sz w:val="32"/>
          <w:szCs w:val="32"/>
        </w:rPr>
        <w:t>上市公司和主承销商应当在本次发行验资完成后的3个工作日内，将股份认购合同、发行情况报告书、发行过程和认购对象合规性审核报告、专项法律意见书和验资报告等文件通过本所向中国证监会备案。</w:t>
      </w:r>
    </w:p>
    <w:p w14:paraId="725C832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发行情况报告书应当根据中国证监会关于信息披露内容与格式的相关规定编制。</w:t>
      </w:r>
    </w:p>
    <w:p w14:paraId="15BB7E25">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上市公司应当及时办理股份登记，登记完成后，上市公司向本所申请办理股份上市事宜。</w:t>
      </w:r>
    </w:p>
    <w:p w14:paraId="474512B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第四十六条 </w:t>
      </w:r>
      <w:r>
        <w:rPr>
          <w:rFonts w:hint="eastAsia" w:eastAsia="仿宋_GB2312" w:cs="仿宋"/>
          <w:sz w:val="32"/>
          <w:szCs w:val="32"/>
        </w:rPr>
        <w:t>主承销商关于本次发行过程和认购对象合规性的报告应当详细披露本次发行的全部过程，列示符合条件的特定对象申购报价情况及其获得配售的情况，并对发行结果是否公平、公正，是否符合向特定对象发行股票的有关规定发表意见。</w:t>
      </w:r>
    </w:p>
    <w:p w14:paraId="3425B328">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报价在发行价格之上的特定对象未获得配售或者被调减配售数量的，主承销商应当向该特定对象充分说明理由，并在报告书中说明情况。</w:t>
      </w:r>
    </w:p>
    <w:p w14:paraId="59DC83D0">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第四十七条 </w:t>
      </w:r>
      <w:r>
        <w:rPr>
          <w:rFonts w:hint="eastAsia" w:eastAsia="仿宋_GB2312" w:cs="仿宋"/>
          <w:sz w:val="32"/>
          <w:szCs w:val="32"/>
        </w:rPr>
        <w:t>发行人律师关于本次发行过程和认购对象合规性的专项法律意见书应当详细认证本次发行的全部过程，并对发行过程的合规性、发行结果是否公平、公正，是否符合向特定对象发行股票的有关规定发表明确意见。</w:t>
      </w:r>
    </w:p>
    <w:p w14:paraId="53D0D0B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发行人律师应当对认购邀请书、申购报价表、股份认购合同及其他有关法律文书进行见证，并在专项法律意见书中确认有关法律文书合法有效。</w:t>
      </w:r>
    </w:p>
    <w:p w14:paraId="2E1D25B9">
      <w:pPr>
        <w:numPr>
          <w:ilvl w:val="0"/>
          <w:numId w:val="0"/>
        </w:numPr>
        <w:adjustRightInd w:val="0"/>
        <w:snapToGrid w:val="0"/>
        <w:spacing w:line="560" w:lineRule="exact"/>
        <w:ind w:left="0" w:leftChars="0" w:firstLine="643" w:firstLineChars="200"/>
        <w:rPr>
          <w:rFonts w:hint="eastAsia"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第四十八条 </w:t>
      </w:r>
      <w:r>
        <w:rPr>
          <w:rFonts w:hint="eastAsia" w:eastAsia="仿宋_GB2312" w:cs="仿宋"/>
          <w:sz w:val="32"/>
          <w:szCs w:val="32"/>
        </w:rPr>
        <w:t>自行销售的，上市公司应当根据本细则</w:t>
      </w:r>
      <w:r>
        <w:rPr>
          <w:rFonts w:hint="eastAsia" w:eastAsia="仿宋_GB2312" w:cs="仿宋"/>
          <w:sz w:val="32"/>
          <w:szCs w:val="32"/>
          <w:lang w:eastAsia="zh-CN"/>
        </w:rPr>
        <w:t>第四十五条</w:t>
      </w:r>
      <w:r>
        <w:rPr>
          <w:rFonts w:hint="eastAsia" w:eastAsia="仿宋_GB2312" w:cs="仿宋"/>
          <w:sz w:val="32"/>
          <w:szCs w:val="32"/>
        </w:rPr>
        <w:t>的规定在验资完成后办理股份登记等事宜。</w:t>
      </w:r>
    </w:p>
    <w:p w14:paraId="7F27FF5F">
      <w:pPr>
        <w:numPr>
          <w:ilvl w:val="0"/>
          <w:numId w:val="0"/>
        </w:numPr>
        <w:adjustRightInd w:val="0"/>
        <w:snapToGrid w:val="0"/>
        <w:spacing w:line="560" w:lineRule="exact"/>
        <w:ind w:left="0" w:leftChars="0" w:firstLine="643" w:firstLineChars="200"/>
        <w:rPr>
          <w:rFonts w:hint="eastAsia"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第四十九条 </w:t>
      </w:r>
      <w:r>
        <w:rPr>
          <w:rFonts w:hint="eastAsia" w:eastAsia="仿宋_GB2312" w:cs="仿宋"/>
          <w:sz w:val="32"/>
          <w:szCs w:val="32"/>
          <w:lang w:val="en-US" w:eastAsia="zh-CN"/>
        </w:rPr>
        <w:t>上市公司向特定对象发行股票适用一次注册、分次发行</w:t>
      </w:r>
      <w:r>
        <w:rPr>
          <w:rFonts w:hint="eastAsia" w:eastAsia="仿宋_GB2312" w:cs="仿宋"/>
          <w:sz w:val="32"/>
          <w:szCs w:val="32"/>
          <w:highlight w:val="none"/>
          <w:lang w:eastAsia="zh-CN"/>
        </w:rPr>
        <w:t>的，各次发行程序应当符合本细则关于上市公司向特定对象发行股票的相关规定。</w:t>
      </w:r>
    </w:p>
    <w:p w14:paraId="5D7650EB">
      <w:pPr>
        <w:adjustRightInd w:val="0"/>
        <w:snapToGrid w:val="0"/>
        <w:spacing w:line="560" w:lineRule="exact"/>
        <w:jc w:val="center"/>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第三节  适用简易程序的向特定对象发行股票</w:t>
      </w:r>
    </w:p>
    <w:p w14:paraId="2914D6E5">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第五十条 </w:t>
      </w:r>
      <w:r>
        <w:rPr>
          <w:rFonts w:hint="eastAsia" w:eastAsia="仿宋_GB2312" w:cs="仿宋"/>
          <w:sz w:val="32"/>
          <w:szCs w:val="32"/>
        </w:rPr>
        <w:t>适用简易程序的，上市公司和主承销商可以在股东会后，按照本细则</w:t>
      </w:r>
      <w:r>
        <w:rPr>
          <w:rFonts w:hint="eastAsia" w:eastAsia="仿宋_GB2312" w:cs="仿宋"/>
          <w:sz w:val="32"/>
          <w:szCs w:val="32"/>
          <w:lang w:eastAsia="zh-CN"/>
        </w:rPr>
        <w:t>第三十条</w:t>
      </w:r>
      <w:r>
        <w:rPr>
          <w:rFonts w:hint="eastAsia" w:eastAsia="仿宋_GB2312" w:cs="仿宋"/>
          <w:sz w:val="32"/>
          <w:szCs w:val="32"/>
        </w:rPr>
        <w:t>的规定向符合条件的投资者进行路演推介。</w:t>
      </w:r>
    </w:p>
    <w:p w14:paraId="68A0FCFF">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第五十一条 </w:t>
      </w:r>
      <w:r>
        <w:rPr>
          <w:rFonts w:hint="eastAsia" w:eastAsia="仿宋_GB2312" w:cs="仿宋"/>
          <w:sz w:val="32"/>
          <w:szCs w:val="32"/>
        </w:rPr>
        <w:t>适用简易程序的，上市公司和主承销商应当以竞价方式确定发行价格和发行对象。</w:t>
      </w:r>
    </w:p>
    <w:p w14:paraId="11D203B2">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第五十二条 </w:t>
      </w:r>
      <w:r>
        <w:rPr>
          <w:rFonts w:hint="eastAsia" w:eastAsia="仿宋_GB2312" w:cs="仿宋"/>
          <w:sz w:val="32"/>
          <w:szCs w:val="32"/>
        </w:rPr>
        <w:t>上市公司向特定对象发行股票股东会决议公告后，符合条件的特定对象可以向上市公司和主承销商提交认购意向书。</w:t>
      </w:r>
    </w:p>
    <w:p w14:paraId="7E3F1168">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第五十三条 </w:t>
      </w:r>
      <w:r>
        <w:rPr>
          <w:rFonts w:hint="eastAsia" w:eastAsia="仿宋_GB2312" w:cs="仿宋"/>
          <w:sz w:val="32"/>
          <w:szCs w:val="32"/>
        </w:rPr>
        <w:t>在发行期首日前一工作日，上市公司和主承销商可以向符合条件的特定对象提供认购邀请书。认购邀请书发送对象包含已经提交认购意向书的投资者，以及符合本细则</w:t>
      </w:r>
      <w:r>
        <w:rPr>
          <w:rFonts w:hint="eastAsia" w:eastAsia="仿宋_GB2312" w:cs="仿宋"/>
          <w:sz w:val="32"/>
          <w:szCs w:val="32"/>
          <w:lang w:eastAsia="zh-CN"/>
        </w:rPr>
        <w:t>第四十一条</w:t>
      </w:r>
      <w:r>
        <w:rPr>
          <w:rFonts w:hint="eastAsia" w:eastAsia="仿宋_GB2312" w:cs="仿宋"/>
          <w:sz w:val="32"/>
          <w:szCs w:val="32"/>
        </w:rPr>
        <w:t>规定的其他投资者。</w:t>
      </w:r>
    </w:p>
    <w:p w14:paraId="0029858E">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上市公司和主承销商提供的认购邀请书应当符合本细则</w:t>
      </w:r>
      <w:r>
        <w:rPr>
          <w:rFonts w:hint="eastAsia" w:eastAsia="仿宋_GB2312" w:cs="仿宋"/>
          <w:sz w:val="32"/>
          <w:szCs w:val="32"/>
          <w:lang w:eastAsia="zh-CN"/>
        </w:rPr>
        <w:t>第三十九条</w:t>
      </w:r>
      <w:r>
        <w:rPr>
          <w:rFonts w:hint="eastAsia" w:eastAsia="仿宋_GB2312" w:cs="仿宋"/>
          <w:sz w:val="32"/>
          <w:szCs w:val="32"/>
        </w:rPr>
        <w:t>第二款和</w:t>
      </w:r>
      <w:r>
        <w:rPr>
          <w:rFonts w:hint="eastAsia" w:eastAsia="仿宋_GB2312" w:cs="仿宋"/>
          <w:sz w:val="32"/>
          <w:szCs w:val="32"/>
          <w:lang w:eastAsia="zh-CN"/>
        </w:rPr>
        <w:t>第四十条</w:t>
      </w:r>
      <w:r>
        <w:rPr>
          <w:rFonts w:hint="eastAsia" w:eastAsia="仿宋_GB2312" w:cs="仿宋"/>
          <w:sz w:val="32"/>
          <w:szCs w:val="32"/>
        </w:rPr>
        <w:t>的规定。</w:t>
      </w:r>
    </w:p>
    <w:p w14:paraId="256D29C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上市公司和主承销商应当根据本条规定及认购邀请书中事先约定的原则，协商确定发送认购邀请书的对象。</w:t>
      </w:r>
    </w:p>
    <w:p w14:paraId="66DEECA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第五十四条 </w:t>
      </w:r>
      <w:r>
        <w:rPr>
          <w:rFonts w:hint="eastAsia" w:eastAsia="仿宋_GB2312" w:cs="仿宋"/>
          <w:sz w:val="32"/>
          <w:szCs w:val="32"/>
        </w:rPr>
        <w:t>认购邀请书发出后，上市公司和主承销商应当根据本细则</w:t>
      </w:r>
      <w:r>
        <w:rPr>
          <w:rFonts w:hint="eastAsia" w:eastAsia="仿宋_GB2312" w:cs="仿宋"/>
          <w:sz w:val="32"/>
          <w:szCs w:val="32"/>
          <w:lang w:eastAsia="zh-CN"/>
        </w:rPr>
        <w:t>第四十二条</w:t>
      </w:r>
      <w:r>
        <w:rPr>
          <w:rFonts w:hint="eastAsia" w:eastAsia="仿宋_GB2312" w:cs="仿宋"/>
          <w:sz w:val="32"/>
          <w:szCs w:val="32"/>
        </w:rPr>
        <w:t>和</w:t>
      </w:r>
      <w:r>
        <w:rPr>
          <w:rFonts w:hint="eastAsia" w:eastAsia="仿宋_GB2312" w:cs="仿宋"/>
          <w:sz w:val="32"/>
          <w:szCs w:val="32"/>
          <w:lang w:eastAsia="zh-CN"/>
        </w:rPr>
        <w:t>第四十三条</w:t>
      </w:r>
      <w:r>
        <w:rPr>
          <w:rFonts w:hint="eastAsia" w:eastAsia="仿宋_GB2312" w:cs="仿宋"/>
          <w:sz w:val="32"/>
          <w:szCs w:val="32"/>
        </w:rPr>
        <w:t>的规定确定发行价格和发行对象。</w:t>
      </w:r>
    </w:p>
    <w:p w14:paraId="6670F7F0">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上市公司与发行对象应当及时签订附生效条件的股份认购合同。认购合同应当约定，本次竞价结果等发行事项经股东会授权的董事会批准并经中国证监会注册，该合同即应生效。认购合同签订后3个工作日内，经股东会授权的董事会应当对竞价结果等发行事项作出决议。</w:t>
      </w:r>
    </w:p>
    <w:p w14:paraId="1A2EF74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第五十五条 </w:t>
      </w:r>
      <w:r>
        <w:rPr>
          <w:rFonts w:hint="eastAsia" w:eastAsia="仿宋_GB2312" w:cs="仿宋"/>
          <w:sz w:val="32"/>
          <w:szCs w:val="32"/>
        </w:rPr>
        <w:t>适用简易程序的，上市公司和主承销商应当在取得中国证监会的予以注册决定后2个工作日内向本所提交发行与承销方案等文件，10个工作日内完成发行缴款。</w:t>
      </w:r>
    </w:p>
    <w:p w14:paraId="5D61CD14">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第五十六条 </w:t>
      </w:r>
      <w:r>
        <w:rPr>
          <w:rFonts w:hint="eastAsia" w:eastAsia="仿宋_GB2312" w:cs="仿宋"/>
          <w:sz w:val="32"/>
          <w:szCs w:val="32"/>
        </w:rPr>
        <w:t>适用简易程序的，上市公司应当根据本细则</w:t>
      </w:r>
      <w:r>
        <w:rPr>
          <w:rFonts w:hint="eastAsia" w:eastAsia="仿宋_GB2312" w:cs="仿宋"/>
          <w:sz w:val="32"/>
          <w:szCs w:val="32"/>
          <w:lang w:eastAsia="zh-CN"/>
        </w:rPr>
        <w:t>第四十五条</w:t>
      </w:r>
      <w:r>
        <w:rPr>
          <w:rFonts w:hint="eastAsia" w:eastAsia="仿宋_GB2312" w:cs="仿宋"/>
          <w:sz w:val="32"/>
          <w:szCs w:val="32"/>
        </w:rPr>
        <w:t>至</w:t>
      </w:r>
      <w:r>
        <w:rPr>
          <w:rFonts w:hint="eastAsia" w:eastAsia="仿宋_GB2312" w:cs="仿宋"/>
          <w:sz w:val="32"/>
          <w:szCs w:val="32"/>
          <w:lang w:eastAsia="zh-CN"/>
        </w:rPr>
        <w:t>第四十七条</w:t>
      </w:r>
      <w:r>
        <w:rPr>
          <w:rFonts w:hint="eastAsia" w:eastAsia="仿宋_GB2312" w:cs="仿宋"/>
          <w:sz w:val="32"/>
          <w:szCs w:val="32"/>
        </w:rPr>
        <w:t>的规定在验资完成后办理股份登记等事宜。</w:t>
      </w:r>
    </w:p>
    <w:p w14:paraId="523DCD56">
      <w:pPr>
        <w:adjustRightInd w:val="0"/>
        <w:snapToGrid w:val="0"/>
        <w:spacing w:line="560" w:lineRule="exact"/>
        <w:jc w:val="center"/>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第四节  向特定对象发行可转换公司债券</w:t>
      </w:r>
    </w:p>
    <w:p w14:paraId="42AE99E5">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第五十七条 </w:t>
      </w:r>
      <w:r>
        <w:rPr>
          <w:rFonts w:hint="eastAsia" w:eastAsia="仿宋_GB2312" w:cs="仿宋"/>
          <w:sz w:val="32"/>
          <w:szCs w:val="32"/>
        </w:rPr>
        <w:t>上市公司向特定对象发行可转债的，应当采用竞价方式确定利率和发行对象。董事会决议应当确定本次发行对象的范围、资格和依据，以及转股价格、利率确定原则，并经股东会作出决议。</w:t>
      </w:r>
    </w:p>
    <w:p w14:paraId="71FD58F9">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第五十八条 </w:t>
      </w:r>
      <w:r>
        <w:rPr>
          <w:rFonts w:hint="eastAsia" w:eastAsia="仿宋_GB2312" w:cs="仿宋"/>
          <w:sz w:val="32"/>
          <w:szCs w:val="32"/>
        </w:rPr>
        <w:t>上市公司向特定对象发行可转债的，符合条件的特定对象可以根据本细则</w:t>
      </w:r>
      <w:r>
        <w:rPr>
          <w:rFonts w:hint="eastAsia" w:eastAsia="仿宋_GB2312" w:cs="仿宋"/>
          <w:sz w:val="32"/>
          <w:szCs w:val="32"/>
          <w:lang w:eastAsia="zh-CN"/>
        </w:rPr>
        <w:t>第三十七条</w:t>
      </w:r>
      <w:r>
        <w:rPr>
          <w:rFonts w:hint="eastAsia" w:eastAsia="仿宋_GB2312" w:cs="仿宋"/>
          <w:sz w:val="32"/>
          <w:szCs w:val="32"/>
        </w:rPr>
        <w:t>的规定提交认购意向书。</w:t>
      </w:r>
    </w:p>
    <w:p w14:paraId="389DA5BB">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中国证监会作出予以注册决定后，上市公司和主承销商根据本细则</w:t>
      </w:r>
      <w:r>
        <w:rPr>
          <w:rFonts w:hint="eastAsia" w:eastAsia="仿宋_GB2312" w:cs="仿宋"/>
          <w:sz w:val="32"/>
          <w:szCs w:val="32"/>
          <w:lang w:eastAsia="zh-CN"/>
        </w:rPr>
        <w:t>第三十八条</w:t>
      </w:r>
      <w:r>
        <w:rPr>
          <w:rFonts w:hint="eastAsia" w:eastAsia="仿宋_GB2312" w:cs="仿宋"/>
          <w:sz w:val="32"/>
          <w:szCs w:val="32"/>
        </w:rPr>
        <w:t>和</w:t>
      </w:r>
      <w:r>
        <w:rPr>
          <w:rFonts w:hint="eastAsia" w:eastAsia="仿宋_GB2312" w:cs="仿宋"/>
          <w:sz w:val="32"/>
          <w:szCs w:val="32"/>
          <w:lang w:eastAsia="zh-CN"/>
        </w:rPr>
        <w:t>第三十九条</w:t>
      </w:r>
      <w:r>
        <w:rPr>
          <w:rFonts w:hint="eastAsia" w:eastAsia="仿宋_GB2312" w:cs="仿宋"/>
          <w:sz w:val="32"/>
          <w:szCs w:val="32"/>
        </w:rPr>
        <w:t>的规定选择发行时间、向本所报备发行与承销方案及认购邀请书并启动发行工作。</w:t>
      </w:r>
    </w:p>
    <w:p w14:paraId="4255DAD6">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第五十九条 </w:t>
      </w:r>
      <w:r>
        <w:rPr>
          <w:rFonts w:hint="eastAsia" w:eastAsia="仿宋_GB2312" w:cs="仿宋"/>
          <w:sz w:val="32"/>
          <w:szCs w:val="32"/>
        </w:rPr>
        <w:t>向特定对象发行可转债的，上市公司和主承销商应当按照公正、透明的原则，在认购邀请书中事先约定选择发行对象、收取认购保证金及投资者违约时保证金的处理方式、转股价格、确定利率、分配认购数量等事项的操作规则，主承销商可以向符合条件的特定对象</w:t>
      </w:r>
      <w:r>
        <w:rPr>
          <w:rFonts w:hint="eastAsia" w:eastAsia="仿宋_GB2312"/>
          <w:sz w:val="32"/>
          <w:szCs w:val="32"/>
        </w:rPr>
        <w:t>收取不超过拟申购金额20%的保证金。</w:t>
      </w:r>
    </w:p>
    <w:p w14:paraId="700EC716">
      <w:pPr>
        <w:adjustRightInd w:val="0"/>
        <w:snapToGrid w:val="0"/>
        <w:spacing w:line="560" w:lineRule="exact"/>
        <w:ind w:firstLine="640" w:firstLineChars="200"/>
        <w:rPr>
          <w:rFonts w:eastAsia="仿宋_GB2312" w:cs="仿宋"/>
          <w:sz w:val="32"/>
          <w:szCs w:val="32"/>
        </w:rPr>
      </w:pPr>
      <w:r>
        <w:rPr>
          <w:rFonts w:hint="eastAsia" w:eastAsia="仿宋_GB2312"/>
          <w:sz w:val="32"/>
          <w:szCs w:val="32"/>
        </w:rPr>
        <w:t>上市公司和主承销商根据本细则</w:t>
      </w:r>
      <w:r>
        <w:rPr>
          <w:rFonts w:hint="eastAsia" w:eastAsia="仿宋_GB2312"/>
          <w:sz w:val="32"/>
          <w:szCs w:val="32"/>
          <w:lang w:eastAsia="zh-CN"/>
        </w:rPr>
        <w:t>第四十一条</w:t>
      </w:r>
      <w:r>
        <w:rPr>
          <w:rFonts w:hint="eastAsia" w:eastAsia="仿宋_GB2312"/>
          <w:sz w:val="32"/>
          <w:szCs w:val="32"/>
        </w:rPr>
        <w:t>的规定向符合条件的特定对象提供认购邀请书。</w:t>
      </w:r>
    </w:p>
    <w:p w14:paraId="0CCE136B">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第六十条 </w:t>
      </w:r>
      <w:r>
        <w:rPr>
          <w:rFonts w:hint="eastAsia" w:eastAsia="仿宋_GB2312" w:cs="仿宋"/>
          <w:sz w:val="32"/>
          <w:szCs w:val="32"/>
        </w:rPr>
        <w:t>上市公司向特定对象发行可转债的，认购邀请书发出后，申购报价应当符合本细则</w:t>
      </w:r>
      <w:r>
        <w:rPr>
          <w:rFonts w:hint="eastAsia" w:eastAsia="仿宋_GB2312" w:cs="仿宋"/>
          <w:sz w:val="32"/>
          <w:szCs w:val="32"/>
          <w:lang w:eastAsia="zh-CN"/>
        </w:rPr>
        <w:t>第四十二条</w:t>
      </w:r>
      <w:r>
        <w:rPr>
          <w:rFonts w:hint="eastAsia" w:eastAsia="仿宋_GB2312" w:cs="仿宋"/>
          <w:sz w:val="32"/>
          <w:szCs w:val="32"/>
        </w:rPr>
        <w:t>的规定。</w:t>
      </w:r>
    </w:p>
    <w:p w14:paraId="09EB23E6">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申购报价结束后，上市公司和主承销商应当对有效申购按照利率由低到高进行累计统计，按照利率优先及董事会决议确定的其他原则合理确定利率和发行对象。董事会决议确定的原则应当公平、公正，符合上市公司及其全体股东的利益。上市公司和主承销商可以根据本细则</w:t>
      </w:r>
      <w:r>
        <w:rPr>
          <w:rFonts w:hint="eastAsia" w:eastAsia="仿宋_GB2312" w:cs="仿宋"/>
          <w:sz w:val="32"/>
          <w:szCs w:val="32"/>
          <w:lang w:eastAsia="zh-CN"/>
        </w:rPr>
        <w:t>第三十九条</w:t>
      </w:r>
      <w:r>
        <w:rPr>
          <w:rFonts w:hint="eastAsia" w:eastAsia="仿宋_GB2312" w:cs="仿宋"/>
          <w:sz w:val="32"/>
          <w:szCs w:val="32"/>
        </w:rPr>
        <w:t>第二款的规定事先约定追加认购安排。</w:t>
      </w:r>
    </w:p>
    <w:p w14:paraId="1FDFB455">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发行结果确定后，上市公司应参照本细则</w:t>
      </w:r>
      <w:r>
        <w:rPr>
          <w:rFonts w:hint="eastAsia" w:eastAsia="仿宋_GB2312" w:cs="仿宋"/>
          <w:sz w:val="32"/>
          <w:szCs w:val="32"/>
          <w:lang w:eastAsia="zh-CN"/>
        </w:rPr>
        <w:t>第四十四条</w:t>
      </w:r>
      <w:r>
        <w:rPr>
          <w:rFonts w:hint="eastAsia" w:eastAsia="仿宋_GB2312" w:cs="仿宋"/>
          <w:sz w:val="32"/>
          <w:szCs w:val="32"/>
        </w:rPr>
        <w:t>至</w:t>
      </w:r>
      <w:r>
        <w:rPr>
          <w:rFonts w:hint="eastAsia" w:eastAsia="仿宋_GB2312" w:cs="仿宋"/>
          <w:sz w:val="32"/>
          <w:szCs w:val="32"/>
          <w:lang w:eastAsia="zh-CN"/>
        </w:rPr>
        <w:t>第四十七条</w:t>
      </w:r>
      <w:r>
        <w:rPr>
          <w:rFonts w:hint="eastAsia" w:eastAsia="仿宋_GB2312" w:cs="仿宋"/>
          <w:sz w:val="32"/>
          <w:szCs w:val="32"/>
        </w:rPr>
        <w:t>的规定验资并办理登记等事宜。</w:t>
      </w:r>
    </w:p>
    <w:p w14:paraId="59553B54">
      <w:pPr>
        <w:adjustRightInd w:val="0"/>
        <w:snapToGrid w:val="0"/>
        <w:spacing w:line="560" w:lineRule="exact"/>
        <w:jc w:val="center"/>
        <w:rPr>
          <w:rFonts w:ascii="黑体" w:hAnsi="黑体" w:eastAsia="黑体" w:cs="黑体"/>
          <w:b w:val="0"/>
          <w:bCs w:val="0"/>
          <w:sz w:val="32"/>
          <w:szCs w:val="32"/>
        </w:rPr>
      </w:pPr>
      <w:r>
        <w:rPr>
          <w:rFonts w:hint="eastAsia" w:ascii="黑体" w:hAnsi="黑体" w:eastAsia="黑体" w:cs="黑体"/>
          <w:b w:val="0"/>
          <w:bCs w:val="0"/>
          <w:sz w:val="32"/>
          <w:szCs w:val="32"/>
        </w:rPr>
        <w:t>第四章  其他事项</w:t>
      </w:r>
    </w:p>
    <w:p w14:paraId="0160C5A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第六十一条 </w:t>
      </w:r>
      <w:r>
        <w:rPr>
          <w:rFonts w:hint="eastAsia" w:eastAsia="仿宋_GB2312" w:cs="仿宋"/>
          <w:sz w:val="32"/>
          <w:szCs w:val="32"/>
        </w:rPr>
        <w:t>参与认购科创板上市公司发行证券的投资者，应当符合科创板股票投资者适当性管理要求。</w:t>
      </w:r>
    </w:p>
    <w:p w14:paraId="7D8A801A">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第六十二条 </w:t>
      </w:r>
      <w:r>
        <w:rPr>
          <w:rFonts w:hint="eastAsia" w:eastAsia="仿宋_GB2312" w:cs="仿宋"/>
          <w:sz w:val="32"/>
          <w:szCs w:val="32"/>
        </w:rPr>
        <w:t>上市公司发行前特定期间股票均价计算公式为：特定期间股票交易均价=特定期间内股票交易总额/特定期间内股票交易总量。</w:t>
      </w:r>
    </w:p>
    <w:p w14:paraId="2875B0F4">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第六十三条 </w:t>
      </w:r>
      <w:r>
        <w:rPr>
          <w:rFonts w:hint="eastAsia" w:eastAsia="仿宋_GB2312" w:cs="仿宋"/>
          <w:sz w:val="32"/>
          <w:szCs w:val="32"/>
        </w:rPr>
        <w:t>主承销商应当按有关规定及时划付申购资金冻结利息。</w:t>
      </w:r>
    </w:p>
    <w:p w14:paraId="349DB783">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第六十四条 </w:t>
      </w:r>
      <w:r>
        <w:rPr>
          <w:rFonts w:hint="eastAsia" w:eastAsia="仿宋_GB2312" w:cs="仿宋"/>
          <w:sz w:val="32"/>
          <w:szCs w:val="32"/>
        </w:rPr>
        <w:t>除《承销办法》和本细则规定的中止发行情形外，上市公司和主承销商可以在发行与承销方案中约定中止发行的其他具体情形。主承销商和发行人律师应当说明约定中止发行的理由、必要性，并对约定的中止发行情形是否合理、合规、公平、公正发表明确意见。</w:t>
      </w:r>
    </w:p>
    <w:p w14:paraId="5039EB3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中止发行后，在注册有效期内符合《再融资办法》等规定的发行条件且未发生可能影响本次发行的重大事项的，经向本所备案可以重新启动发行。主承销商和发行人律师应当对中止发行是否符合约定、合理、合规、公平、公正发表明确意见。</w:t>
      </w:r>
    </w:p>
    <w:p w14:paraId="33FF2A12">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第六十五条 </w:t>
      </w:r>
      <w:r>
        <w:rPr>
          <w:rFonts w:hint="eastAsia" w:eastAsia="仿宋_GB2312" w:cs="仿宋"/>
          <w:sz w:val="32"/>
          <w:szCs w:val="32"/>
        </w:rPr>
        <w:t>中国证监会作出予以注册决定后，上市公司发生影响证券发行或投资者判断重大事项的，在满足会后事项监管要求的前提下，经向本所备案，方可启动发行。</w:t>
      </w:r>
    </w:p>
    <w:p w14:paraId="5F755057">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第六十六条 </w:t>
      </w:r>
      <w:r>
        <w:rPr>
          <w:rFonts w:hint="eastAsia" w:eastAsia="仿宋_GB2312" w:cs="仿宋"/>
          <w:sz w:val="32"/>
          <w:szCs w:val="32"/>
        </w:rPr>
        <w:t>上市公司及其控股股东和实际控制人、证券公司、证券服务机构、参与本次发行的投资者及相关人员等出现以下情形的，本所可以对其按照《上海证券交易所</w:t>
      </w:r>
      <w:r>
        <w:rPr>
          <w:rFonts w:eastAsia="仿宋_GB2312" w:cs="仿宋"/>
          <w:sz w:val="32"/>
          <w:szCs w:val="32"/>
        </w:rPr>
        <w:t>首次公开发行证券发行与承销业务实施细则</w:t>
      </w:r>
      <w:r>
        <w:rPr>
          <w:rFonts w:hint="eastAsia" w:eastAsia="仿宋_GB2312" w:cs="仿宋"/>
          <w:sz w:val="32"/>
          <w:szCs w:val="32"/>
        </w:rPr>
        <w:t>》的规定实施日常监管、采取监管措施和纪律处分，并向中国证监会报告：</w:t>
      </w:r>
    </w:p>
    <w:p w14:paraId="00D81511">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（一）证券公司承销擅自公开发行或者变相公开发行的证券；</w:t>
      </w:r>
    </w:p>
    <w:p w14:paraId="754CAF6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（二）在证券发行过程中违反本细则规定，进行合谋报价、利益输送或者谋取不正当利益；</w:t>
      </w:r>
    </w:p>
    <w:p w14:paraId="18C035F7">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（三）违反《承销办法》《再融资办法》和本细则等规定，向不符合要求的投资者进行竞价、配售；</w:t>
      </w:r>
    </w:p>
    <w:p w14:paraId="62CB305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（四）上市公司、承销商、证券服务机构等未按规定及时编制、报备或披露证券发行承销相关文件，或者所报备、披露信息不真实、不准确、不完整，存在虚假记载、误导性陈述或者重大遗漏；</w:t>
      </w:r>
    </w:p>
    <w:p w14:paraId="7E74C77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（五）未及时向本所报备发行与承销方案，或者本所提出异议后仍然按原方案启动发行工作；</w:t>
      </w:r>
    </w:p>
    <w:p w14:paraId="1FD8DE09">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（六）根据《承销办法》和本细则等规定，应当暂停或中止发行而不暂停或中止发行；</w:t>
      </w:r>
    </w:p>
    <w:p w14:paraId="0AAA73A3">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（七）参与证券发行的投资者违反其作出的限售期以及其他相关承诺；</w:t>
      </w:r>
    </w:p>
    <w:p w14:paraId="4FBFFBD2">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（八）承销商违反规定向上市公司、投资者不当收取费用；</w:t>
      </w:r>
    </w:p>
    <w:p w14:paraId="74C68695">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（九）上市公司、承销商、证券服务机构未按照本细则和向本所报备的发行与承销方案等文件开展业务，或者未按规定在业务系统及时、准确录入有关信息对证券发行造成不利影响的；</w:t>
      </w:r>
    </w:p>
    <w:p w14:paraId="04146AED">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（十）违反本细则的其他情形。</w:t>
      </w:r>
    </w:p>
    <w:p w14:paraId="04140C44">
      <w:pPr>
        <w:adjustRightInd w:val="0"/>
        <w:snapToGrid w:val="0"/>
        <w:spacing w:line="560" w:lineRule="exact"/>
        <w:ind w:firstLine="640" w:firstLineChars="200"/>
        <w:rPr>
          <w:rFonts w:eastAsia="仿宋_GB2312" w:cs="仿宋"/>
          <w:sz w:val="32"/>
          <w:szCs w:val="32"/>
        </w:rPr>
      </w:pPr>
      <w:r>
        <w:rPr>
          <w:rFonts w:hint="eastAsia" w:eastAsia="仿宋_GB2312" w:cs="仿宋"/>
          <w:sz w:val="32"/>
          <w:szCs w:val="32"/>
        </w:rPr>
        <w:t>发行承销涉嫌违法违规或存在异常情形的，本所可以要求上市公司和承销商暂停或中止发行，对相关事项进行查处，并向中国证监会报告。参与认购的投资者擅自转让限售期限未满的证券，情节严重的，十二个月内不得作为特定对象认购证券。</w:t>
      </w:r>
    </w:p>
    <w:p w14:paraId="29CE63BC">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第六十七条 </w:t>
      </w:r>
      <w:r>
        <w:rPr>
          <w:rFonts w:hint="eastAsia" w:eastAsia="仿宋_GB2312" w:cs="仿宋"/>
          <w:sz w:val="32"/>
          <w:szCs w:val="32"/>
        </w:rPr>
        <w:t>上市公司适用简易程序向特定对象发行股票的，本所发现上市公司及其控股股东和实际控制人、证券公司、证券服务机构、参与本次发行的投资者及相关人员等存在相关违法违规行为的，可以根据本细则</w:t>
      </w:r>
      <w:r>
        <w:rPr>
          <w:rFonts w:hint="eastAsia" w:eastAsia="仿宋_GB2312" w:cs="仿宋"/>
          <w:sz w:val="32"/>
          <w:szCs w:val="32"/>
          <w:lang w:eastAsia="zh-CN"/>
        </w:rPr>
        <w:t>第六十六条</w:t>
      </w:r>
      <w:r>
        <w:rPr>
          <w:rFonts w:hint="eastAsia" w:eastAsia="仿宋_GB2312" w:cs="仿宋"/>
          <w:sz w:val="32"/>
          <w:szCs w:val="32"/>
        </w:rPr>
        <w:t>的规定从重处罚并向中国证监会报告。</w:t>
      </w:r>
    </w:p>
    <w:p w14:paraId="408D8742">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第六十八条 </w:t>
      </w:r>
      <w:r>
        <w:rPr>
          <w:rFonts w:hint="eastAsia" w:eastAsia="仿宋_GB2312" w:cs="仿宋"/>
          <w:sz w:val="32"/>
          <w:szCs w:val="32"/>
        </w:rPr>
        <w:t>上市公司及其控股股东和实际控制人、证券公司、证券服务机构、投资者及其直接负责的主管人员和其他直接责任人员被其他证券交易所采取暂不接受文件、认定为不适当人选等自律监管措施和纪律处分的，本所按照业务规则，在相应期限内不接受其提交或者签字的相关文件，或者认为其不适合担任证券发行人董事、高级管理人员。</w:t>
      </w:r>
    </w:p>
    <w:p w14:paraId="064C5D62">
      <w:pPr>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第六十九条 </w:t>
      </w:r>
      <w:r>
        <w:rPr>
          <w:rFonts w:hint="eastAsia" w:eastAsia="仿宋_GB2312" w:cs="仿宋"/>
          <w:sz w:val="32"/>
          <w:szCs w:val="32"/>
        </w:rPr>
        <w:t>股票公开发行自律委员会可以对本所上市公司证券发行和承销事宜提供咨询意见。</w:t>
      </w:r>
    </w:p>
    <w:p w14:paraId="06377FC5">
      <w:pPr>
        <w:adjustRightInd w:val="0"/>
        <w:snapToGrid w:val="0"/>
        <w:spacing w:line="560" w:lineRule="exact"/>
        <w:jc w:val="center"/>
        <w:rPr>
          <w:rFonts w:ascii="黑体" w:hAnsi="黑体" w:eastAsia="黑体" w:cs="黑体"/>
          <w:b w:val="0"/>
          <w:bCs w:val="0"/>
          <w:sz w:val="32"/>
          <w:szCs w:val="32"/>
        </w:rPr>
      </w:pPr>
      <w:r>
        <w:rPr>
          <w:rFonts w:hint="eastAsia" w:ascii="黑体" w:hAnsi="黑体" w:eastAsia="黑体" w:cs="黑体"/>
          <w:b w:val="0"/>
          <w:bCs w:val="0"/>
          <w:sz w:val="32"/>
          <w:szCs w:val="32"/>
        </w:rPr>
        <w:t>第五章  附 则</w:t>
      </w:r>
    </w:p>
    <w:p w14:paraId="50B1B7D1">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第七十条 </w:t>
      </w:r>
      <w:r>
        <w:rPr>
          <w:rFonts w:hint="eastAsia" w:eastAsia="仿宋_GB2312"/>
          <w:sz w:val="32"/>
          <w:szCs w:val="32"/>
        </w:rPr>
        <w:t>已在本所上市的红筹企业发行以新增证券为基础证券的存托凭证，适用本细则关于上市公司发行股票的规定。本细则未作规定的，适用本所关于存托凭证的有关规定</w:t>
      </w:r>
      <w:r>
        <w:rPr>
          <w:rFonts w:hint="eastAsia" w:eastAsia="仿宋_GB2312" w:cs="仿宋"/>
          <w:sz w:val="32"/>
          <w:szCs w:val="32"/>
        </w:rPr>
        <w:t>。</w:t>
      </w:r>
    </w:p>
    <w:p w14:paraId="76028990">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第七十一条 </w:t>
      </w:r>
      <w:r>
        <w:rPr>
          <w:rFonts w:hint="eastAsia" w:eastAsia="仿宋_GB2312" w:cs="仿宋"/>
          <w:sz w:val="32"/>
          <w:szCs w:val="32"/>
        </w:rPr>
        <w:t>上市公司发行证券购买资产同时募集配套资金的，募集配套资金部分的证券发行与承销事宜参照本细则执行。</w:t>
      </w:r>
    </w:p>
    <w:p w14:paraId="3760DF2A">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第七十二条 </w:t>
      </w:r>
      <w:r>
        <w:rPr>
          <w:rFonts w:hint="eastAsia" w:eastAsia="仿宋_GB2312" w:cs="仿宋"/>
          <w:sz w:val="32"/>
          <w:szCs w:val="32"/>
        </w:rPr>
        <w:t>上市公司向不特定对象发行优先股的发行程序参照本细则关于上市公司增发的相关规定执行，向特定对象发行优先股的发行程序参照本细则关于上市公司向特定对象发行证券的相关规定执行。</w:t>
      </w:r>
    </w:p>
    <w:p w14:paraId="7B8983BC">
      <w:pPr>
        <w:pStyle w:val="64"/>
        <w:adjustRightInd w:val="0"/>
        <w:snapToGrid w:val="0"/>
        <w:spacing w:line="560" w:lineRule="exact"/>
        <w:ind w:firstLine="640"/>
        <w:rPr>
          <w:rFonts w:eastAsia="仿宋_GB2312" w:cs="仿宋"/>
          <w:sz w:val="32"/>
          <w:szCs w:val="32"/>
        </w:rPr>
      </w:pPr>
      <w:r>
        <w:rPr>
          <w:rFonts w:hint="eastAsia" w:eastAsia="仿宋_GB2312" w:cs="仿宋"/>
          <w:sz w:val="32"/>
          <w:szCs w:val="32"/>
        </w:rPr>
        <w:t>上市公司向特定对象发行优先股的，认购邀请书的发送范围可以不适用本细则</w:t>
      </w:r>
      <w:r>
        <w:rPr>
          <w:rFonts w:hint="eastAsia" w:eastAsia="仿宋_GB2312" w:cs="仿宋"/>
          <w:sz w:val="32"/>
          <w:szCs w:val="32"/>
          <w:lang w:eastAsia="zh-CN"/>
        </w:rPr>
        <w:t>第四十一条</w:t>
      </w:r>
      <w:r>
        <w:rPr>
          <w:rFonts w:hint="eastAsia" w:eastAsia="仿宋_GB2312" w:cs="仿宋"/>
          <w:sz w:val="32"/>
          <w:szCs w:val="32"/>
        </w:rPr>
        <w:t>的规定，但应涵盖一定的公募基金、社保基金、年金基金和保险资金等投资者以及已经提交认购意向书的投资者。</w:t>
      </w:r>
    </w:p>
    <w:p w14:paraId="50B0C815">
      <w:pPr>
        <w:pStyle w:val="64"/>
        <w:numPr>
          <w:ilvl w:val="0"/>
          <w:numId w:val="0"/>
        </w:numPr>
        <w:adjustRightInd w:val="0"/>
        <w:snapToGrid w:val="0"/>
        <w:spacing w:line="560" w:lineRule="exact"/>
        <w:ind w:left="0" w:leftChars="0" w:firstLine="643" w:firstLineChars="200"/>
        <w:rPr>
          <w:rFonts w:eastAsia="仿宋_GB2312"/>
          <w:sz w:val="32"/>
          <w:szCs w:val="30"/>
        </w:rPr>
      </w:pPr>
      <w:r>
        <w:rPr>
          <w:rFonts w:hint="eastAsia" w:ascii="仿宋_GB2312" w:hAnsi="黑体" w:eastAsia="仿宋_GB2312" w:cs="Times New Roman"/>
          <w:b/>
          <w:bCs/>
          <w:i w:val="0"/>
          <w:kern w:val="2"/>
          <w:sz w:val="32"/>
          <w:szCs w:val="32"/>
          <w:lang w:val="en-US" w:eastAsia="zh-CN" w:bidi="ar-SA"/>
        </w:rPr>
        <w:t xml:space="preserve">第七十三条 </w:t>
      </w:r>
      <w:r>
        <w:rPr>
          <w:rFonts w:hint="eastAsia" w:eastAsia="仿宋_GB2312" w:cs="仿宋"/>
          <w:sz w:val="32"/>
          <w:szCs w:val="32"/>
        </w:rPr>
        <w:t>本细则对上市公司发行可转债未作规定的，适用本所关于可转债业务的其他相关规定。</w:t>
      </w:r>
    </w:p>
    <w:p w14:paraId="54249132">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第七十四条 </w:t>
      </w:r>
      <w:r>
        <w:rPr>
          <w:rFonts w:hint="eastAsia" w:eastAsia="仿宋_GB2312"/>
          <w:sz w:val="32"/>
          <w:szCs w:val="30"/>
        </w:rPr>
        <w:t>本细则所称理财公司，是指在境内依法设立的商业银行理财子公司，以及国家金融监督管理总局批准设立的其他主要从事理财业务的非银行金融机构。</w:t>
      </w:r>
    </w:p>
    <w:p w14:paraId="4F8BD89A">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第七十五条 </w:t>
      </w:r>
      <w:r>
        <w:rPr>
          <w:rFonts w:hint="eastAsia" w:eastAsia="仿宋_GB2312" w:cs="仿宋"/>
          <w:sz w:val="32"/>
          <w:szCs w:val="32"/>
        </w:rPr>
        <w:t>本细则经本所理事会审议通过并报中国证监会批准后生效，修改时亦同。</w:t>
      </w:r>
    </w:p>
    <w:p w14:paraId="5F51A8D1">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第七十六条 </w:t>
      </w:r>
      <w:r>
        <w:rPr>
          <w:rFonts w:hint="eastAsia" w:eastAsia="仿宋_GB2312" w:cs="仿宋"/>
          <w:sz w:val="32"/>
          <w:szCs w:val="32"/>
        </w:rPr>
        <w:t>本细则由本所负责解释。</w:t>
      </w:r>
    </w:p>
    <w:p w14:paraId="147B6459">
      <w:pPr>
        <w:pStyle w:val="64"/>
        <w:numPr>
          <w:ilvl w:val="0"/>
          <w:numId w:val="0"/>
        </w:numPr>
        <w:adjustRightInd w:val="0"/>
        <w:snapToGrid w:val="0"/>
        <w:spacing w:line="560" w:lineRule="exact"/>
        <w:ind w:left="0" w:leftChars="0" w:firstLine="643" w:firstLineChars="200"/>
        <w:rPr>
          <w:rFonts w:eastAsia="仿宋_GB2312" w:cs="仿宋"/>
          <w:sz w:val="32"/>
          <w:szCs w:val="32"/>
        </w:rPr>
      </w:pPr>
      <w:r>
        <w:rPr>
          <w:rFonts w:hint="eastAsia" w:ascii="仿宋_GB2312" w:hAnsi="黑体" w:eastAsia="仿宋_GB2312" w:cs="仿宋"/>
          <w:b/>
          <w:bCs/>
          <w:i w:val="0"/>
          <w:kern w:val="2"/>
          <w:sz w:val="32"/>
          <w:szCs w:val="32"/>
          <w:lang w:val="en-US" w:eastAsia="zh-CN" w:bidi="ar-SA"/>
        </w:rPr>
        <w:t xml:space="preserve">第七十七条 </w:t>
      </w:r>
      <w:r>
        <w:rPr>
          <w:rFonts w:hint="eastAsia" w:eastAsia="仿宋_GB2312" w:cs="仿宋"/>
          <w:sz w:val="32"/>
          <w:szCs w:val="32"/>
        </w:rPr>
        <w:t>本细则自发布之日起施行。本所于2</w:t>
      </w:r>
      <w:r>
        <w:rPr>
          <w:rFonts w:eastAsia="仿宋_GB2312" w:cs="仿宋"/>
          <w:sz w:val="32"/>
          <w:szCs w:val="32"/>
        </w:rPr>
        <w:t>0</w:t>
      </w:r>
      <w:r>
        <w:rPr>
          <w:rFonts w:hint="eastAsia" w:eastAsia="仿宋_GB2312" w:cs="仿宋"/>
          <w:sz w:val="32"/>
          <w:szCs w:val="32"/>
        </w:rPr>
        <w:t>2</w:t>
      </w:r>
      <w:r>
        <w:rPr>
          <w:rFonts w:hint="eastAsia" w:eastAsia="仿宋_GB2312" w:cs="仿宋"/>
          <w:sz w:val="32"/>
          <w:szCs w:val="32"/>
          <w:lang w:val="en-US" w:eastAsia="zh-CN"/>
        </w:rPr>
        <w:t>5</w:t>
      </w:r>
      <w:r>
        <w:rPr>
          <w:rFonts w:hint="eastAsia" w:eastAsia="仿宋_GB2312" w:cs="仿宋"/>
          <w:sz w:val="32"/>
          <w:szCs w:val="32"/>
        </w:rPr>
        <w:t>年</w:t>
      </w:r>
      <w:r>
        <w:rPr>
          <w:rFonts w:hint="eastAsia" w:eastAsia="仿宋_GB2312" w:cs="仿宋"/>
          <w:sz w:val="32"/>
          <w:szCs w:val="32"/>
          <w:lang w:val="en-US" w:eastAsia="zh-CN"/>
        </w:rPr>
        <w:t>3</w:t>
      </w:r>
      <w:r>
        <w:rPr>
          <w:rFonts w:hint="eastAsia" w:eastAsia="仿宋_GB2312" w:cs="仿宋"/>
          <w:sz w:val="32"/>
          <w:szCs w:val="32"/>
        </w:rPr>
        <w:t>月</w:t>
      </w:r>
      <w:r>
        <w:rPr>
          <w:rFonts w:hint="eastAsia" w:eastAsia="仿宋_GB2312" w:cs="仿宋"/>
          <w:sz w:val="32"/>
          <w:szCs w:val="32"/>
          <w:lang w:val="en-US" w:eastAsia="zh-CN"/>
        </w:rPr>
        <w:t>28</w:t>
      </w:r>
      <w:r>
        <w:rPr>
          <w:rFonts w:hint="eastAsia" w:eastAsia="仿宋_GB2312" w:cs="仿宋"/>
          <w:sz w:val="32"/>
          <w:szCs w:val="32"/>
        </w:rPr>
        <w:t>日发布的《上海证券交易所上市公司证券发行与承销业务实施细则》（上证发〔</w:t>
      </w:r>
      <w:r>
        <w:rPr>
          <w:rFonts w:eastAsia="仿宋_GB2312" w:cs="仿宋"/>
          <w:sz w:val="32"/>
          <w:szCs w:val="32"/>
        </w:rPr>
        <w:t>202</w:t>
      </w:r>
      <w:r>
        <w:rPr>
          <w:rFonts w:hint="eastAsia" w:eastAsia="仿宋_GB2312" w:cs="仿宋"/>
          <w:sz w:val="32"/>
          <w:szCs w:val="32"/>
          <w:lang w:val="en-US" w:eastAsia="zh-CN"/>
        </w:rPr>
        <w:t>5</w:t>
      </w:r>
      <w:r>
        <w:rPr>
          <w:rFonts w:hint="eastAsia" w:eastAsia="仿宋_GB2312" w:cs="仿宋"/>
          <w:sz w:val="32"/>
          <w:szCs w:val="32"/>
        </w:rPr>
        <w:t>〕4</w:t>
      </w:r>
      <w:r>
        <w:rPr>
          <w:rFonts w:hint="eastAsia" w:eastAsia="仿宋_GB2312" w:cs="仿宋"/>
          <w:sz w:val="32"/>
          <w:szCs w:val="32"/>
          <w:lang w:val="en-US" w:eastAsia="zh-CN"/>
        </w:rPr>
        <w:t>7</w:t>
      </w:r>
      <w:r>
        <w:rPr>
          <w:rFonts w:hint="eastAsia" w:eastAsia="仿宋_GB2312" w:cs="仿宋"/>
          <w:sz w:val="32"/>
          <w:szCs w:val="32"/>
        </w:rPr>
        <w:t>号）同时废止。</w:t>
      </w:r>
    </w:p>
    <w:p w14:paraId="4A6339B7">
      <w:pPr>
        <w:spacing w:line="560" w:lineRule="exact"/>
        <w:rPr>
          <w:rFonts w:eastAsia="仿宋_GB2312"/>
          <w:sz w:val="32"/>
          <w:szCs w:val="32"/>
        </w:rPr>
      </w:pPr>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8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00000000000000000"/>
    <w:charset w:val="86"/>
    <w:family w:val="modern"/>
    <w:pitch w:val="default"/>
    <w:sig w:usb0="A00002BF" w:usb1="184F6CFA" w:usb2="00000012" w:usb3="00000000" w:csb0="00040001"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panose1 w:val="02010600000101010101"/>
    <w:charset w:val="86"/>
    <w:family w:val="modern"/>
    <w:pitch w:val="default"/>
    <w:sig w:usb0="00000001" w:usb1="080E0800" w:usb2="00000002"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Arial Unicode MS">
    <w:altName w:val="Times New Roman"/>
    <w:panose1 w:val="020B0604020202020204"/>
    <w:charset w:val="86"/>
    <w:family w:val="roman"/>
    <w:pitch w:val="default"/>
    <w:sig w:usb0="00000000" w:usb1="00000000" w:usb2="0000003F" w:usb3="00000000" w:csb0="603F01FF" w:csb1="FFFF0000"/>
  </w:font>
  <w:font w:name="Helvetica">
    <w:altName w:val="DejaVu Sans"/>
    <w:panose1 w:val="020B0604020202030204"/>
    <w:charset w:val="00"/>
    <w:family w:val="swiss"/>
    <w:pitch w:val="default"/>
    <w:sig w:usb0="00000000" w:usb1="00000000" w:usb2="00000000" w:usb3="00000000" w:csb0="00000093" w:csb1="00000000"/>
  </w:font>
  <w:font w:name="Frutiger 45 Light">
    <w:altName w:val="阿里巴巴普惠体 R"/>
    <w:panose1 w:val="00000000000000000000"/>
    <w:charset w:val="00"/>
    <w:family w:val="swiss"/>
    <w:pitch w:val="default"/>
    <w:sig w:usb0="00000000" w:usb1="00000000" w:usb2="00000000" w:usb3="00000000" w:csb0="00000193" w:csb1="00000000"/>
  </w:font>
  <w:font w:name="阿里巴巴普惠体 R">
    <w:panose1 w:val="00020600040101010101"/>
    <w:charset w:val="86"/>
    <w:family w:val="auto"/>
    <w:pitch w:val="default"/>
    <w:sig w:usb0="A00002FF" w:usb1="7ACF7CFB" w:usb2="0000001E" w:usb3="00000000" w:csb0="0004009F"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Univers">
    <w:altName w:val="阿里巴巴普惠体 R"/>
    <w:panose1 w:val="00000000000000000000"/>
    <w:charset w:val="00"/>
    <w:family w:val="swiss"/>
    <w:pitch w:val="default"/>
    <w:sig w:usb0="00000000" w:usb1="00000000" w:usb2="00000000" w:usb3="00000000" w:csb0="0000000F"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92AE5">
    <w:pPr>
      <w:pStyle w:val="18"/>
      <w:jc w:val="center"/>
      <w:rPr>
        <w:rFonts w:ascii="宋体" w:hAnsi="宋体" w:cs="宋体"/>
        <w:sz w:val="28"/>
        <w:szCs w:val="28"/>
      </w:rPr>
    </w:pPr>
    <w:r>
      <w:rPr>
        <w:sz w:val="2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1064E">
                <w:pPr>
                  <w:pStyle w:val="18"/>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7C91">
    <w:pPr>
      <w:pStyle w:val="18"/>
      <w:framePr w:wrap="around" w:vAnchor="text" w:hAnchor="margin" w:xAlign="center" w:y="1"/>
      <w:rPr>
        <w:rStyle w:val="32"/>
      </w:rPr>
    </w:pPr>
  </w:p>
  <w:p w14:paraId="301DC010">
    <w:pPr>
      <w:pStyle w:val="18"/>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2</w:t>
    </w:r>
    <w:r>
      <w:rPr>
        <w:sz w:val="28"/>
      </w:rPr>
      <w:fldChar w:fldCharType="end"/>
    </w: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3512">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5EA656DE"/>
    <w:multiLevelType w:val="multilevel"/>
    <w:tmpl w:val="5EA656DE"/>
    <w:lvl w:ilvl="0" w:tentative="0">
      <w:start w:val="1"/>
      <w:numFmt w:val="japaneseCounting"/>
      <w:pStyle w:val="91"/>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D32EF"/>
    <w:rsid w:val="00001B4B"/>
    <w:rsid w:val="00001C7D"/>
    <w:rsid w:val="00003E3B"/>
    <w:rsid w:val="00004247"/>
    <w:rsid w:val="00006D18"/>
    <w:rsid w:val="00007153"/>
    <w:rsid w:val="000101F0"/>
    <w:rsid w:val="000123C7"/>
    <w:rsid w:val="00015CF8"/>
    <w:rsid w:val="00016AAA"/>
    <w:rsid w:val="00023C6B"/>
    <w:rsid w:val="00023D06"/>
    <w:rsid w:val="00025327"/>
    <w:rsid w:val="000254CE"/>
    <w:rsid w:val="00025A12"/>
    <w:rsid w:val="00025D14"/>
    <w:rsid w:val="00026000"/>
    <w:rsid w:val="00030A3E"/>
    <w:rsid w:val="00034D02"/>
    <w:rsid w:val="000373C8"/>
    <w:rsid w:val="0004078E"/>
    <w:rsid w:val="00040EBC"/>
    <w:rsid w:val="00041A60"/>
    <w:rsid w:val="00042926"/>
    <w:rsid w:val="000432C6"/>
    <w:rsid w:val="0004401E"/>
    <w:rsid w:val="00044E84"/>
    <w:rsid w:val="00045851"/>
    <w:rsid w:val="00045B5A"/>
    <w:rsid w:val="00046F1D"/>
    <w:rsid w:val="00052CA3"/>
    <w:rsid w:val="000531EB"/>
    <w:rsid w:val="00053585"/>
    <w:rsid w:val="00055B23"/>
    <w:rsid w:val="00055D8A"/>
    <w:rsid w:val="00056418"/>
    <w:rsid w:val="000575D2"/>
    <w:rsid w:val="00057D6A"/>
    <w:rsid w:val="0006008F"/>
    <w:rsid w:val="00060722"/>
    <w:rsid w:val="0006252E"/>
    <w:rsid w:val="00064775"/>
    <w:rsid w:val="00065144"/>
    <w:rsid w:val="00065822"/>
    <w:rsid w:val="00066E70"/>
    <w:rsid w:val="00067FF1"/>
    <w:rsid w:val="00070DA4"/>
    <w:rsid w:val="0007113F"/>
    <w:rsid w:val="000715CD"/>
    <w:rsid w:val="00073EF3"/>
    <w:rsid w:val="000747FA"/>
    <w:rsid w:val="00075702"/>
    <w:rsid w:val="0007649E"/>
    <w:rsid w:val="000767DF"/>
    <w:rsid w:val="00076F96"/>
    <w:rsid w:val="00077264"/>
    <w:rsid w:val="00081D93"/>
    <w:rsid w:val="00081E89"/>
    <w:rsid w:val="000825BD"/>
    <w:rsid w:val="000829BB"/>
    <w:rsid w:val="000838F0"/>
    <w:rsid w:val="00084847"/>
    <w:rsid w:val="0008558C"/>
    <w:rsid w:val="0008603B"/>
    <w:rsid w:val="000906F1"/>
    <w:rsid w:val="00092467"/>
    <w:rsid w:val="000926AA"/>
    <w:rsid w:val="000932C8"/>
    <w:rsid w:val="00094F31"/>
    <w:rsid w:val="00096C82"/>
    <w:rsid w:val="00097322"/>
    <w:rsid w:val="000A01F7"/>
    <w:rsid w:val="000A0752"/>
    <w:rsid w:val="000A1F1A"/>
    <w:rsid w:val="000A2AE9"/>
    <w:rsid w:val="000A36F5"/>
    <w:rsid w:val="000A3859"/>
    <w:rsid w:val="000A4874"/>
    <w:rsid w:val="000A4E05"/>
    <w:rsid w:val="000A5CA0"/>
    <w:rsid w:val="000A759B"/>
    <w:rsid w:val="000A78EC"/>
    <w:rsid w:val="000B135F"/>
    <w:rsid w:val="000B19DE"/>
    <w:rsid w:val="000B1C87"/>
    <w:rsid w:val="000B1CA3"/>
    <w:rsid w:val="000B2003"/>
    <w:rsid w:val="000B3D7A"/>
    <w:rsid w:val="000B53A1"/>
    <w:rsid w:val="000B7DC1"/>
    <w:rsid w:val="000C18B8"/>
    <w:rsid w:val="000C5079"/>
    <w:rsid w:val="000C5DAB"/>
    <w:rsid w:val="000C6D3B"/>
    <w:rsid w:val="000D089A"/>
    <w:rsid w:val="000D23F1"/>
    <w:rsid w:val="000D3E58"/>
    <w:rsid w:val="000D5E80"/>
    <w:rsid w:val="000D6AE7"/>
    <w:rsid w:val="000D7324"/>
    <w:rsid w:val="000D76BD"/>
    <w:rsid w:val="000E0C54"/>
    <w:rsid w:val="000E0F35"/>
    <w:rsid w:val="000E1D7A"/>
    <w:rsid w:val="000E28C6"/>
    <w:rsid w:val="000E2B68"/>
    <w:rsid w:val="000E3BF1"/>
    <w:rsid w:val="000E75BE"/>
    <w:rsid w:val="000E7A26"/>
    <w:rsid w:val="000E7A4C"/>
    <w:rsid w:val="000F063C"/>
    <w:rsid w:val="000F13A0"/>
    <w:rsid w:val="000F1729"/>
    <w:rsid w:val="000F3A20"/>
    <w:rsid w:val="000F3DDE"/>
    <w:rsid w:val="000F6F92"/>
    <w:rsid w:val="000F7690"/>
    <w:rsid w:val="00103077"/>
    <w:rsid w:val="00103B4B"/>
    <w:rsid w:val="00104481"/>
    <w:rsid w:val="00106537"/>
    <w:rsid w:val="00106E5E"/>
    <w:rsid w:val="001116CD"/>
    <w:rsid w:val="00112324"/>
    <w:rsid w:val="0011465A"/>
    <w:rsid w:val="001149F0"/>
    <w:rsid w:val="001157CA"/>
    <w:rsid w:val="0011790D"/>
    <w:rsid w:val="00121D8C"/>
    <w:rsid w:val="00123AFE"/>
    <w:rsid w:val="00126898"/>
    <w:rsid w:val="00127BB8"/>
    <w:rsid w:val="0013026D"/>
    <w:rsid w:val="001303BE"/>
    <w:rsid w:val="001313FC"/>
    <w:rsid w:val="001320F9"/>
    <w:rsid w:val="0013265E"/>
    <w:rsid w:val="00132F87"/>
    <w:rsid w:val="00133437"/>
    <w:rsid w:val="00135048"/>
    <w:rsid w:val="00135243"/>
    <w:rsid w:val="00135676"/>
    <w:rsid w:val="00136D79"/>
    <w:rsid w:val="00136E1D"/>
    <w:rsid w:val="001373E7"/>
    <w:rsid w:val="00140DB0"/>
    <w:rsid w:val="00143741"/>
    <w:rsid w:val="00144741"/>
    <w:rsid w:val="00145463"/>
    <w:rsid w:val="00145E5C"/>
    <w:rsid w:val="001475B0"/>
    <w:rsid w:val="0014770C"/>
    <w:rsid w:val="0015039D"/>
    <w:rsid w:val="001510D1"/>
    <w:rsid w:val="0015159A"/>
    <w:rsid w:val="00152423"/>
    <w:rsid w:val="0015628A"/>
    <w:rsid w:val="00156E9B"/>
    <w:rsid w:val="001607D9"/>
    <w:rsid w:val="00160C0B"/>
    <w:rsid w:val="0016249D"/>
    <w:rsid w:val="001628DD"/>
    <w:rsid w:val="00162B2D"/>
    <w:rsid w:val="001636A4"/>
    <w:rsid w:val="00163F0D"/>
    <w:rsid w:val="001650FE"/>
    <w:rsid w:val="00165363"/>
    <w:rsid w:val="00167547"/>
    <w:rsid w:val="001675AF"/>
    <w:rsid w:val="0017731B"/>
    <w:rsid w:val="00177844"/>
    <w:rsid w:val="00177966"/>
    <w:rsid w:val="00180B6B"/>
    <w:rsid w:val="00185194"/>
    <w:rsid w:val="00185244"/>
    <w:rsid w:val="00186386"/>
    <w:rsid w:val="00187EC9"/>
    <w:rsid w:val="00191A1F"/>
    <w:rsid w:val="0019316F"/>
    <w:rsid w:val="00194A6E"/>
    <w:rsid w:val="00194AAF"/>
    <w:rsid w:val="00195F7F"/>
    <w:rsid w:val="00197495"/>
    <w:rsid w:val="00197504"/>
    <w:rsid w:val="00197F59"/>
    <w:rsid w:val="001A27B8"/>
    <w:rsid w:val="001A2908"/>
    <w:rsid w:val="001A306E"/>
    <w:rsid w:val="001A4038"/>
    <w:rsid w:val="001A5E3D"/>
    <w:rsid w:val="001B0CC8"/>
    <w:rsid w:val="001B0E13"/>
    <w:rsid w:val="001B2176"/>
    <w:rsid w:val="001B2E0F"/>
    <w:rsid w:val="001B3FB4"/>
    <w:rsid w:val="001B412F"/>
    <w:rsid w:val="001B76C0"/>
    <w:rsid w:val="001C0319"/>
    <w:rsid w:val="001C078A"/>
    <w:rsid w:val="001C1D39"/>
    <w:rsid w:val="001C248C"/>
    <w:rsid w:val="001C265D"/>
    <w:rsid w:val="001C3676"/>
    <w:rsid w:val="001C3FB0"/>
    <w:rsid w:val="001C515F"/>
    <w:rsid w:val="001C5A32"/>
    <w:rsid w:val="001C5E9A"/>
    <w:rsid w:val="001C66D4"/>
    <w:rsid w:val="001C7595"/>
    <w:rsid w:val="001C7EE4"/>
    <w:rsid w:val="001D0955"/>
    <w:rsid w:val="001D29C8"/>
    <w:rsid w:val="001D3D41"/>
    <w:rsid w:val="001D5CF2"/>
    <w:rsid w:val="001D6097"/>
    <w:rsid w:val="001D661F"/>
    <w:rsid w:val="001D6B24"/>
    <w:rsid w:val="001D71C5"/>
    <w:rsid w:val="001E0992"/>
    <w:rsid w:val="001E1D78"/>
    <w:rsid w:val="001E2936"/>
    <w:rsid w:val="001E2BC7"/>
    <w:rsid w:val="001E2F7B"/>
    <w:rsid w:val="001E3107"/>
    <w:rsid w:val="001E4D1C"/>
    <w:rsid w:val="001E52DC"/>
    <w:rsid w:val="001E53A2"/>
    <w:rsid w:val="001E55F0"/>
    <w:rsid w:val="001E594A"/>
    <w:rsid w:val="001E5FFD"/>
    <w:rsid w:val="001E7729"/>
    <w:rsid w:val="001E7AC9"/>
    <w:rsid w:val="001E7C93"/>
    <w:rsid w:val="001F31C1"/>
    <w:rsid w:val="001F3DCC"/>
    <w:rsid w:val="001F658F"/>
    <w:rsid w:val="001F6A6E"/>
    <w:rsid w:val="00201124"/>
    <w:rsid w:val="002106B0"/>
    <w:rsid w:val="00210AB6"/>
    <w:rsid w:val="00211106"/>
    <w:rsid w:val="00211440"/>
    <w:rsid w:val="0021196D"/>
    <w:rsid w:val="00212492"/>
    <w:rsid w:val="002141CC"/>
    <w:rsid w:val="0021491E"/>
    <w:rsid w:val="0021537B"/>
    <w:rsid w:val="00217D52"/>
    <w:rsid w:val="00220EFA"/>
    <w:rsid w:val="0022256E"/>
    <w:rsid w:val="0022274E"/>
    <w:rsid w:val="00222DC0"/>
    <w:rsid w:val="002243B6"/>
    <w:rsid w:val="00227A2C"/>
    <w:rsid w:val="00230603"/>
    <w:rsid w:val="0023064B"/>
    <w:rsid w:val="00230694"/>
    <w:rsid w:val="00230E4E"/>
    <w:rsid w:val="0023100B"/>
    <w:rsid w:val="00232359"/>
    <w:rsid w:val="00232702"/>
    <w:rsid w:val="002329AE"/>
    <w:rsid w:val="00232F16"/>
    <w:rsid w:val="00233149"/>
    <w:rsid w:val="002344BE"/>
    <w:rsid w:val="00234A4F"/>
    <w:rsid w:val="00234E30"/>
    <w:rsid w:val="00235263"/>
    <w:rsid w:val="00240494"/>
    <w:rsid w:val="00240656"/>
    <w:rsid w:val="00241971"/>
    <w:rsid w:val="00241C94"/>
    <w:rsid w:val="002436E6"/>
    <w:rsid w:val="00243E11"/>
    <w:rsid w:val="002441E9"/>
    <w:rsid w:val="00244718"/>
    <w:rsid w:val="0024484E"/>
    <w:rsid w:val="00245FED"/>
    <w:rsid w:val="00247A8F"/>
    <w:rsid w:val="00253F05"/>
    <w:rsid w:val="002549B0"/>
    <w:rsid w:val="00256A60"/>
    <w:rsid w:val="0026012D"/>
    <w:rsid w:val="00260879"/>
    <w:rsid w:val="00260FCD"/>
    <w:rsid w:val="0026137B"/>
    <w:rsid w:val="002618E8"/>
    <w:rsid w:val="0026217A"/>
    <w:rsid w:val="002635C2"/>
    <w:rsid w:val="00263787"/>
    <w:rsid w:val="002649A0"/>
    <w:rsid w:val="00266DD8"/>
    <w:rsid w:val="002679E4"/>
    <w:rsid w:val="00267B6F"/>
    <w:rsid w:val="00267D17"/>
    <w:rsid w:val="0027033D"/>
    <w:rsid w:val="00270D15"/>
    <w:rsid w:val="00271DEA"/>
    <w:rsid w:val="00272B98"/>
    <w:rsid w:val="00272E11"/>
    <w:rsid w:val="00275429"/>
    <w:rsid w:val="0027565F"/>
    <w:rsid w:val="00275CBD"/>
    <w:rsid w:val="00275FED"/>
    <w:rsid w:val="0027766B"/>
    <w:rsid w:val="00277FFE"/>
    <w:rsid w:val="00280575"/>
    <w:rsid w:val="00280AD9"/>
    <w:rsid w:val="00281615"/>
    <w:rsid w:val="002839B7"/>
    <w:rsid w:val="0028470E"/>
    <w:rsid w:val="002850BA"/>
    <w:rsid w:val="002860FE"/>
    <w:rsid w:val="0029198B"/>
    <w:rsid w:val="00291DB3"/>
    <w:rsid w:val="002939FC"/>
    <w:rsid w:val="002948E6"/>
    <w:rsid w:val="00294A2C"/>
    <w:rsid w:val="0029628D"/>
    <w:rsid w:val="00296697"/>
    <w:rsid w:val="002A028B"/>
    <w:rsid w:val="002A0A0B"/>
    <w:rsid w:val="002A0FC5"/>
    <w:rsid w:val="002A239C"/>
    <w:rsid w:val="002A3524"/>
    <w:rsid w:val="002A38C3"/>
    <w:rsid w:val="002A42A6"/>
    <w:rsid w:val="002A5B12"/>
    <w:rsid w:val="002A7D56"/>
    <w:rsid w:val="002B0D2D"/>
    <w:rsid w:val="002B1931"/>
    <w:rsid w:val="002B34E9"/>
    <w:rsid w:val="002B3909"/>
    <w:rsid w:val="002B7FB9"/>
    <w:rsid w:val="002C0231"/>
    <w:rsid w:val="002C3339"/>
    <w:rsid w:val="002C44E0"/>
    <w:rsid w:val="002C5145"/>
    <w:rsid w:val="002C7AC9"/>
    <w:rsid w:val="002D03C3"/>
    <w:rsid w:val="002D247D"/>
    <w:rsid w:val="002D5674"/>
    <w:rsid w:val="002D5D60"/>
    <w:rsid w:val="002D60DF"/>
    <w:rsid w:val="002D78E7"/>
    <w:rsid w:val="002D7AA5"/>
    <w:rsid w:val="002E07CD"/>
    <w:rsid w:val="002E2810"/>
    <w:rsid w:val="002E2C77"/>
    <w:rsid w:val="002E3469"/>
    <w:rsid w:val="002E42D0"/>
    <w:rsid w:val="002E4C05"/>
    <w:rsid w:val="002E4D4C"/>
    <w:rsid w:val="002E7143"/>
    <w:rsid w:val="002E7C38"/>
    <w:rsid w:val="002F011D"/>
    <w:rsid w:val="002F047E"/>
    <w:rsid w:val="002F0D79"/>
    <w:rsid w:val="002F119E"/>
    <w:rsid w:val="002F19CD"/>
    <w:rsid w:val="002F3D59"/>
    <w:rsid w:val="002F3F57"/>
    <w:rsid w:val="002F5046"/>
    <w:rsid w:val="002F599F"/>
    <w:rsid w:val="002F64C8"/>
    <w:rsid w:val="002F6B5E"/>
    <w:rsid w:val="002F7770"/>
    <w:rsid w:val="0030160D"/>
    <w:rsid w:val="00301B8F"/>
    <w:rsid w:val="00302341"/>
    <w:rsid w:val="00302D40"/>
    <w:rsid w:val="0030332C"/>
    <w:rsid w:val="00304446"/>
    <w:rsid w:val="00304524"/>
    <w:rsid w:val="00304AB8"/>
    <w:rsid w:val="00306F9F"/>
    <w:rsid w:val="003103D2"/>
    <w:rsid w:val="00310AA0"/>
    <w:rsid w:val="00310B97"/>
    <w:rsid w:val="003128D1"/>
    <w:rsid w:val="00313450"/>
    <w:rsid w:val="0031389B"/>
    <w:rsid w:val="00314881"/>
    <w:rsid w:val="00315A37"/>
    <w:rsid w:val="0031602E"/>
    <w:rsid w:val="003203A2"/>
    <w:rsid w:val="00320E81"/>
    <w:rsid w:val="00323793"/>
    <w:rsid w:val="0032399D"/>
    <w:rsid w:val="00323C36"/>
    <w:rsid w:val="00326C6B"/>
    <w:rsid w:val="00327E4E"/>
    <w:rsid w:val="003317AD"/>
    <w:rsid w:val="00332396"/>
    <w:rsid w:val="00332F22"/>
    <w:rsid w:val="00333B5A"/>
    <w:rsid w:val="003369A0"/>
    <w:rsid w:val="00337451"/>
    <w:rsid w:val="003403ED"/>
    <w:rsid w:val="00341593"/>
    <w:rsid w:val="00341638"/>
    <w:rsid w:val="0034251F"/>
    <w:rsid w:val="00343987"/>
    <w:rsid w:val="003459FC"/>
    <w:rsid w:val="00350938"/>
    <w:rsid w:val="00350A49"/>
    <w:rsid w:val="0035170E"/>
    <w:rsid w:val="0035204B"/>
    <w:rsid w:val="00352CC0"/>
    <w:rsid w:val="00352ED3"/>
    <w:rsid w:val="00352FFB"/>
    <w:rsid w:val="00353B18"/>
    <w:rsid w:val="00353F36"/>
    <w:rsid w:val="003544A4"/>
    <w:rsid w:val="00355B57"/>
    <w:rsid w:val="003561F6"/>
    <w:rsid w:val="00360A79"/>
    <w:rsid w:val="00363433"/>
    <w:rsid w:val="00363B34"/>
    <w:rsid w:val="00363C2F"/>
    <w:rsid w:val="003642F6"/>
    <w:rsid w:val="00365389"/>
    <w:rsid w:val="00365C40"/>
    <w:rsid w:val="003671CC"/>
    <w:rsid w:val="003674EB"/>
    <w:rsid w:val="00370147"/>
    <w:rsid w:val="00370A37"/>
    <w:rsid w:val="00370F08"/>
    <w:rsid w:val="00371056"/>
    <w:rsid w:val="003714B3"/>
    <w:rsid w:val="003721BA"/>
    <w:rsid w:val="003727E2"/>
    <w:rsid w:val="00372FCB"/>
    <w:rsid w:val="0037348E"/>
    <w:rsid w:val="00373B1E"/>
    <w:rsid w:val="00373B90"/>
    <w:rsid w:val="00374AC8"/>
    <w:rsid w:val="00374EFA"/>
    <w:rsid w:val="00375147"/>
    <w:rsid w:val="00375CB8"/>
    <w:rsid w:val="0037781A"/>
    <w:rsid w:val="00380C4E"/>
    <w:rsid w:val="00381A99"/>
    <w:rsid w:val="003825B7"/>
    <w:rsid w:val="003844D8"/>
    <w:rsid w:val="0038457C"/>
    <w:rsid w:val="00384D67"/>
    <w:rsid w:val="00386A61"/>
    <w:rsid w:val="0038722F"/>
    <w:rsid w:val="003876FE"/>
    <w:rsid w:val="00387B66"/>
    <w:rsid w:val="0039017A"/>
    <w:rsid w:val="003935C7"/>
    <w:rsid w:val="00393AC8"/>
    <w:rsid w:val="003950D3"/>
    <w:rsid w:val="00397420"/>
    <w:rsid w:val="003A2017"/>
    <w:rsid w:val="003A4275"/>
    <w:rsid w:val="003A46E9"/>
    <w:rsid w:val="003A4957"/>
    <w:rsid w:val="003A5630"/>
    <w:rsid w:val="003A5A71"/>
    <w:rsid w:val="003A646D"/>
    <w:rsid w:val="003B1962"/>
    <w:rsid w:val="003B1BE5"/>
    <w:rsid w:val="003B1ED9"/>
    <w:rsid w:val="003B2F8E"/>
    <w:rsid w:val="003B45A3"/>
    <w:rsid w:val="003B6094"/>
    <w:rsid w:val="003B65E2"/>
    <w:rsid w:val="003B7D3A"/>
    <w:rsid w:val="003C1932"/>
    <w:rsid w:val="003C231F"/>
    <w:rsid w:val="003C23AD"/>
    <w:rsid w:val="003C293C"/>
    <w:rsid w:val="003C37A4"/>
    <w:rsid w:val="003C37A5"/>
    <w:rsid w:val="003C7171"/>
    <w:rsid w:val="003D1E70"/>
    <w:rsid w:val="003D24C9"/>
    <w:rsid w:val="003D2819"/>
    <w:rsid w:val="003D283D"/>
    <w:rsid w:val="003D2946"/>
    <w:rsid w:val="003D2EC1"/>
    <w:rsid w:val="003D3027"/>
    <w:rsid w:val="003D4612"/>
    <w:rsid w:val="003D4890"/>
    <w:rsid w:val="003D5445"/>
    <w:rsid w:val="003D73C7"/>
    <w:rsid w:val="003D7920"/>
    <w:rsid w:val="003E06D1"/>
    <w:rsid w:val="003E100F"/>
    <w:rsid w:val="003E26C5"/>
    <w:rsid w:val="003E29B2"/>
    <w:rsid w:val="003E3377"/>
    <w:rsid w:val="003E75F6"/>
    <w:rsid w:val="003F001B"/>
    <w:rsid w:val="003F17CF"/>
    <w:rsid w:val="003F318F"/>
    <w:rsid w:val="003F3F73"/>
    <w:rsid w:val="003F3FF7"/>
    <w:rsid w:val="003F6811"/>
    <w:rsid w:val="003F6CCB"/>
    <w:rsid w:val="003F6CCE"/>
    <w:rsid w:val="0040193F"/>
    <w:rsid w:val="00401D7B"/>
    <w:rsid w:val="00401ED0"/>
    <w:rsid w:val="004028FB"/>
    <w:rsid w:val="00402AE7"/>
    <w:rsid w:val="004050CB"/>
    <w:rsid w:val="0040559C"/>
    <w:rsid w:val="00405A5B"/>
    <w:rsid w:val="00412C9B"/>
    <w:rsid w:val="00412E0B"/>
    <w:rsid w:val="0041372A"/>
    <w:rsid w:val="00413F4C"/>
    <w:rsid w:val="00414B1B"/>
    <w:rsid w:val="004156A9"/>
    <w:rsid w:val="00415ABF"/>
    <w:rsid w:val="004161E0"/>
    <w:rsid w:val="0041714A"/>
    <w:rsid w:val="004206D0"/>
    <w:rsid w:val="004221B0"/>
    <w:rsid w:val="004223D9"/>
    <w:rsid w:val="00423198"/>
    <w:rsid w:val="004235D3"/>
    <w:rsid w:val="00423733"/>
    <w:rsid w:val="0042579A"/>
    <w:rsid w:val="00425B16"/>
    <w:rsid w:val="00425CAE"/>
    <w:rsid w:val="0042642B"/>
    <w:rsid w:val="00426AE2"/>
    <w:rsid w:val="0042799E"/>
    <w:rsid w:val="00431061"/>
    <w:rsid w:val="004318A5"/>
    <w:rsid w:val="00433D0E"/>
    <w:rsid w:val="00434222"/>
    <w:rsid w:val="004347DB"/>
    <w:rsid w:val="00435293"/>
    <w:rsid w:val="0043610F"/>
    <w:rsid w:val="00436F3C"/>
    <w:rsid w:val="00440411"/>
    <w:rsid w:val="00441379"/>
    <w:rsid w:val="00441EC7"/>
    <w:rsid w:val="004473CB"/>
    <w:rsid w:val="00447C13"/>
    <w:rsid w:val="004503F5"/>
    <w:rsid w:val="00450748"/>
    <w:rsid w:val="004512D0"/>
    <w:rsid w:val="00451DE9"/>
    <w:rsid w:val="00454698"/>
    <w:rsid w:val="004548F8"/>
    <w:rsid w:val="00455485"/>
    <w:rsid w:val="00455D76"/>
    <w:rsid w:val="00456542"/>
    <w:rsid w:val="00456CC6"/>
    <w:rsid w:val="0046088C"/>
    <w:rsid w:val="00460CC9"/>
    <w:rsid w:val="004610E5"/>
    <w:rsid w:val="00461CCC"/>
    <w:rsid w:val="00464517"/>
    <w:rsid w:val="004648F6"/>
    <w:rsid w:val="0046578C"/>
    <w:rsid w:val="00467671"/>
    <w:rsid w:val="00470C37"/>
    <w:rsid w:val="004729E7"/>
    <w:rsid w:val="00472F3E"/>
    <w:rsid w:val="004738B1"/>
    <w:rsid w:val="0047596A"/>
    <w:rsid w:val="0047627C"/>
    <w:rsid w:val="00476F51"/>
    <w:rsid w:val="00480A92"/>
    <w:rsid w:val="00480BA3"/>
    <w:rsid w:val="00482808"/>
    <w:rsid w:val="0048367A"/>
    <w:rsid w:val="00483722"/>
    <w:rsid w:val="00483F26"/>
    <w:rsid w:val="00484427"/>
    <w:rsid w:val="00485191"/>
    <w:rsid w:val="004856ED"/>
    <w:rsid w:val="00486163"/>
    <w:rsid w:val="00487582"/>
    <w:rsid w:val="00490265"/>
    <w:rsid w:val="004907A6"/>
    <w:rsid w:val="00490DD3"/>
    <w:rsid w:val="00491F2C"/>
    <w:rsid w:val="00493714"/>
    <w:rsid w:val="004940F2"/>
    <w:rsid w:val="00495800"/>
    <w:rsid w:val="004964F8"/>
    <w:rsid w:val="00497FE2"/>
    <w:rsid w:val="004A0B8C"/>
    <w:rsid w:val="004A178E"/>
    <w:rsid w:val="004A24E8"/>
    <w:rsid w:val="004A3057"/>
    <w:rsid w:val="004A3FEE"/>
    <w:rsid w:val="004A4E70"/>
    <w:rsid w:val="004A7413"/>
    <w:rsid w:val="004A7B72"/>
    <w:rsid w:val="004B009A"/>
    <w:rsid w:val="004B02FE"/>
    <w:rsid w:val="004B093C"/>
    <w:rsid w:val="004B1D50"/>
    <w:rsid w:val="004B2CC4"/>
    <w:rsid w:val="004B7CA4"/>
    <w:rsid w:val="004C19B8"/>
    <w:rsid w:val="004C2EB9"/>
    <w:rsid w:val="004C3061"/>
    <w:rsid w:val="004C30AE"/>
    <w:rsid w:val="004C36A0"/>
    <w:rsid w:val="004C3E81"/>
    <w:rsid w:val="004C5C9E"/>
    <w:rsid w:val="004C6332"/>
    <w:rsid w:val="004C752E"/>
    <w:rsid w:val="004C7695"/>
    <w:rsid w:val="004C7A14"/>
    <w:rsid w:val="004D006C"/>
    <w:rsid w:val="004D0102"/>
    <w:rsid w:val="004D0429"/>
    <w:rsid w:val="004D08B4"/>
    <w:rsid w:val="004D0E6D"/>
    <w:rsid w:val="004D192C"/>
    <w:rsid w:val="004D2769"/>
    <w:rsid w:val="004D3CA9"/>
    <w:rsid w:val="004D3EE9"/>
    <w:rsid w:val="004D3F25"/>
    <w:rsid w:val="004D550C"/>
    <w:rsid w:val="004D56FB"/>
    <w:rsid w:val="004D5968"/>
    <w:rsid w:val="004D7336"/>
    <w:rsid w:val="004E110D"/>
    <w:rsid w:val="004E2860"/>
    <w:rsid w:val="004E29FD"/>
    <w:rsid w:val="004E3143"/>
    <w:rsid w:val="004E3724"/>
    <w:rsid w:val="004E46A0"/>
    <w:rsid w:val="004E5320"/>
    <w:rsid w:val="004E60FA"/>
    <w:rsid w:val="004E6F54"/>
    <w:rsid w:val="004E70D1"/>
    <w:rsid w:val="004F0560"/>
    <w:rsid w:val="004F0E96"/>
    <w:rsid w:val="004F0F24"/>
    <w:rsid w:val="004F158D"/>
    <w:rsid w:val="004F1AAD"/>
    <w:rsid w:val="004F282C"/>
    <w:rsid w:val="004F3F5E"/>
    <w:rsid w:val="004F73EA"/>
    <w:rsid w:val="0050061D"/>
    <w:rsid w:val="005012B2"/>
    <w:rsid w:val="00501E8E"/>
    <w:rsid w:val="00502B77"/>
    <w:rsid w:val="00503A26"/>
    <w:rsid w:val="00503E84"/>
    <w:rsid w:val="00504E8B"/>
    <w:rsid w:val="0050608F"/>
    <w:rsid w:val="00506CFA"/>
    <w:rsid w:val="00511DA3"/>
    <w:rsid w:val="00514115"/>
    <w:rsid w:val="0051472D"/>
    <w:rsid w:val="00515589"/>
    <w:rsid w:val="005166C5"/>
    <w:rsid w:val="00516FE8"/>
    <w:rsid w:val="00524254"/>
    <w:rsid w:val="00524516"/>
    <w:rsid w:val="0052596B"/>
    <w:rsid w:val="005267E3"/>
    <w:rsid w:val="005269DB"/>
    <w:rsid w:val="00526EC7"/>
    <w:rsid w:val="005308E5"/>
    <w:rsid w:val="00530BB1"/>
    <w:rsid w:val="0053123E"/>
    <w:rsid w:val="0053175B"/>
    <w:rsid w:val="00531853"/>
    <w:rsid w:val="00532175"/>
    <w:rsid w:val="00532C03"/>
    <w:rsid w:val="00532EC4"/>
    <w:rsid w:val="0053321A"/>
    <w:rsid w:val="005357A4"/>
    <w:rsid w:val="0053655F"/>
    <w:rsid w:val="00537B28"/>
    <w:rsid w:val="00540E15"/>
    <w:rsid w:val="00542AD1"/>
    <w:rsid w:val="00543914"/>
    <w:rsid w:val="005456AC"/>
    <w:rsid w:val="00545E78"/>
    <w:rsid w:val="00546621"/>
    <w:rsid w:val="005467E8"/>
    <w:rsid w:val="0055053A"/>
    <w:rsid w:val="00550946"/>
    <w:rsid w:val="00551C59"/>
    <w:rsid w:val="00554FF6"/>
    <w:rsid w:val="00555FEB"/>
    <w:rsid w:val="005564E1"/>
    <w:rsid w:val="00556AC5"/>
    <w:rsid w:val="00556F5A"/>
    <w:rsid w:val="00557DDC"/>
    <w:rsid w:val="00557E04"/>
    <w:rsid w:val="00560769"/>
    <w:rsid w:val="00562A79"/>
    <w:rsid w:val="00564833"/>
    <w:rsid w:val="00564B8D"/>
    <w:rsid w:val="00564C0D"/>
    <w:rsid w:val="00564C84"/>
    <w:rsid w:val="00565168"/>
    <w:rsid w:val="00565AF5"/>
    <w:rsid w:val="00565B5B"/>
    <w:rsid w:val="00565D30"/>
    <w:rsid w:val="00566C8D"/>
    <w:rsid w:val="0056710A"/>
    <w:rsid w:val="00567379"/>
    <w:rsid w:val="0057069C"/>
    <w:rsid w:val="00570D07"/>
    <w:rsid w:val="00570FA8"/>
    <w:rsid w:val="0057155E"/>
    <w:rsid w:val="005729DE"/>
    <w:rsid w:val="00573516"/>
    <w:rsid w:val="005737E8"/>
    <w:rsid w:val="00574305"/>
    <w:rsid w:val="00574738"/>
    <w:rsid w:val="005753A8"/>
    <w:rsid w:val="005759DB"/>
    <w:rsid w:val="00575A29"/>
    <w:rsid w:val="00576110"/>
    <w:rsid w:val="005761D3"/>
    <w:rsid w:val="00576230"/>
    <w:rsid w:val="0057782A"/>
    <w:rsid w:val="005819C9"/>
    <w:rsid w:val="00581F1C"/>
    <w:rsid w:val="005841B7"/>
    <w:rsid w:val="0058429F"/>
    <w:rsid w:val="00584DE5"/>
    <w:rsid w:val="005852F4"/>
    <w:rsid w:val="0058531A"/>
    <w:rsid w:val="005853D8"/>
    <w:rsid w:val="00586A5C"/>
    <w:rsid w:val="005871A7"/>
    <w:rsid w:val="00591567"/>
    <w:rsid w:val="005922B9"/>
    <w:rsid w:val="0059289B"/>
    <w:rsid w:val="00592F47"/>
    <w:rsid w:val="00597075"/>
    <w:rsid w:val="00597865"/>
    <w:rsid w:val="00597C58"/>
    <w:rsid w:val="00597C90"/>
    <w:rsid w:val="005A0248"/>
    <w:rsid w:val="005A0E7E"/>
    <w:rsid w:val="005A512B"/>
    <w:rsid w:val="005A6819"/>
    <w:rsid w:val="005A729C"/>
    <w:rsid w:val="005B0A0A"/>
    <w:rsid w:val="005B1B34"/>
    <w:rsid w:val="005B1EF7"/>
    <w:rsid w:val="005B2C45"/>
    <w:rsid w:val="005B3346"/>
    <w:rsid w:val="005B4376"/>
    <w:rsid w:val="005B4A0C"/>
    <w:rsid w:val="005B740A"/>
    <w:rsid w:val="005C0282"/>
    <w:rsid w:val="005C0AA5"/>
    <w:rsid w:val="005C1D93"/>
    <w:rsid w:val="005C2403"/>
    <w:rsid w:val="005D1E77"/>
    <w:rsid w:val="005D34F3"/>
    <w:rsid w:val="005D50A5"/>
    <w:rsid w:val="005D5C42"/>
    <w:rsid w:val="005D6354"/>
    <w:rsid w:val="005D655A"/>
    <w:rsid w:val="005E0FC8"/>
    <w:rsid w:val="005E45BA"/>
    <w:rsid w:val="005E4BD1"/>
    <w:rsid w:val="005E5D55"/>
    <w:rsid w:val="005E6B96"/>
    <w:rsid w:val="005E6D26"/>
    <w:rsid w:val="005E755A"/>
    <w:rsid w:val="005F0B5C"/>
    <w:rsid w:val="005F1000"/>
    <w:rsid w:val="005F115B"/>
    <w:rsid w:val="005F3893"/>
    <w:rsid w:val="005F5CEB"/>
    <w:rsid w:val="005F65E7"/>
    <w:rsid w:val="006012ED"/>
    <w:rsid w:val="00604249"/>
    <w:rsid w:val="006046F4"/>
    <w:rsid w:val="00607B22"/>
    <w:rsid w:val="006109CC"/>
    <w:rsid w:val="00612558"/>
    <w:rsid w:val="00613446"/>
    <w:rsid w:val="00615526"/>
    <w:rsid w:val="00615806"/>
    <w:rsid w:val="006160EB"/>
    <w:rsid w:val="00616271"/>
    <w:rsid w:val="006224DE"/>
    <w:rsid w:val="006226D3"/>
    <w:rsid w:val="00622999"/>
    <w:rsid w:val="00622E00"/>
    <w:rsid w:val="0062461B"/>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157B"/>
    <w:rsid w:val="00642DAC"/>
    <w:rsid w:val="00642F6C"/>
    <w:rsid w:val="006430C3"/>
    <w:rsid w:val="006456C3"/>
    <w:rsid w:val="006472EF"/>
    <w:rsid w:val="00647D43"/>
    <w:rsid w:val="0065011B"/>
    <w:rsid w:val="00650F2C"/>
    <w:rsid w:val="00651302"/>
    <w:rsid w:val="00651BDA"/>
    <w:rsid w:val="00651E51"/>
    <w:rsid w:val="006523DE"/>
    <w:rsid w:val="00652A6C"/>
    <w:rsid w:val="0065306F"/>
    <w:rsid w:val="00653332"/>
    <w:rsid w:val="00653F39"/>
    <w:rsid w:val="00656373"/>
    <w:rsid w:val="00656A3B"/>
    <w:rsid w:val="00656A62"/>
    <w:rsid w:val="00656EBD"/>
    <w:rsid w:val="00657D26"/>
    <w:rsid w:val="00660EA6"/>
    <w:rsid w:val="00661A30"/>
    <w:rsid w:val="006626EC"/>
    <w:rsid w:val="006634DC"/>
    <w:rsid w:val="00663BF9"/>
    <w:rsid w:val="006643A1"/>
    <w:rsid w:val="00664A78"/>
    <w:rsid w:val="0066604E"/>
    <w:rsid w:val="006719BB"/>
    <w:rsid w:val="006726A5"/>
    <w:rsid w:val="006748A8"/>
    <w:rsid w:val="00674E92"/>
    <w:rsid w:val="006758CE"/>
    <w:rsid w:val="00675DA4"/>
    <w:rsid w:val="0067618A"/>
    <w:rsid w:val="006774D8"/>
    <w:rsid w:val="00677C37"/>
    <w:rsid w:val="00681E16"/>
    <w:rsid w:val="006845CB"/>
    <w:rsid w:val="00687AD3"/>
    <w:rsid w:val="00687B1F"/>
    <w:rsid w:val="00690933"/>
    <w:rsid w:val="00692832"/>
    <w:rsid w:val="006942A0"/>
    <w:rsid w:val="006950E9"/>
    <w:rsid w:val="00695832"/>
    <w:rsid w:val="00695BE1"/>
    <w:rsid w:val="0069603A"/>
    <w:rsid w:val="00697209"/>
    <w:rsid w:val="006A0175"/>
    <w:rsid w:val="006A0837"/>
    <w:rsid w:val="006A188E"/>
    <w:rsid w:val="006A260F"/>
    <w:rsid w:val="006A2EFC"/>
    <w:rsid w:val="006A3A14"/>
    <w:rsid w:val="006A4528"/>
    <w:rsid w:val="006A5E0F"/>
    <w:rsid w:val="006A7195"/>
    <w:rsid w:val="006B12E3"/>
    <w:rsid w:val="006B1437"/>
    <w:rsid w:val="006B1CB8"/>
    <w:rsid w:val="006B212A"/>
    <w:rsid w:val="006B2CC4"/>
    <w:rsid w:val="006B309B"/>
    <w:rsid w:val="006B3B78"/>
    <w:rsid w:val="006B3EFA"/>
    <w:rsid w:val="006B42DD"/>
    <w:rsid w:val="006B71BA"/>
    <w:rsid w:val="006B7AD2"/>
    <w:rsid w:val="006B7D55"/>
    <w:rsid w:val="006C06FD"/>
    <w:rsid w:val="006C17B7"/>
    <w:rsid w:val="006C271C"/>
    <w:rsid w:val="006C44D8"/>
    <w:rsid w:val="006C4D4D"/>
    <w:rsid w:val="006C4F79"/>
    <w:rsid w:val="006C6CBB"/>
    <w:rsid w:val="006D070F"/>
    <w:rsid w:val="006D07D3"/>
    <w:rsid w:val="006D46CE"/>
    <w:rsid w:val="006D5B11"/>
    <w:rsid w:val="006D5D36"/>
    <w:rsid w:val="006D62D7"/>
    <w:rsid w:val="006D6B0F"/>
    <w:rsid w:val="006D77DA"/>
    <w:rsid w:val="006E1373"/>
    <w:rsid w:val="006E1852"/>
    <w:rsid w:val="006E2493"/>
    <w:rsid w:val="006E3C7D"/>
    <w:rsid w:val="006E3D07"/>
    <w:rsid w:val="006E43AF"/>
    <w:rsid w:val="006E45F7"/>
    <w:rsid w:val="006E53B6"/>
    <w:rsid w:val="006F0FD0"/>
    <w:rsid w:val="006F1AC8"/>
    <w:rsid w:val="006F255C"/>
    <w:rsid w:val="006F2772"/>
    <w:rsid w:val="006F3984"/>
    <w:rsid w:val="006F3EC4"/>
    <w:rsid w:val="006F4002"/>
    <w:rsid w:val="006F4810"/>
    <w:rsid w:val="006F4BC0"/>
    <w:rsid w:val="006F5F8C"/>
    <w:rsid w:val="006F76EC"/>
    <w:rsid w:val="00700E2A"/>
    <w:rsid w:val="00700EDE"/>
    <w:rsid w:val="00701AED"/>
    <w:rsid w:val="00702262"/>
    <w:rsid w:val="00702B5A"/>
    <w:rsid w:val="00702F9F"/>
    <w:rsid w:val="00706175"/>
    <w:rsid w:val="0071240E"/>
    <w:rsid w:val="0071283D"/>
    <w:rsid w:val="00712F62"/>
    <w:rsid w:val="00713A56"/>
    <w:rsid w:val="00714813"/>
    <w:rsid w:val="0071491B"/>
    <w:rsid w:val="00717276"/>
    <w:rsid w:val="007202D5"/>
    <w:rsid w:val="0072046E"/>
    <w:rsid w:val="007222DB"/>
    <w:rsid w:val="0072316A"/>
    <w:rsid w:val="007246EE"/>
    <w:rsid w:val="00724A1C"/>
    <w:rsid w:val="0073155B"/>
    <w:rsid w:val="007315AB"/>
    <w:rsid w:val="00733A2F"/>
    <w:rsid w:val="00736172"/>
    <w:rsid w:val="00737881"/>
    <w:rsid w:val="00737B33"/>
    <w:rsid w:val="0074005F"/>
    <w:rsid w:val="0074121D"/>
    <w:rsid w:val="00743198"/>
    <w:rsid w:val="00743305"/>
    <w:rsid w:val="007437FC"/>
    <w:rsid w:val="00743DAE"/>
    <w:rsid w:val="00746780"/>
    <w:rsid w:val="00746D97"/>
    <w:rsid w:val="00747357"/>
    <w:rsid w:val="00747D97"/>
    <w:rsid w:val="00751A70"/>
    <w:rsid w:val="007520B1"/>
    <w:rsid w:val="007527F4"/>
    <w:rsid w:val="00753327"/>
    <w:rsid w:val="007533EB"/>
    <w:rsid w:val="00755115"/>
    <w:rsid w:val="007574E0"/>
    <w:rsid w:val="00760416"/>
    <w:rsid w:val="007653BF"/>
    <w:rsid w:val="007677C1"/>
    <w:rsid w:val="00771D3C"/>
    <w:rsid w:val="00772D4D"/>
    <w:rsid w:val="00772E38"/>
    <w:rsid w:val="0077370B"/>
    <w:rsid w:val="00773E8A"/>
    <w:rsid w:val="007756C0"/>
    <w:rsid w:val="0077613F"/>
    <w:rsid w:val="0077623D"/>
    <w:rsid w:val="007763AD"/>
    <w:rsid w:val="00780331"/>
    <w:rsid w:val="007807A9"/>
    <w:rsid w:val="007808CE"/>
    <w:rsid w:val="007825D2"/>
    <w:rsid w:val="007830C3"/>
    <w:rsid w:val="007834C9"/>
    <w:rsid w:val="00784B4B"/>
    <w:rsid w:val="00784FDA"/>
    <w:rsid w:val="00786567"/>
    <w:rsid w:val="00790888"/>
    <w:rsid w:val="00790B83"/>
    <w:rsid w:val="00790DE5"/>
    <w:rsid w:val="00792066"/>
    <w:rsid w:val="007A097C"/>
    <w:rsid w:val="007A0D40"/>
    <w:rsid w:val="007A166F"/>
    <w:rsid w:val="007A1AA6"/>
    <w:rsid w:val="007A1EC1"/>
    <w:rsid w:val="007A20C4"/>
    <w:rsid w:val="007A2438"/>
    <w:rsid w:val="007A3627"/>
    <w:rsid w:val="007A6813"/>
    <w:rsid w:val="007A7E39"/>
    <w:rsid w:val="007B0FD7"/>
    <w:rsid w:val="007B1705"/>
    <w:rsid w:val="007B1D1F"/>
    <w:rsid w:val="007B20D3"/>
    <w:rsid w:val="007B3011"/>
    <w:rsid w:val="007B3E71"/>
    <w:rsid w:val="007B52A6"/>
    <w:rsid w:val="007B647F"/>
    <w:rsid w:val="007B6A84"/>
    <w:rsid w:val="007B6D9E"/>
    <w:rsid w:val="007B6E56"/>
    <w:rsid w:val="007C0722"/>
    <w:rsid w:val="007C0CA3"/>
    <w:rsid w:val="007C14C0"/>
    <w:rsid w:val="007C2188"/>
    <w:rsid w:val="007C26B5"/>
    <w:rsid w:val="007C277F"/>
    <w:rsid w:val="007C2840"/>
    <w:rsid w:val="007C377E"/>
    <w:rsid w:val="007C435B"/>
    <w:rsid w:val="007C47E6"/>
    <w:rsid w:val="007C4CE8"/>
    <w:rsid w:val="007C5711"/>
    <w:rsid w:val="007C59A1"/>
    <w:rsid w:val="007C728C"/>
    <w:rsid w:val="007C7B01"/>
    <w:rsid w:val="007D0941"/>
    <w:rsid w:val="007D16C1"/>
    <w:rsid w:val="007D3C28"/>
    <w:rsid w:val="007D3DD0"/>
    <w:rsid w:val="007D5C87"/>
    <w:rsid w:val="007D5CAA"/>
    <w:rsid w:val="007D70E3"/>
    <w:rsid w:val="007E2616"/>
    <w:rsid w:val="007E3363"/>
    <w:rsid w:val="007E39BE"/>
    <w:rsid w:val="007E3AE9"/>
    <w:rsid w:val="007E3B8A"/>
    <w:rsid w:val="007E4FE1"/>
    <w:rsid w:val="007E5988"/>
    <w:rsid w:val="007E5EC9"/>
    <w:rsid w:val="007F03F3"/>
    <w:rsid w:val="007F161C"/>
    <w:rsid w:val="007F1A9B"/>
    <w:rsid w:val="007F247C"/>
    <w:rsid w:val="007F3AE9"/>
    <w:rsid w:val="007F5C34"/>
    <w:rsid w:val="007F6781"/>
    <w:rsid w:val="007F6C5F"/>
    <w:rsid w:val="00800B68"/>
    <w:rsid w:val="00801517"/>
    <w:rsid w:val="00802449"/>
    <w:rsid w:val="00803306"/>
    <w:rsid w:val="0080331D"/>
    <w:rsid w:val="00803482"/>
    <w:rsid w:val="00803C9B"/>
    <w:rsid w:val="008047A9"/>
    <w:rsid w:val="008069AC"/>
    <w:rsid w:val="00810099"/>
    <w:rsid w:val="00811382"/>
    <w:rsid w:val="00812B58"/>
    <w:rsid w:val="008131EF"/>
    <w:rsid w:val="00813912"/>
    <w:rsid w:val="00814A30"/>
    <w:rsid w:val="00814BE6"/>
    <w:rsid w:val="00815956"/>
    <w:rsid w:val="00817688"/>
    <w:rsid w:val="0081774A"/>
    <w:rsid w:val="00817CA1"/>
    <w:rsid w:val="008211C2"/>
    <w:rsid w:val="00821C89"/>
    <w:rsid w:val="00821D4C"/>
    <w:rsid w:val="00822ABF"/>
    <w:rsid w:val="00824394"/>
    <w:rsid w:val="0082486A"/>
    <w:rsid w:val="00824A87"/>
    <w:rsid w:val="00825046"/>
    <w:rsid w:val="00826807"/>
    <w:rsid w:val="00826992"/>
    <w:rsid w:val="008272B9"/>
    <w:rsid w:val="00832781"/>
    <w:rsid w:val="008328A3"/>
    <w:rsid w:val="008350AB"/>
    <w:rsid w:val="00836B7B"/>
    <w:rsid w:val="00837048"/>
    <w:rsid w:val="00837188"/>
    <w:rsid w:val="00842134"/>
    <w:rsid w:val="008440DB"/>
    <w:rsid w:val="00844BD0"/>
    <w:rsid w:val="00847709"/>
    <w:rsid w:val="00850425"/>
    <w:rsid w:val="00850919"/>
    <w:rsid w:val="00850BE1"/>
    <w:rsid w:val="0085158C"/>
    <w:rsid w:val="00853E2D"/>
    <w:rsid w:val="00854507"/>
    <w:rsid w:val="00854C50"/>
    <w:rsid w:val="00855BB7"/>
    <w:rsid w:val="008563A3"/>
    <w:rsid w:val="0085749D"/>
    <w:rsid w:val="008600BD"/>
    <w:rsid w:val="0086032B"/>
    <w:rsid w:val="00862881"/>
    <w:rsid w:val="0086335C"/>
    <w:rsid w:val="008637C1"/>
    <w:rsid w:val="00863F8B"/>
    <w:rsid w:val="00864D13"/>
    <w:rsid w:val="00865189"/>
    <w:rsid w:val="00865EA5"/>
    <w:rsid w:val="00865EE8"/>
    <w:rsid w:val="008679D6"/>
    <w:rsid w:val="00870D86"/>
    <w:rsid w:val="00871824"/>
    <w:rsid w:val="00872F14"/>
    <w:rsid w:val="00874B93"/>
    <w:rsid w:val="00875DE0"/>
    <w:rsid w:val="00876B78"/>
    <w:rsid w:val="00877B26"/>
    <w:rsid w:val="008804F2"/>
    <w:rsid w:val="00882156"/>
    <w:rsid w:val="00882E61"/>
    <w:rsid w:val="0088326D"/>
    <w:rsid w:val="00883A4B"/>
    <w:rsid w:val="00883BB2"/>
    <w:rsid w:val="008855A9"/>
    <w:rsid w:val="00887655"/>
    <w:rsid w:val="008876D1"/>
    <w:rsid w:val="0088799E"/>
    <w:rsid w:val="0089079B"/>
    <w:rsid w:val="00893E3E"/>
    <w:rsid w:val="00895293"/>
    <w:rsid w:val="00895B7D"/>
    <w:rsid w:val="00896230"/>
    <w:rsid w:val="00896CDC"/>
    <w:rsid w:val="00896FD1"/>
    <w:rsid w:val="008A007C"/>
    <w:rsid w:val="008A046C"/>
    <w:rsid w:val="008A0953"/>
    <w:rsid w:val="008A1745"/>
    <w:rsid w:val="008A5BEB"/>
    <w:rsid w:val="008A5E4F"/>
    <w:rsid w:val="008A78A5"/>
    <w:rsid w:val="008A7907"/>
    <w:rsid w:val="008B2795"/>
    <w:rsid w:val="008B27CC"/>
    <w:rsid w:val="008B2F51"/>
    <w:rsid w:val="008B3745"/>
    <w:rsid w:val="008B4851"/>
    <w:rsid w:val="008B577C"/>
    <w:rsid w:val="008B7873"/>
    <w:rsid w:val="008C09C1"/>
    <w:rsid w:val="008C0A41"/>
    <w:rsid w:val="008C0D8B"/>
    <w:rsid w:val="008C2274"/>
    <w:rsid w:val="008C2BF3"/>
    <w:rsid w:val="008C3EF1"/>
    <w:rsid w:val="008C76F6"/>
    <w:rsid w:val="008D0B9E"/>
    <w:rsid w:val="008D1848"/>
    <w:rsid w:val="008D2A62"/>
    <w:rsid w:val="008D337C"/>
    <w:rsid w:val="008D3ECB"/>
    <w:rsid w:val="008D40AB"/>
    <w:rsid w:val="008D4424"/>
    <w:rsid w:val="008D7607"/>
    <w:rsid w:val="008D7852"/>
    <w:rsid w:val="008E0EB8"/>
    <w:rsid w:val="008E1305"/>
    <w:rsid w:val="008E2831"/>
    <w:rsid w:val="008E2B10"/>
    <w:rsid w:val="008E2B5E"/>
    <w:rsid w:val="008E373B"/>
    <w:rsid w:val="008E38FD"/>
    <w:rsid w:val="008E4675"/>
    <w:rsid w:val="008E4696"/>
    <w:rsid w:val="008E6141"/>
    <w:rsid w:val="008E64AA"/>
    <w:rsid w:val="008E67E1"/>
    <w:rsid w:val="008E70EF"/>
    <w:rsid w:val="008E71A2"/>
    <w:rsid w:val="008E779F"/>
    <w:rsid w:val="008F04DC"/>
    <w:rsid w:val="008F115A"/>
    <w:rsid w:val="008F1D0D"/>
    <w:rsid w:val="008F221A"/>
    <w:rsid w:val="008F271A"/>
    <w:rsid w:val="008F279F"/>
    <w:rsid w:val="008F33EE"/>
    <w:rsid w:val="008F443D"/>
    <w:rsid w:val="008F44E6"/>
    <w:rsid w:val="008F5BDC"/>
    <w:rsid w:val="008F5F79"/>
    <w:rsid w:val="008F6424"/>
    <w:rsid w:val="008F669A"/>
    <w:rsid w:val="008F6D05"/>
    <w:rsid w:val="00900BA6"/>
    <w:rsid w:val="00900D17"/>
    <w:rsid w:val="009014DC"/>
    <w:rsid w:val="009023DE"/>
    <w:rsid w:val="00903A38"/>
    <w:rsid w:val="00904278"/>
    <w:rsid w:val="00904315"/>
    <w:rsid w:val="0090442A"/>
    <w:rsid w:val="0091045A"/>
    <w:rsid w:val="00910AFE"/>
    <w:rsid w:val="00910C49"/>
    <w:rsid w:val="0091122E"/>
    <w:rsid w:val="00911C77"/>
    <w:rsid w:val="00912402"/>
    <w:rsid w:val="0091360C"/>
    <w:rsid w:val="00913A1D"/>
    <w:rsid w:val="00914135"/>
    <w:rsid w:val="00914DA3"/>
    <w:rsid w:val="0091552B"/>
    <w:rsid w:val="009156B2"/>
    <w:rsid w:val="00916197"/>
    <w:rsid w:val="0091791D"/>
    <w:rsid w:val="009179B4"/>
    <w:rsid w:val="00920E8C"/>
    <w:rsid w:val="009225B6"/>
    <w:rsid w:val="009227A4"/>
    <w:rsid w:val="00922F45"/>
    <w:rsid w:val="00926648"/>
    <w:rsid w:val="009267B5"/>
    <w:rsid w:val="0092681A"/>
    <w:rsid w:val="009274DB"/>
    <w:rsid w:val="00930780"/>
    <w:rsid w:val="00930A5A"/>
    <w:rsid w:val="00931299"/>
    <w:rsid w:val="00931828"/>
    <w:rsid w:val="009329BE"/>
    <w:rsid w:val="00932D6A"/>
    <w:rsid w:val="0093567E"/>
    <w:rsid w:val="0093659D"/>
    <w:rsid w:val="00937FA6"/>
    <w:rsid w:val="00940A44"/>
    <w:rsid w:val="00940C63"/>
    <w:rsid w:val="00941EA3"/>
    <w:rsid w:val="00942841"/>
    <w:rsid w:val="0094344B"/>
    <w:rsid w:val="00944CA6"/>
    <w:rsid w:val="009455F8"/>
    <w:rsid w:val="009469CA"/>
    <w:rsid w:val="00946AF3"/>
    <w:rsid w:val="00946C69"/>
    <w:rsid w:val="00946E37"/>
    <w:rsid w:val="00946E57"/>
    <w:rsid w:val="00947BF3"/>
    <w:rsid w:val="0095068D"/>
    <w:rsid w:val="0095106D"/>
    <w:rsid w:val="00956996"/>
    <w:rsid w:val="00956D22"/>
    <w:rsid w:val="009571BD"/>
    <w:rsid w:val="00961E9B"/>
    <w:rsid w:val="00962833"/>
    <w:rsid w:val="00962E5E"/>
    <w:rsid w:val="009637B8"/>
    <w:rsid w:val="00965B3E"/>
    <w:rsid w:val="00965C7F"/>
    <w:rsid w:val="009661BD"/>
    <w:rsid w:val="00967F26"/>
    <w:rsid w:val="00967F89"/>
    <w:rsid w:val="00970E24"/>
    <w:rsid w:val="00972165"/>
    <w:rsid w:val="0097258E"/>
    <w:rsid w:val="00974A29"/>
    <w:rsid w:val="00975021"/>
    <w:rsid w:val="0097636E"/>
    <w:rsid w:val="009816DE"/>
    <w:rsid w:val="00981F0B"/>
    <w:rsid w:val="009837B9"/>
    <w:rsid w:val="009837BA"/>
    <w:rsid w:val="00984151"/>
    <w:rsid w:val="00984982"/>
    <w:rsid w:val="009856EB"/>
    <w:rsid w:val="0098660E"/>
    <w:rsid w:val="0098747C"/>
    <w:rsid w:val="00987544"/>
    <w:rsid w:val="009876E3"/>
    <w:rsid w:val="00990027"/>
    <w:rsid w:val="00992635"/>
    <w:rsid w:val="009954A3"/>
    <w:rsid w:val="00995B90"/>
    <w:rsid w:val="009961A0"/>
    <w:rsid w:val="00996CAE"/>
    <w:rsid w:val="00996D3E"/>
    <w:rsid w:val="009A2385"/>
    <w:rsid w:val="009A45F5"/>
    <w:rsid w:val="009A52E1"/>
    <w:rsid w:val="009A54EE"/>
    <w:rsid w:val="009B03B4"/>
    <w:rsid w:val="009B04E7"/>
    <w:rsid w:val="009B23E4"/>
    <w:rsid w:val="009B2C2E"/>
    <w:rsid w:val="009B3A90"/>
    <w:rsid w:val="009B3D6E"/>
    <w:rsid w:val="009B697A"/>
    <w:rsid w:val="009B7FE0"/>
    <w:rsid w:val="009C10BC"/>
    <w:rsid w:val="009C423A"/>
    <w:rsid w:val="009C61AC"/>
    <w:rsid w:val="009D0CF1"/>
    <w:rsid w:val="009D1433"/>
    <w:rsid w:val="009D1623"/>
    <w:rsid w:val="009D52E2"/>
    <w:rsid w:val="009D5BDA"/>
    <w:rsid w:val="009D5CD7"/>
    <w:rsid w:val="009D6E0C"/>
    <w:rsid w:val="009D7092"/>
    <w:rsid w:val="009D74AD"/>
    <w:rsid w:val="009E1613"/>
    <w:rsid w:val="009E3CA9"/>
    <w:rsid w:val="009E4191"/>
    <w:rsid w:val="009E4AFF"/>
    <w:rsid w:val="009E4F2A"/>
    <w:rsid w:val="009E5C03"/>
    <w:rsid w:val="009E66D3"/>
    <w:rsid w:val="009E76CC"/>
    <w:rsid w:val="009F0780"/>
    <w:rsid w:val="009F0D46"/>
    <w:rsid w:val="009F0DE7"/>
    <w:rsid w:val="009F1898"/>
    <w:rsid w:val="009F3071"/>
    <w:rsid w:val="009F35BE"/>
    <w:rsid w:val="009F4E89"/>
    <w:rsid w:val="009F6782"/>
    <w:rsid w:val="00A011C4"/>
    <w:rsid w:val="00A013DA"/>
    <w:rsid w:val="00A02B03"/>
    <w:rsid w:val="00A03F72"/>
    <w:rsid w:val="00A049BE"/>
    <w:rsid w:val="00A04C5C"/>
    <w:rsid w:val="00A06579"/>
    <w:rsid w:val="00A0658C"/>
    <w:rsid w:val="00A06CF4"/>
    <w:rsid w:val="00A102AD"/>
    <w:rsid w:val="00A10983"/>
    <w:rsid w:val="00A10E01"/>
    <w:rsid w:val="00A11C18"/>
    <w:rsid w:val="00A11E61"/>
    <w:rsid w:val="00A12A4E"/>
    <w:rsid w:val="00A13044"/>
    <w:rsid w:val="00A138FF"/>
    <w:rsid w:val="00A151ED"/>
    <w:rsid w:val="00A160B5"/>
    <w:rsid w:val="00A165BD"/>
    <w:rsid w:val="00A16828"/>
    <w:rsid w:val="00A213F5"/>
    <w:rsid w:val="00A234E8"/>
    <w:rsid w:val="00A2393F"/>
    <w:rsid w:val="00A247ED"/>
    <w:rsid w:val="00A271E5"/>
    <w:rsid w:val="00A273D3"/>
    <w:rsid w:val="00A27D95"/>
    <w:rsid w:val="00A27EA2"/>
    <w:rsid w:val="00A27FDA"/>
    <w:rsid w:val="00A3290D"/>
    <w:rsid w:val="00A344C2"/>
    <w:rsid w:val="00A34C88"/>
    <w:rsid w:val="00A35972"/>
    <w:rsid w:val="00A35CE5"/>
    <w:rsid w:val="00A3666F"/>
    <w:rsid w:val="00A40D16"/>
    <w:rsid w:val="00A410F8"/>
    <w:rsid w:val="00A4133D"/>
    <w:rsid w:val="00A429BF"/>
    <w:rsid w:val="00A43E50"/>
    <w:rsid w:val="00A440F8"/>
    <w:rsid w:val="00A4426B"/>
    <w:rsid w:val="00A444F2"/>
    <w:rsid w:val="00A44C01"/>
    <w:rsid w:val="00A47F0F"/>
    <w:rsid w:val="00A505ED"/>
    <w:rsid w:val="00A50FA8"/>
    <w:rsid w:val="00A54074"/>
    <w:rsid w:val="00A54DD2"/>
    <w:rsid w:val="00A556EC"/>
    <w:rsid w:val="00A5750A"/>
    <w:rsid w:val="00A576FA"/>
    <w:rsid w:val="00A61778"/>
    <w:rsid w:val="00A64355"/>
    <w:rsid w:val="00A643AB"/>
    <w:rsid w:val="00A67700"/>
    <w:rsid w:val="00A679AD"/>
    <w:rsid w:val="00A715FB"/>
    <w:rsid w:val="00A76668"/>
    <w:rsid w:val="00A76DF9"/>
    <w:rsid w:val="00A82346"/>
    <w:rsid w:val="00A839F1"/>
    <w:rsid w:val="00A83B31"/>
    <w:rsid w:val="00A843AB"/>
    <w:rsid w:val="00A84519"/>
    <w:rsid w:val="00A852EF"/>
    <w:rsid w:val="00A85685"/>
    <w:rsid w:val="00A8676B"/>
    <w:rsid w:val="00A873F6"/>
    <w:rsid w:val="00A8789D"/>
    <w:rsid w:val="00A87BB6"/>
    <w:rsid w:val="00A90F75"/>
    <w:rsid w:val="00A91F70"/>
    <w:rsid w:val="00A924DE"/>
    <w:rsid w:val="00A93150"/>
    <w:rsid w:val="00A93C8A"/>
    <w:rsid w:val="00A93CE5"/>
    <w:rsid w:val="00A9403B"/>
    <w:rsid w:val="00A9416E"/>
    <w:rsid w:val="00A94B78"/>
    <w:rsid w:val="00A95030"/>
    <w:rsid w:val="00A95046"/>
    <w:rsid w:val="00A9543E"/>
    <w:rsid w:val="00A969E2"/>
    <w:rsid w:val="00A9709A"/>
    <w:rsid w:val="00A97815"/>
    <w:rsid w:val="00A978E6"/>
    <w:rsid w:val="00A97ED5"/>
    <w:rsid w:val="00AA1A8B"/>
    <w:rsid w:val="00AA238C"/>
    <w:rsid w:val="00AA3D7C"/>
    <w:rsid w:val="00AB0D15"/>
    <w:rsid w:val="00AB1910"/>
    <w:rsid w:val="00AB1C92"/>
    <w:rsid w:val="00AB2B60"/>
    <w:rsid w:val="00AB331D"/>
    <w:rsid w:val="00AB3AB3"/>
    <w:rsid w:val="00AB6117"/>
    <w:rsid w:val="00AB6F38"/>
    <w:rsid w:val="00AB7053"/>
    <w:rsid w:val="00AB749B"/>
    <w:rsid w:val="00AB7CE1"/>
    <w:rsid w:val="00AC0006"/>
    <w:rsid w:val="00AC12AE"/>
    <w:rsid w:val="00AC1905"/>
    <w:rsid w:val="00AC2931"/>
    <w:rsid w:val="00AC3767"/>
    <w:rsid w:val="00AC38E7"/>
    <w:rsid w:val="00AC495F"/>
    <w:rsid w:val="00AC5635"/>
    <w:rsid w:val="00AC58A3"/>
    <w:rsid w:val="00AC7176"/>
    <w:rsid w:val="00AC78CF"/>
    <w:rsid w:val="00AD10C5"/>
    <w:rsid w:val="00AD27F5"/>
    <w:rsid w:val="00AD3D98"/>
    <w:rsid w:val="00AD407F"/>
    <w:rsid w:val="00AD41DD"/>
    <w:rsid w:val="00AD5FEB"/>
    <w:rsid w:val="00AD66B6"/>
    <w:rsid w:val="00AE109F"/>
    <w:rsid w:val="00AE1AD1"/>
    <w:rsid w:val="00AE1C6A"/>
    <w:rsid w:val="00AE238D"/>
    <w:rsid w:val="00AE37A4"/>
    <w:rsid w:val="00AE74EE"/>
    <w:rsid w:val="00AE7D61"/>
    <w:rsid w:val="00AF0394"/>
    <w:rsid w:val="00AF099F"/>
    <w:rsid w:val="00AF1C67"/>
    <w:rsid w:val="00AF2F2B"/>
    <w:rsid w:val="00AF3753"/>
    <w:rsid w:val="00AF3E13"/>
    <w:rsid w:val="00AF5338"/>
    <w:rsid w:val="00AF5694"/>
    <w:rsid w:val="00AF7467"/>
    <w:rsid w:val="00B00C58"/>
    <w:rsid w:val="00B01BDE"/>
    <w:rsid w:val="00B03655"/>
    <w:rsid w:val="00B0573B"/>
    <w:rsid w:val="00B074F7"/>
    <w:rsid w:val="00B07B8B"/>
    <w:rsid w:val="00B10D9D"/>
    <w:rsid w:val="00B127DC"/>
    <w:rsid w:val="00B1399D"/>
    <w:rsid w:val="00B1419A"/>
    <w:rsid w:val="00B161D9"/>
    <w:rsid w:val="00B16924"/>
    <w:rsid w:val="00B16A34"/>
    <w:rsid w:val="00B17073"/>
    <w:rsid w:val="00B17421"/>
    <w:rsid w:val="00B17E6D"/>
    <w:rsid w:val="00B17F54"/>
    <w:rsid w:val="00B205BE"/>
    <w:rsid w:val="00B20C38"/>
    <w:rsid w:val="00B24669"/>
    <w:rsid w:val="00B24CD1"/>
    <w:rsid w:val="00B24DED"/>
    <w:rsid w:val="00B26CD0"/>
    <w:rsid w:val="00B274D6"/>
    <w:rsid w:val="00B27721"/>
    <w:rsid w:val="00B27751"/>
    <w:rsid w:val="00B3095A"/>
    <w:rsid w:val="00B318A4"/>
    <w:rsid w:val="00B33921"/>
    <w:rsid w:val="00B3428E"/>
    <w:rsid w:val="00B352BC"/>
    <w:rsid w:val="00B35E7E"/>
    <w:rsid w:val="00B372F0"/>
    <w:rsid w:val="00B37C56"/>
    <w:rsid w:val="00B417B5"/>
    <w:rsid w:val="00B41CF9"/>
    <w:rsid w:val="00B42677"/>
    <w:rsid w:val="00B4528A"/>
    <w:rsid w:val="00B458F6"/>
    <w:rsid w:val="00B46694"/>
    <w:rsid w:val="00B46FFC"/>
    <w:rsid w:val="00B50D87"/>
    <w:rsid w:val="00B5283F"/>
    <w:rsid w:val="00B53126"/>
    <w:rsid w:val="00B57128"/>
    <w:rsid w:val="00B57B90"/>
    <w:rsid w:val="00B62456"/>
    <w:rsid w:val="00B62790"/>
    <w:rsid w:val="00B629CD"/>
    <w:rsid w:val="00B62F7C"/>
    <w:rsid w:val="00B64A25"/>
    <w:rsid w:val="00B6567C"/>
    <w:rsid w:val="00B661EC"/>
    <w:rsid w:val="00B6696B"/>
    <w:rsid w:val="00B671AF"/>
    <w:rsid w:val="00B67E73"/>
    <w:rsid w:val="00B72D35"/>
    <w:rsid w:val="00B73134"/>
    <w:rsid w:val="00B73B59"/>
    <w:rsid w:val="00B74CFF"/>
    <w:rsid w:val="00B761DC"/>
    <w:rsid w:val="00B777DC"/>
    <w:rsid w:val="00B778B6"/>
    <w:rsid w:val="00B816D5"/>
    <w:rsid w:val="00B81C86"/>
    <w:rsid w:val="00B8219B"/>
    <w:rsid w:val="00B84D0F"/>
    <w:rsid w:val="00B85CB9"/>
    <w:rsid w:val="00B86ACD"/>
    <w:rsid w:val="00B86C6A"/>
    <w:rsid w:val="00B8777E"/>
    <w:rsid w:val="00B9008D"/>
    <w:rsid w:val="00B91F88"/>
    <w:rsid w:val="00B920E9"/>
    <w:rsid w:val="00B95AC1"/>
    <w:rsid w:val="00B972D5"/>
    <w:rsid w:val="00BA0663"/>
    <w:rsid w:val="00BA08DC"/>
    <w:rsid w:val="00BA0A6D"/>
    <w:rsid w:val="00BA6230"/>
    <w:rsid w:val="00BA71DE"/>
    <w:rsid w:val="00BA798F"/>
    <w:rsid w:val="00BB0484"/>
    <w:rsid w:val="00BB1073"/>
    <w:rsid w:val="00BB196F"/>
    <w:rsid w:val="00BB491B"/>
    <w:rsid w:val="00BB4EBB"/>
    <w:rsid w:val="00BB5D2A"/>
    <w:rsid w:val="00BB711D"/>
    <w:rsid w:val="00BB73D8"/>
    <w:rsid w:val="00BB7B84"/>
    <w:rsid w:val="00BC4132"/>
    <w:rsid w:val="00BC43DE"/>
    <w:rsid w:val="00BC5AE5"/>
    <w:rsid w:val="00BC66F7"/>
    <w:rsid w:val="00BC6FE3"/>
    <w:rsid w:val="00BD0B83"/>
    <w:rsid w:val="00BD225F"/>
    <w:rsid w:val="00BD27FF"/>
    <w:rsid w:val="00BD329E"/>
    <w:rsid w:val="00BD44AE"/>
    <w:rsid w:val="00BD641D"/>
    <w:rsid w:val="00BE1A3D"/>
    <w:rsid w:val="00BE1E28"/>
    <w:rsid w:val="00BE2432"/>
    <w:rsid w:val="00BE315A"/>
    <w:rsid w:val="00BE3C9B"/>
    <w:rsid w:val="00BE458C"/>
    <w:rsid w:val="00BE5DEB"/>
    <w:rsid w:val="00BF01C8"/>
    <w:rsid w:val="00BF02E0"/>
    <w:rsid w:val="00BF03E4"/>
    <w:rsid w:val="00BF1067"/>
    <w:rsid w:val="00BF4692"/>
    <w:rsid w:val="00BF4E51"/>
    <w:rsid w:val="00BF54AF"/>
    <w:rsid w:val="00BF69B9"/>
    <w:rsid w:val="00BF7CEC"/>
    <w:rsid w:val="00C010F2"/>
    <w:rsid w:val="00C0135E"/>
    <w:rsid w:val="00C017FB"/>
    <w:rsid w:val="00C044E4"/>
    <w:rsid w:val="00C04696"/>
    <w:rsid w:val="00C074F2"/>
    <w:rsid w:val="00C07D29"/>
    <w:rsid w:val="00C13461"/>
    <w:rsid w:val="00C13FFE"/>
    <w:rsid w:val="00C141BA"/>
    <w:rsid w:val="00C167D3"/>
    <w:rsid w:val="00C16B1E"/>
    <w:rsid w:val="00C177C8"/>
    <w:rsid w:val="00C20B16"/>
    <w:rsid w:val="00C22077"/>
    <w:rsid w:val="00C220EE"/>
    <w:rsid w:val="00C22111"/>
    <w:rsid w:val="00C22A33"/>
    <w:rsid w:val="00C22C9F"/>
    <w:rsid w:val="00C22EF9"/>
    <w:rsid w:val="00C23BA3"/>
    <w:rsid w:val="00C23FA9"/>
    <w:rsid w:val="00C24220"/>
    <w:rsid w:val="00C25697"/>
    <w:rsid w:val="00C3069F"/>
    <w:rsid w:val="00C314A7"/>
    <w:rsid w:val="00C32C09"/>
    <w:rsid w:val="00C32E16"/>
    <w:rsid w:val="00C34157"/>
    <w:rsid w:val="00C34AC1"/>
    <w:rsid w:val="00C350F7"/>
    <w:rsid w:val="00C36242"/>
    <w:rsid w:val="00C36F56"/>
    <w:rsid w:val="00C379BA"/>
    <w:rsid w:val="00C37FDA"/>
    <w:rsid w:val="00C4130D"/>
    <w:rsid w:val="00C42C11"/>
    <w:rsid w:val="00C42E98"/>
    <w:rsid w:val="00C43757"/>
    <w:rsid w:val="00C43FE4"/>
    <w:rsid w:val="00C448E0"/>
    <w:rsid w:val="00C46276"/>
    <w:rsid w:val="00C4638B"/>
    <w:rsid w:val="00C52470"/>
    <w:rsid w:val="00C52770"/>
    <w:rsid w:val="00C52B2B"/>
    <w:rsid w:val="00C54DAA"/>
    <w:rsid w:val="00C554A3"/>
    <w:rsid w:val="00C55F9C"/>
    <w:rsid w:val="00C57EE8"/>
    <w:rsid w:val="00C63004"/>
    <w:rsid w:val="00C643E2"/>
    <w:rsid w:val="00C64A14"/>
    <w:rsid w:val="00C64B1C"/>
    <w:rsid w:val="00C656A0"/>
    <w:rsid w:val="00C659B1"/>
    <w:rsid w:val="00C66584"/>
    <w:rsid w:val="00C66C32"/>
    <w:rsid w:val="00C70250"/>
    <w:rsid w:val="00C70E82"/>
    <w:rsid w:val="00C7130F"/>
    <w:rsid w:val="00C72CEB"/>
    <w:rsid w:val="00C7302A"/>
    <w:rsid w:val="00C73209"/>
    <w:rsid w:val="00C73A04"/>
    <w:rsid w:val="00C74F21"/>
    <w:rsid w:val="00C7560E"/>
    <w:rsid w:val="00C761FD"/>
    <w:rsid w:val="00C762F4"/>
    <w:rsid w:val="00C76FE5"/>
    <w:rsid w:val="00C833B0"/>
    <w:rsid w:val="00C84700"/>
    <w:rsid w:val="00C85236"/>
    <w:rsid w:val="00C8595A"/>
    <w:rsid w:val="00C86B02"/>
    <w:rsid w:val="00C86E5D"/>
    <w:rsid w:val="00C86FEF"/>
    <w:rsid w:val="00C87DEC"/>
    <w:rsid w:val="00C9066A"/>
    <w:rsid w:val="00C91ACC"/>
    <w:rsid w:val="00C92850"/>
    <w:rsid w:val="00C9429F"/>
    <w:rsid w:val="00C95850"/>
    <w:rsid w:val="00C959C2"/>
    <w:rsid w:val="00C962A7"/>
    <w:rsid w:val="00C96731"/>
    <w:rsid w:val="00C96B0D"/>
    <w:rsid w:val="00CA0513"/>
    <w:rsid w:val="00CA08D1"/>
    <w:rsid w:val="00CA1284"/>
    <w:rsid w:val="00CA1ABB"/>
    <w:rsid w:val="00CA394C"/>
    <w:rsid w:val="00CA3F9A"/>
    <w:rsid w:val="00CA4F79"/>
    <w:rsid w:val="00CA5E67"/>
    <w:rsid w:val="00CA7026"/>
    <w:rsid w:val="00CB132D"/>
    <w:rsid w:val="00CB5201"/>
    <w:rsid w:val="00CB5610"/>
    <w:rsid w:val="00CB5AE1"/>
    <w:rsid w:val="00CB64F4"/>
    <w:rsid w:val="00CC093D"/>
    <w:rsid w:val="00CC11B1"/>
    <w:rsid w:val="00CC1ED1"/>
    <w:rsid w:val="00CC2E77"/>
    <w:rsid w:val="00CC2E7A"/>
    <w:rsid w:val="00CC311D"/>
    <w:rsid w:val="00CC3409"/>
    <w:rsid w:val="00CC4111"/>
    <w:rsid w:val="00CC485A"/>
    <w:rsid w:val="00CC7109"/>
    <w:rsid w:val="00CD0E0B"/>
    <w:rsid w:val="00CD127E"/>
    <w:rsid w:val="00CD2371"/>
    <w:rsid w:val="00CD261A"/>
    <w:rsid w:val="00CD3395"/>
    <w:rsid w:val="00CD430F"/>
    <w:rsid w:val="00CD5F94"/>
    <w:rsid w:val="00CD5FBB"/>
    <w:rsid w:val="00CD6DA7"/>
    <w:rsid w:val="00CE00E9"/>
    <w:rsid w:val="00CE09C0"/>
    <w:rsid w:val="00CE0E2E"/>
    <w:rsid w:val="00CE10A6"/>
    <w:rsid w:val="00CE13F7"/>
    <w:rsid w:val="00CE1C93"/>
    <w:rsid w:val="00CE1D24"/>
    <w:rsid w:val="00CE3BE8"/>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2CD"/>
    <w:rsid w:val="00D07D94"/>
    <w:rsid w:val="00D07DD8"/>
    <w:rsid w:val="00D07E97"/>
    <w:rsid w:val="00D12BCF"/>
    <w:rsid w:val="00D13A35"/>
    <w:rsid w:val="00D13BFC"/>
    <w:rsid w:val="00D15A21"/>
    <w:rsid w:val="00D16F07"/>
    <w:rsid w:val="00D20661"/>
    <w:rsid w:val="00D2253E"/>
    <w:rsid w:val="00D23733"/>
    <w:rsid w:val="00D23A63"/>
    <w:rsid w:val="00D23E03"/>
    <w:rsid w:val="00D24329"/>
    <w:rsid w:val="00D253D9"/>
    <w:rsid w:val="00D26514"/>
    <w:rsid w:val="00D30F64"/>
    <w:rsid w:val="00D338AD"/>
    <w:rsid w:val="00D3630D"/>
    <w:rsid w:val="00D36AEB"/>
    <w:rsid w:val="00D36BA8"/>
    <w:rsid w:val="00D4152E"/>
    <w:rsid w:val="00D41B5C"/>
    <w:rsid w:val="00D41D37"/>
    <w:rsid w:val="00D42EEE"/>
    <w:rsid w:val="00D44F1A"/>
    <w:rsid w:val="00D45DBE"/>
    <w:rsid w:val="00D4657B"/>
    <w:rsid w:val="00D46CDD"/>
    <w:rsid w:val="00D47D2F"/>
    <w:rsid w:val="00D51212"/>
    <w:rsid w:val="00D51D8C"/>
    <w:rsid w:val="00D51E9F"/>
    <w:rsid w:val="00D525A1"/>
    <w:rsid w:val="00D53FA7"/>
    <w:rsid w:val="00D542BF"/>
    <w:rsid w:val="00D55E24"/>
    <w:rsid w:val="00D5706F"/>
    <w:rsid w:val="00D61499"/>
    <w:rsid w:val="00D614DC"/>
    <w:rsid w:val="00D61909"/>
    <w:rsid w:val="00D61C74"/>
    <w:rsid w:val="00D627C9"/>
    <w:rsid w:val="00D6395C"/>
    <w:rsid w:val="00D64812"/>
    <w:rsid w:val="00D64971"/>
    <w:rsid w:val="00D66453"/>
    <w:rsid w:val="00D66799"/>
    <w:rsid w:val="00D671AC"/>
    <w:rsid w:val="00D67319"/>
    <w:rsid w:val="00D700D5"/>
    <w:rsid w:val="00D712AB"/>
    <w:rsid w:val="00D719BD"/>
    <w:rsid w:val="00D72578"/>
    <w:rsid w:val="00D728E3"/>
    <w:rsid w:val="00D731DD"/>
    <w:rsid w:val="00D7460C"/>
    <w:rsid w:val="00D7484D"/>
    <w:rsid w:val="00D768DD"/>
    <w:rsid w:val="00D76E4A"/>
    <w:rsid w:val="00D76EB9"/>
    <w:rsid w:val="00D76F42"/>
    <w:rsid w:val="00D774F7"/>
    <w:rsid w:val="00D814C1"/>
    <w:rsid w:val="00D8173B"/>
    <w:rsid w:val="00D81A51"/>
    <w:rsid w:val="00D8304C"/>
    <w:rsid w:val="00D83CB6"/>
    <w:rsid w:val="00D83DE2"/>
    <w:rsid w:val="00D86073"/>
    <w:rsid w:val="00D867B7"/>
    <w:rsid w:val="00D878CA"/>
    <w:rsid w:val="00D90A70"/>
    <w:rsid w:val="00D91599"/>
    <w:rsid w:val="00D91B5C"/>
    <w:rsid w:val="00D91C9F"/>
    <w:rsid w:val="00D92119"/>
    <w:rsid w:val="00D92703"/>
    <w:rsid w:val="00D92B4B"/>
    <w:rsid w:val="00D93EB7"/>
    <w:rsid w:val="00D94438"/>
    <w:rsid w:val="00D94B81"/>
    <w:rsid w:val="00D950A3"/>
    <w:rsid w:val="00D9630E"/>
    <w:rsid w:val="00D96B8E"/>
    <w:rsid w:val="00D96C38"/>
    <w:rsid w:val="00D97317"/>
    <w:rsid w:val="00D9743F"/>
    <w:rsid w:val="00D97FA0"/>
    <w:rsid w:val="00DA4932"/>
    <w:rsid w:val="00DA4BD9"/>
    <w:rsid w:val="00DA5154"/>
    <w:rsid w:val="00DA6860"/>
    <w:rsid w:val="00DA6D2F"/>
    <w:rsid w:val="00DA6E93"/>
    <w:rsid w:val="00DA6F52"/>
    <w:rsid w:val="00DA72ED"/>
    <w:rsid w:val="00DB42D5"/>
    <w:rsid w:val="00DB5F8F"/>
    <w:rsid w:val="00DB6DAF"/>
    <w:rsid w:val="00DC0BD8"/>
    <w:rsid w:val="00DC1826"/>
    <w:rsid w:val="00DC22B1"/>
    <w:rsid w:val="00DC254B"/>
    <w:rsid w:val="00DC25B0"/>
    <w:rsid w:val="00DC2730"/>
    <w:rsid w:val="00DC2AA2"/>
    <w:rsid w:val="00DC3B96"/>
    <w:rsid w:val="00DC439B"/>
    <w:rsid w:val="00DC4B86"/>
    <w:rsid w:val="00DC546B"/>
    <w:rsid w:val="00DC785D"/>
    <w:rsid w:val="00DC7E64"/>
    <w:rsid w:val="00DD0013"/>
    <w:rsid w:val="00DD1336"/>
    <w:rsid w:val="00DD1F3D"/>
    <w:rsid w:val="00DD20B3"/>
    <w:rsid w:val="00DD2DF5"/>
    <w:rsid w:val="00DD3E34"/>
    <w:rsid w:val="00DD4327"/>
    <w:rsid w:val="00DD4BBE"/>
    <w:rsid w:val="00DD561A"/>
    <w:rsid w:val="00DD6F7F"/>
    <w:rsid w:val="00DE03CE"/>
    <w:rsid w:val="00DE0BF3"/>
    <w:rsid w:val="00DE12CD"/>
    <w:rsid w:val="00DE1505"/>
    <w:rsid w:val="00DE301F"/>
    <w:rsid w:val="00DE37DF"/>
    <w:rsid w:val="00DE38BC"/>
    <w:rsid w:val="00DE421D"/>
    <w:rsid w:val="00DE4905"/>
    <w:rsid w:val="00DE6F82"/>
    <w:rsid w:val="00DE76FA"/>
    <w:rsid w:val="00DE7FCC"/>
    <w:rsid w:val="00DE7FED"/>
    <w:rsid w:val="00DF1725"/>
    <w:rsid w:val="00DF200B"/>
    <w:rsid w:val="00DF21E2"/>
    <w:rsid w:val="00DF3814"/>
    <w:rsid w:val="00DF4B4D"/>
    <w:rsid w:val="00DF527D"/>
    <w:rsid w:val="00DF59AD"/>
    <w:rsid w:val="00DF6F3F"/>
    <w:rsid w:val="00DF7696"/>
    <w:rsid w:val="00DF797C"/>
    <w:rsid w:val="00E00477"/>
    <w:rsid w:val="00E00703"/>
    <w:rsid w:val="00E008BF"/>
    <w:rsid w:val="00E02B93"/>
    <w:rsid w:val="00E02F2F"/>
    <w:rsid w:val="00E034C6"/>
    <w:rsid w:val="00E05AE9"/>
    <w:rsid w:val="00E06C21"/>
    <w:rsid w:val="00E06E44"/>
    <w:rsid w:val="00E10910"/>
    <w:rsid w:val="00E1170D"/>
    <w:rsid w:val="00E11A6F"/>
    <w:rsid w:val="00E11B42"/>
    <w:rsid w:val="00E1249A"/>
    <w:rsid w:val="00E124E5"/>
    <w:rsid w:val="00E23056"/>
    <w:rsid w:val="00E2329A"/>
    <w:rsid w:val="00E24818"/>
    <w:rsid w:val="00E2552F"/>
    <w:rsid w:val="00E257B1"/>
    <w:rsid w:val="00E25D1B"/>
    <w:rsid w:val="00E2662D"/>
    <w:rsid w:val="00E26798"/>
    <w:rsid w:val="00E26808"/>
    <w:rsid w:val="00E26A5C"/>
    <w:rsid w:val="00E26BC1"/>
    <w:rsid w:val="00E27F6A"/>
    <w:rsid w:val="00E3026C"/>
    <w:rsid w:val="00E31491"/>
    <w:rsid w:val="00E3178A"/>
    <w:rsid w:val="00E318E0"/>
    <w:rsid w:val="00E326D2"/>
    <w:rsid w:val="00E32C07"/>
    <w:rsid w:val="00E33D69"/>
    <w:rsid w:val="00E346E5"/>
    <w:rsid w:val="00E35AAE"/>
    <w:rsid w:val="00E367FD"/>
    <w:rsid w:val="00E4056B"/>
    <w:rsid w:val="00E40C07"/>
    <w:rsid w:val="00E41228"/>
    <w:rsid w:val="00E41913"/>
    <w:rsid w:val="00E41EED"/>
    <w:rsid w:val="00E43C6C"/>
    <w:rsid w:val="00E44550"/>
    <w:rsid w:val="00E449BA"/>
    <w:rsid w:val="00E44C61"/>
    <w:rsid w:val="00E46994"/>
    <w:rsid w:val="00E46E15"/>
    <w:rsid w:val="00E47FC7"/>
    <w:rsid w:val="00E5043D"/>
    <w:rsid w:val="00E5078A"/>
    <w:rsid w:val="00E50CE8"/>
    <w:rsid w:val="00E5173A"/>
    <w:rsid w:val="00E51EB6"/>
    <w:rsid w:val="00E536D9"/>
    <w:rsid w:val="00E57C14"/>
    <w:rsid w:val="00E610DA"/>
    <w:rsid w:val="00E62569"/>
    <w:rsid w:val="00E62B0D"/>
    <w:rsid w:val="00E6461E"/>
    <w:rsid w:val="00E65F25"/>
    <w:rsid w:val="00E6667A"/>
    <w:rsid w:val="00E71441"/>
    <w:rsid w:val="00E71BF0"/>
    <w:rsid w:val="00E72F89"/>
    <w:rsid w:val="00E7343B"/>
    <w:rsid w:val="00E76547"/>
    <w:rsid w:val="00E76E57"/>
    <w:rsid w:val="00E776FE"/>
    <w:rsid w:val="00E77C2F"/>
    <w:rsid w:val="00E80F43"/>
    <w:rsid w:val="00E818EC"/>
    <w:rsid w:val="00E81A7A"/>
    <w:rsid w:val="00E82B0D"/>
    <w:rsid w:val="00E833C4"/>
    <w:rsid w:val="00E837DF"/>
    <w:rsid w:val="00E8557A"/>
    <w:rsid w:val="00E86BB6"/>
    <w:rsid w:val="00E86D70"/>
    <w:rsid w:val="00E87DED"/>
    <w:rsid w:val="00E92748"/>
    <w:rsid w:val="00E93766"/>
    <w:rsid w:val="00E9412F"/>
    <w:rsid w:val="00E94AF6"/>
    <w:rsid w:val="00E95344"/>
    <w:rsid w:val="00E95806"/>
    <w:rsid w:val="00E95AB8"/>
    <w:rsid w:val="00E963E8"/>
    <w:rsid w:val="00E96BC2"/>
    <w:rsid w:val="00E970D1"/>
    <w:rsid w:val="00E97F7F"/>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64F5"/>
    <w:rsid w:val="00EB71B2"/>
    <w:rsid w:val="00EC06BA"/>
    <w:rsid w:val="00EC08DE"/>
    <w:rsid w:val="00EC21DD"/>
    <w:rsid w:val="00EC29B9"/>
    <w:rsid w:val="00EC3A09"/>
    <w:rsid w:val="00EC3A46"/>
    <w:rsid w:val="00EC6FF1"/>
    <w:rsid w:val="00EC74A0"/>
    <w:rsid w:val="00EC778B"/>
    <w:rsid w:val="00ED1009"/>
    <w:rsid w:val="00ED240E"/>
    <w:rsid w:val="00ED3827"/>
    <w:rsid w:val="00ED42EC"/>
    <w:rsid w:val="00ED4EA5"/>
    <w:rsid w:val="00ED6233"/>
    <w:rsid w:val="00EE40AF"/>
    <w:rsid w:val="00EE4486"/>
    <w:rsid w:val="00EE54EF"/>
    <w:rsid w:val="00EE6733"/>
    <w:rsid w:val="00EE6A95"/>
    <w:rsid w:val="00EE7FFA"/>
    <w:rsid w:val="00EF01DD"/>
    <w:rsid w:val="00EF0F9B"/>
    <w:rsid w:val="00EF1F4E"/>
    <w:rsid w:val="00EF5671"/>
    <w:rsid w:val="00EF5F11"/>
    <w:rsid w:val="00EF61D6"/>
    <w:rsid w:val="00EF61D8"/>
    <w:rsid w:val="00EF64EB"/>
    <w:rsid w:val="00EF6944"/>
    <w:rsid w:val="00EF704A"/>
    <w:rsid w:val="00F0077C"/>
    <w:rsid w:val="00F00CB5"/>
    <w:rsid w:val="00F026C1"/>
    <w:rsid w:val="00F0311C"/>
    <w:rsid w:val="00F03516"/>
    <w:rsid w:val="00F110CE"/>
    <w:rsid w:val="00F12172"/>
    <w:rsid w:val="00F1244D"/>
    <w:rsid w:val="00F16739"/>
    <w:rsid w:val="00F16A4D"/>
    <w:rsid w:val="00F22214"/>
    <w:rsid w:val="00F228AC"/>
    <w:rsid w:val="00F230FB"/>
    <w:rsid w:val="00F232F6"/>
    <w:rsid w:val="00F247F7"/>
    <w:rsid w:val="00F268FA"/>
    <w:rsid w:val="00F26E5A"/>
    <w:rsid w:val="00F30CB3"/>
    <w:rsid w:val="00F30D3E"/>
    <w:rsid w:val="00F33544"/>
    <w:rsid w:val="00F33585"/>
    <w:rsid w:val="00F35D72"/>
    <w:rsid w:val="00F36607"/>
    <w:rsid w:val="00F367DD"/>
    <w:rsid w:val="00F37E2E"/>
    <w:rsid w:val="00F40887"/>
    <w:rsid w:val="00F417E1"/>
    <w:rsid w:val="00F41814"/>
    <w:rsid w:val="00F41C82"/>
    <w:rsid w:val="00F42573"/>
    <w:rsid w:val="00F4274C"/>
    <w:rsid w:val="00F428B1"/>
    <w:rsid w:val="00F43401"/>
    <w:rsid w:val="00F43E37"/>
    <w:rsid w:val="00F44962"/>
    <w:rsid w:val="00F47271"/>
    <w:rsid w:val="00F47FC3"/>
    <w:rsid w:val="00F51D5A"/>
    <w:rsid w:val="00F520EF"/>
    <w:rsid w:val="00F53787"/>
    <w:rsid w:val="00F53D54"/>
    <w:rsid w:val="00F56915"/>
    <w:rsid w:val="00F61DD5"/>
    <w:rsid w:val="00F6471D"/>
    <w:rsid w:val="00F70340"/>
    <w:rsid w:val="00F70D36"/>
    <w:rsid w:val="00F7219B"/>
    <w:rsid w:val="00F72B44"/>
    <w:rsid w:val="00F73B34"/>
    <w:rsid w:val="00F73C21"/>
    <w:rsid w:val="00F73EAA"/>
    <w:rsid w:val="00F74DCA"/>
    <w:rsid w:val="00F7734B"/>
    <w:rsid w:val="00F80FBC"/>
    <w:rsid w:val="00F823A1"/>
    <w:rsid w:val="00F8244E"/>
    <w:rsid w:val="00F832F9"/>
    <w:rsid w:val="00F851BC"/>
    <w:rsid w:val="00F872D0"/>
    <w:rsid w:val="00F902DB"/>
    <w:rsid w:val="00F90C37"/>
    <w:rsid w:val="00F94115"/>
    <w:rsid w:val="00F96976"/>
    <w:rsid w:val="00FA1581"/>
    <w:rsid w:val="00FA2532"/>
    <w:rsid w:val="00FA4135"/>
    <w:rsid w:val="00FA5BBC"/>
    <w:rsid w:val="00FA6B83"/>
    <w:rsid w:val="00FB1234"/>
    <w:rsid w:val="00FB13AC"/>
    <w:rsid w:val="00FB14CC"/>
    <w:rsid w:val="00FB37DA"/>
    <w:rsid w:val="00FB46E4"/>
    <w:rsid w:val="00FB4AB8"/>
    <w:rsid w:val="00FB55EC"/>
    <w:rsid w:val="00FB5F49"/>
    <w:rsid w:val="00FB723D"/>
    <w:rsid w:val="00FC60FB"/>
    <w:rsid w:val="00FC7A1C"/>
    <w:rsid w:val="00FD1AFA"/>
    <w:rsid w:val="00FD1FA9"/>
    <w:rsid w:val="00FD285C"/>
    <w:rsid w:val="00FD305F"/>
    <w:rsid w:val="00FD32EF"/>
    <w:rsid w:val="00FD3537"/>
    <w:rsid w:val="00FD382B"/>
    <w:rsid w:val="00FD4291"/>
    <w:rsid w:val="00FD4BE8"/>
    <w:rsid w:val="00FD5A59"/>
    <w:rsid w:val="00FE10FC"/>
    <w:rsid w:val="00FE1AD3"/>
    <w:rsid w:val="00FE1C97"/>
    <w:rsid w:val="00FE2137"/>
    <w:rsid w:val="00FE7B4A"/>
    <w:rsid w:val="00FE7B50"/>
    <w:rsid w:val="00FF15AB"/>
    <w:rsid w:val="00FF1D6C"/>
    <w:rsid w:val="00FF1F3F"/>
    <w:rsid w:val="00FF20FC"/>
    <w:rsid w:val="00FF2685"/>
    <w:rsid w:val="00FF3412"/>
    <w:rsid w:val="00FF3F08"/>
    <w:rsid w:val="00FF47D8"/>
    <w:rsid w:val="00FF5017"/>
    <w:rsid w:val="00FF525E"/>
    <w:rsid w:val="00FF547C"/>
    <w:rsid w:val="00FF56C0"/>
    <w:rsid w:val="00FF57A6"/>
    <w:rsid w:val="00FF7C29"/>
    <w:rsid w:val="01111915"/>
    <w:rsid w:val="01C91188"/>
    <w:rsid w:val="07FD6432"/>
    <w:rsid w:val="083C5F36"/>
    <w:rsid w:val="0B2F2D85"/>
    <w:rsid w:val="0EC34685"/>
    <w:rsid w:val="0EC7D6F2"/>
    <w:rsid w:val="0FBF6FCA"/>
    <w:rsid w:val="0FE9A04A"/>
    <w:rsid w:val="0FEFD3B2"/>
    <w:rsid w:val="0FFEB770"/>
    <w:rsid w:val="11AA20BD"/>
    <w:rsid w:val="13C41812"/>
    <w:rsid w:val="157A7322"/>
    <w:rsid w:val="16FE2244"/>
    <w:rsid w:val="175D3AFF"/>
    <w:rsid w:val="1B3A4DA1"/>
    <w:rsid w:val="1BA9D3DF"/>
    <w:rsid w:val="1C1906F8"/>
    <w:rsid w:val="1CDB21E7"/>
    <w:rsid w:val="1EBE8FF2"/>
    <w:rsid w:val="21894E00"/>
    <w:rsid w:val="24FE78B3"/>
    <w:rsid w:val="27FDCE00"/>
    <w:rsid w:val="29A93595"/>
    <w:rsid w:val="2AA93797"/>
    <w:rsid w:val="2AD77C89"/>
    <w:rsid w:val="2BAFABC4"/>
    <w:rsid w:val="2BE9ADB7"/>
    <w:rsid w:val="2BF5CE7C"/>
    <w:rsid w:val="2D6A5A84"/>
    <w:rsid w:val="2D77DCA2"/>
    <w:rsid w:val="2EEB0EA8"/>
    <w:rsid w:val="336E24CE"/>
    <w:rsid w:val="37391DA5"/>
    <w:rsid w:val="373F05EC"/>
    <w:rsid w:val="37656885"/>
    <w:rsid w:val="37673038"/>
    <w:rsid w:val="37AF837B"/>
    <w:rsid w:val="37E7CA2F"/>
    <w:rsid w:val="38E73A1B"/>
    <w:rsid w:val="3A7D7463"/>
    <w:rsid w:val="3BBE0719"/>
    <w:rsid w:val="3BFAF6D8"/>
    <w:rsid w:val="3BFF32A0"/>
    <w:rsid w:val="3BFF854B"/>
    <w:rsid w:val="3BFF9450"/>
    <w:rsid w:val="3C3BF76C"/>
    <w:rsid w:val="3D473850"/>
    <w:rsid w:val="3DE2A767"/>
    <w:rsid w:val="3DFB4607"/>
    <w:rsid w:val="3DFE2DF7"/>
    <w:rsid w:val="3E9B26B0"/>
    <w:rsid w:val="3EBFD627"/>
    <w:rsid w:val="3EEC3EAC"/>
    <w:rsid w:val="3F5FAE95"/>
    <w:rsid w:val="3F7CEDF2"/>
    <w:rsid w:val="3FB59AB1"/>
    <w:rsid w:val="3FD3349F"/>
    <w:rsid w:val="3FEB7E1B"/>
    <w:rsid w:val="41B974EE"/>
    <w:rsid w:val="43622EE9"/>
    <w:rsid w:val="437FB735"/>
    <w:rsid w:val="46A8040E"/>
    <w:rsid w:val="470AB4E4"/>
    <w:rsid w:val="47B769CE"/>
    <w:rsid w:val="49BFD948"/>
    <w:rsid w:val="4A3E8979"/>
    <w:rsid w:val="4A671887"/>
    <w:rsid w:val="4B636563"/>
    <w:rsid w:val="4C4A5008"/>
    <w:rsid w:val="4EEF23CD"/>
    <w:rsid w:val="4F753A95"/>
    <w:rsid w:val="4FE6BC0D"/>
    <w:rsid w:val="4FF9AAFE"/>
    <w:rsid w:val="517327C5"/>
    <w:rsid w:val="53D37FD9"/>
    <w:rsid w:val="53F75662"/>
    <w:rsid w:val="56EDED52"/>
    <w:rsid w:val="5769B638"/>
    <w:rsid w:val="595535DC"/>
    <w:rsid w:val="5B07662D"/>
    <w:rsid w:val="5B6DC851"/>
    <w:rsid w:val="5BB82682"/>
    <w:rsid w:val="5BE38204"/>
    <w:rsid w:val="5CFEABA7"/>
    <w:rsid w:val="5D3A15F7"/>
    <w:rsid w:val="5DB7FB5E"/>
    <w:rsid w:val="5DC7880D"/>
    <w:rsid w:val="5DDB970C"/>
    <w:rsid w:val="5DDD7A6C"/>
    <w:rsid w:val="5DDEBC8C"/>
    <w:rsid w:val="5DE510D1"/>
    <w:rsid w:val="5E3755AC"/>
    <w:rsid w:val="5E771777"/>
    <w:rsid w:val="5EBCF43B"/>
    <w:rsid w:val="5EFEC1DF"/>
    <w:rsid w:val="5EFF94F4"/>
    <w:rsid w:val="5F4B269E"/>
    <w:rsid w:val="5F7E74B5"/>
    <w:rsid w:val="5FE74FB7"/>
    <w:rsid w:val="5FF820EF"/>
    <w:rsid w:val="5FFF1DE8"/>
    <w:rsid w:val="62DFBAC0"/>
    <w:rsid w:val="63FD1106"/>
    <w:rsid w:val="65E14304"/>
    <w:rsid w:val="65FF912C"/>
    <w:rsid w:val="67BAC00A"/>
    <w:rsid w:val="6836510A"/>
    <w:rsid w:val="6AAEB840"/>
    <w:rsid w:val="6AB99933"/>
    <w:rsid w:val="6AE94BA4"/>
    <w:rsid w:val="6B6EC457"/>
    <w:rsid w:val="6BB3A1A0"/>
    <w:rsid w:val="6BF73F93"/>
    <w:rsid w:val="6BF820DB"/>
    <w:rsid w:val="6BFE7E81"/>
    <w:rsid w:val="6C7B18A1"/>
    <w:rsid w:val="6CFF9E3E"/>
    <w:rsid w:val="6D1547B0"/>
    <w:rsid w:val="6DEF365E"/>
    <w:rsid w:val="6DF523F6"/>
    <w:rsid w:val="6DFFB24C"/>
    <w:rsid w:val="6E562548"/>
    <w:rsid w:val="6E63A104"/>
    <w:rsid w:val="6E65C701"/>
    <w:rsid w:val="6E7B77B3"/>
    <w:rsid w:val="6E7E9D7B"/>
    <w:rsid w:val="6EB7E0CE"/>
    <w:rsid w:val="6ECF3874"/>
    <w:rsid w:val="6F5F64C8"/>
    <w:rsid w:val="6F6BE807"/>
    <w:rsid w:val="6F7B6CCB"/>
    <w:rsid w:val="6FBF5288"/>
    <w:rsid w:val="6FD4DCB7"/>
    <w:rsid w:val="6FD5C796"/>
    <w:rsid w:val="6FEFEC75"/>
    <w:rsid w:val="6FF7AD86"/>
    <w:rsid w:val="6FFB3430"/>
    <w:rsid w:val="70EF1B6F"/>
    <w:rsid w:val="7297E79F"/>
    <w:rsid w:val="72EF37B8"/>
    <w:rsid w:val="72FE2672"/>
    <w:rsid w:val="733F0D8F"/>
    <w:rsid w:val="7378F13E"/>
    <w:rsid w:val="737D45FE"/>
    <w:rsid w:val="73FB9033"/>
    <w:rsid w:val="73FF58C2"/>
    <w:rsid w:val="74EE8565"/>
    <w:rsid w:val="74EF140D"/>
    <w:rsid w:val="74FEEB15"/>
    <w:rsid w:val="75B61BFB"/>
    <w:rsid w:val="75DE4707"/>
    <w:rsid w:val="75DF9F40"/>
    <w:rsid w:val="75EDF7F6"/>
    <w:rsid w:val="76DFF30F"/>
    <w:rsid w:val="76FE4BDB"/>
    <w:rsid w:val="771F1B0E"/>
    <w:rsid w:val="774FCE43"/>
    <w:rsid w:val="77B6EF2C"/>
    <w:rsid w:val="77DC6027"/>
    <w:rsid w:val="77F7024C"/>
    <w:rsid w:val="77F771AC"/>
    <w:rsid w:val="77FBCB26"/>
    <w:rsid w:val="77FBD494"/>
    <w:rsid w:val="7935C283"/>
    <w:rsid w:val="79DDA095"/>
    <w:rsid w:val="79FD72A1"/>
    <w:rsid w:val="7AC97CDF"/>
    <w:rsid w:val="7AE7FA16"/>
    <w:rsid w:val="7B3B9FEA"/>
    <w:rsid w:val="7B7BDB36"/>
    <w:rsid w:val="7B7DE65F"/>
    <w:rsid w:val="7BBFA99E"/>
    <w:rsid w:val="7BDD557F"/>
    <w:rsid w:val="7BDD9F12"/>
    <w:rsid w:val="7BFB9CD8"/>
    <w:rsid w:val="7BFF40A1"/>
    <w:rsid w:val="7BFF57CA"/>
    <w:rsid w:val="7BFF9C6F"/>
    <w:rsid w:val="7C2E8CC2"/>
    <w:rsid w:val="7C68BA5D"/>
    <w:rsid w:val="7C88F8F5"/>
    <w:rsid w:val="7D68E4C3"/>
    <w:rsid w:val="7D7739DB"/>
    <w:rsid w:val="7D77EBF7"/>
    <w:rsid w:val="7D7A37AC"/>
    <w:rsid w:val="7D7F77B0"/>
    <w:rsid w:val="7D9B656D"/>
    <w:rsid w:val="7DA9AEF7"/>
    <w:rsid w:val="7DFECDC6"/>
    <w:rsid w:val="7E0ECB2A"/>
    <w:rsid w:val="7E5D783A"/>
    <w:rsid w:val="7E7F6677"/>
    <w:rsid w:val="7EB3B968"/>
    <w:rsid w:val="7EE68409"/>
    <w:rsid w:val="7EFC13EF"/>
    <w:rsid w:val="7EFDB75A"/>
    <w:rsid w:val="7F8B1292"/>
    <w:rsid w:val="7F9FBFE8"/>
    <w:rsid w:val="7FAB591A"/>
    <w:rsid w:val="7FB7C5E4"/>
    <w:rsid w:val="7FCD17E9"/>
    <w:rsid w:val="7FDA8924"/>
    <w:rsid w:val="7FEB0515"/>
    <w:rsid w:val="7FEB73C1"/>
    <w:rsid w:val="7FEDCBB0"/>
    <w:rsid w:val="7FEFCA75"/>
    <w:rsid w:val="7FFDFBE5"/>
    <w:rsid w:val="7FFE4407"/>
    <w:rsid w:val="7FFF2682"/>
    <w:rsid w:val="7FFF64A2"/>
    <w:rsid w:val="7FFF6E6B"/>
    <w:rsid w:val="873F95FA"/>
    <w:rsid w:val="89CB5F3E"/>
    <w:rsid w:val="8DCA8AA4"/>
    <w:rsid w:val="8E4FAA04"/>
    <w:rsid w:val="8FFF2BCC"/>
    <w:rsid w:val="97E75DE6"/>
    <w:rsid w:val="9BFDC425"/>
    <w:rsid w:val="9DF712F8"/>
    <w:rsid w:val="9EBE676E"/>
    <w:rsid w:val="9F5FA339"/>
    <w:rsid w:val="9F9353F3"/>
    <w:rsid w:val="9FC573E9"/>
    <w:rsid w:val="9FF301CB"/>
    <w:rsid w:val="A3FFF603"/>
    <w:rsid w:val="A7CEC9CF"/>
    <w:rsid w:val="A7FD4ECD"/>
    <w:rsid w:val="AF5269EF"/>
    <w:rsid w:val="B0EF81AF"/>
    <w:rsid w:val="B2EBB387"/>
    <w:rsid w:val="B5FDB44E"/>
    <w:rsid w:val="B63FB463"/>
    <w:rsid w:val="B6F51FE3"/>
    <w:rsid w:val="B7DE1BA5"/>
    <w:rsid w:val="BAF7D6A3"/>
    <w:rsid w:val="BBCFA89D"/>
    <w:rsid w:val="BBEC894E"/>
    <w:rsid w:val="BD0BD982"/>
    <w:rsid w:val="BDAF31D0"/>
    <w:rsid w:val="BE7DB5BF"/>
    <w:rsid w:val="BEBFC6B0"/>
    <w:rsid w:val="BEFFCA0E"/>
    <w:rsid w:val="BF53FBB8"/>
    <w:rsid w:val="BF586A7A"/>
    <w:rsid w:val="BF618044"/>
    <w:rsid w:val="BF7B19CD"/>
    <w:rsid w:val="BFEABAA6"/>
    <w:rsid w:val="BFF69D15"/>
    <w:rsid w:val="BFFA9EF5"/>
    <w:rsid w:val="BFFF6AF6"/>
    <w:rsid w:val="BFFFBE28"/>
    <w:rsid w:val="C6DF70E6"/>
    <w:rsid w:val="C6EF9788"/>
    <w:rsid w:val="C79F137B"/>
    <w:rsid w:val="CADFF300"/>
    <w:rsid w:val="CDB7A42E"/>
    <w:rsid w:val="CE792DAC"/>
    <w:rsid w:val="CF7F8E23"/>
    <w:rsid w:val="CFD94598"/>
    <w:rsid w:val="CFFDEB44"/>
    <w:rsid w:val="CFFE66EC"/>
    <w:rsid w:val="D5BF231D"/>
    <w:rsid w:val="D5F559B9"/>
    <w:rsid w:val="D5F77564"/>
    <w:rsid w:val="D5FF0363"/>
    <w:rsid w:val="D67CACA9"/>
    <w:rsid w:val="D7D5CD9F"/>
    <w:rsid w:val="D7DCE691"/>
    <w:rsid w:val="D7DEA6B0"/>
    <w:rsid w:val="D7DF065E"/>
    <w:rsid w:val="D7FAF2C7"/>
    <w:rsid w:val="DA6F0F49"/>
    <w:rsid w:val="DA7778D0"/>
    <w:rsid w:val="DB77AF27"/>
    <w:rsid w:val="DB7F8981"/>
    <w:rsid w:val="DB9DE2AF"/>
    <w:rsid w:val="DBBD4F11"/>
    <w:rsid w:val="DBC7A5C6"/>
    <w:rsid w:val="DCB61764"/>
    <w:rsid w:val="DCFF1301"/>
    <w:rsid w:val="DDA9CAFF"/>
    <w:rsid w:val="DDBB10CC"/>
    <w:rsid w:val="DDBE2D33"/>
    <w:rsid w:val="DDDCACDA"/>
    <w:rsid w:val="DDDF60F9"/>
    <w:rsid w:val="DDE2B784"/>
    <w:rsid w:val="DDFDC2F6"/>
    <w:rsid w:val="DE7FE7C2"/>
    <w:rsid w:val="DF671160"/>
    <w:rsid w:val="DFB502AD"/>
    <w:rsid w:val="DFBEE188"/>
    <w:rsid w:val="DFDE1479"/>
    <w:rsid w:val="DFE5B573"/>
    <w:rsid w:val="DFFB6CF9"/>
    <w:rsid w:val="E513E2FC"/>
    <w:rsid w:val="E53DB8F9"/>
    <w:rsid w:val="E62FB598"/>
    <w:rsid w:val="E6ABB1BD"/>
    <w:rsid w:val="E6DE83D3"/>
    <w:rsid w:val="E76F9C07"/>
    <w:rsid w:val="E7BB15B6"/>
    <w:rsid w:val="E7BF7A0C"/>
    <w:rsid w:val="E7CE083B"/>
    <w:rsid w:val="E9FF69D6"/>
    <w:rsid w:val="E9FFFF9E"/>
    <w:rsid w:val="EA4CB7EF"/>
    <w:rsid w:val="EA791DD8"/>
    <w:rsid w:val="EBFFF3F9"/>
    <w:rsid w:val="EE3D1DFC"/>
    <w:rsid w:val="EF2F7179"/>
    <w:rsid w:val="EF677F33"/>
    <w:rsid w:val="EF6F41AB"/>
    <w:rsid w:val="EF8FF45F"/>
    <w:rsid w:val="EF962674"/>
    <w:rsid w:val="EFAE739A"/>
    <w:rsid w:val="EFAF1613"/>
    <w:rsid w:val="EFB7B296"/>
    <w:rsid w:val="EFBD04DD"/>
    <w:rsid w:val="EFECDECA"/>
    <w:rsid w:val="EFF185EB"/>
    <w:rsid w:val="EFFBC1C5"/>
    <w:rsid w:val="EFFF2A8C"/>
    <w:rsid w:val="EFFF6942"/>
    <w:rsid w:val="F1F68B17"/>
    <w:rsid w:val="F25BA029"/>
    <w:rsid w:val="F33FC9DC"/>
    <w:rsid w:val="F4DF173F"/>
    <w:rsid w:val="F53D38FC"/>
    <w:rsid w:val="F57D6AEC"/>
    <w:rsid w:val="F5AE8DFF"/>
    <w:rsid w:val="F5B9E28E"/>
    <w:rsid w:val="F5D98923"/>
    <w:rsid w:val="F5F052A2"/>
    <w:rsid w:val="F5FBA6D6"/>
    <w:rsid w:val="F66A19C8"/>
    <w:rsid w:val="F67F7D67"/>
    <w:rsid w:val="F73B5BCA"/>
    <w:rsid w:val="F775BBF3"/>
    <w:rsid w:val="F779FD95"/>
    <w:rsid w:val="F79B0F86"/>
    <w:rsid w:val="F79FBAF0"/>
    <w:rsid w:val="F7BA9BA2"/>
    <w:rsid w:val="F7DDF3DC"/>
    <w:rsid w:val="F7DF5E87"/>
    <w:rsid w:val="F7E6D0C1"/>
    <w:rsid w:val="F7E7DDAC"/>
    <w:rsid w:val="F7FACD40"/>
    <w:rsid w:val="F7FE03BC"/>
    <w:rsid w:val="F85F210D"/>
    <w:rsid w:val="F8BEBFA0"/>
    <w:rsid w:val="F95BCFB9"/>
    <w:rsid w:val="F9CE6DDF"/>
    <w:rsid w:val="F9FD0D4F"/>
    <w:rsid w:val="F9FFEDC8"/>
    <w:rsid w:val="FA66BEE8"/>
    <w:rsid w:val="FA89C547"/>
    <w:rsid w:val="FAB6208B"/>
    <w:rsid w:val="FAFB6477"/>
    <w:rsid w:val="FB663A50"/>
    <w:rsid w:val="FBD93C2B"/>
    <w:rsid w:val="FBF8F910"/>
    <w:rsid w:val="FBFF4851"/>
    <w:rsid w:val="FBFFCBF0"/>
    <w:rsid w:val="FC7DD565"/>
    <w:rsid w:val="FC7F00D4"/>
    <w:rsid w:val="FCF74432"/>
    <w:rsid w:val="FD9A7328"/>
    <w:rsid w:val="FD9CB512"/>
    <w:rsid w:val="FDBF7007"/>
    <w:rsid w:val="FDDF2AE1"/>
    <w:rsid w:val="FDDF86C7"/>
    <w:rsid w:val="FDE534F4"/>
    <w:rsid w:val="FDED2203"/>
    <w:rsid w:val="FDFFAD68"/>
    <w:rsid w:val="FE269252"/>
    <w:rsid w:val="FE6D795A"/>
    <w:rsid w:val="FE7DC04B"/>
    <w:rsid w:val="FE9FBE8A"/>
    <w:rsid w:val="FEA35E2D"/>
    <w:rsid w:val="FED5CF13"/>
    <w:rsid w:val="FED7CC04"/>
    <w:rsid w:val="FF7E77A7"/>
    <w:rsid w:val="FF7FC584"/>
    <w:rsid w:val="FFAF7EDA"/>
    <w:rsid w:val="FFAF8B4C"/>
    <w:rsid w:val="FFBD183D"/>
    <w:rsid w:val="FFBDFDD2"/>
    <w:rsid w:val="FFDBE667"/>
    <w:rsid w:val="FFDC7934"/>
    <w:rsid w:val="FFDE1344"/>
    <w:rsid w:val="FFDF584B"/>
    <w:rsid w:val="FFEB4B71"/>
    <w:rsid w:val="FFED4E0D"/>
    <w:rsid w:val="FFEFDC21"/>
    <w:rsid w:val="FFEFDC8E"/>
    <w:rsid w:val="FFF39F23"/>
    <w:rsid w:val="FFF7429A"/>
    <w:rsid w:val="FFFA8962"/>
    <w:rsid w:val="FFFB8B6B"/>
    <w:rsid w:val="FFFC8F16"/>
    <w:rsid w:val="FFFEA3B1"/>
    <w:rsid w:val="FFFEEB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1"/>
    <w:qFormat/>
    <w:uiPriority w:val="0"/>
    <w:pPr>
      <w:keepNext/>
      <w:keepLines/>
      <w:spacing w:before="280" w:after="290" w:line="376" w:lineRule="auto"/>
      <w:outlineLvl w:val="4"/>
    </w:pPr>
    <w:rPr>
      <w:b/>
      <w:bCs/>
      <w:sz w:val="28"/>
      <w:szCs w:val="28"/>
    </w:rPr>
  </w:style>
  <w:style w:type="paragraph" w:styleId="7">
    <w:name w:val="heading 6"/>
    <w:basedOn w:val="1"/>
    <w:next w:val="1"/>
    <w:link w:val="42"/>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3"/>
    <w:qFormat/>
    <w:uiPriority w:val="0"/>
    <w:pPr>
      <w:jc w:val="left"/>
    </w:pPr>
    <w:rPr>
      <w:kern w:val="0"/>
      <w:sz w:val="24"/>
      <w:szCs w:val="24"/>
    </w:rPr>
  </w:style>
  <w:style w:type="paragraph" w:styleId="9">
    <w:name w:val="Body Text 3"/>
    <w:basedOn w:val="1"/>
    <w:link w:val="44"/>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45"/>
    <w:qFormat/>
    <w:uiPriority w:val="0"/>
    <w:pPr>
      <w:spacing w:after="120"/>
    </w:pPr>
    <w:rPr>
      <w:rFonts w:eastAsia="Times New Roman"/>
      <w:szCs w:val="24"/>
    </w:rPr>
  </w:style>
  <w:style w:type="paragraph" w:styleId="11">
    <w:name w:val="Body Text Indent"/>
    <w:basedOn w:val="1"/>
    <w:link w:val="46"/>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47"/>
    <w:qFormat/>
    <w:uiPriority w:val="0"/>
    <w:rPr>
      <w:rFonts w:ascii="宋体" w:hAnsi="Courier New" w:cs="Courier New"/>
      <w:szCs w:val="21"/>
    </w:rPr>
  </w:style>
  <w:style w:type="paragraph" w:styleId="14">
    <w:name w:val="Date"/>
    <w:basedOn w:val="1"/>
    <w:next w:val="1"/>
    <w:link w:val="48"/>
    <w:qFormat/>
    <w:uiPriority w:val="0"/>
    <w:rPr>
      <w:rFonts w:ascii="楷体_GB2312" w:eastAsia="楷体_GB2312"/>
      <w:sz w:val="32"/>
    </w:rPr>
  </w:style>
  <w:style w:type="paragraph" w:styleId="15">
    <w:name w:val="Body Text Indent 2"/>
    <w:basedOn w:val="1"/>
    <w:link w:val="49"/>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0"/>
    <w:qFormat/>
    <w:uiPriority w:val="0"/>
    <w:pPr>
      <w:snapToGrid w:val="0"/>
      <w:jc w:val="left"/>
    </w:pPr>
    <w:rPr>
      <w:kern w:val="0"/>
      <w:sz w:val="24"/>
      <w:szCs w:val="24"/>
    </w:rPr>
  </w:style>
  <w:style w:type="paragraph" w:styleId="17">
    <w:name w:val="Balloon Text"/>
    <w:basedOn w:val="1"/>
    <w:link w:val="51"/>
    <w:qFormat/>
    <w:uiPriority w:val="0"/>
    <w:rPr>
      <w:sz w:val="18"/>
      <w:szCs w:val="18"/>
    </w:rPr>
  </w:style>
  <w:style w:type="paragraph" w:styleId="18">
    <w:name w:val="footer"/>
    <w:basedOn w:val="1"/>
    <w:link w:val="52"/>
    <w:qFormat/>
    <w:uiPriority w:val="99"/>
    <w:pPr>
      <w:tabs>
        <w:tab w:val="center" w:pos="4153"/>
        <w:tab w:val="right" w:pos="8306"/>
      </w:tabs>
      <w:snapToGrid w:val="0"/>
      <w:jc w:val="left"/>
    </w:pPr>
    <w:rPr>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4"/>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55"/>
    <w:qFormat/>
    <w:uiPriority w:val="0"/>
    <w:pPr>
      <w:snapToGrid w:val="0"/>
      <w:jc w:val="left"/>
    </w:pPr>
    <w:rPr>
      <w:rFonts w:eastAsia="Times New Roman"/>
      <w:sz w:val="18"/>
      <w:szCs w:val="18"/>
    </w:rPr>
  </w:style>
  <w:style w:type="paragraph" w:styleId="22">
    <w:name w:val="Body Text Indent 3"/>
    <w:basedOn w:val="1"/>
    <w:link w:val="56"/>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7"/>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58"/>
    <w:qFormat/>
    <w:uiPriority w:val="0"/>
    <w:pPr>
      <w:widowControl/>
      <w:suppressAutoHyphens/>
      <w:overflowPunct w:val="0"/>
      <w:autoSpaceDE w:val="0"/>
      <w:jc w:val="center"/>
    </w:pPr>
    <w:rPr>
      <w:rFonts w:ascii="ClassGarmnd BT" w:hAnsi="ClassGarmnd BT"/>
      <w:b/>
      <w:kern w:val="1"/>
      <w:sz w:val="32"/>
      <w:lang w:val="en-AU" w:eastAsia="ar-SA"/>
    </w:rPr>
  </w:style>
  <w:style w:type="paragraph" w:styleId="26">
    <w:name w:val="annotation subject"/>
    <w:basedOn w:val="8"/>
    <w:next w:val="8"/>
    <w:link w:val="59"/>
    <w:qFormat/>
    <w:uiPriority w:val="0"/>
    <w:rPr>
      <w:b/>
      <w:bCs/>
      <w:kern w:val="2"/>
      <w:sz w:val="21"/>
    </w:rPr>
  </w:style>
  <w:style w:type="table" w:styleId="28">
    <w:name w:val="Table Grid"/>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endnote reference"/>
    <w:qFormat/>
    <w:uiPriority w:val="0"/>
    <w:rPr>
      <w:rFonts w:cs="Times New Roman"/>
      <w:vertAlign w:val="superscript"/>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Hyperlink"/>
    <w:qFormat/>
    <w:uiPriority w:val="0"/>
    <w:rPr>
      <w:rFonts w:cs="Times New Roman"/>
      <w:color w:val="0000FF"/>
      <w:u w:val="single"/>
    </w:rPr>
  </w:style>
  <w:style w:type="character" w:styleId="35">
    <w:name w:val="annotation reference"/>
    <w:qFormat/>
    <w:uiPriority w:val="99"/>
    <w:rPr>
      <w:rFonts w:cs="Times New Roman"/>
      <w:sz w:val="21"/>
      <w:szCs w:val="21"/>
    </w:rPr>
  </w:style>
  <w:style w:type="character" w:styleId="36">
    <w:name w:val="footnote reference"/>
    <w:unhideWhenUsed/>
    <w:qFormat/>
    <w:uiPriority w:val="0"/>
    <w:rPr>
      <w:vertAlign w:val="superscript"/>
    </w:rPr>
  </w:style>
  <w:style w:type="character" w:customStyle="1" w:styleId="37">
    <w:name w:val="标题 1 Char"/>
    <w:link w:val="2"/>
    <w:qFormat/>
    <w:locked/>
    <w:uiPriority w:val="0"/>
    <w:rPr>
      <w:rFonts w:eastAsia="宋体"/>
      <w:b/>
      <w:bCs/>
      <w:kern w:val="44"/>
      <w:sz w:val="44"/>
      <w:szCs w:val="44"/>
      <w:lang w:bidi="ar-SA"/>
    </w:rPr>
  </w:style>
  <w:style w:type="character" w:customStyle="1" w:styleId="38">
    <w:name w:val="标题 2 Char"/>
    <w:link w:val="3"/>
    <w:qFormat/>
    <w:locked/>
    <w:uiPriority w:val="0"/>
    <w:rPr>
      <w:rFonts w:ascii="Arial" w:hAnsi="Arial" w:eastAsia="黑体"/>
      <w:b/>
      <w:bCs/>
      <w:sz w:val="32"/>
      <w:szCs w:val="32"/>
      <w:lang w:bidi="ar-SA"/>
    </w:rPr>
  </w:style>
  <w:style w:type="character" w:customStyle="1" w:styleId="39">
    <w:name w:val="标题 3 Char"/>
    <w:link w:val="4"/>
    <w:semiHidden/>
    <w:qFormat/>
    <w:locked/>
    <w:uiPriority w:val="0"/>
    <w:rPr>
      <w:rFonts w:eastAsia="宋体"/>
      <w:b/>
      <w:bCs/>
      <w:sz w:val="32"/>
      <w:szCs w:val="32"/>
      <w:lang w:bidi="ar-SA"/>
    </w:rPr>
  </w:style>
  <w:style w:type="character" w:customStyle="1" w:styleId="40">
    <w:name w:val="标题 4 Char"/>
    <w:link w:val="5"/>
    <w:semiHidden/>
    <w:qFormat/>
    <w:uiPriority w:val="0"/>
    <w:rPr>
      <w:rFonts w:ascii="Cambria" w:hAnsi="Cambria" w:eastAsia="宋体" w:cs="Times New Roman"/>
      <w:b/>
      <w:bCs/>
      <w:kern w:val="2"/>
      <w:sz w:val="28"/>
      <w:szCs w:val="28"/>
    </w:rPr>
  </w:style>
  <w:style w:type="character" w:customStyle="1" w:styleId="41">
    <w:name w:val="标题 5 Char"/>
    <w:link w:val="6"/>
    <w:semiHidden/>
    <w:qFormat/>
    <w:uiPriority w:val="0"/>
    <w:rPr>
      <w:b/>
      <w:bCs/>
      <w:kern w:val="2"/>
      <w:sz w:val="28"/>
      <w:szCs w:val="28"/>
    </w:rPr>
  </w:style>
  <w:style w:type="character" w:customStyle="1" w:styleId="42">
    <w:name w:val="标题 6 Char"/>
    <w:link w:val="7"/>
    <w:semiHidden/>
    <w:qFormat/>
    <w:uiPriority w:val="0"/>
    <w:rPr>
      <w:rFonts w:ascii="Arial" w:hAnsi="Arial" w:eastAsia="黑体"/>
      <w:b/>
      <w:bCs/>
      <w:kern w:val="2"/>
      <w:sz w:val="24"/>
      <w:szCs w:val="24"/>
    </w:rPr>
  </w:style>
  <w:style w:type="character" w:customStyle="1" w:styleId="43">
    <w:name w:val="批注文字 Char"/>
    <w:link w:val="8"/>
    <w:qFormat/>
    <w:locked/>
    <w:uiPriority w:val="0"/>
    <w:rPr>
      <w:rFonts w:eastAsia="宋体"/>
      <w:sz w:val="24"/>
      <w:szCs w:val="24"/>
      <w:lang w:bidi="ar-SA"/>
    </w:rPr>
  </w:style>
  <w:style w:type="character" w:customStyle="1" w:styleId="44">
    <w:name w:val="正文文本 3 Char"/>
    <w:link w:val="9"/>
    <w:qFormat/>
    <w:uiPriority w:val="0"/>
    <w:rPr>
      <w:rFonts w:ascii="方正大标宋简体" w:hAnsi="宋体" w:eastAsia="方正大标宋简体"/>
      <w:bCs/>
      <w:kern w:val="2"/>
      <w:sz w:val="42"/>
      <w:szCs w:val="42"/>
      <w:lang w:val="en-US" w:eastAsia="zh-CN"/>
    </w:rPr>
  </w:style>
  <w:style w:type="character" w:customStyle="1" w:styleId="45">
    <w:name w:val="正文文本 Char"/>
    <w:link w:val="10"/>
    <w:qFormat/>
    <w:uiPriority w:val="0"/>
    <w:rPr>
      <w:rFonts w:eastAsia="Times New Roman"/>
      <w:kern w:val="2"/>
      <w:sz w:val="21"/>
      <w:szCs w:val="24"/>
      <w:lang w:val="en-US" w:eastAsia="zh-CN"/>
    </w:rPr>
  </w:style>
  <w:style w:type="character" w:customStyle="1" w:styleId="46">
    <w:name w:val="正文文本缩进 Char"/>
    <w:link w:val="11"/>
    <w:qFormat/>
    <w:uiPriority w:val="0"/>
    <w:rPr>
      <w:rFonts w:ascii="仿宋_GB2312" w:eastAsia="仿宋_GB2312"/>
      <w:kern w:val="2"/>
      <w:sz w:val="30"/>
      <w:szCs w:val="24"/>
      <w:lang w:val="en-US" w:eastAsia="zh-CN" w:bidi="ar-SA"/>
    </w:rPr>
  </w:style>
  <w:style w:type="character" w:customStyle="1" w:styleId="47">
    <w:name w:val="纯文本 Char"/>
    <w:link w:val="13"/>
    <w:qFormat/>
    <w:uiPriority w:val="0"/>
    <w:rPr>
      <w:rFonts w:ascii="宋体" w:hAnsi="Courier New" w:eastAsia="宋体" w:cs="Courier New"/>
      <w:kern w:val="2"/>
      <w:sz w:val="21"/>
      <w:szCs w:val="21"/>
      <w:lang w:val="en-US" w:eastAsia="zh-CN" w:bidi="ar-SA"/>
    </w:rPr>
  </w:style>
  <w:style w:type="character" w:customStyle="1" w:styleId="48">
    <w:name w:val="日期 Char"/>
    <w:link w:val="14"/>
    <w:qFormat/>
    <w:uiPriority w:val="0"/>
    <w:rPr>
      <w:rFonts w:ascii="楷体_GB2312" w:eastAsia="楷体_GB2312"/>
      <w:kern w:val="2"/>
      <w:sz w:val="32"/>
      <w:lang w:val="en-US" w:eastAsia="zh-CN" w:bidi="ar-SA"/>
    </w:rPr>
  </w:style>
  <w:style w:type="character" w:customStyle="1" w:styleId="49">
    <w:name w:val="正文文本缩进 2 Char"/>
    <w:link w:val="15"/>
    <w:qFormat/>
    <w:uiPriority w:val="0"/>
    <w:rPr>
      <w:rFonts w:ascii="仿宋_GB2312" w:hAnsi="宋体" w:eastAsia="仿宋_GB2312"/>
      <w:kern w:val="2"/>
      <w:sz w:val="30"/>
      <w:szCs w:val="30"/>
      <w:lang w:val="en-US" w:eastAsia="zh-CN"/>
    </w:rPr>
  </w:style>
  <w:style w:type="character" w:customStyle="1" w:styleId="50">
    <w:name w:val="尾注文本 Char"/>
    <w:link w:val="16"/>
    <w:qFormat/>
    <w:locked/>
    <w:uiPriority w:val="0"/>
    <w:rPr>
      <w:rFonts w:eastAsia="宋体"/>
      <w:sz w:val="24"/>
      <w:szCs w:val="24"/>
      <w:lang w:bidi="ar-SA"/>
    </w:rPr>
  </w:style>
  <w:style w:type="character" w:customStyle="1" w:styleId="51">
    <w:name w:val="批注框文本 Char"/>
    <w:link w:val="17"/>
    <w:qFormat/>
    <w:locked/>
    <w:uiPriority w:val="0"/>
    <w:rPr>
      <w:rFonts w:eastAsia="宋体"/>
      <w:kern w:val="2"/>
      <w:sz w:val="18"/>
      <w:szCs w:val="18"/>
      <w:lang w:val="en-US" w:eastAsia="zh-CN" w:bidi="ar-SA"/>
    </w:rPr>
  </w:style>
  <w:style w:type="character" w:customStyle="1" w:styleId="52">
    <w:name w:val="页脚 Char"/>
    <w:link w:val="18"/>
    <w:qFormat/>
    <w:locked/>
    <w:uiPriority w:val="99"/>
    <w:rPr>
      <w:rFonts w:eastAsia="宋体"/>
      <w:kern w:val="2"/>
      <w:sz w:val="18"/>
      <w:szCs w:val="18"/>
      <w:lang w:val="en-US" w:eastAsia="zh-CN" w:bidi="ar-SA"/>
    </w:rPr>
  </w:style>
  <w:style w:type="character" w:customStyle="1" w:styleId="53">
    <w:name w:val="页眉 Char"/>
    <w:link w:val="19"/>
    <w:qFormat/>
    <w:locked/>
    <w:uiPriority w:val="0"/>
    <w:rPr>
      <w:rFonts w:eastAsia="宋体"/>
      <w:kern w:val="2"/>
      <w:sz w:val="18"/>
      <w:szCs w:val="18"/>
      <w:lang w:val="en-US" w:eastAsia="zh-CN" w:bidi="ar-SA"/>
    </w:rPr>
  </w:style>
  <w:style w:type="character" w:customStyle="1" w:styleId="54">
    <w:name w:val="副标题 Char"/>
    <w:link w:val="20"/>
    <w:qFormat/>
    <w:uiPriority w:val="0"/>
    <w:rPr>
      <w:rFonts w:ascii="Cambria" w:hAnsi="Cambria" w:cs="Times New Roman"/>
      <w:b/>
      <w:bCs/>
      <w:kern w:val="28"/>
      <w:sz w:val="32"/>
      <w:szCs w:val="32"/>
    </w:rPr>
  </w:style>
  <w:style w:type="character" w:customStyle="1" w:styleId="55">
    <w:name w:val="脚注文本 Char"/>
    <w:link w:val="21"/>
    <w:qFormat/>
    <w:uiPriority w:val="0"/>
    <w:rPr>
      <w:rFonts w:eastAsia="Times New Roman"/>
      <w:kern w:val="2"/>
      <w:sz w:val="18"/>
      <w:szCs w:val="18"/>
      <w:lang w:val="en-US" w:eastAsia="zh-CN"/>
    </w:rPr>
  </w:style>
  <w:style w:type="character" w:customStyle="1" w:styleId="56">
    <w:name w:val="正文文本缩进 3 Char"/>
    <w:link w:val="22"/>
    <w:qFormat/>
    <w:uiPriority w:val="0"/>
    <w:rPr>
      <w:rFonts w:ascii="仿宋_GB2312" w:eastAsia="仿宋_GB2312"/>
      <w:sz w:val="30"/>
      <w:szCs w:val="28"/>
      <w:lang w:val="zh-CN" w:eastAsia="zh-CN"/>
    </w:rPr>
  </w:style>
  <w:style w:type="character" w:customStyle="1" w:styleId="57">
    <w:name w:val="正文文本 2 Char"/>
    <w:link w:val="23"/>
    <w:qFormat/>
    <w:locked/>
    <w:uiPriority w:val="0"/>
    <w:rPr>
      <w:rFonts w:ascii="宋体" w:hAnsi="Courier New" w:eastAsia="宋体"/>
      <w:sz w:val="21"/>
      <w:szCs w:val="21"/>
      <w:lang w:bidi="ar-SA"/>
    </w:rPr>
  </w:style>
  <w:style w:type="character" w:customStyle="1" w:styleId="58">
    <w:name w:val="标题 Char"/>
    <w:link w:val="25"/>
    <w:qFormat/>
    <w:uiPriority w:val="0"/>
    <w:rPr>
      <w:rFonts w:ascii="ClassGarmnd BT" w:hAnsi="ClassGarmnd BT" w:eastAsia="宋体" w:cs="ClassGarmnd BT"/>
      <w:b/>
      <w:kern w:val="1"/>
      <w:sz w:val="32"/>
      <w:lang w:val="en-AU" w:eastAsia="ar-SA"/>
    </w:rPr>
  </w:style>
  <w:style w:type="character" w:customStyle="1" w:styleId="59">
    <w:name w:val="批注主题 Char"/>
    <w:link w:val="26"/>
    <w:qFormat/>
    <w:uiPriority w:val="0"/>
    <w:rPr>
      <w:rFonts w:eastAsia="宋体"/>
      <w:b/>
      <w:bCs/>
      <w:kern w:val="2"/>
      <w:sz w:val="21"/>
      <w:szCs w:val="24"/>
      <w:lang w:bidi="ar-SA"/>
    </w:rPr>
  </w:style>
  <w:style w:type="paragraph" w:customStyle="1" w:styleId="60">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1">
    <w:name w:val="dash6b63_6587__char"/>
    <w:qFormat/>
    <w:uiPriority w:val="0"/>
  </w:style>
  <w:style w:type="character" w:customStyle="1" w:styleId="62">
    <w:name w:val="dash6b63_005f6587_005f_005fchar__char"/>
    <w:qFormat/>
    <w:uiPriority w:val="0"/>
  </w:style>
  <w:style w:type="paragraph" w:customStyle="1" w:styleId="63">
    <w:name w:val="p0"/>
    <w:basedOn w:val="1"/>
    <w:qFormat/>
    <w:uiPriority w:val="0"/>
    <w:pPr>
      <w:widowControl/>
    </w:pPr>
    <w:rPr>
      <w:kern w:val="0"/>
      <w:szCs w:val="21"/>
    </w:rPr>
  </w:style>
  <w:style w:type="paragraph" w:styleId="64">
    <w:name w:val="List Paragraph"/>
    <w:basedOn w:val="1"/>
    <w:link w:val="65"/>
    <w:qFormat/>
    <w:uiPriority w:val="0"/>
    <w:pPr>
      <w:ind w:firstLine="420" w:firstLineChars="200"/>
    </w:pPr>
    <w:rPr>
      <w:szCs w:val="24"/>
    </w:rPr>
  </w:style>
  <w:style w:type="character" w:customStyle="1" w:styleId="65">
    <w:name w:val="列出段落 Char"/>
    <w:link w:val="64"/>
    <w:qFormat/>
    <w:uiPriority w:val="0"/>
    <w:rPr>
      <w:kern w:val="2"/>
      <w:sz w:val="21"/>
      <w:szCs w:val="24"/>
    </w:rPr>
  </w:style>
  <w:style w:type="paragraph" w:customStyle="1" w:styleId="66">
    <w:name w:val="列出段落1"/>
    <w:basedOn w:val="1"/>
    <w:qFormat/>
    <w:uiPriority w:val="0"/>
    <w:pPr>
      <w:ind w:firstLine="420" w:firstLineChars="200"/>
    </w:pPr>
    <w:rPr>
      <w:rFonts w:ascii="Calibri" w:hAnsi="Calibri"/>
      <w:szCs w:val="22"/>
    </w:rPr>
  </w:style>
  <w:style w:type="paragraph" w:customStyle="1" w:styleId="67">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68">
    <w:name w:val="列出段落2"/>
    <w:basedOn w:val="1"/>
    <w:qFormat/>
    <w:uiPriority w:val="0"/>
    <w:pPr>
      <w:ind w:firstLine="420" w:firstLineChars="200"/>
    </w:pPr>
    <w:rPr>
      <w:rFonts w:ascii="Calibri" w:hAnsi="Calibri"/>
      <w:szCs w:val="22"/>
    </w:rPr>
  </w:style>
  <w:style w:type="paragraph" w:customStyle="1" w:styleId="69">
    <w:name w:val="内页正文"/>
    <w:link w:val="70"/>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70">
    <w:name w:val="内页正文 Char"/>
    <w:link w:val="69"/>
    <w:qFormat/>
    <w:uiPriority w:val="0"/>
    <w:rPr>
      <w:rFonts w:ascii="Arial" w:hAnsi="Arial" w:eastAsia="汉仪中等线简"/>
      <w:color w:val="000000"/>
      <w:sz w:val="18"/>
      <w:szCs w:val="18"/>
      <w:lang w:bidi="ar-SA"/>
    </w:rPr>
  </w:style>
  <w:style w:type="paragraph" w:customStyle="1" w:styleId="7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2">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Char Char15"/>
    <w:qFormat/>
    <w:uiPriority w:val="0"/>
    <w:rPr>
      <w:rFonts w:eastAsia="宋体"/>
      <w:b/>
      <w:bCs/>
      <w:kern w:val="44"/>
      <w:sz w:val="44"/>
      <w:szCs w:val="44"/>
      <w:lang w:val="en-US" w:eastAsia="zh-CN" w:bidi="ar-SA"/>
    </w:rPr>
  </w:style>
  <w:style w:type="character" w:customStyle="1" w:styleId="74">
    <w:name w:val="Char Char14"/>
    <w:qFormat/>
    <w:uiPriority w:val="0"/>
    <w:rPr>
      <w:rFonts w:eastAsia="宋体"/>
      <w:b/>
      <w:bCs/>
      <w:kern w:val="2"/>
      <w:sz w:val="32"/>
      <w:szCs w:val="32"/>
      <w:lang w:val="en-US" w:eastAsia="zh-CN" w:bidi="ar-SA"/>
    </w:rPr>
  </w:style>
  <w:style w:type="character" w:customStyle="1" w:styleId="75">
    <w:name w:val="Char Char13"/>
    <w:qFormat/>
    <w:uiPriority w:val="0"/>
    <w:rPr>
      <w:rFonts w:eastAsia="宋体"/>
      <w:kern w:val="2"/>
      <w:sz w:val="18"/>
      <w:szCs w:val="18"/>
      <w:lang w:val="en-US" w:eastAsia="zh-CN" w:bidi="ar-SA"/>
    </w:rPr>
  </w:style>
  <w:style w:type="character" w:customStyle="1" w:styleId="76">
    <w:name w:val="Char Char12"/>
    <w:qFormat/>
    <w:uiPriority w:val="0"/>
    <w:rPr>
      <w:rFonts w:eastAsia="宋体"/>
      <w:kern w:val="2"/>
      <w:sz w:val="18"/>
      <w:szCs w:val="18"/>
      <w:lang w:val="en-US" w:eastAsia="zh-CN" w:bidi="ar-SA"/>
    </w:rPr>
  </w:style>
  <w:style w:type="character" w:customStyle="1" w:styleId="77">
    <w:name w:val="正文文本缩进 Char1"/>
    <w:qFormat/>
    <w:uiPriority w:val="0"/>
    <w:rPr>
      <w:kern w:val="2"/>
      <w:sz w:val="21"/>
      <w:szCs w:val="24"/>
    </w:rPr>
  </w:style>
  <w:style w:type="character" w:customStyle="1" w:styleId="78">
    <w:name w:val="日期 Char1"/>
    <w:qFormat/>
    <w:uiPriority w:val="0"/>
    <w:rPr>
      <w:kern w:val="2"/>
      <w:sz w:val="21"/>
      <w:szCs w:val="24"/>
    </w:rPr>
  </w:style>
  <w:style w:type="character" w:customStyle="1" w:styleId="79">
    <w:name w:val="正文文本 Char1"/>
    <w:qFormat/>
    <w:uiPriority w:val="0"/>
    <w:rPr>
      <w:kern w:val="2"/>
      <w:sz w:val="21"/>
      <w:szCs w:val="24"/>
    </w:rPr>
  </w:style>
  <w:style w:type="character" w:customStyle="1" w:styleId="80">
    <w:name w:val="批注框文本 Char1"/>
    <w:qFormat/>
    <w:uiPriority w:val="0"/>
    <w:rPr>
      <w:kern w:val="2"/>
      <w:sz w:val="18"/>
      <w:szCs w:val="18"/>
    </w:rPr>
  </w:style>
  <w:style w:type="character" w:customStyle="1" w:styleId="81">
    <w:name w:val="正文文本缩进 2 Char1"/>
    <w:qFormat/>
    <w:uiPriority w:val="0"/>
    <w:rPr>
      <w:kern w:val="2"/>
      <w:sz w:val="21"/>
      <w:szCs w:val="24"/>
    </w:rPr>
  </w:style>
  <w:style w:type="character" w:customStyle="1" w:styleId="82">
    <w:name w:val="正文文本 2 Char1"/>
    <w:qFormat/>
    <w:uiPriority w:val="0"/>
    <w:rPr>
      <w:kern w:val="2"/>
      <w:sz w:val="21"/>
      <w:szCs w:val="24"/>
    </w:rPr>
  </w:style>
  <w:style w:type="character" w:customStyle="1" w:styleId="83">
    <w:name w:val="正文文本缩进 3 Char1"/>
    <w:qFormat/>
    <w:uiPriority w:val="0"/>
    <w:rPr>
      <w:kern w:val="2"/>
      <w:sz w:val="16"/>
      <w:szCs w:val="16"/>
    </w:rPr>
  </w:style>
  <w:style w:type="character" w:customStyle="1" w:styleId="84">
    <w:name w:val="正文文本 3 Char1"/>
    <w:qFormat/>
    <w:uiPriority w:val="0"/>
    <w:rPr>
      <w:kern w:val="2"/>
      <w:sz w:val="16"/>
      <w:szCs w:val="16"/>
    </w:rPr>
  </w:style>
  <w:style w:type="character" w:customStyle="1" w:styleId="85">
    <w:name w:val="纯文本 Char1"/>
    <w:qFormat/>
    <w:uiPriority w:val="0"/>
    <w:rPr>
      <w:rFonts w:ascii="宋体" w:hAnsi="Courier New" w:cs="Courier New"/>
      <w:kern w:val="2"/>
      <w:sz w:val="21"/>
      <w:szCs w:val="21"/>
    </w:rPr>
  </w:style>
  <w:style w:type="character" w:customStyle="1" w:styleId="86">
    <w:name w:val="条款 Char"/>
    <w:link w:val="87"/>
    <w:qFormat/>
    <w:uiPriority w:val="0"/>
    <w:rPr>
      <w:rFonts w:ascii="仿宋_GB2312" w:hAnsi="Calibri" w:eastAsia="仿宋_GB2312"/>
      <w:color w:val="000000"/>
      <w:sz w:val="28"/>
      <w:lang w:bidi="ar-SA"/>
    </w:rPr>
  </w:style>
  <w:style w:type="paragraph" w:customStyle="1" w:styleId="87">
    <w:name w:val="条款"/>
    <w:basedOn w:val="1"/>
    <w:link w:val="86"/>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8">
    <w:name w:val="脚注文本 Char1"/>
    <w:qFormat/>
    <w:uiPriority w:val="0"/>
    <w:rPr>
      <w:kern w:val="2"/>
      <w:sz w:val="18"/>
      <w:szCs w:val="18"/>
    </w:rPr>
  </w:style>
  <w:style w:type="paragraph" w:customStyle="1" w:styleId="89">
    <w:name w:val="Char3"/>
    <w:basedOn w:val="1"/>
    <w:qFormat/>
    <w:uiPriority w:val="0"/>
    <w:rPr>
      <w:szCs w:val="21"/>
    </w:rPr>
  </w:style>
  <w:style w:type="paragraph" w:customStyle="1" w:styleId="90">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1">
    <w:name w:val="样式1"/>
    <w:basedOn w:val="1"/>
    <w:link w:val="92"/>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2">
    <w:name w:val="样式1 Char"/>
    <w:link w:val="91"/>
    <w:qFormat/>
    <w:locked/>
    <w:uiPriority w:val="0"/>
    <w:rPr>
      <w:rFonts w:ascii="仿宋_GB2312" w:hAnsi="宋体" w:eastAsia="仿宋_GB2312"/>
      <w:sz w:val="30"/>
      <w:szCs w:val="30"/>
    </w:rPr>
  </w:style>
  <w:style w:type="paragraph" w:customStyle="1" w:styleId="93">
    <w:name w:val="SSE正文"/>
    <w:basedOn w:val="1"/>
    <w:link w:val="94"/>
    <w:qFormat/>
    <w:uiPriority w:val="0"/>
    <w:pPr>
      <w:ind w:firstLine="200" w:firstLineChars="200"/>
    </w:pPr>
    <w:rPr>
      <w:rFonts w:eastAsia="仿宋_GB2312"/>
      <w:sz w:val="28"/>
      <w:szCs w:val="28"/>
    </w:rPr>
  </w:style>
  <w:style w:type="character" w:customStyle="1" w:styleId="94">
    <w:name w:val="SSE正文 Char"/>
    <w:link w:val="93"/>
    <w:qFormat/>
    <w:uiPriority w:val="0"/>
    <w:rPr>
      <w:rFonts w:eastAsia="仿宋_GB2312"/>
      <w:kern w:val="2"/>
      <w:sz w:val="28"/>
      <w:szCs w:val="28"/>
    </w:rPr>
  </w:style>
  <w:style w:type="paragraph" w:customStyle="1" w:styleId="95">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6">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7">
    <w:name w:val="SSE标题1"/>
    <w:basedOn w:val="2"/>
    <w:link w:val="98"/>
    <w:qFormat/>
    <w:uiPriority w:val="0"/>
    <w:pPr>
      <w:spacing w:before="0" w:after="120" w:line="240" w:lineRule="auto"/>
      <w:ind w:left="1232" w:hanging="630"/>
    </w:pPr>
    <w:rPr>
      <w:rFonts w:eastAsia="黑体"/>
      <w:sz w:val="30"/>
      <w:szCs w:val="30"/>
    </w:rPr>
  </w:style>
  <w:style w:type="character" w:customStyle="1" w:styleId="98">
    <w:name w:val="SSE标题1 Char"/>
    <w:link w:val="97"/>
    <w:qFormat/>
    <w:uiPriority w:val="0"/>
    <w:rPr>
      <w:rFonts w:eastAsia="黑体"/>
      <w:b/>
      <w:bCs/>
      <w:kern w:val="44"/>
      <w:sz w:val="30"/>
      <w:szCs w:val="30"/>
    </w:rPr>
  </w:style>
  <w:style w:type="paragraph" w:customStyle="1" w:styleId="99">
    <w:name w:val="SSE标题0"/>
    <w:basedOn w:val="1"/>
    <w:link w:val="100"/>
    <w:qFormat/>
    <w:uiPriority w:val="0"/>
    <w:pPr>
      <w:spacing w:before="100" w:beforeAutospacing="1" w:after="100" w:afterAutospacing="1"/>
      <w:jc w:val="center"/>
    </w:pPr>
    <w:rPr>
      <w:rFonts w:eastAsia="华文中宋"/>
      <w:b/>
      <w:sz w:val="44"/>
      <w:szCs w:val="44"/>
    </w:rPr>
  </w:style>
  <w:style w:type="character" w:customStyle="1" w:styleId="100">
    <w:name w:val="SSE标题0 Char"/>
    <w:link w:val="99"/>
    <w:qFormat/>
    <w:uiPriority w:val="0"/>
    <w:rPr>
      <w:rFonts w:eastAsia="华文中宋"/>
      <w:b/>
      <w:kern w:val="2"/>
      <w:sz w:val="44"/>
      <w:szCs w:val="44"/>
    </w:rPr>
  </w:style>
  <w:style w:type="paragraph" w:customStyle="1" w:styleId="101">
    <w:name w:val="Стандартный HTML"/>
    <w:basedOn w:val="1"/>
    <w:qFormat/>
    <w:uiPriority w:val="0"/>
    <w:pPr>
      <w:widowControl/>
      <w:suppressAutoHyphens/>
      <w:jc w:val="left"/>
    </w:pPr>
    <w:rPr>
      <w:rFonts w:ascii="Courier New" w:hAnsi="Courier New" w:cs="Courier New"/>
      <w:kern w:val="1"/>
      <w:sz w:val="20"/>
      <w:lang w:eastAsia="ar-SA"/>
    </w:rPr>
  </w:style>
  <w:style w:type="paragraph" w:customStyle="1" w:styleId="102">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3">
    <w:name w:val="List Paragraph1"/>
    <w:basedOn w:val="1"/>
    <w:qFormat/>
    <w:uiPriority w:val="0"/>
    <w:pPr>
      <w:suppressAutoHyphens/>
      <w:ind w:left="720"/>
    </w:pPr>
    <w:rPr>
      <w:kern w:val="1"/>
      <w:sz w:val="32"/>
      <w:szCs w:val="24"/>
      <w:lang w:eastAsia="ar-SA"/>
    </w:rPr>
  </w:style>
  <w:style w:type="paragraph" w:customStyle="1" w:styleId="104">
    <w:name w:val="Style1"/>
    <w:basedOn w:val="1"/>
    <w:qFormat/>
    <w:uiPriority w:val="0"/>
    <w:pPr>
      <w:numPr>
        <w:ilvl w:val="0"/>
        <w:numId w:val="2"/>
      </w:numPr>
      <w:suppressAutoHyphens/>
    </w:pPr>
    <w:rPr>
      <w:kern w:val="1"/>
      <w:szCs w:val="24"/>
      <w:lang w:eastAsia="ar-SA"/>
    </w:rPr>
  </w:style>
  <w:style w:type="character" w:customStyle="1" w:styleId="105">
    <w:name w:val="语句 Char"/>
    <w:link w:val="106"/>
    <w:qFormat/>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qFormat/>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qFormat/>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qFormat/>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qFormat/>
    <w:locked/>
    <w:uiPriority w:val="0"/>
    <w:rPr>
      <w:rFonts w:ascii="仿宋_GB2312" w:eastAsia="仿宋_GB2312"/>
      <w:sz w:val="28"/>
    </w:rPr>
  </w:style>
  <w:style w:type="paragraph" w:customStyle="1" w:styleId="114">
    <w:name w:val="SSE内容提要正文"/>
    <w:basedOn w:val="1"/>
    <w:link w:val="113"/>
    <w:qFormat/>
    <w:uiPriority w:val="0"/>
    <w:pPr>
      <w:ind w:firstLine="560" w:firstLineChars="200"/>
    </w:pPr>
    <w:rPr>
      <w:rFonts w:ascii="仿宋_GB2312" w:eastAsia="仿宋_GB2312"/>
      <w:kern w:val="0"/>
      <w:sz w:val="28"/>
    </w:rPr>
  </w:style>
  <w:style w:type="character" w:customStyle="1" w:styleId="115">
    <w:name w:val="SSE资料来源 Char"/>
    <w:link w:val="116"/>
    <w:qFormat/>
    <w:locked/>
    <w:uiPriority w:val="0"/>
    <w:rPr>
      <w:rFonts w:ascii="仿宋_GB2312" w:eastAsia="仿宋_GB2312"/>
      <w:color w:val="000000"/>
    </w:rPr>
  </w:style>
  <w:style w:type="paragraph" w:customStyle="1" w:styleId="116">
    <w:name w:val="SSE资料来源"/>
    <w:basedOn w:val="1"/>
    <w:link w:val="115"/>
    <w:qFormat/>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qFormat/>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qFormat/>
    <w:locked/>
    <w:uiPriority w:val="0"/>
    <w:rPr>
      <w:rFonts w:ascii="仿宋_GB2312" w:eastAsia="仿宋_GB2312"/>
      <w:color w:val="000000"/>
      <w:sz w:val="24"/>
      <w:szCs w:val="24"/>
    </w:rPr>
  </w:style>
  <w:style w:type="paragraph" w:customStyle="1" w:styleId="120">
    <w:name w:val="SSE表格文字"/>
    <w:basedOn w:val="1"/>
    <w:link w:val="119"/>
    <w:qFormat/>
    <w:uiPriority w:val="0"/>
    <w:pPr>
      <w:widowControl/>
      <w:jc w:val="center"/>
    </w:pPr>
    <w:rPr>
      <w:rFonts w:ascii="仿宋_GB2312" w:eastAsia="仿宋_GB2312"/>
      <w:color w:val="000000"/>
      <w:kern w:val="0"/>
      <w:sz w:val="24"/>
      <w:szCs w:val="24"/>
    </w:rPr>
  </w:style>
  <w:style w:type="character" w:customStyle="1" w:styleId="121">
    <w:name w:val="SSE图表标题 Char"/>
    <w:link w:val="122"/>
    <w:qFormat/>
    <w:locked/>
    <w:uiPriority w:val="0"/>
    <w:rPr>
      <w:rFonts w:ascii="仿宋_GB2312" w:eastAsia="仿宋_GB2312"/>
      <w:b/>
      <w:bCs/>
      <w:color w:val="000000"/>
      <w:sz w:val="24"/>
      <w:szCs w:val="24"/>
    </w:rPr>
  </w:style>
  <w:style w:type="paragraph" w:customStyle="1" w:styleId="122">
    <w:name w:val="SSE图表标题"/>
    <w:basedOn w:val="7"/>
    <w:link w:val="121"/>
    <w:qFormat/>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qFormat/>
    <w:uiPriority w:val="9"/>
    <w:rPr>
      <w:rFonts w:hint="default" w:ascii="Calibri" w:hAnsi="Calibri" w:eastAsia="宋体" w:cs="Times New Roman"/>
      <w:b/>
      <w:bCs/>
      <w:kern w:val="44"/>
      <w:sz w:val="44"/>
      <w:szCs w:val="44"/>
    </w:rPr>
  </w:style>
  <w:style w:type="character" w:customStyle="1" w:styleId="124">
    <w:name w:val="标题 2 字符"/>
    <w:semiHidden/>
    <w:qFormat/>
    <w:uiPriority w:val="9"/>
    <w:rPr>
      <w:rFonts w:hint="default" w:ascii="Cambria" w:hAnsi="Cambria" w:eastAsia="宋体" w:cs="Times New Roman"/>
      <w:b/>
      <w:bCs/>
      <w:sz w:val="32"/>
      <w:szCs w:val="32"/>
    </w:rPr>
  </w:style>
  <w:style w:type="character" w:customStyle="1" w:styleId="125">
    <w:name w:val="标题 3 字符"/>
    <w:semiHidden/>
    <w:qFormat/>
    <w:uiPriority w:val="9"/>
    <w:rPr>
      <w:rFonts w:hint="default" w:ascii="Calibri" w:hAnsi="Calibri" w:eastAsia="宋体" w:cs="Times New Roman"/>
      <w:b/>
      <w:bCs/>
      <w:sz w:val="32"/>
      <w:szCs w:val="32"/>
    </w:rPr>
  </w:style>
  <w:style w:type="character" w:customStyle="1" w:styleId="126">
    <w:name w:val="标题 4 字符"/>
    <w:semiHidden/>
    <w:qFormat/>
    <w:uiPriority w:val="9"/>
    <w:rPr>
      <w:rFonts w:hint="default" w:ascii="Cambria" w:hAnsi="Cambria" w:eastAsia="宋体" w:cs="Times New Roman"/>
      <w:b/>
      <w:bCs/>
      <w:sz w:val="28"/>
      <w:szCs w:val="28"/>
    </w:rPr>
  </w:style>
  <w:style w:type="character" w:customStyle="1" w:styleId="127">
    <w:name w:val="标题 6 字符"/>
    <w:semiHidden/>
    <w:qFormat/>
    <w:uiPriority w:val="9"/>
    <w:rPr>
      <w:rFonts w:hint="default" w:ascii="Cambria" w:hAnsi="Cambria" w:eastAsia="宋体" w:cs="Times New Roman"/>
      <w:b/>
      <w:bCs/>
      <w:sz w:val="24"/>
      <w:szCs w:val="24"/>
    </w:rPr>
  </w:style>
  <w:style w:type="character" w:customStyle="1" w:styleId="128">
    <w:name w:val="页眉 字符"/>
    <w:semiHidden/>
    <w:qFormat/>
    <w:uiPriority w:val="99"/>
    <w:rPr>
      <w:rFonts w:hint="default" w:ascii="Calibri" w:hAnsi="Calibri" w:eastAsia="宋体" w:cs="Times New Roman"/>
      <w:sz w:val="18"/>
      <w:szCs w:val="18"/>
    </w:rPr>
  </w:style>
  <w:style w:type="character" w:customStyle="1" w:styleId="129">
    <w:name w:val="页脚 字符"/>
    <w:semiHidden/>
    <w:qFormat/>
    <w:uiPriority w:val="99"/>
    <w:rPr>
      <w:rFonts w:hint="default" w:ascii="Calibri" w:hAnsi="Calibri" w:eastAsia="宋体" w:cs="Times New Roman"/>
      <w:sz w:val="18"/>
      <w:szCs w:val="18"/>
    </w:rPr>
  </w:style>
  <w:style w:type="character" w:customStyle="1" w:styleId="130">
    <w:name w:val="正文文本缩进 字符"/>
    <w:semiHidden/>
    <w:qFormat/>
    <w:uiPriority w:val="99"/>
    <w:rPr>
      <w:rFonts w:hint="default" w:ascii="Calibri" w:hAnsi="Calibri" w:eastAsia="宋体" w:cs="Times New Roman"/>
    </w:rPr>
  </w:style>
  <w:style w:type="character" w:customStyle="1" w:styleId="131">
    <w:name w:val="批注框文本 字符"/>
    <w:semiHidden/>
    <w:qFormat/>
    <w:uiPriority w:val="99"/>
    <w:rPr>
      <w:rFonts w:hint="default" w:ascii="Calibri" w:hAnsi="Calibri" w:eastAsia="宋体" w:cs="Times New Roman"/>
      <w:sz w:val="18"/>
      <w:szCs w:val="18"/>
    </w:rPr>
  </w:style>
  <w:style w:type="character" w:customStyle="1" w:styleId="132">
    <w:name w:val="日期 字符"/>
    <w:semiHidden/>
    <w:qFormat/>
    <w:uiPriority w:val="99"/>
    <w:rPr>
      <w:rFonts w:hint="default" w:ascii="Calibri" w:hAnsi="Calibri" w:eastAsia="宋体" w:cs="Times New Roman"/>
    </w:rPr>
  </w:style>
  <w:style w:type="character" w:customStyle="1" w:styleId="133">
    <w:name w:val="纯文本 字符"/>
    <w:semiHidden/>
    <w:qFormat/>
    <w:uiPriority w:val="99"/>
    <w:rPr>
      <w:rFonts w:hint="eastAsia" w:ascii="宋体" w:hAnsi="Courier New" w:eastAsia="宋体" w:cs="Courier New"/>
    </w:rPr>
  </w:style>
  <w:style w:type="character" w:customStyle="1" w:styleId="134">
    <w:name w:val="正文文本 2 字符"/>
    <w:semiHidden/>
    <w:qFormat/>
    <w:uiPriority w:val="99"/>
    <w:rPr>
      <w:rFonts w:hint="default" w:ascii="Calibri" w:hAnsi="Calibri" w:eastAsia="宋体" w:cs="Times New Roman"/>
    </w:rPr>
  </w:style>
  <w:style w:type="character" w:customStyle="1" w:styleId="135">
    <w:name w:val="尾注文本 Char1"/>
    <w:qFormat/>
    <w:locked/>
    <w:uiPriority w:val="0"/>
    <w:rPr>
      <w:rFonts w:ascii="Times New Roman" w:hAnsi="Times New Roman" w:eastAsia="宋体" w:cs="Times New Roman"/>
      <w:kern w:val="0"/>
      <w:sz w:val="24"/>
      <w:szCs w:val="24"/>
    </w:rPr>
  </w:style>
  <w:style w:type="character" w:customStyle="1" w:styleId="136">
    <w:name w:val="尾注文本 字符"/>
    <w:semiHidden/>
    <w:qFormat/>
    <w:uiPriority w:val="99"/>
    <w:rPr>
      <w:rFonts w:hint="default" w:ascii="Calibri" w:hAnsi="Calibri" w:eastAsia="宋体" w:cs="Times New Roman"/>
    </w:rPr>
  </w:style>
  <w:style w:type="character" w:customStyle="1" w:styleId="137">
    <w:name w:val="批注文字 Char1"/>
    <w:qFormat/>
    <w:locked/>
    <w:uiPriority w:val="0"/>
    <w:rPr>
      <w:rFonts w:ascii="Times New Roman" w:hAnsi="Times New Roman" w:eastAsia="宋体" w:cs="Times New Roman"/>
      <w:kern w:val="0"/>
      <w:sz w:val="24"/>
      <w:szCs w:val="24"/>
    </w:rPr>
  </w:style>
  <w:style w:type="character" w:customStyle="1" w:styleId="138">
    <w:name w:val="批注文字 字符"/>
    <w:semiHidden/>
    <w:qFormat/>
    <w:uiPriority w:val="99"/>
    <w:rPr>
      <w:rFonts w:hint="default" w:ascii="Calibri" w:hAnsi="Calibri" w:eastAsia="宋体" w:cs="Times New Roman"/>
    </w:rPr>
  </w:style>
  <w:style w:type="character" w:customStyle="1" w:styleId="139">
    <w:name w:val="正文文本 字符"/>
    <w:semiHidden/>
    <w:qFormat/>
    <w:uiPriority w:val="99"/>
    <w:rPr>
      <w:rFonts w:hint="default" w:ascii="Calibri" w:hAnsi="Calibri" w:eastAsia="宋体" w:cs="Times New Roman"/>
    </w:rPr>
  </w:style>
  <w:style w:type="character" w:customStyle="1" w:styleId="140">
    <w:name w:val="正文文本缩进 2 字符"/>
    <w:semiHidden/>
    <w:qFormat/>
    <w:uiPriority w:val="99"/>
    <w:rPr>
      <w:rFonts w:hint="default" w:ascii="Calibri" w:hAnsi="Calibri" w:eastAsia="宋体" w:cs="Times New Roman"/>
    </w:rPr>
  </w:style>
  <w:style w:type="character" w:customStyle="1" w:styleId="141">
    <w:name w:val="正文文本缩进 3 字符"/>
    <w:semiHidden/>
    <w:qFormat/>
    <w:uiPriority w:val="99"/>
    <w:rPr>
      <w:rFonts w:hint="default" w:ascii="Calibri" w:hAnsi="Calibri" w:eastAsia="宋体" w:cs="Times New Roman"/>
      <w:sz w:val="16"/>
      <w:szCs w:val="16"/>
    </w:rPr>
  </w:style>
  <w:style w:type="character" w:customStyle="1" w:styleId="142">
    <w:name w:val="正文文本 3 字符"/>
    <w:semiHidden/>
    <w:qFormat/>
    <w:uiPriority w:val="99"/>
    <w:rPr>
      <w:rFonts w:hint="default" w:ascii="Calibri" w:hAnsi="Calibri" w:eastAsia="宋体" w:cs="Times New Roman"/>
      <w:sz w:val="16"/>
      <w:szCs w:val="16"/>
    </w:rPr>
  </w:style>
  <w:style w:type="character" w:customStyle="1" w:styleId="143">
    <w:name w:val="脚注文本 字符"/>
    <w:semiHidden/>
    <w:qFormat/>
    <w:uiPriority w:val="99"/>
    <w:rPr>
      <w:rFonts w:hint="default" w:ascii="Calibri" w:hAnsi="Calibri" w:eastAsia="宋体" w:cs="Times New Roman"/>
      <w:sz w:val="18"/>
      <w:szCs w:val="18"/>
    </w:rPr>
  </w:style>
  <w:style w:type="character" w:customStyle="1" w:styleId="144">
    <w:name w:val="批注主题 Char1"/>
    <w:qFormat/>
    <w:locked/>
    <w:uiPriority w:val="0"/>
    <w:rPr>
      <w:rFonts w:ascii="Times New Roman" w:hAnsi="Times New Roman" w:eastAsia="宋体" w:cs="Times New Roman"/>
      <w:b/>
      <w:bCs/>
      <w:kern w:val="0"/>
      <w:sz w:val="24"/>
      <w:szCs w:val="24"/>
    </w:rPr>
  </w:style>
  <w:style w:type="character" w:customStyle="1" w:styleId="145">
    <w:name w:val="批注主题 字符"/>
    <w:semiHidden/>
    <w:qFormat/>
    <w:uiPriority w:val="99"/>
    <w:rPr>
      <w:rFonts w:hint="default" w:ascii="Calibri" w:hAnsi="Calibri" w:eastAsia="宋体" w:cs="Times New Roman"/>
      <w:b/>
      <w:bCs/>
    </w:rPr>
  </w:style>
  <w:style w:type="character" w:customStyle="1" w:styleId="146">
    <w:name w:val="标题 Char1"/>
    <w:qFormat/>
    <w:locked/>
    <w:uiPriority w:val="0"/>
    <w:rPr>
      <w:rFonts w:ascii="Arial" w:hAnsi="Arial" w:eastAsia="宋体" w:cs="Times New Roman"/>
      <w:b/>
      <w:bCs/>
      <w:kern w:val="0"/>
      <w:sz w:val="32"/>
      <w:szCs w:val="32"/>
    </w:rPr>
  </w:style>
  <w:style w:type="character" w:customStyle="1" w:styleId="147">
    <w:name w:val="标题 字符"/>
    <w:qFormat/>
    <w:uiPriority w:val="10"/>
    <w:rPr>
      <w:rFonts w:hint="default" w:ascii="Cambria" w:hAnsi="Cambria" w:eastAsia="宋体" w:cs="Times New Roman"/>
      <w:b/>
      <w:bCs/>
      <w:sz w:val="32"/>
      <w:szCs w:val="32"/>
    </w:rPr>
  </w:style>
  <w:style w:type="paragraph" w:customStyle="1" w:styleId="148">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Revision"/>
    <w:semiHidden/>
    <w:qFormat/>
    <w:uiPriority w:val="99"/>
    <w:rPr>
      <w:rFonts w:ascii="Times New Roman" w:hAnsi="Times New Roman" w:eastAsia="宋体" w:cs="Times New Roman"/>
      <w:kern w:val="2"/>
      <w:sz w:val="21"/>
      <w:lang w:val="en-US" w:eastAsia="zh-CN" w:bidi="ar-SA"/>
    </w:rPr>
  </w:style>
  <w:style w:type="character" w:customStyle="1" w:styleId="150">
    <w:name w:val="批注文字 字符1"/>
    <w:qFormat/>
    <w:locked/>
    <w:uiPriority w:val="0"/>
    <w:rPr>
      <w:rFonts w:eastAsia="宋体"/>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10071</Words>
  <Characters>10130</Characters>
  <Lines>69</Lines>
  <Paragraphs>19</Paragraphs>
  <TotalTime>0</TotalTime>
  <ScaleCrop>false</ScaleCrop>
  <LinksUpToDate>false</LinksUpToDate>
  <CharactersWithSpaces>10227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2025-04-09T19:20:00Z</dcterms:created>
  <dc:creator>sse</dc:creator>
  <cp:lastModifiedBy>whxu</cp:lastModifiedBy>
  <cp:lastPrinted>2026-06-16T07:58:00Z</cp:lastPrinted>
  <dcterms:modified xsi:type="dcterms:W3CDTF">2026-07-03T18:26:51Z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FF2335B00E102F9EB4D03D6A40ADED68_43</vt:lpwstr>
  </property>
  <property fmtid="{D5CDD505-2E9C-101B-9397-08002B2CF9AE}" pid="4" name="KSOTemplateDocerSaveRecord">
    <vt:lpwstr>eyJoZGlkIjoiODU1MjFmZWFjYWYyZmFkY2IwY2Q4ZjQwNWM1NjJkYzIiLCJ1c2VySWQiOiI0MTAwNTg2ODQifQ==</vt:lpwstr>
  </property>
</Properties>
</file>