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B1" w:rsidRDefault="00012AD8">
      <w:pPr>
        <w:spacing w:line="56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:rsidR="00A020B1" w:rsidRDefault="00A020B1">
      <w:pPr>
        <w:adjustRightIn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A020B1" w:rsidRDefault="00012AD8">
      <w:pPr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bCs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bCs/>
          <w:sz w:val="44"/>
          <w:szCs w:val="44"/>
        </w:rPr>
        <w:t>《关于完善上市开放式基金相关安排的</w:t>
      </w:r>
    </w:p>
    <w:p w:rsidR="00A020B1" w:rsidRDefault="00012AD8">
      <w:pPr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bCs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bCs/>
          <w:sz w:val="44"/>
          <w:szCs w:val="44"/>
        </w:rPr>
        <w:t>通知（征求意见稿）》起草说明</w:t>
      </w:r>
    </w:p>
    <w:p w:rsidR="00A020B1" w:rsidRDefault="00A020B1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A020B1" w:rsidRDefault="00012AD8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起草背景</w:t>
      </w:r>
    </w:p>
    <w:p w:rsidR="00A020B1" w:rsidRDefault="00012AD8">
      <w:pPr>
        <w:pStyle w:val="a4"/>
        <w:adjustRightIn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为了促进上市开放式基金（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仿宋_GB2312" w:eastAsia="仿宋_GB2312" w:hAnsi="仿宋_GB2312" w:cs="仿宋_GB2312" w:hint="eastAsia"/>
          <w:sz w:val="32"/>
          <w:szCs w:val="32"/>
        </w:rPr>
        <w:t>）规范发展，保护投资者合法权益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《中华人民共和国证券投资基金法》《公开募集证券投资基金运作管理办法》《上海证券交易所证券投资基金上市规则》等规定，上海证券交易所（以下简称本所）起草了《关于完善上市开放式基金相关安排的通知（征求意见稿）》（以下简称《通知》）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明确退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市标准及实施流程。</w:t>
      </w:r>
    </w:p>
    <w:p w:rsidR="00A020B1" w:rsidRDefault="00012AD8">
      <w:pPr>
        <w:adjustRightIn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黑体" w:eastAsia="黑体" w:hAnsi="黑体" w:cs="黑体" w:hint="eastAsia"/>
          <w:sz w:val="32"/>
          <w:szCs w:val="32"/>
        </w:rPr>
        <w:t>主要内容</w:t>
      </w:r>
    </w:p>
    <w:p w:rsidR="00A020B1" w:rsidRDefault="00012AD8">
      <w:pPr>
        <w:pStyle w:val="a4"/>
        <w:adjustRightInd w:val="0"/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一是明确</w:t>
      </w:r>
      <w:r>
        <w:rPr>
          <w:rFonts w:ascii="Times New Roman" w:eastAsia="仿宋_GB2312" w:hAnsi="Times New Roman"/>
          <w:b/>
          <w:bCs/>
          <w:sz w:val="32"/>
          <w:szCs w:val="32"/>
        </w:rPr>
        <w:t>QDII LOF</w:t>
      </w:r>
      <w:r>
        <w:rPr>
          <w:rFonts w:ascii="Times New Roman" w:eastAsia="仿宋_GB2312" w:hAnsi="Times New Roman"/>
          <w:b/>
          <w:bCs/>
          <w:sz w:val="32"/>
          <w:szCs w:val="32"/>
        </w:rPr>
        <w:t>应当终止上市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，</w:t>
      </w:r>
      <w:r>
        <w:rPr>
          <w:rFonts w:ascii="Times New Roman" w:eastAsia="仿宋_GB2312" w:hAnsi="Times New Roman"/>
          <w:b/>
          <w:bCs/>
          <w:sz w:val="32"/>
          <w:szCs w:val="32"/>
        </w:rPr>
        <w:t>并设置过渡期安排。</w:t>
      </w:r>
      <w:r>
        <w:rPr>
          <w:rFonts w:ascii="Times New Roman" w:eastAsia="仿宋_GB2312" w:hAnsi="Times New Roman"/>
          <w:sz w:val="32"/>
          <w:szCs w:val="32"/>
        </w:rPr>
        <w:t>QDII LOF</w:t>
      </w:r>
      <w:r>
        <w:rPr>
          <w:rFonts w:ascii="Times New Roman" w:eastAsia="仿宋_GB2312" w:hAnsi="Times New Roman"/>
          <w:sz w:val="32"/>
          <w:szCs w:val="32"/>
        </w:rPr>
        <w:t>存在或可能存在标的资产投资受限，阶段性呈现高溢价风险。考虑部分产品持有人数量较多，拟设置过渡期，明确</w:t>
      </w:r>
      <w:r>
        <w:rPr>
          <w:rFonts w:ascii="Times New Roman" w:eastAsia="仿宋_GB2312" w:hAnsi="Times New Roman"/>
          <w:sz w:val="32"/>
          <w:szCs w:val="32"/>
        </w:rPr>
        <w:t>QDII LOF</w:t>
      </w:r>
      <w:r>
        <w:rPr>
          <w:rFonts w:ascii="Times New Roman" w:eastAsia="仿宋_GB2312" w:hAnsi="Times New Roman"/>
          <w:sz w:val="32"/>
          <w:szCs w:val="32"/>
        </w:rPr>
        <w:t>应当于</w:t>
      </w:r>
      <w:r>
        <w:rPr>
          <w:rFonts w:ascii="Times New Roman" w:eastAsia="仿宋_GB2312" w:hAnsi="Times New Roman"/>
          <w:sz w:val="32"/>
          <w:szCs w:val="32"/>
        </w:rPr>
        <w:t>2027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31</w:t>
      </w:r>
      <w:r>
        <w:rPr>
          <w:rFonts w:ascii="Times New Roman" w:eastAsia="仿宋_GB2312" w:hAnsi="Times New Roman"/>
          <w:sz w:val="32"/>
          <w:szCs w:val="32"/>
        </w:rPr>
        <w:t>日前终止上市。</w:t>
      </w:r>
    </w:p>
    <w:p w:rsidR="00A020B1" w:rsidRDefault="00012AD8">
      <w:pPr>
        <w:pStyle w:val="a4"/>
        <w:adjustRightInd w:val="0"/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二是明确连续六十个交易日场内资产净值低于一千万元的</w:t>
      </w:r>
      <w:r>
        <w:rPr>
          <w:rFonts w:ascii="Times New Roman" w:eastAsia="仿宋_GB2312" w:hAnsi="Times New Roman"/>
          <w:b/>
          <w:bCs/>
          <w:sz w:val="32"/>
          <w:szCs w:val="32"/>
        </w:rPr>
        <w:t>LOF</w:t>
      </w:r>
      <w:r>
        <w:rPr>
          <w:rFonts w:ascii="Times New Roman" w:eastAsia="仿宋_GB2312" w:hAnsi="Times New Roman"/>
          <w:b/>
          <w:bCs/>
          <w:sz w:val="32"/>
          <w:szCs w:val="32"/>
        </w:rPr>
        <w:t>应当终止上市。</w:t>
      </w:r>
      <w:r>
        <w:rPr>
          <w:rFonts w:ascii="Times New Roman" w:eastAsia="仿宋_GB2312" w:hAnsi="Times New Roman"/>
          <w:sz w:val="32"/>
          <w:szCs w:val="32"/>
        </w:rPr>
        <w:t>部分小规模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产品存在短期高溢价炒作风险，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拟明确</w:t>
      </w:r>
      <w:proofErr w:type="gramEnd"/>
      <w:r>
        <w:rPr>
          <w:rFonts w:ascii="Times New Roman" w:eastAsia="仿宋_GB2312" w:hAnsi="Times New Roman"/>
          <w:sz w:val="32"/>
          <w:szCs w:val="32"/>
        </w:rPr>
        <w:t>连续六十个交易日场内资产净值低于一千万元的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应当终止上市。</w:t>
      </w:r>
    </w:p>
    <w:p w:rsidR="00A020B1" w:rsidRDefault="00012AD8" w:rsidP="00BA7342">
      <w:pPr>
        <w:adjustRightIn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三是明确终止上市程序。</w:t>
      </w:r>
      <w:r>
        <w:rPr>
          <w:rFonts w:ascii="Times New Roman" w:eastAsia="仿宋_GB2312" w:hAnsi="Times New Roman"/>
          <w:sz w:val="32"/>
          <w:szCs w:val="32"/>
        </w:rPr>
        <w:t>拟参照本所现行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终止上市流</w:t>
      </w:r>
      <w:r>
        <w:rPr>
          <w:rFonts w:ascii="Times New Roman" w:eastAsia="仿宋_GB2312" w:hAnsi="Times New Roman"/>
          <w:sz w:val="32"/>
          <w:szCs w:val="32"/>
        </w:rPr>
        <w:lastRenderedPageBreak/>
        <w:t>程，基金管理人可以选择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转型至场外基金或依法清盘退市两种方式终止上市。为便利投资者退出，选择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转型的需设置二十个交易日的投资者选择期。对于</w:t>
      </w:r>
      <w:r>
        <w:rPr>
          <w:rFonts w:ascii="Times New Roman" w:eastAsia="仿宋_GB2312" w:hAnsi="Times New Roman"/>
          <w:sz w:val="32"/>
          <w:szCs w:val="32"/>
        </w:rPr>
        <w:t>QDII LOF</w:t>
      </w:r>
      <w:r>
        <w:rPr>
          <w:rFonts w:ascii="Times New Roman" w:eastAsia="仿宋_GB2312" w:hAnsi="Times New Roman"/>
          <w:sz w:val="32"/>
          <w:szCs w:val="32"/>
        </w:rPr>
        <w:t>，基金管理人应当在过渡期内做好终止上市安排，并及时向本所提交相关文件。对于小规模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，出现终</w:t>
      </w:r>
      <w:r>
        <w:rPr>
          <w:rFonts w:ascii="Times New Roman" w:eastAsia="仿宋_GB2312" w:hAnsi="Times New Roman"/>
          <w:sz w:val="32"/>
          <w:szCs w:val="32"/>
        </w:rPr>
        <w:t>止上市情形后的次一交易日起停牌，并向本所提交相关文件。基金管理人在收到本所终止上市决定后，两个交易日内披露终止上市公告，本所于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终止上市日发布公告。</w:t>
      </w:r>
    </w:p>
    <w:p w:rsidR="00A020B1" w:rsidRDefault="00012AD8" w:rsidP="00BA7342">
      <w:pPr>
        <w:adjustRightIn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四是加强风险提示。对于</w:t>
      </w:r>
      <w:r>
        <w:rPr>
          <w:rFonts w:ascii="Times New Roman" w:eastAsia="仿宋_GB2312" w:hAnsi="Times New Roman"/>
          <w:b/>
          <w:bCs/>
          <w:sz w:val="32"/>
          <w:szCs w:val="32"/>
        </w:rPr>
        <w:t>QDII LOF</w:t>
      </w:r>
      <w:r>
        <w:rPr>
          <w:rFonts w:ascii="Times New Roman" w:eastAsia="仿宋_GB2312" w:hAnsi="Times New Roman"/>
          <w:b/>
          <w:bCs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基金管理人应当在《通知》发布实施、终止上市相关安排确定等关键时点及时公告并提示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将终止上市的风险，终止上市前在基金场内简称前冠</w:t>
      </w:r>
      <w:r>
        <w:rPr>
          <w:rFonts w:ascii="仿宋_GB2312" w:eastAsia="仿宋_GB2312" w:hAnsi="仿宋_GB2312" w:cs="仿宋_GB2312" w:hint="eastAsia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提示风险。</w:t>
      </w:r>
      <w:r>
        <w:rPr>
          <w:rFonts w:ascii="Times New Roman" w:eastAsia="仿宋_GB2312" w:hAnsi="Times New Roman"/>
          <w:b/>
          <w:bCs/>
          <w:sz w:val="32"/>
          <w:szCs w:val="32"/>
        </w:rPr>
        <w:t>对于小规模</w:t>
      </w:r>
      <w:r>
        <w:rPr>
          <w:rFonts w:ascii="Times New Roman" w:eastAsia="仿宋_GB2312" w:hAnsi="Times New Roman"/>
          <w:b/>
          <w:bCs/>
          <w:sz w:val="32"/>
          <w:szCs w:val="32"/>
        </w:rPr>
        <w:t>LOF</w:t>
      </w:r>
      <w:r>
        <w:rPr>
          <w:rFonts w:ascii="Times New Roman" w:eastAsia="仿宋_GB2312" w:hAnsi="Times New Roman"/>
          <w:b/>
          <w:bCs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连续四十个交易日场内资产净值低于一千万元的，基金管理人应当自次一交易日起每日披露风险提示公告，其后逐日披露</w:t>
      </w:r>
      <w:proofErr w:type="gramStart"/>
      <w:r>
        <w:rPr>
          <w:rFonts w:ascii="Times New Roman" w:eastAsia="仿宋_GB2312" w:hAnsi="Times New Roman"/>
          <w:sz w:val="32"/>
          <w:szCs w:val="32"/>
        </w:rPr>
        <w:t>至相应</w:t>
      </w:r>
      <w:proofErr w:type="gramEnd"/>
      <w:r>
        <w:rPr>
          <w:rFonts w:ascii="Times New Roman" w:eastAsia="仿宋_GB2312" w:hAnsi="Times New Roman"/>
          <w:sz w:val="32"/>
          <w:szCs w:val="32"/>
        </w:rPr>
        <w:t>情形消除或出现终止上市情形之日止。</w:t>
      </w:r>
      <w:r>
        <w:rPr>
          <w:rFonts w:ascii="Times New Roman" w:eastAsia="仿宋_GB2312" w:hAnsi="Times New Roman"/>
          <w:b/>
          <w:bCs/>
          <w:sz w:val="32"/>
          <w:szCs w:val="32"/>
        </w:rPr>
        <w:t>要求会员加强客户风险提示，</w:t>
      </w:r>
      <w:r>
        <w:rPr>
          <w:rFonts w:ascii="Times New Roman" w:eastAsia="仿宋_GB2312" w:hAnsi="Times New Roman"/>
          <w:sz w:val="32"/>
          <w:szCs w:val="32"/>
        </w:rPr>
        <w:t>应当将按照本通知规定发布终止上市相关公告的</w:t>
      </w:r>
      <w:r>
        <w:rPr>
          <w:rFonts w:ascii="Times New Roman" w:eastAsia="仿宋_GB2312" w:hAnsi="Times New Roman"/>
          <w:sz w:val="32"/>
          <w:szCs w:val="32"/>
        </w:rPr>
        <w:t>LOF</w:t>
      </w:r>
      <w:r>
        <w:rPr>
          <w:rFonts w:ascii="Times New Roman" w:eastAsia="仿宋_GB2312" w:hAnsi="Times New Roman"/>
          <w:sz w:val="32"/>
          <w:szCs w:val="32"/>
        </w:rPr>
        <w:t>纳入重点监控名单，多种渠道向客户进行风险提示；会员应当积极配合开展客户通知工作，督促客户合法合</w:t>
      </w:r>
      <w:proofErr w:type="gramStart"/>
      <w:r>
        <w:rPr>
          <w:rFonts w:ascii="Times New Roman" w:eastAsia="仿宋_GB2312" w:hAnsi="Times New Roman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/>
          <w:sz w:val="32"/>
          <w:szCs w:val="32"/>
        </w:rPr>
        <w:t>、理性审慎参与交易。对于需要办理场外基金份额确权的客户，会员应当积极协助客户开立相关账户等确权相关手续。</w:t>
      </w:r>
    </w:p>
    <w:p w:rsidR="00A020B1" w:rsidRDefault="00A020B1" w:rsidP="00012AD8">
      <w:pPr>
        <w:spacing w:line="400" w:lineRule="exact"/>
        <w:ind w:leftChars="100" w:left="210" w:rightChars="100" w:right="210" w:firstLineChars="100" w:firstLine="280"/>
        <w:jc w:val="righ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</w:p>
    <w:sectPr w:rsidR="00A020B1" w:rsidSect="00A020B1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2098" w:right="1474" w:bottom="1984" w:left="1588" w:header="851" w:footer="141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0B1" w:rsidRDefault="00A020B1" w:rsidP="00A020B1">
      <w:r>
        <w:separator/>
      </w:r>
    </w:p>
  </w:endnote>
  <w:endnote w:type="continuationSeparator" w:id="0">
    <w:p w:rsidR="00A020B1" w:rsidRDefault="00A020B1" w:rsidP="00A02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0B1" w:rsidRDefault="00012AD8">
    <w:pPr>
      <w:pStyle w:val="a6"/>
      <w:ind w:firstLineChars="100" w:firstLine="280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 w:rsidR="00A020B1"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  \* MERGEFORMAT </w:instrText>
    </w:r>
    <w:r w:rsidR="00A020B1"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 w:rsidRPr="00012AD8">
      <w:rPr>
        <w:rFonts w:asciiTheme="minorEastAsia" w:eastAsiaTheme="minorEastAsia" w:hAnsiTheme="minorEastAsia" w:cstheme="minorEastAsia"/>
        <w:noProof/>
        <w:sz w:val="28"/>
        <w:szCs w:val="28"/>
        <w:lang w:val="zh-CN"/>
      </w:rPr>
      <w:t>2</w:t>
    </w:r>
    <w:r w:rsidR="00A020B1"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0B1" w:rsidRDefault="00012AD8">
    <w:pPr>
      <w:pStyle w:val="a6"/>
      <w:wordWrap w:val="0"/>
      <w:jc w:val="right"/>
    </w:pP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 w:rsidR="00A020B1">
      <w:rPr>
        <w:rFonts w:ascii="宋体" w:hAnsi="宋体" w:cs="宋体" w:hint="eastAsia"/>
        <w:sz w:val="28"/>
        <w:szCs w:val="28"/>
      </w:rPr>
      <w:fldChar w:fldCharType="begin"/>
    </w:r>
    <w:r>
      <w:rPr>
        <w:rFonts w:ascii="宋体" w:hAnsi="宋体" w:cs="宋体" w:hint="eastAsia"/>
        <w:sz w:val="28"/>
        <w:szCs w:val="28"/>
      </w:rPr>
      <w:instrText xml:space="preserve"> PAGE   \* MERGEFORMAT </w:instrText>
    </w:r>
    <w:r w:rsidR="00A020B1">
      <w:rPr>
        <w:rFonts w:ascii="宋体" w:hAnsi="宋体" w:cs="宋体" w:hint="eastAsia"/>
        <w:sz w:val="28"/>
        <w:szCs w:val="28"/>
      </w:rPr>
      <w:fldChar w:fldCharType="separate"/>
    </w:r>
    <w:r w:rsidRPr="00012AD8">
      <w:rPr>
        <w:rFonts w:ascii="宋体" w:hAnsi="宋体" w:cs="宋体"/>
        <w:noProof/>
        <w:sz w:val="28"/>
        <w:szCs w:val="28"/>
        <w:lang w:val="zh-CN"/>
      </w:rPr>
      <w:t>1</w:t>
    </w:r>
    <w:r w:rsidR="00A020B1">
      <w:rPr>
        <w:rFonts w:ascii="宋体" w:hAnsi="宋体" w:cs="宋体" w:hint="eastAsia"/>
        <w:sz w:val="28"/>
        <w:szCs w:val="28"/>
      </w:rPr>
      <w:fldChar w:fldCharType="end"/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  <w:r>
      <w:rPr>
        <w:rFonts w:ascii="宋体" w:hAnsi="宋体" w:cs="宋体" w:hint="eastAsia"/>
        <w:sz w:val="28"/>
        <w:szCs w:val="28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0B1" w:rsidRDefault="00A020B1" w:rsidP="00A020B1">
      <w:r>
        <w:separator/>
      </w:r>
    </w:p>
  </w:footnote>
  <w:footnote w:type="continuationSeparator" w:id="0">
    <w:p w:rsidR="00A020B1" w:rsidRDefault="00A020B1" w:rsidP="00A02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0B1" w:rsidRDefault="00A020B1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0B1" w:rsidRDefault="00A020B1">
    <w:pPr>
      <w:pStyle w:val="a7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FF2F4976"/>
    <w:rsid w:val="BBF14ED1"/>
    <w:rsid w:val="BE7B8B0B"/>
    <w:rsid w:val="BFFCFC6E"/>
    <w:rsid w:val="D3D9C944"/>
    <w:rsid w:val="D5F315B2"/>
    <w:rsid w:val="D7EFFDCA"/>
    <w:rsid w:val="DFF702EE"/>
    <w:rsid w:val="DFFF55AA"/>
    <w:rsid w:val="EB75724E"/>
    <w:rsid w:val="F6BF9FBD"/>
    <w:rsid w:val="F79F0690"/>
    <w:rsid w:val="FAEA1014"/>
    <w:rsid w:val="FB3D7BF0"/>
    <w:rsid w:val="FBB3F54E"/>
    <w:rsid w:val="FCB5DAEB"/>
    <w:rsid w:val="FF2F4976"/>
    <w:rsid w:val="FFEFBCBC"/>
    <w:rsid w:val="FFFBD820"/>
    <w:rsid w:val="FFFF7689"/>
    <w:rsid w:val="00012AD8"/>
    <w:rsid w:val="001D5916"/>
    <w:rsid w:val="0025124D"/>
    <w:rsid w:val="004B36FF"/>
    <w:rsid w:val="004E3D1A"/>
    <w:rsid w:val="00600EEB"/>
    <w:rsid w:val="00A020B1"/>
    <w:rsid w:val="00BA7342"/>
    <w:rsid w:val="00C0629D"/>
    <w:rsid w:val="00CA3559"/>
    <w:rsid w:val="00D60B6D"/>
    <w:rsid w:val="00DB44A2"/>
    <w:rsid w:val="00DB53FC"/>
    <w:rsid w:val="00E87483"/>
    <w:rsid w:val="00FD065C"/>
    <w:rsid w:val="06735CBB"/>
    <w:rsid w:val="06F750FD"/>
    <w:rsid w:val="0A2C26C1"/>
    <w:rsid w:val="0C68154C"/>
    <w:rsid w:val="0E960F7B"/>
    <w:rsid w:val="16F4752D"/>
    <w:rsid w:val="1B19589E"/>
    <w:rsid w:val="22E32171"/>
    <w:rsid w:val="2B407921"/>
    <w:rsid w:val="2BDD99BF"/>
    <w:rsid w:val="2CE61804"/>
    <w:rsid w:val="2EFCF53A"/>
    <w:rsid w:val="31FEFBEA"/>
    <w:rsid w:val="3883270A"/>
    <w:rsid w:val="3B7AAA49"/>
    <w:rsid w:val="3C6FA4B8"/>
    <w:rsid w:val="3C7942F7"/>
    <w:rsid w:val="3DBE9EB7"/>
    <w:rsid w:val="48AE0A00"/>
    <w:rsid w:val="4D870224"/>
    <w:rsid w:val="5428522C"/>
    <w:rsid w:val="5F3B6F89"/>
    <w:rsid w:val="60D54E46"/>
    <w:rsid w:val="628964F1"/>
    <w:rsid w:val="63A84D04"/>
    <w:rsid w:val="65D85975"/>
    <w:rsid w:val="6AE949C6"/>
    <w:rsid w:val="6F5F0A03"/>
    <w:rsid w:val="6FE3FC28"/>
    <w:rsid w:val="6FED40AA"/>
    <w:rsid w:val="73EE6E0A"/>
    <w:rsid w:val="75AF05A8"/>
    <w:rsid w:val="76FFAA57"/>
    <w:rsid w:val="796B1C76"/>
    <w:rsid w:val="7A5917A9"/>
    <w:rsid w:val="7AF1665C"/>
    <w:rsid w:val="7EBD08D4"/>
    <w:rsid w:val="7F9D2AE6"/>
    <w:rsid w:val="7FEB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20B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A020B1"/>
    <w:pPr>
      <w:spacing w:after="120"/>
    </w:pPr>
    <w:rPr>
      <w:szCs w:val="24"/>
    </w:rPr>
  </w:style>
  <w:style w:type="paragraph" w:styleId="a4">
    <w:name w:val="Body Text Indent"/>
    <w:basedOn w:val="a"/>
    <w:next w:val="a3"/>
    <w:qFormat/>
    <w:rsid w:val="00A020B1"/>
    <w:pPr>
      <w:ind w:firstLine="568"/>
    </w:pPr>
    <w:rPr>
      <w:sz w:val="28"/>
      <w:szCs w:val="24"/>
    </w:rPr>
  </w:style>
  <w:style w:type="paragraph" w:styleId="a5">
    <w:name w:val="Date"/>
    <w:basedOn w:val="a"/>
    <w:next w:val="a"/>
    <w:link w:val="Char"/>
    <w:qFormat/>
    <w:rsid w:val="00A020B1"/>
    <w:pPr>
      <w:ind w:leftChars="2500" w:left="100"/>
    </w:pPr>
  </w:style>
  <w:style w:type="paragraph" w:styleId="a6">
    <w:name w:val="footer"/>
    <w:basedOn w:val="a"/>
    <w:link w:val="Char0"/>
    <w:qFormat/>
    <w:rsid w:val="00A02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rsid w:val="00A02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qFormat/>
    <w:rsid w:val="00A020B1"/>
    <w:rPr>
      <w:rFonts w:ascii="Times New Roman" w:eastAsia="宋体" w:hAnsi="Times New Roman" w:cs="Times New Roman"/>
      <w:color w:val="0000FF"/>
      <w:u w:val="single"/>
    </w:rPr>
  </w:style>
  <w:style w:type="character" w:customStyle="1" w:styleId="Char">
    <w:name w:val="日期 Char"/>
    <w:basedOn w:val="a0"/>
    <w:link w:val="a5"/>
    <w:qFormat/>
    <w:rsid w:val="00A020B1"/>
    <w:rPr>
      <w:rFonts w:ascii="Calibri" w:eastAsia="宋体" w:hAnsi="Calibri" w:cs="Times New Roman"/>
    </w:rPr>
  </w:style>
  <w:style w:type="character" w:customStyle="1" w:styleId="Char1">
    <w:name w:val="页眉 Char"/>
    <w:basedOn w:val="a0"/>
    <w:link w:val="a7"/>
    <w:uiPriority w:val="99"/>
    <w:semiHidden/>
    <w:qFormat/>
    <w:rsid w:val="00A020B1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A020B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</dc:creator>
  <cp:lastModifiedBy>user</cp:lastModifiedBy>
  <cp:revision>2</cp:revision>
  <cp:lastPrinted>2023-07-25T00:41:00Z</cp:lastPrinted>
  <dcterms:created xsi:type="dcterms:W3CDTF">2026-08-07T09:52:00Z</dcterms:created>
  <dcterms:modified xsi:type="dcterms:W3CDTF">2026-08-07T09:52:00Z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15AA9EEB7606F4D157AD756A3CDA2FB0_43</vt:lpwstr>
  </property>
</Properties>
</file>