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0B1" w:rsidRDefault="00BA7342">
      <w:pPr>
        <w:adjustRightInd w:val="0"/>
        <w:snapToGrid w:val="0"/>
        <w:spacing w:line="560" w:lineRule="exact"/>
        <w:jc w:val="left"/>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1</w:t>
      </w:r>
    </w:p>
    <w:p w:rsidR="00A020B1" w:rsidRDefault="00A020B1">
      <w:pPr>
        <w:adjustRightInd w:val="0"/>
        <w:snapToGrid w:val="0"/>
        <w:spacing w:line="560" w:lineRule="exact"/>
        <w:jc w:val="left"/>
        <w:rPr>
          <w:rFonts w:ascii="黑体" w:eastAsia="黑体" w:hAnsi="黑体" w:cs="黑体"/>
          <w:bCs/>
          <w:sz w:val="32"/>
          <w:szCs w:val="32"/>
        </w:rPr>
      </w:pPr>
    </w:p>
    <w:p w:rsidR="00A020B1" w:rsidRDefault="00BA7342">
      <w:pPr>
        <w:adjustRightInd w:val="0"/>
        <w:snapToGrid w:val="0"/>
        <w:spacing w:line="560" w:lineRule="exact"/>
        <w:jc w:val="center"/>
        <w:rPr>
          <w:rFonts w:ascii="方正大标宋简体" w:eastAsia="方正大标宋简体" w:hAnsi="方正大标宋简体" w:cs="方正大标宋简体"/>
          <w:bCs/>
          <w:sz w:val="44"/>
          <w:szCs w:val="44"/>
        </w:rPr>
      </w:pPr>
      <w:r>
        <w:rPr>
          <w:rFonts w:ascii="方正大标宋简体" w:eastAsia="方正大标宋简体" w:hAnsi="方正大标宋简体" w:cs="方正大标宋简体" w:hint="eastAsia"/>
          <w:bCs/>
          <w:sz w:val="44"/>
          <w:szCs w:val="44"/>
        </w:rPr>
        <w:t>关于完善上市开放式基金相关安排的通知</w:t>
      </w:r>
    </w:p>
    <w:p w:rsidR="00A020B1" w:rsidRDefault="00BA7342">
      <w:pPr>
        <w:adjustRightInd w:val="0"/>
        <w:snapToGrid w:val="0"/>
        <w:spacing w:line="560" w:lineRule="exact"/>
        <w:jc w:val="center"/>
        <w:outlineLvl w:val="2"/>
        <w:rPr>
          <w:rFonts w:ascii="方正大标宋简体" w:eastAsia="方正大标宋简体" w:hAnsi="方正大标宋简体" w:cs="方正大标宋简体"/>
          <w:bCs/>
          <w:sz w:val="44"/>
          <w:szCs w:val="44"/>
        </w:rPr>
      </w:pPr>
      <w:r>
        <w:rPr>
          <w:rFonts w:ascii="方正大标宋简体" w:eastAsia="方正大标宋简体" w:hAnsi="方正大标宋简体" w:cs="方正大标宋简体" w:hint="eastAsia"/>
          <w:bCs/>
          <w:sz w:val="44"/>
          <w:szCs w:val="44"/>
        </w:rPr>
        <w:t>（征求意见稿）</w:t>
      </w:r>
    </w:p>
    <w:p w:rsidR="00A020B1" w:rsidRDefault="00A020B1">
      <w:pPr>
        <w:widowControl/>
        <w:adjustRightInd w:val="0"/>
        <w:spacing w:line="560" w:lineRule="exact"/>
        <w:ind w:firstLineChars="200" w:firstLine="640"/>
        <w:jc w:val="left"/>
        <w:rPr>
          <w:rFonts w:ascii="仿宋_GB2312" w:eastAsia="仿宋_GB2312" w:hAnsi="仿宋_GB2312" w:cs="仿宋_GB2312"/>
          <w:sz w:val="32"/>
          <w:szCs w:val="32"/>
        </w:rPr>
      </w:pPr>
    </w:p>
    <w:p w:rsidR="00A020B1" w:rsidRDefault="00BA7342">
      <w:pPr>
        <w:widowControl/>
        <w:adjustRightInd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为了促进上海证券交易所（以下简称本所）上市开放式基金（以下简称</w:t>
      </w:r>
      <w:r>
        <w:rPr>
          <w:rFonts w:ascii="Times New Roman" w:eastAsia="仿宋_GB2312" w:hAnsi="Times New Roman"/>
          <w:sz w:val="32"/>
          <w:szCs w:val="32"/>
        </w:rPr>
        <w:t>LOF</w:t>
      </w:r>
      <w:r>
        <w:rPr>
          <w:rFonts w:ascii="仿宋_GB2312" w:eastAsia="仿宋_GB2312" w:hAnsi="仿宋_GB2312" w:cs="仿宋_GB2312" w:hint="eastAsia"/>
          <w:sz w:val="32"/>
          <w:szCs w:val="32"/>
        </w:rPr>
        <w:t>）规范发展，保护投资者合法权益，根据《中华人民共和国证券投资基金法》《公开募集证券投资基金运作管理办法》《上海证券交易所证券投资基金上市规则》（以下简称《基金上市规则》）等规定，</w:t>
      </w:r>
      <w:r>
        <w:rPr>
          <w:rFonts w:ascii="仿宋_GB2312" w:eastAsia="仿宋_GB2312" w:hAnsi="仿宋_GB2312" w:cs="仿宋_GB2312" w:hint="eastAsia"/>
          <w:sz w:val="32"/>
          <w:szCs w:val="32"/>
        </w:rPr>
        <w:t>现就</w:t>
      </w:r>
      <w:r>
        <w:rPr>
          <w:rFonts w:ascii="仿宋_GB2312" w:eastAsia="仿宋_GB2312" w:hAnsi="仿宋_GB2312" w:cs="仿宋_GB2312" w:hint="eastAsia"/>
          <w:sz w:val="32"/>
          <w:szCs w:val="32"/>
        </w:rPr>
        <w:t>完善</w:t>
      </w:r>
      <w:r>
        <w:rPr>
          <w:rFonts w:ascii="Times New Roman" w:eastAsia="仿宋_GB2312" w:hAnsi="Times New Roman"/>
          <w:sz w:val="32"/>
          <w:szCs w:val="32"/>
        </w:rPr>
        <w:t>LOF</w:t>
      </w:r>
      <w:r>
        <w:rPr>
          <w:rFonts w:ascii="仿宋_GB2312" w:eastAsia="仿宋_GB2312" w:hAnsi="仿宋_GB2312" w:cs="仿宋_GB2312" w:hint="eastAsia"/>
          <w:sz w:val="32"/>
          <w:szCs w:val="32"/>
        </w:rPr>
        <w:t>相关安排通知如下：</w:t>
      </w:r>
    </w:p>
    <w:p w:rsidR="00A020B1" w:rsidRDefault="00BA7342">
      <w:pPr>
        <w:adjustRightInd w:val="0"/>
        <w:spacing w:line="56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下列情形属于《基金上市规则》第三十三条第五项规定的“本所认为应当终止上市的其它情形”：</w:t>
      </w:r>
    </w:p>
    <w:p w:rsidR="00A020B1" w:rsidRDefault="00BA7342">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（一）合格境内机构投资者（以下简称</w:t>
      </w:r>
      <w:r>
        <w:rPr>
          <w:rFonts w:ascii="Times New Roman" w:eastAsia="仿宋_GB2312" w:hAnsi="Times New Roman"/>
          <w:sz w:val="32"/>
          <w:szCs w:val="32"/>
        </w:rPr>
        <w:t>QDII</w:t>
      </w:r>
      <w:r>
        <w:rPr>
          <w:rFonts w:ascii="Times New Roman" w:eastAsia="仿宋_GB2312" w:hAnsi="Times New Roman"/>
          <w:sz w:val="32"/>
          <w:szCs w:val="32"/>
        </w:rPr>
        <w:t>）</w:t>
      </w:r>
      <w:r>
        <w:rPr>
          <w:rFonts w:ascii="Times New Roman" w:eastAsia="仿宋_GB2312" w:hAnsi="Times New Roman"/>
          <w:sz w:val="32"/>
          <w:szCs w:val="32"/>
        </w:rPr>
        <w:t>LOF</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即</w:t>
      </w:r>
      <w:r>
        <w:rPr>
          <w:rFonts w:ascii="仿宋_GB2312" w:eastAsia="仿宋_GB2312" w:hAnsi="仿宋_GB2312" w:cs="仿宋_GB2312" w:hint="eastAsia"/>
          <w:sz w:val="32"/>
          <w:szCs w:val="32"/>
        </w:rPr>
        <w:t>依据《合格境内机构投资者境外证券投资管理试行办法》等相关规定募集设立，运用部分或者全部基金财产投资于境外证券市场的</w:t>
      </w:r>
      <w:r>
        <w:rPr>
          <w:rFonts w:ascii="Times New Roman" w:eastAsia="仿宋_GB2312" w:hAnsi="Times New Roman"/>
          <w:sz w:val="32"/>
          <w:szCs w:val="32"/>
        </w:rPr>
        <w:t>LOF</w:t>
      </w:r>
      <w:r>
        <w:rPr>
          <w:rFonts w:ascii="仿宋_GB2312" w:eastAsia="仿宋_GB2312" w:hAnsi="仿宋_GB2312" w:cs="仿宋_GB2312" w:hint="eastAsia"/>
          <w:sz w:val="32"/>
          <w:szCs w:val="32"/>
        </w:rPr>
        <w:t>。</w:t>
      </w:r>
    </w:p>
    <w:p w:rsidR="00A020B1" w:rsidRDefault="00BA7342">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Times New Roman" w:eastAsia="仿宋_GB2312" w:hAnsi="Times New Roman"/>
          <w:sz w:val="32"/>
          <w:szCs w:val="32"/>
        </w:rPr>
        <w:t>LOF</w:t>
      </w:r>
      <w:r>
        <w:rPr>
          <w:rFonts w:ascii="仿宋_GB2312" w:eastAsia="仿宋_GB2312" w:hAnsi="仿宋_GB2312" w:cs="仿宋_GB2312" w:hint="eastAsia"/>
          <w:sz w:val="32"/>
          <w:szCs w:val="32"/>
        </w:rPr>
        <w:t>连续六十个交易日每日</w:t>
      </w:r>
      <w:r>
        <w:rPr>
          <w:rFonts w:ascii="仿宋_GB2312" w:eastAsia="仿宋_GB2312" w:hAnsi="仿宋_GB2312" w:cs="仿宋_GB2312" w:hint="eastAsia"/>
          <w:sz w:val="32"/>
          <w:szCs w:val="32"/>
        </w:rPr>
        <w:t>场内资产净值均低于</w:t>
      </w:r>
      <w:r>
        <w:rPr>
          <w:rFonts w:ascii="仿宋_GB2312" w:eastAsia="仿宋_GB2312" w:hAnsi="仿宋_GB2312" w:cs="仿宋_GB2312" w:hint="eastAsia"/>
          <w:sz w:val="32"/>
          <w:szCs w:val="32"/>
        </w:rPr>
        <w:t>一千万元。</w:t>
      </w:r>
    </w:p>
    <w:p w:rsidR="00A020B1" w:rsidRDefault="00BA7342">
      <w:pPr>
        <w:pStyle w:val="a4"/>
        <w:adjustRightInd w:val="0"/>
        <w:spacing w:line="560" w:lineRule="exact"/>
        <w:rPr>
          <w:rFonts w:ascii="仿宋_GB2312" w:eastAsia="仿宋_GB2312" w:hAnsi="仿宋_GB2312" w:cs="仿宋_GB2312"/>
          <w:sz w:val="32"/>
          <w:szCs w:val="32"/>
        </w:rPr>
      </w:pPr>
      <w:r>
        <w:rPr>
          <w:rFonts w:ascii="仿宋_GB2312" w:eastAsia="仿宋_GB2312" w:hAnsi="仿宋_GB2312" w:cs="仿宋_GB2312" w:hint="eastAsia"/>
        </w:rPr>
        <w:t xml:space="preserve">    </w:t>
      </w:r>
      <w:r>
        <w:rPr>
          <w:rFonts w:ascii="仿宋_GB2312" w:eastAsia="仿宋_GB2312" w:hAnsi="仿宋_GB2312" w:cs="仿宋_GB2312" w:hint="eastAsia"/>
          <w:sz w:val="32"/>
          <w:szCs w:val="32"/>
        </w:rPr>
        <w:t>本条第（二）项规定的终止上市情形，自本通知施行之日起算相应期限。</w:t>
      </w:r>
    </w:p>
    <w:p w:rsidR="00A020B1" w:rsidRDefault="00BA7342">
      <w:pPr>
        <w:adjustRightInd w:val="0"/>
        <w:spacing w:line="560" w:lineRule="exact"/>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二、</w:t>
      </w:r>
      <w:r>
        <w:rPr>
          <w:rFonts w:ascii="Times New Roman" w:eastAsia="仿宋_GB2312" w:hAnsi="Times New Roman"/>
          <w:sz w:val="32"/>
          <w:szCs w:val="32"/>
        </w:rPr>
        <w:t>QDII LOF</w:t>
      </w:r>
      <w:r>
        <w:rPr>
          <w:rFonts w:ascii="Times New Roman" w:eastAsia="仿宋_GB2312" w:hAnsi="Times New Roman"/>
          <w:sz w:val="32"/>
          <w:szCs w:val="32"/>
        </w:rPr>
        <w:t>应当</w:t>
      </w:r>
      <w:r>
        <w:rPr>
          <w:rFonts w:ascii="Times New Roman" w:eastAsia="仿宋_GB2312" w:hAnsi="Times New Roman"/>
          <w:sz w:val="32"/>
          <w:szCs w:val="32"/>
        </w:rPr>
        <w:t>最晚</w:t>
      </w:r>
      <w:r>
        <w:rPr>
          <w:rFonts w:ascii="Times New Roman" w:eastAsia="仿宋_GB2312" w:hAnsi="Times New Roman"/>
          <w:sz w:val="32"/>
          <w:szCs w:val="32"/>
        </w:rPr>
        <w:t>于</w:t>
      </w:r>
      <w:r>
        <w:rPr>
          <w:rFonts w:ascii="Times New Roman" w:eastAsia="仿宋_GB2312" w:hAnsi="Times New Roman"/>
          <w:sz w:val="32"/>
          <w:szCs w:val="32"/>
        </w:rPr>
        <w:t>2027</w:t>
      </w:r>
      <w:r>
        <w:rPr>
          <w:rFonts w:ascii="Times New Roman" w:eastAsia="仿宋_GB2312" w:hAnsi="Times New Roman"/>
          <w:sz w:val="32"/>
          <w:szCs w:val="32"/>
        </w:rPr>
        <w:t>年</w:t>
      </w:r>
      <w:r>
        <w:rPr>
          <w:rFonts w:ascii="Times New Roman" w:eastAsia="仿宋_GB2312" w:hAnsi="Times New Roman"/>
          <w:sz w:val="32"/>
          <w:szCs w:val="32"/>
        </w:rPr>
        <w:t>12</w:t>
      </w:r>
      <w:r>
        <w:rPr>
          <w:rFonts w:ascii="Times New Roman" w:eastAsia="仿宋_GB2312" w:hAnsi="Times New Roman"/>
          <w:sz w:val="32"/>
          <w:szCs w:val="32"/>
        </w:rPr>
        <w:t>月</w:t>
      </w:r>
      <w:r>
        <w:rPr>
          <w:rFonts w:ascii="Times New Roman" w:eastAsia="仿宋_GB2312" w:hAnsi="Times New Roman"/>
          <w:sz w:val="32"/>
          <w:szCs w:val="32"/>
        </w:rPr>
        <w:t>31</w:t>
      </w:r>
      <w:r>
        <w:rPr>
          <w:rFonts w:ascii="仿宋_GB2312" w:eastAsia="仿宋_GB2312" w:hAnsi="仿宋_GB2312" w:cs="仿宋_GB2312" w:hint="eastAsia"/>
          <w:sz w:val="32"/>
          <w:szCs w:val="32"/>
        </w:rPr>
        <w:t>日终止上市。</w:t>
      </w:r>
      <w:r>
        <w:rPr>
          <w:rFonts w:ascii="Times New Roman" w:eastAsia="仿宋_GB2312" w:hAnsi="Times New Roman"/>
          <w:sz w:val="32"/>
          <w:szCs w:val="32"/>
        </w:rPr>
        <w:t>QDII LOF</w:t>
      </w:r>
      <w:r>
        <w:rPr>
          <w:rFonts w:ascii="仿宋_GB2312" w:eastAsia="仿宋_GB2312" w:hAnsi="仿宋_GB2312" w:cs="仿宋_GB2312" w:hint="eastAsia"/>
          <w:sz w:val="32"/>
          <w:szCs w:val="32"/>
        </w:rPr>
        <w:t>自本通知</w:t>
      </w:r>
      <w:r>
        <w:rPr>
          <w:rFonts w:ascii="仿宋_GB2312" w:eastAsia="仿宋_GB2312" w:hAnsi="仿宋_GB2312" w:cs="仿宋_GB2312" w:hint="eastAsia"/>
          <w:sz w:val="32"/>
          <w:szCs w:val="32"/>
        </w:rPr>
        <w:t>施行之日</w:t>
      </w:r>
      <w:r>
        <w:rPr>
          <w:rFonts w:ascii="仿宋_GB2312" w:eastAsia="仿宋_GB2312" w:hAnsi="仿宋_GB2312" w:cs="仿宋_GB2312" w:hint="eastAsia"/>
          <w:sz w:val="32"/>
          <w:szCs w:val="32"/>
        </w:rPr>
        <w:t>起至</w:t>
      </w:r>
      <w:r>
        <w:rPr>
          <w:rFonts w:ascii="仿宋_GB2312" w:eastAsia="仿宋_GB2312" w:hAnsi="仿宋_GB2312" w:cs="仿宋_GB2312" w:hint="eastAsia"/>
          <w:sz w:val="32"/>
          <w:szCs w:val="32"/>
        </w:rPr>
        <w:t>其</w:t>
      </w:r>
      <w:r>
        <w:rPr>
          <w:rFonts w:ascii="仿宋_GB2312" w:eastAsia="仿宋_GB2312" w:hAnsi="仿宋_GB2312" w:cs="仿宋_GB2312" w:hint="eastAsia"/>
          <w:sz w:val="32"/>
          <w:szCs w:val="32"/>
        </w:rPr>
        <w:t>终止上市之日</w:t>
      </w:r>
      <w:r>
        <w:rPr>
          <w:rFonts w:ascii="仿宋_GB2312" w:eastAsia="仿宋_GB2312" w:hAnsi="仿宋_GB2312" w:cs="仿宋_GB2312" w:hint="eastAsia"/>
          <w:sz w:val="32"/>
          <w:szCs w:val="32"/>
        </w:rPr>
        <w:t>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在基金</w:t>
      </w:r>
      <w:r>
        <w:rPr>
          <w:rFonts w:ascii="仿宋_GB2312" w:eastAsia="仿宋_GB2312" w:hAnsi="仿宋_GB2312" w:cs="仿宋_GB2312" w:hint="eastAsia"/>
          <w:sz w:val="32"/>
          <w:szCs w:val="32"/>
        </w:rPr>
        <w:t>场</w:t>
      </w:r>
      <w:r>
        <w:rPr>
          <w:rFonts w:ascii="仿宋_GB2312" w:eastAsia="仿宋_GB2312" w:hAnsi="仿宋_GB2312" w:cs="仿宋_GB2312" w:hint="eastAsia"/>
          <w:sz w:val="32"/>
          <w:szCs w:val="32"/>
        </w:rPr>
        <w:lastRenderedPageBreak/>
        <w:t>内</w:t>
      </w:r>
      <w:r>
        <w:rPr>
          <w:rFonts w:ascii="仿宋_GB2312" w:eastAsia="仿宋_GB2312" w:hAnsi="仿宋_GB2312" w:cs="仿宋_GB2312" w:hint="eastAsia"/>
          <w:sz w:val="32"/>
          <w:szCs w:val="32"/>
        </w:rPr>
        <w:t>简称前冠以“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”字样</w:t>
      </w:r>
      <w:r>
        <w:rPr>
          <w:rFonts w:ascii="仿宋_GB2312" w:eastAsia="仿宋_GB2312" w:hAnsi="仿宋_GB2312" w:cs="仿宋_GB2312" w:hint="eastAsia"/>
          <w:sz w:val="32"/>
          <w:szCs w:val="32"/>
        </w:rPr>
        <w:t>。</w:t>
      </w:r>
    </w:p>
    <w:p w:rsidR="00A020B1" w:rsidRDefault="00BA7342">
      <w:pPr>
        <w:widowControl/>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相关基金管理人应当在</w:t>
      </w:r>
      <w:r>
        <w:rPr>
          <w:rFonts w:ascii="仿宋_GB2312" w:eastAsia="仿宋_GB2312" w:hAnsi="仿宋_GB2312" w:cs="仿宋_GB2312" w:hint="eastAsia"/>
          <w:sz w:val="32"/>
          <w:szCs w:val="32"/>
        </w:rPr>
        <w:t>本通知施行之日开市前</w:t>
      </w:r>
      <w:r>
        <w:rPr>
          <w:rFonts w:ascii="仿宋_GB2312" w:eastAsia="仿宋_GB2312" w:hAnsi="仿宋_GB2312" w:cs="仿宋_GB2312" w:hint="eastAsia"/>
          <w:sz w:val="32"/>
          <w:szCs w:val="32"/>
        </w:rPr>
        <w:t>披露公告，提示</w:t>
      </w:r>
      <w:r>
        <w:rPr>
          <w:rFonts w:ascii="Times New Roman" w:eastAsia="仿宋_GB2312" w:hAnsi="Times New Roman"/>
          <w:sz w:val="32"/>
          <w:szCs w:val="32"/>
        </w:rPr>
        <w:t>LOF</w:t>
      </w:r>
      <w:r>
        <w:rPr>
          <w:rFonts w:ascii="仿宋_GB2312" w:eastAsia="仿宋_GB2312" w:hAnsi="仿宋_GB2312" w:cs="仿宋_GB2312" w:hint="eastAsia"/>
          <w:sz w:val="32"/>
          <w:szCs w:val="32"/>
        </w:rPr>
        <w:t>将终止上市的风险</w:t>
      </w:r>
      <w:r>
        <w:rPr>
          <w:rFonts w:ascii="仿宋_GB2312" w:eastAsia="仿宋_GB2312" w:hAnsi="仿宋_GB2312" w:cs="仿宋_GB2312" w:hint="eastAsia"/>
          <w:sz w:val="32"/>
          <w:szCs w:val="32"/>
        </w:rPr>
        <w:t>，提醒基金份额持有人可以选择将场内份额进行赎回、卖出或跨系统转托管至场外等，并做好终止上市相关安排。</w:t>
      </w:r>
    </w:p>
    <w:p w:rsidR="00A020B1" w:rsidRDefault="00BA7342">
      <w:pPr>
        <w:pStyle w:val="a4"/>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Times New Roman" w:eastAsia="仿宋_GB2312" w:hAnsi="Times New Roman"/>
          <w:sz w:val="32"/>
          <w:szCs w:val="32"/>
        </w:rPr>
        <w:t>LOF</w:t>
      </w:r>
      <w:r>
        <w:rPr>
          <w:rFonts w:ascii="仿宋_GB2312" w:eastAsia="仿宋_GB2312" w:hAnsi="仿宋_GB2312" w:cs="仿宋_GB2312" w:hint="eastAsia"/>
          <w:sz w:val="32"/>
          <w:szCs w:val="32"/>
        </w:rPr>
        <w:t>转型的，基金管理人应当明确投资者选择期，选择期为二十个交易日，选择期内暂停申购业务，开放场内交易、赎回与跨系统转托管业务。基金管理人应在选择期开始前三个交易日向本所提交转型相关文件，并发布公告，明确选择期时间、选择期内可开展业务类型及选择期结束后相关安排等。基金管理人应在选择期内每日披露终止上市提示性公告。选择期结束后，暂停</w:t>
      </w:r>
      <w:r>
        <w:rPr>
          <w:rFonts w:ascii="Times New Roman" w:eastAsia="仿宋_GB2312" w:hAnsi="Times New Roman"/>
          <w:sz w:val="32"/>
          <w:szCs w:val="32"/>
        </w:rPr>
        <w:t>LOF</w:t>
      </w:r>
      <w:r>
        <w:rPr>
          <w:rFonts w:ascii="仿宋_GB2312" w:eastAsia="仿宋_GB2312" w:hAnsi="仿宋_GB2312" w:cs="仿宋_GB2312" w:hint="eastAsia"/>
          <w:sz w:val="32"/>
          <w:szCs w:val="32"/>
        </w:rPr>
        <w:t>场内交易、申购赎回及转托管业务至终止上市之日。基金管理人应当在选择期结束后五个交易日内，向本所提交终止上市相关文件。</w:t>
      </w:r>
    </w:p>
    <w:p w:rsidR="00A020B1" w:rsidRDefault="00BA7342">
      <w:pPr>
        <w:pStyle w:val="a3"/>
        <w:adjustRightInd w:val="0"/>
        <w:spacing w:line="560" w:lineRule="exact"/>
        <w:rPr>
          <w:rFonts w:ascii="仿宋_GB2312" w:eastAsia="仿宋_GB2312" w:hAnsi="仿宋_GB2312" w:cs="仿宋_GB2312"/>
          <w:sz w:val="32"/>
          <w:szCs w:val="32"/>
        </w:rPr>
      </w:pPr>
      <w:r>
        <w:rPr>
          <w:rFonts w:ascii="仿宋_GB2312" w:eastAsia="仿宋_GB2312" w:hAnsi="仿宋_GB2312" w:cs="仿宋_GB2312" w:hint="eastAsia"/>
        </w:rPr>
        <w:t xml:space="preserve">     </w:t>
      </w:r>
      <w:r>
        <w:rPr>
          <w:rFonts w:ascii="仿宋_GB2312" w:eastAsia="仿宋_GB2312" w:hAnsi="仿宋_GB2312" w:cs="仿宋_GB2312" w:hint="eastAsia"/>
          <w:sz w:val="32"/>
          <w:szCs w:val="32"/>
        </w:rPr>
        <w:t>申请</w:t>
      </w:r>
      <w:r>
        <w:rPr>
          <w:rFonts w:ascii="Times New Roman" w:eastAsia="仿宋_GB2312" w:hAnsi="Times New Roman"/>
          <w:sz w:val="32"/>
          <w:szCs w:val="32"/>
        </w:rPr>
        <w:t>LOF</w:t>
      </w:r>
      <w:r>
        <w:rPr>
          <w:rFonts w:ascii="仿宋_GB2312" w:eastAsia="仿宋_GB2312" w:hAnsi="仿宋_GB2312" w:cs="仿宋_GB2312" w:hint="eastAsia"/>
          <w:sz w:val="32"/>
          <w:szCs w:val="32"/>
        </w:rPr>
        <w:t>清盘退市的，基金管理人应当按照《基金法》规</w:t>
      </w:r>
      <w:r>
        <w:rPr>
          <w:rFonts w:ascii="仿宋_GB2312" w:eastAsia="仿宋_GB2312" w:hAnsi="仿宋_GB2312" w:cs="仿宋_GB2312" w:hint="eastAsia"/>
          <w:sz w:val="32"/>
          <w:szCs w:val="32"/>
        </w:rPr>
        <w:t>定，履行基金份额持有人大会决议程序或者符合基金合同约定终止基金合同的情形，终止基金合同。基金管理人应当明确业务暂停日，</w:t>
      </w:r>
      <w:r>
        <w:rPr>
          <w:rFonts w:ascii="Times New Roman" w:eastAsia="仿宋_GB2312" w:hAnsi="Times New Roman"/>
          <w:sz w:val="32"/>
          <w:szCs w:val="32"/>
        </w:rPr>
        <w:t>LOF</w:t>
      </w:r>
      <w:r>
        <w:rPr>
          <w:rFonts w:ascii="仿宋_GB2312" w:eastAsia="仿宋_GB2312" w:hAnsi="仿宋_GB2312" w:cs="仿宋_GB2312" w:hint="eastAsia"/>
          <w:sz w:val="32"/>
          <w:szCs w:val="32"/>
        </w:rPr>
        <w:t>自业务暂停日起进入清算程序，停止场内交易、申购赎回与转托管业务至终止上市之日。基金管理人应当在业务暂停日前三个交易日向本所提交相关文件，并发布公告，明确业务暂停日期及后续退市安排。基金管理人应当在清盘资金发放完毕后五个交易日内，向本所提交终止上市相关文件。</w:t>
      </w:r>
    </w:p>
    <w:p w:rsidR="00A020B1" w:rsidRDefault="00BA7342">
      <w:pPr>
        <w:pStyle w:val="a4"/>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w:t>
      </w:r>
      <w:r>
        <w:rPr>
          <w:rFonts w:ascii="Times New Roman" w:eastAsia="仿宋_GB2312" w:hAnsi="Times New Roman"/>
          <w:sz w:val="32"/>
          <w:szCs w:val="32"/>
        </w:rPr>
        <w:t>LOF</w:t>
      </w:r>
      <w:r>
        <w:rPr>
          <w:rFonts w:ascii="仿宋_GB2312" w:eastAsia="仿宋_GB2312" w:hAnsi="仿宋_GB2312" w:cs="仿宋_GB2312" w:hint="eastAsia"/>
          <w:sz w:val="32"/>
          <w:szCs w:val="32"/>
        </w:rPr>
        <w:t>连续四十个</w:t>
      </w:r>
      <w:r>
        <w:rPr>
          <w:rFonts w:ascii="仿宋_GB2312" w:eastAsia="仿宋_GB2312" w:hAnsi="仿宋_GB2312" w:cs="仿宋_GB2312" w:hint="eastAsia"/>
          <w:sz w:val="32"/>
          <w:szCs w:val="32"/>
        </w:rPr>
        <w:t>交易日每日</w:t>
      </w:r>
      <w:r>
        <w:rPr>
          <w:rFonts w:ascii="仿宋_GB2312" w:eastAsia="仿宋_GB2312" w:hAnsi="仿宋_GB2312" w:cs="仿宋_GB2312" w:hint="eastAsia"/>
          <w:sz w:val="32"/>
          <w:szCs w:val="32"/>
        </w:rPr>
        <w:t>场内资产净值均低于</w:t>
      </w:r>
      <w:r>
        <w:rPr>
          <w:rFonts w:ascii="仿宋_GB2312" w:eastAsia="仿宋_GB2312" w:hAnsi="仿宋_GB2312" w:cs="仿宋_GB2312" w:hint="eastAsia"/>
          <w:sz w:val="32"/>
          <w:szCs w:val="32"/>
        </w:rPr>
        <w:t>一千万元</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基金管理人应当向本所报告并</w:t>
      </w:r>
      <w:r>
        <w:rPr>
          <w:rFonts w:ascii="仿宋_GB2312" w:eastAsia="仿宋_GB2312" w:hAnsi="仿宋_GB2312" w:cs="仿宋_GB2312" w:hint="eastAsia"/>
          <w:sz w:val="32"/>
          <w:szCs w:val="32"/>
        </w:rPr>
        <w:t>在次一交易日开市前披露</w:t>
      </w:r>
      <w:r>
        <w:rPr>
          <w:rFonts w:ascii="仿宋_GB2312" w:eastAsia="仿宋_GB2312" w:hAnsi="仿宋_GB2312" w:cs="仿宋_GB2312" w:hint="eastAsia"/>
          <w:sz w:val="32"/>
          <w:szCs w:val="32"/>
        </w:rPr>
        <w:t>基金可能</w:t>
      </w:r>
      <w:r>
        <w:rPr>
          <w:rFonts w:ascii="仿宋_GB2312" w:eastAsia="仿宋_GB2312" w:hAnsi="仿宋_GB2312" w:cs="仿宋_GB2312" w:hint="eastAsia"/>
          <w:sz w:val="32"/>
          <w:szCs w:val="32"/>
        </w:rPr>
        <w:t>被</w:t>
      </w:r>
      <w:r>
        <w:rPr>
          <w:rFonts w:ascii="仿宋_GB2312" w:eastAsia="仿宋_GB2312" w:hAnsi="仿宋_GB2312" w:cs="仿宋_GB2312" w:hint="eastAsia"/>
          <w:sz w:val="32"/>
          <w:szCs w:val="32"/>
        </w:rPr>
        <w:t>终止上市的风险提示公告，</w:t>
      </w:r>
      <w:r>
        <w:rPr>
          <w:rFonts w:ascii="仿宋_GB2312" w:eastAsia="仿宋_GB2312" w:hAnsi="仿宋_GB2312" w:cs="仿宋_GB2312" w:hint="eastAsia"/>
          <w:sz w:val="32"/>
          <w:szCs w:val="32"/>
        </w:rPr>
        <w:t>其后每个交易日披露一次，直至基金当日场内资产净值低于一千万元的情形消除</w:t>
      </w:r>
      <w:r>
        <w:rPr>
          <w:rFonts w:ascii="仿宋_GB2312" w:eastAsia="仿宋_GB2312" w:hAnsi="仿宋_GB2312" w:cs="仿宋_GB2312" w:hint="eastAsia"/>
          <w:sz w:val="32"/>
          <w:szCs w:val="32"/>
        </w:rPr>
        <w:t>或者</w:t>
      </w:r>
      <w:r>
        <w:rPr>
          <w:rFonts w:ascii="仿宋_GB2312" w:eastAsia="仿宋_GB2312" w:hAnsi="仿宋_GB2312" w:cs="仿宋_GB2312" w:hint="eastAsia"/>
          <w:sz w:val="32"/>
          <w:szCs w:val="32"/>
        </w:rPr>
        <w:t>出现终止上市情形之日止（以在先者为准）</w:t>
      </w:r>
      <w:r>
        <w:rPr>
          <w:rFonts w:ascii="仿宋_GB2312" w:eastAsia="仿宋_GB2312" w:hAnsi="仿宋_GB2312" w:cs="仿宋_GB2312" w:hint="eastAsia"/>
          <w:sz w:val="32"/>
          <w:szCs w:val="32"/>
        </w:rPr>
        <w:t>。</w:t>
      </w:r>
    </w:p>
    <w:p w:rsidR="00A020B1" w:rsidRDefault="00BA7342">
      <w:pPr>
        <w:pStyle w:val="a4"/>
        <w:adjustRightInd w:val="0"/>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sz w:val="32"/>
          <w:szCs w:val="32"/>
        </w:rPr>
        <w:t>LOF</w:t>
      </w:r>
      <w:r>
        <w:rPr>
          <w:rFonts w:ascii="仿宋_GB2312" w:eastAsia="仿宋_GB2312" w:hAnsi="仿宋_GB2312" w:cs="仿宋_GB2312" w:hint="eastAsia"/>
          <w:sz w:val="32"/>
          <w:szCs w:val="32"/>
          <w:lang/>
        </w:rPr>
        <w:t>出现本通知第一条第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项规定情形的，基金管理人应当在情形发生的次一交易日开市前披露相关公告，并向本所提交</w:t>
      </w:r>
      <w:r>
        <w:rPr>
          <w:rFonts w:ascii="Times New Roman" w:eastAsia="仿宋_GB2312" w:hAnsi="Times New Roman"/>
          <w:sz w:val="32"/>
          <w:szCs w:val="32"/>
        </w:rPr>
        <w:t>LOF</w:t>
      </w:r>
      <w:r>
        <w:rPr>
          <w:rFonts w:ascii="仿宋_GB2312" w:eastAsia="仿宋_GB2312" w:hAnsi="仿宋_GB2312" w:cs="仿宋_GB2312" w:hint="eastAsia"/>
          <w:sz w:val="32"/>
          <w:szCs w:val="32"/>
          <w:lang/>
        </w:rPr>
        <w:t>转型或清盘退市的文件，</w:t>
      </w:r>
      <w:r>
        <w:rPr>
          <w:rFonts w:ascii="仿宋_GB2312" w:eastAsia="仿宋_GB2312" w:hAnsi="仿宋_GB2312" w:cs="仿宋_GB2312" w:hint="eastAsia"/>
          <w:sz w:val="32"/>
          <w:szCs w:val="32"/>
        </w:rPr>
        <w:t>做好终止上市相关安排。</w:t>
      </w:r>
      <w:r>
        <w:rPr>
          <w:rFonts w:ascii="Times New Roman" w:eastAsia="仿宋_GB2312" w:hAnsi="Times New Roman"/>
          <w:sz w:val="32"/>
          <w:szCs w:val="32"/>
        </w:rPr>
        <w:t>LOF</w:t>
      </w:r>
      <w:r>
        <w:rPr>
          <w:rFonts w:ascii="仿宋_GB2312" w:eastAsia="仿宋_GB2312" w:hAnsi="仿宋_GB2312" w:cs="仿宋_GB2312" w:hint="eastAsia"/>
          <w:sz w:val="32"/>
          <w:szCs w:val="32"/>
        </w:rPr>
        <w:t>自公告</w:t>
      </w:r>
      <w:r>
        <w:rPr>
          <w:rFonts w:ascii="仿宋_GB2312" w:eastAsia="仿宋_GB2312" w:hAnsi="仿宋_GB2312" w:cs="仿宋_GB2312" w:hint="eastAsia"/>
          <w:sz w:val="32"/>
          <w:szCs w:val="32"/>
        </w:rPr>
        <w:t>之</w:t>
      </w:r>
      <w:r>
        <w:rPr>
          <w:rFonts w:ascii="仿宋_GB2312" w:eastAsia="仿宋_GB2312" w:hAnsi="仿宋_GB2312" w:cs="仿宋_GB2312" w:hint="eastAsia"/>
          <w:sz w:val="32"/>
          <w:szCs w:val="32"/>
        </w:rPr>
        <w:t>日起停牌，自开始停牌之日起三个交易日后，进入投资者选择期或业务暂停日。</w:t>
      </w:r>
    </w:p>
    <w:p w:rsidR="00A020B1" w:rsidRDefault="00BA7342">
      <w:pPr>
        <w:adjustRightInd w:val="0"/>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sz w:val="32"/>
          <w:szCs w:val="32"/>
        </w:rPr>
        <w:t>申请</w:t>
      </w:r>
      <w:r>
        <w:rPr>
          <w:rFonts w:ascii="Times New Roman" w:eastAsia="仿宋_GB2312" w:hAnsi="Times New Roman"/>
          <w:sz w:val="32"/>
          <w:szCs w:val="32"/>
        </w:rPr>
        <w:t>LOF</w:t>
      </w:r>
      <w:r>
        <w:rPr>
          <w:rFonts w:ascii="仿宋_GB2312" w:eastAsia="仿宋_GB2312" w:hAnsi="仿宋_GB2312" w:cs="仿宋_GB2312" w:hint="eastAsia"/>
          <w:sz w:val="32"/>
          <w:szCs w:val="32"/>
        </w:rPr>
        <w:t>转型的，基金管理人应当明确投资者选择期，选择期为二十个交易日，期间暂停场内交易、申购业务，开放赎回、跨系统转托管业务。基金管理人应在公告中明确选择期时间、选择期内可开展业务类型及选择期结束后相关安排等。基金管理人应在选择期内每日披露终止上市提示性公告。选择期结束后，暂停</w:t>
      </w:r>
      <w:r>
        <w:rPr>
          <w:rFonts w:ascii="Times New Roman" w:eastAsia="仿宋_GB2312" w:hAnsi="Times New Roman"/>
          <w:sz w:val="32"/>
          <w:szCs w:val="32"/>
        </w:rPr>
        <w:t>LOF</w:t>
      </w:r>
      <w:r>
        <w:rPr>
          <w:rFonts w:ascii="仿宋_GB2312" w:eastAsia="仿宋_GB2312" w:hAnsi="仿宋_GB2312" w:cs="仿宋_GB2312" w:hint="eastAsia"/>
          <w:sz w:val="32"/>
          <w:szCs w:val="32"/>
        </w:rPr>
        <w:t>场内交易、申购赎回及转托管业务至终止上市之日。基金管理人应当在选择期结束后五个交易日内，向本所提交终止上市相关文件。</w:t>
      </w:r>
    </w:p>
    <w:p w:rsidR="00A020B1" w:rsidRDefault="00BA7342">
      <w:pPr>
        <w:adjustRightInd w:val="0"/>
        <w:spacing w:line="560" w:lineRule="exact"/>
        <w:ind w:firstLineChars="200" w:firstLine="640"/>
        <w:rPr>
          <w:rFonts w:ascii="仿宋_GB2312" w:eastAsia="仿宋_GB2312" w:hAnsi="仿宋_GB2312" w:cs="仿宋_GB2312"/>
          <w:szCs w:val="24"/>
        </w:rPr>
      </w:pPr>
      <w:r>
        <w:rPr>
          <w:rFonts w:ascii="仿宋_GB2312" w:eastAsia="仿宋_GB2312" w:hAnsi="仿宋_GB2312" w:cs="仿宋_GB2312" w:hint="eastAsia"/>
          <w:sz w:val="32"/>
          <w:szCs w:val="32"/>
        </w:rPr>
        <w:t>申请</w:t>
      </w:r>
      <w:r>
        <w:rPr>
          <w:rFonts w:ascii="Times New Roman" w:eastAsia="仿宋_GB2312" w:hAnsi="Times New Roman"/>
          <w:sz w:val="32"/>
          <w:szCs w:val="32"/>
        </w:rPr>
        <w:t>LOF</w:t>
      </w:r>
      <w:r>
        <w:rPr>
          <w:rFonts w:ascii="仿宋_GB2312" w:eastAsia="仿宋_GB2312" w:hAnsi="仿宋_GB2312" w:cs="仿宋_GB2312" w:hint="eastAsia"/>
          <w:sz w:val="32"/>
          <w:szCs w:val="32"/>
        </w:rPr>
        <w:t>清盘退市的，按照本通知第二条</w:t>
      </w:r>
      <w:r>
        <w:rPr>
          <w:rFonts w:ascii="Times New Roman" w:eastAsia="仿宋_GB2312" w:hAnsi="Times New Roman"/>
          <w:sz w:val="32"/>
          <w:szCs w:val="32"/>
        </w:rPr>
        <w:t>QDII LOF</w:t>
      </w:r>
      <w:r>
        <w:rPr>
          <w:rFonts w:ascii="仿宋_GB2312" w:eastAsia="仿宋_GB2312" w:hAnsi="仿宋_GB2312" w:cs="仿宋_GB2312" w:hint="eastAsia"/>
          <w:sz w:val="32"/>
          <w:szCs w:val="32"/>
        </w:rPr>
        <w:t>清盘退市相关流程及风险提示要求施行。</w:t>
      </w:r>
    </w:p>
    <w:p w:rsidR="00A020B1" w:rsidRDefault="00BA7342">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本所在收到基金管理人终</w:t>
      </w:r>
      <w:r>
        <w:rPr>
          <w:rFonts w:ascii="仿宋_GB2312" w:eastAsia="仿宋_GB2312" w:hAnsi="仿宋_GB2312" w:cs="仿宋_GB2312" w:hint="eastAsia"/>
          <w:sz w:val="32"/>
          <w:szCs w:val="32"/>
        </w:rPr>
        <w:t>止上市相关文件后十个交易日内</w:t>
      </w:r>
      <w:proofErr w:type="gramStart"/>
      <w:r>
        <w:rPr>
          <w:rFonts w:ascii="仿宋_GB2312" w:eastAsia="仿宋_GB2312" w:hAnsi="仿宋_GB2312" w:cs="仿宋_GB2312" w:hint="eastAsia"/>
          <w:sz w:val="32"/>
          <w:szCs w:val="32"/>
        </w:rPr>
        <w:t>作</w:t>
      </w:r>
      <w:r>
        <w:rPr>
          <w:rFonts w:ascii="仿宋_GB2312" w:eastAsia="仿宋_GB2312" w:hAnsi="仿宋_GB2312" w:cs="仿宋_GB2312" w:hint="eastAsia"/>
          <w:sz w:val="32"/>
          <w:szCs w:val="32"/>
        </w:rPr>
        <w:t>出</w:t>
      </w:r>
      <w:proofErr w:type="gramEnd"/>
      <w:r>
        <w:rPr>
          <w:rFonts w:ascii="仿宋_GB2312" w:eastAsia="仿宋_GB2312" w:hAnsi="仿宋_GB2312" w:cs="仿宋_GB2312" w:hint="eastAsia"/>
          <w:sz w:val="32"/>
          <w:szCs w:val="32"/>
        </w:rPr>
        <w:t>终止基金上市的决定，</w:t>
      </w:r>
      <w:r>
        <w:rPr>
          <w:rFonts w:ascii="Times New Roman" w:eastAsia="仿宋_GB2312" w:hAnsi="Times New Roman"/>
          <w:sz w:val="32"/>
          <w:szCs w:val="32"/>
        </w:rPr>
        <w:t>LOF</w:t>
      </w:r>
      <w:r>
        <w:rPr>
          <w:rFonts w:ascii="仿宋_GB2312" w:eastAsia="仿宋_GB2312" w:hAnsi="仿宋_GB2312" w:cs="仿宋_GB2312" w:hint="eastAsia"/>
          <w:sz w:val="32"/>
          <w:szCs w:val="32"/>
        </w:rPr>
        <w:t>于</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终止上市决定后五个</w:t>
      </w:r>
      <w:r>
        <w:rPr>
          <w:rFonts w:ascii="仿宋_GB2312" w:eastAsia="仿宋_GB2312" w:hAnsi="仿宋_GB2312" w:cs="仿宋_GB2312" w:hint="eastAsia"/>
          <w:sz w:val="32"/>
          <w:szCs w:val="32"/>
        </w:rPr>
        <w:lastRenderedPageBreak/>
        <w:t>交易日内终止上市。本所</w:t>
      </w:r>
      <w:r>
        <w:rPr>
          <w:rFonts w:ascii="仿宋_GB2312" w:eastAsia="仿宋_GB2312" w:hAnsi="仿宋_GB2312" w:cs="仿宋_GB2312" w:hint="eastAsia"/>
          <w:sz w:val="32"/>
          <w:szCs w:val="32"/>
        </w:rPr>
        <w:t>于</w:t>
      </w:r>
      <w:r>
        <w:rPr>
          <w:rFonts w:ascii="Times New Roman" w:eastAsia="仿宋_GB2312" w:hAnsi="Times New Roman"/>
          <w:sz w:val="32"/>
          <w:szCs w:val="32"/>
        </w:rPr>
        <w:t>LOF</w:t>
      </w:r>
      <w:r>
        <w:rPr>
          <w:rFonts w:ascii="仿宋_GB2312" w:eastAsia="仿宋_GB2312" w:hAnsi="仿宋_GB2312" w:cs="仿宋_GB2312" w:hint="eastAsia"/>
          <w:sz w:val="32"/>
          <w:szCs w:val="32"/>
        </w:rPr>
        <w:t>终止上市日发布公告。</w:t>
      </w:r>
    </w:p>
    <w:p w:rsidR="00A020B1" w:rsidRDefault="00BA7342">
      <w:pPr>
        <w:pStyle w:val="a4"/>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基金管理人应当在收到本所关于终止基金上市的决定后，两个交易日内披露基金终止上市公告。基金终止上市公告内容包括终止上市基金的</w:t>
      </w:r>
      <w:r>
        <w:rPr>
          <w:rFonts w:ascii="仿宋_GB2312" w:eastAsia="仿宋_GB2312" w:hAnsi="仿宋_GB2312" w:cs="仿宋_GB2312" w:hint="eastAsia"/>
          <w:sz w:val="32"/>
          <w:szCs w:val="32"/>
        </w:rPr>
        <w:t>种类、场内简称、证券代码、</w:t>
      </w:r>
      <w:r>
        <w:rPr>
          <w:rFonts w:ascii="仿宋_GB2312" w:eastAsia="仿宋_GB2312" w:hAnsi="仿宋_GB2312" w:cs="仿宋_GB2312" w:hint="eastAsia"/>
          <w:sz w:val="32"/>
          <w:szCs w:val="32"/>
        </w:rPr>
        <w:t>终止上市的日期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原因及终止上市相关安排等。</w:t>
      </w:r>
    </w:p>
    <w:p w:rsidR="00A020B1" w:rsidRDefault="00BA7342">
      <w:pPr>
        <w:adjustRightInd w:val="0"/>
        <w:spacing w:line="560" w:lineRule="exact"/>
        <w:ind w:firstLineChars="200" w:firstLine="640"/>
        <w:rPr>
          <w:rFonts w:ascii="仿宋_GB2312" w:eastAsia="仿宋_GB2312" w:hAnsi="仿宋_GB2312" w:cs="仿宋_GB2312"/>
          <w:sz w:val="32"/>
          <w:szCs w:val="32"/>
          <w:lang/>
        </w:rPr>
      </w:pPr>
      <w:r>
        <w:rPr>
          <w:rFonts w:ascii="仿宋_GB2312" w:eastAsia="仿宋_GB2312" w:hAnsi="仿宋_GB2312" w:cs="仿宋_GB2312" w:hint="eastAsia"/>
          <w:sz w:val="32"/>
          <w:szCs w:val="32"/>
          <w:lang/>
        </w:rPr>
        <w:t>五、</w:t>
      </w:r>
      <w:r>
        <w:rPr>
          <w:rFonts w:ascii="Times New Roman" w:eastAsia="仿宋_GB2312" w:hAnsi="Times New Roman"/>
          <w:sz w:val="32"/>
          <w:szCs w:val="32"/>
          <w:lang/>
        </w:rPr>
        <w:t>LOF</w:t>
      </w:r>
      <w:r>
        <w:rPr>
          <w:rFonts w:ascii="仿宋_GB2312" w:eastAsia="仿宋_GB2312" w:hAnsi="仿宋_GB2312" w:cs="仿宋_GB2312" w:hint="eastAsia"/>
          <w:sz w:val="32"/>
          <w:szCs w:val="32"/>
          <w:lang/>
        </w:rPr>
        <w:t>同时出现第一条第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项和第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项规定的终止上市情形的，本所按照先触及先适用的原则终止其上市。</w:t>
      </w:r>
    </w:p>
    <w:p w:rsidR="00A020B1" w:rsidRDefault="00BA7342">
      <w:pPr>
        <w:pStyle w:val="a4"/>
        <w:adjustRightInd w:val="0"/>
        <w:spacing w:line="560" w:lineRule="exact"/>
        <w:ind w:firstLineChars="200" w:firstLine="640"/>
        <w:rPr>
          <w:rFonts w:ascii="仿宋_GB2312" w:eastAsia="仿宋_GB2312" w:hAnsi="仿宋_GB2312" w:cs="仿宋_GB2312"/>
        </w:rPr>
      </w:pPr>
      <w:r>
        <w:rPr>
          <w:rFonts w:ascii="仿宋_GB2312" w:eastAsia="仿宋_GB2312" w:hAnsi="仿宋_GB2312" w:cs="仿宋_GB2312" w:hint="eastAsia"/>
          <w:sz w:val="32"/>
          <w:szCs w:val="32"/>
          <w:lang/>
        </w:rPr>
        <w:t>本通知第一条第（一）项规定的触及时点，以基金管理人公告</w:t>
      </w:r>
      <w:r>
        <w:rPr>
          <w:rFonts w:ascii="Times New Roman" w:eastAsia="仿宋_GB2312" w:hAnsi="Times New Roman"/>
          <w:sz w:val="32"/>
          <w:szCs w:val="32"/>
        </w:rPr>
        <w:t>LOF</w:t>
      </w:r>
      <w:r>
        <w:rPr>
          <w:rFonts w:ascii="仿宋_GB2312" w:eastAsia="仿宋_GB2312" w:hAnsi="仿宋_GB2312" w:cs="仿宋_GB2312" w:hint="eastAsia"/>
          <w:sz w:val="32"/>
          <w:szCs w:val="32"/>
          <w:lang/>
        </w:rPr>
        <w:t>转型或清盘退市的时间为准。</w:t>
      </w:r>
    </w:p>
    <w:p w:rsidR="00A020B1" w:rsidRDefault="00BA7342">
      <w:pPr>
        <w:adjustRightInd w:val="0"/>
        <w:spacing w:line="560" w:lineRule="exact"/>
        <w:ind w:firstLineChars="200" w:firstLine="640"/>
        <w:rPr>
          <w:rFonts w:ascii="仿宋_GB2312" w:eastAsia="仿宋_GB2312" w:hAnsi="仿宋_GB2312" w:cs="仿宋_GB2312"/>
          <w:sz w:val="32"/>
          <w:szCs w:val="32"/>
          <w:lang/>
        </w:rPr>
      </w:pP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lang/>
        </w:rPr>
        <w:t>本所会员应当将按照本通知规定发布终止上市相关公告的</w:t>
      </w:r>
      <w:r>
        <w:rPr>
          <w:rFonts w:ascii="Times New Roman" w:eastAsia="仿宋_GB2312" w:hAnsi="Times New Roman"/>
          <w:sz w:val="32"/>
          <w:szCs w:val="32"/>
          <w:lang/>
        </w:rPr>
        <w:t>LOF</w:t>
      </w:r>
      <w:r>
        <w:rPr>
          <w:rFonts w:ascii="仿宋_GB2312" w:eastAsia="仿宋_GB2312" w:hAnsi="仿宋_GB2312" w:cs="仿宋_GB2312" w:hint="eastAsia"/>
          <w:sz w:val="32"/>
          <w:szCs w:val="32"/>
          <w:lang/>
        </w:rPr>
        <w:t>纳入重点监控名单，通过公司网站、网上交易系统、行情系统等多种渠道，向客户进行风险提示。会员应当积极配合开展客户通知工作，督促客户合法合</w:t>
      </w:r>
      <w:proofErr w:type="gramStart"/>
      <w:r>
        <w:rPr>
          <w:rFonts w:ascii="仿宋_GB2312" w:eastAsia="仿宋_GB2312" w:hAnsi="仿宋_GB2312" w:cs="仿宋_GB2312" w:hint="eastAsia"/>
          <w:sz w:val="32"/>
          <w:szCs w:val="32"/>
          <w:lang/>
        </w:rPr>
        <w:t>规</w:t>
      </w:r>
      <w:proofErr w:type="gramEnd"/>
      <w:r>
        <w:rPr>
          <w:rFonts w:ascii="仿宋_GB2312" w:eastAsia="仿宋_GB2312" w:hAnsi="仿宋_GB2312" w:cs="仿宋_GB2312" w:hint="eastAsia"/>
          <w:sz w:val="32"/>
          <w:szCs w:val="32"/>
          <w:lang/>
        </w:rPr>
        <w:t>、理性审慎参与交易。</w:t>
      </w:r>
      <w:r>
        <w:rPr>
          <w:rFonts w:ascii="仿宋_GB2312" w:eastAsia="仿宋_GB2312" w:hAnsi="仿宋_GB2312" w:cs="仿宋_GB2312" w:hint="eastAsia"/>
          <w:sz w:val="32"/>
          <w:szCs w:val="32"/>
          <w:lang/>
        </w:rPr>
        <w:t>对于需要办理场外基金份额确权的客户，会员应当积极协助客户开立相关账户等确权相关手续。</w:t>
      </w:r>
    </w:p>
    <w:p w:rsidR="00A020B1" w:rsidRDefault="00BA7342">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各基金管理人应当</w:t>
      </w:r>
      <w:r>
        <w:rPr>
          <w:rFonts w:ascii="仿宋_GB2312" w:eastAsia="仿宋_GB2312" w:hAnsi="仿宋_GB2312" w:cs="仿宋_GB2312" w:hint="eastAsia"/>
          <w:sz w:val="32"/>
          <w:szCs w:val="32"/>
        </w:rPr>
        <w:t>做好</w:t>
      </w:r>
      <w:r>
        <w:rPr>
          <w:rFonts w:ascii="仿宋_GB2312" w:eastAsia="仿宋_GB2312" w:hAnsi="仿宋_GB2312" w:cs="仿宋_GB2312" w:hint="eastAsia"/>
          <w:sz w:val="32"/>
          <w:szCs w:val="32"/>
        </w:rPr>
        <w:t>相关业务和技术准备工作，包括制定终止上市业务流程，建立</w:t>
      </w:r>
      <w:r>
        <w:rPr>
          <w:rFonts w:ascii="Times New Roman" w:eastAsia="仿宋_GB2312" w:hAnsi="Times New Roman"/>
          <w:sz w:val="32"/>
          <w:szCs w:val="32"/>
        </w:rPr>
        <w:t>LOF</w:t>
      </w:r>
      <w:r>
        <w:rPr>
          <w:rFonts w:ascii="仿宋_GB2312" w:eastAsia="仿宋_GB2312" w:hAnsi="仿宋_GB2312" w:cs="仿宋_GB2312" w:hint="eastAsia"/>
          <w:sz w:val="32"/>
          <w:szCs w:val="32"/>
        </w:rPr>
        <w:t>场内</w:t>
      </w:r>
      <w:r>
        <w:rPr>
          <w:rFonts w:ascii="仿宋_GB2312" w:eastAsia="仿宋_GB2312" w:hAnsi="仿宋_GB2312" w:cs="仿宋_GB2312" w:hint="eastAsia"/>
          <w:sz w:val="32"/>
          <w:szCs w:val="32"/>
        </w:rPr>
        <w:t>资产净值</w:t>
      </w:r>
      <w:r>
        <w:rPr>
          <w:rFonts w:ascii="仿宋_GB2312" w:eastAsia="仿宋_GB2312" w:hAnsi="仿宋_GB2312" w:cs="仿宋_GB2312" w:hint="eastAsia"/>
          <w:sz w:val="32"/>
          <w:szCs w:val="32"/>
        </w:rPr>
        <w:t>的监控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预警</w:t>
      </w:r>
      <w:r>
        <w:rPr>
          <w:rFonts w:ascii="仿宋_GB2312" w:eastAsia="仿宋_GB2312" w:hAnsi="仿宋_GB2312" w:cs="仿宋_GB2312" w:hint="eastAsia"/>
          <w:sz w:val="32"/>
          <w:szCs w:val="32"/>
        </w:rPr>
        <w:t>系统等。</w:t>
      </w:r>
    </w:p>
    <w:p w:rsidR="00A020B1" w:rsidRDefault="00BA7342">
      <w:pPr>
        <w:pStyle w:val="a4"/>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八、本通知所称“转型”，是指</w:t>
      </w:r>
      <w:r>
        <w:rPr>
          <w:rFonts w:ascii="Times New Roman" w:eastAsia="仿宋_GB2312" w:hAnsi="Times New Roman"/>
          <w:sz w:val="32"/>
          <w:szCs w:val="32"/>
        </w:rPr>
        <w:t>LOF</w:t>
      </w:r>
      <w:r>
        <w:rPr>
          <w:rFonts w:ascii="仿宋_GB2312" w:eastAsia="仿宋_GB2312" w:hAnsi="仿宋_GB2312" w:cs="仿宋_GB2312" w:hint="eastAsia"/>
          <w:sz w:val="32"/>
          <w:szCs w:val="32"/>
        </w:rPr>
        <w:t>终止场内业务转为场外基金；所称“清盘”，是指对基金财产进行清算并依法终止基金合同。</w:t>
      </w:r>
    </w:p>
    <w:p w:rsidR="00A020B1" w:rsidRDefault="00BA7342">
      <w:pPr>
        <w:pStyle w:val="a4"/>
        <w:adjustRightInd w:val="0"/>
        <w:spacing w:line="560" w:lineRule="exact"/>
        <w:ind w:firstLineChars="200" w:firstLine="640"/>
        <w:rPr>
          <w:rFonts w:ascii="仿宋_GB2312" w:eastAsia="仿宋_GB2312" w:hAnsi="仿宋_GB2312" w:cs="仿宋_GB2312"/>
        </w:rPr>
      </w:pPr>
      <w:r>
        <w:rPr>
          <w:rFonts w:ascii="仿宋_GB2312" w:eastAsia="仿宋_GB2312" w:hAnsi="仿宋_GB2312" w:cs="仿宋_GB2312" w:hint="eastAsia"/>
          <w:sz w:val="32"/>
          <w:szCs w:val="32"/>
        </w:rPr>
        <w:t>本通知的“低于”</w:t>
      </w:r>
      <w:r>
        <w:rPr>
          <w:rFonts w:ascii="仿宋_GB2312" w:eastAsia="仿宋_GB2312" w:hAnsi="仿宋_GB2312" w:cs="仿宋_GB2312" w:hint="eastAsia"/>
          <w:sz w:val="32"/>
          <w:szCs w:val="32"/>
        </w:rPr>
        <w:t>不包含</w:t>
      </w:r>
      <w:r>
        <w:rPr>
          <w:rFonts w:ascii="仿宋_GB2312" w:eastAsia="仿宋_GB2312" w:hAnsi="仿宋_GB2312" w:cs="仿宋_GB2312" w:hint="eastAsia"/>
          <w:sz w:val="32"/>
          <w:szCs w:val="32"/>
        </w:rPr>
        <w:t>本数。本通知规定的连续交易日包含基金全天停牌日。</w:t>
      </w:r>
    </w:p>
    <w:p w:rsidR="00A020B1" w:rsidRDefault="00BA7342">
      <w:pPr>
        <w:adjustRightInd w:val="0"/>
        <w:spacing w:line="560" w:lineRule="exact"/>
        <w:ind w:firstLineChars="200" w:firstLine="640"/>
        <w:rPr>
          <w:rFonts w:ascii="Times New Roman" w:eastAsia="仿宋_GB2312" w:hAnsi="Times New Roman"/>
          <w:sz w:val="32"/>
          <w:szCs w:val="32"/>
        </w:rPr>
      </w:pPr>
      <w:r>
        <w:rPr>
          <w:rFonts w:ascii="仿宋_GB2312" w:eastAsia="仿宋_GB2312" w:hAnsi="仿宋_GB2312" w:cs="仿宋_GB2312" w:hint="eastAsia"/>
          <w:sz w:val="32"/>
          <w:szCs w:val="32"/>
        </w:rPr>
        <w:lastRenderedPageBreak/>
        <w:t>九、本通知自</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日起</w:t>
      </w:r>
      <w:r>
        <w:rPr>
          <w:rFonts w:ascii="仿宋_GB2312" w:eastAsia="仿宋_GB2312" w:hAnsi="仿宋_GB2312" w:cs="仿宋_GB2312" w:hint="eastAsia"/>
          <w:sz w:val="32"/>
          <w:szCs w:val="32"/>
        </w:rPr>
        <w:t>施行</w:t>
      </w:r>
      <w:r>
        <w:rPr>
          <w:rFonts w:ascii="Times New Roman" w:eastAsia="仿宋_GB2312" w:hAnsi="Times New Roman"/>
          <w:sz w:val="32"/>
          <w:szCs w:val="32"/>
        </w:rPr>
        <w:t>。</w:t>
      </w:r>
    </w:p>
    <w:p w:rsidR="00A020B1" w:rsidRDefault="00A020B1" w:rsidP="00BA7342">
      <w:pPr>
        <w:spacing w:line="560" w:lineRule="exact"/>
        <w:rPr>
          <w:rFonts w:ascii="Times New Roman" w:eastAsia="仿宋_GB2312" w:hAnsi="Times New Roman"/>
          <w:color w:val="000000"/>
          <w:kern w:val="0"/>
          <w:sz w:val="28"/>
          <w:szCs w:val="28"/>
        </w:rPr>
      </w:pPr>
    </w:p>
    <w:sectPr w:rsidR="00A020B1" w:rsidSect="00A020B1">
      <w:headerReference w:type="even" r:id="rId6"/>
      <w:headerReference w:type="default" r:id="rId7"/>
      <w:footerReference w:type="even" r:id="rId8"/>
      <w:footerReference w:type="default" r:id="rId9"/>
      <w:pgSz w:w="11906" w:h="16838"/>
      <w:pgMar w:top="2098" w:right="1474" w:bottom="1984" w:left="1588" w:header="851" w:footer="141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0B1" w:rsidRDefault="00A020B1" w:rsidP="00A020B1">
      <w:r>
        <w:separator/>
      </w:r>
    </w:p>
  </w:endnote>
  <w:endnote w:type="continuationSeparator" w:id="0">
    <w:p w:rsidR="00A020B1" w:rsidRDefault="00A020B1" w:rsidP="00A020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3000509000000000000"/>
    <w:charset w:val="86"/>
    <w:family w:val="script"/>
    <w:pitch w:val="fixed"/>
    <w:sig w:usb0="00000003" w:usb1="080E0000" w:usb2="00000010"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0B1" w:rsidRDefault="00BA7342">
    <w:pPr>
      <w:pStyle w:val="a6"/>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sidR="00A020B1">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A020B1">
      <w:rPr>
        <w:rFonts w:asciiTheme="minorEastAsia" w:eastAsiaTheme="minorEastAsia" w:hAnsiTheme="minorEastAsia" w:cstheme="minorEastAsia" w:hint="eastAsia"/>
        <w:sz w:val="28"/>
        <w:szCs w:val="28"/>
      </w:rPr>
      <w:fldChar w:fldCharType="separate"/>
    </w:r>
    <w:r w:rsidRPr="00BA7342">
      <w:rPr>
        <w:rFonts w:asciiTheme="minorEastAsia" w:eastAsiaTheme="minorEastAsia" w:hAnsiTheme="minorEastAsia" w:cstheme="minorEastAsia"/>
        <w:noProof/>
        <w:sz w:val="28"/>
        <w:szCs w:val="28"/>
        <w:lang w:val="zh-CN"/>
      </w:rPr>
      <w:t>2</w:t>
    </w:r>
    <w:r w:rsidR="00A020B1">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0B1" w:rsidRDefault="00BA7342">
    <w:pPr>
      <w:pStyle w:val="a6"/>
      <w:wordWrap w:val="0"/>
      <w:jc w:val="right"/>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sidR="00A020B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020B1">
      <w:rPr>
        <w:rFonts w:ascii="宋体" w:hAnsi="宋体" w:cs="宋体" w:hint="eastAsia"/>
        <w:sz w:val="28"/>
        <w:szCs w:val="28"/>
      </w:rPr>
      <w:fldChar w:fldCharType="separate"/>
    </w:r>
    <w:r w:rsidRPr="00BA7342">
      <w:rPr>
        <w:rFonts w:ascii="宋体" w:hAnsi="宋体" w:cs="宋体"/>
        <w:noProof/>
        <w:sz w:val="28"/>
        <w:szCs w:val="28"/>
        <w:lang w:val="zh-CN"/>
      </w:rPr>
      <w:t>1</w:t>
    </w:r>
    <w:r w:rsidR="00A020B1">
      <w:rPr>
        <w:rFonts w:ascii="宋体" w:hAnsi="宋体" w:cs="宋体" w:hint="eastAsia"/>
        <w:sz w:val="28"/>
        <w:szCs w:val="28"/>
      </w:rPr>
      <w:fldChar w:fldCharType="end"/>
    </w:r>
    <w:r>
      <w:rPr>
        <w:rFonts w:ascii="宋体" w:hAnsi="宋体" w:cs="宋体" w:hint="eastAsia"/>
        <w:sz w:val="28"/>
        <w:szCs w:val="28"/>
      </w:rPr>
      <w:t xml:space="preserve"> </w:t>
    </w:r>
    <w:r>
      <w:rPr>
        <w:rFonts w:asciiTheme="minorEastAsia" w:eastAsiaTheme="minorEastAsia" w:hAnsiTheme="minorEastAsia" w:cstheme="minorEastAsia" w:hint="eastAsia"/>
        <w:sz w:val="28"/>
        <w:szCs w:val="28"/>
      </w:rPr>
      <w:t>—</w:t>
    </w:r>
    <w:r>
      <w:rPr>
        <w:rFonts w:ascii="宋体" w:hAnsi="宋体" w:cs="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0B1" w:rsidRDefault="00A020B1" w:rsidP="00A020B1">
      <w:r>
        <w:separator/>
      </w:r>
    </w:p>
  </w:footnote>
  <w:footnote w:type="continuationSeparator" w:id="0">
    <w:p w:rsidR="00A020B1" w:rsidRDefault="00A020B1" w:rsidP="00A02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0B1" w:rsidRDefault="00A020B1">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0B1" w:rsidRDefault="00A020B1">
    <w:pPr>
      <w:pStyle w:val="a7"/>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FF2F4976"/>
    <w:rsid w:val="BBF14ED1"/>
    <w:rsid w:val="BE7B8B0B"/>
    <w:rsid w:val="BFFCFC6E"/>
    <w:rsid w:val="D3D9C944"/>
    <w:rsid w:val="D5F315B2"/>
    <w:rsid w:val="D7EFFDCA"/>
    <w:rsid w:val="DFF702EE"/>
    <w:rsid w:val="DFFF55AA"/>
    <w:rsid w:val="EB75724E"/>
    <w:rsid w:val="F6BF9FBD"/>
    <w:rsid w:val="F79F0690"/>
    <w:rsid w:val="FAEA1014"/>
    <w:rsid w:val="FB3D7BF0"/>
    <w:rsid w:val="FBB3F54E"/>
    <w:rsid w:val="FCB5DAEB"/>
    <w:rsid w:val="FF2F4976"/>
    <w:rsid w:val="FFEFBCBC"/>
    <w:rsid w:val="FFFBD820"/>
    <w:rsid w:val="FFFF7689"/>
    <w:rsid w:val="001D5916"/>
    <w:rsid w:val="0025124D"/>
    <w:rsid w:val="004B36FF"/>
    <w:rsid w:val="004E3D1A"/>
    <w:rsid w:val="00600EEB"/>
    <w:rsid w:val="00A020B1"/>
    <w:rsid w:val="00BA7342"/>
    <w:rsid w:val="00C0629D"/>
    <w:rsid w:val="00CA3559"/>
    <w:rsid w:val="00D60B6D"/>
    <w:rsid w:val="00DB44A2"/>
    <w:rsid w:val="00DB53FC"/>
    <w:rsid w:val="00E87483"/>
    <w:rsid w:val="00FD065C"/>
    <w:rsid w:val="06735CBB"/>
    <w:rsid w:val="06F750FD"/>
    <w:rsid w:val="0A2C26C1"/>
    <w:rsid w:val="0C68154C"/>
    <w:rsid w:val="0E960F7B"/>
    <w:rsid w:val="16F4752D"/>
    <w:rsid w:val="1B19589E"/>
    <w:rsid w:val="22E32171"/>
    <w:rsid w:val="2B407921"/>
    <w:rsid w:val="2BDD99BF"/>
    <w:rsid w:val="2CE61804"/>
    <w:rsid w:val="2EFCF53A"/>
    <w:rsid w:val="31FEFBEA"/>
    <w:rsid w:val="3883270A"/>
    <w:rsid w:val="3B7AAA49"/>
    <w:rsid w:val="3C6FA4B8"/>
    <w:rsid w:val="3C7942F7"/>
    <w:rsid w:val="3DBE9EB7"/>
    <w:rsid w:val="48AE0A00"/>
    <w:rsid w:val="4D870224"/>
    <w:rsid w:val="5428522C"/>
    <w:rsid w:val="5F3B6F89"/>
    <w:rsid w:val="60D54E46"/>
    <w:rsid w:val="628964F1"/>
    <w:rsid w:val="63A84D04"/>
    <w:rsid w:val="65D85975"/>
    <w:rsid w:val="6AE949C6"/>
    <w:rsid w:val="6F5F0A03"/>
    <w:rsid w:val="6FE3FC28"/>
    <w:rsid w:val="6FED40AA"/>
    <w:rsid w:val="73EE6E0A"/>
    <w:rsid w:val="75AF05A8"/>
    <w:rsid w:val="76FFAA57"/>
    <w:rsid w:val="796B1C76"/>
    <w:rsid w:val="7A5917A9"/>
    <w:rsid w:val="7AF1665C"/>
    <w:rsid w:val="7EBD08D4"/>
    <w:rsid w:val="7F9D2AE6"/>
    <w:rsid w:val="7FEB2E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20B1"/>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rsid w:val="00A020B1"/>
    <w:pPr>
      <w:spacing w:after="120"/>
    </w:pPr>
    <w:rPr>
      <w:szCs w:val="24"/>
    </w:rPr>
  </w:style>
  <w:style w:type="paragraph" w:styleId="a4">
    <w:name w:val="Body Text Indent"/>
    <w:basedOn w:val="a"/>
    <w:next w:val="a3"/>
    <w:qFormat/>
    <w:rsid w:val="00A020B1"/>
    <w:pPr>
      <w:ind w:firstLine="568"/>
    </w:pPr>
    <w:rPr>
      <w:sz w:val="28"/>
      <w:szCs w:val="24"/>
    </w:rPr>
  </w:style>
  <w:style w:type="paragraph" w:styleId="a5">
    <w:name w:val="Date"/>
    <w:basedOn w:val="a"/>
    <w:next w:val="a"/>
    <w:link w:val="Char"/>
    <w:qFormat/>
    <w:rsid w:val="00A020B1"/>
    <w:pPr>
      <w:ind w:leftChars="2500" w:left="100"/>
    </w:pPr>
  </w:style>
  <w:style w:type="paragraph" w:styleId="a6">
    <w:name w:val="footer"/>
    <w:basedOn w:val="a"/>
    <w:link w:val="Char0"/>
    <w:qFormat/>
    <w:rsid w:val="00A020B1"/>
    <w:pPr>
      <w:tabs>
        <w:tab w:val="center" w:pos="4153"/>
        <w:tab w:val="right" w:pos="8306"/>
      </w:tabs>
      <w:snapToGrid w:val="0"/>
      <w:jc w:val="left"/>
    </w:pPr>
    <w:rPr>
      <w:sz w:val="18"/>
      <w:szCs w:val="18"/>
    </w:rPr>
  </w:style>
  <w:style w:type="paragraph" w:styleId="a7">
    <w:name w:val="header"/>
    <w:basedOn w:val="a"/>
    <w:link w:val="Char1"/>
    <w:qFormat/>
    <w:rsid w:val="00A020B1"/>
    <w:pPr>
      <w:pBdr>
        <w:bottom w:val="single" w:sz="6" w:space="1" w:color="auto"/>
      </w:pBdr>
      <w:tabs>
        <w:tab w:val="center" w:pos="4153"/>
        <w:tab w:val="right" w:pos="8306"/>
      </w:tabs>
      <w:snapToGrid w:val="0"/>
      <w:jc w:val="center"/>
    </w:pPr>
    <w:rPr>
      <w:sz w:val="18"/>
      <w:szCs w:val="18"/>
    </w:rPr>
  </w:style>
  <w:style w:type="character" w:styleId="a8">
    <w:name w:val="Hyperlink"/>
    <w:basedOn w:val="a0"/>
    <w:qFormat/>
    <w:rsid w:val="00A020B1"/>
    <w:rPr>
      <w:rFonts w:ascii="Times New Roman" w:eastAsia="宋体" w:hAnsi="Times New Roman" w:cs="Times New Roman"/>
      <w:color w:val="0000FF"/>
      <w:u w:val="single"/>
    </w:rPr>
  </w:style>
  <w:style w:type="character" w:customStyle="1" w:styleId="Char">
    <w:name w:val="日期 Char"/>
    <w:basedOn w:val="a0"/>
    <w:link w:val="a5"/>
    <w:qFormat/>
    <w:rsid w:val="00A020B1"/>
    <w:rPr>
      <w:rFonts w:ascii="Calibri" w:eastAsia="宋体" w:hAnsi="Calibri" w:cs="Times New Roman"/>
    </w:rPr>
  </w:style>
  <w:style w:type="character" w:customStyle="1" w:styleId="Char1">
    <w:name w:val="页眉 Char"/>
    <w:basedOn w:val="a0"/>
    <w:link w:val="a7"/>
    <w:uiPriority w:val="99"/>
    <w:semiHidden/>
    <w:qFormat/>
    <w:rsid w:val="00A020B1"/>
    <w:rPr>
      <w:rFonts w:ascii="Calibri" w:eastAsia="宋体" w:hAnsi="Calibri" w:cs="Times New Roman"/>
      <w:sz w:val="18"/>
      <w:szCs w:val="18"/>
    </w:rPr>
  </w:style>
  <w:style w:type="character" w:customStyle="1" w:styleId="Char0">
    <w:name w:val="页脚 Char"/>
    <w:basedOn w:val="a0"/>
    <w:link w:val="a6"/>
    <w:uiPriority w:val="99"/>
    <w:qFormat/>
    <w:rsid w:val="00A020B1"/>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user</cp:lastModifiedBy>
  <cp:revision>2</cp:revision>
  <cp:lastPrinted>2023-07-25T00:41:00Z</cp:lastPrinted>
  <dcterms:created xsi:type="dcterms:W3CDTF">2026-08-07T09:52:00Z</dcterms:created>
  <dcterms:modified xsi:type="dcterms:W3CDTF">2026-08-07T09:52:00Z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15AA9EEB7606F4D157AD756A3CDA2FB0_43</vt:lpwstr>
  </property>
</Properties>
</file>