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587D6">
      <w:pPr>
        <w:spacing w:line="560" w:lineRule="exact"/>
        <w:jc w:val="left"/>
        <w:rPr>
          <w:rFonts w:ascii="Times New Roman" w:hAnsi="Times New Roman" w:eastAsia="黑体" w:cs="Times New Roman"/>
          <w:sz w:val="32"/>
          <w:szCs w:val="30"/>
        </w:rPr>
      </w:pPr>
      <w:r>
        <w:rPr>
          <w:rFonts w:ascii="Times New Roman" w:hAnsi="黑体" w:eastAsia="黑体" w:cs="Times New Roman"/>
          <w:sz w:val="32"/>
          <w:szCs w:val="30"/>
        </w:rPr>
        <w:t>附件</w:t>
      </w:r>
      <w:r>
        <w:rPr>
          <w:rFonts w:hint="eastAsia" w:ascii="Times New Roman" w:hAnsi="Times New Roman" w:eastAsia="黑体" w:cs="Times New Roman"/>
          <w:sz w:val="32"/>
          <w:szCs w:val="30"/>
        </w:rPr>
        <w:t>2</w:t>
      </w:r>
    </w:p>
    <w:p w14:paraId="5FC59938">
      <w:pPr>
        <w:spacing w:line="560" w:lineRule="exact"/>
        <w:jc w:val="left"/>
        <w:rPr>
          <w:rFonts w:ascii="黑体" w:hAnsi="黑体" w:eastAsia="黑体" w:cs="Times New Roman"/>
          <w:b/>
          <w:sz w:val="44"/>
          <w:szCs w:val="44"/>
        </w:rPr>
      </w:pPr>
    </w:p>
    <w:p w14:paraId="20155690">
      <w:pPr>
        <w:spacing w:line="560" w:lineRule="exact"/>
        <w:jc w:val="center"/>
        <w:rPr>
          <w:rFonts w:ascii="方正大标宋简体" w:hAnsi="方正大标宋简体" w:eastAsia="方正大标宋简体" w:cs="Times New Roman"/>
          <w:sz w:val="44"/>
          <w:szCs w:val="44"/>
        </w:rPr>
      </w:pPr>
      <w:r>
        <w:rPr>
          <w:rFonts w:hint="eastAsia" w:ascii="方正大标宋简体" w:hAnsi="方正大标宋简体" w:eastAsia="方正大标宋简体" w:cs="Times New Roman"/>
          <w:sz w:val="44"/>
          <w:szCs w:val="44"/>
        </w:rPr>
        <w:t>《上海证券交易所首次公开发行证券发行与承销业务实施细则（</w:t>
      </w:r>
      <w:r>
        <w:rPr>
          <w:rFonts w:ascii="Times New Roman" w:hAnsi="Times New Roman" w:eastAsia="方正大标宋简体" w:cs="Times New Roman"/>
          <w:sz w:val="44"/>
          <w:szCs w:val="44"/>
        </w:rPr>
        <w:t>2025</w:t>
      </w:r>
      <w:r>
        <w:rPr>
          <w:rFonts w:ascii="Times New Roman" w:hAnsi="方正大标宋简体" w:eastAsia="方正大标宋简体" w:cs="Times New Roman"/>
          <w:sz w:val="44"/>
          <w:szCs w:val="44"/>
        </w:rPr>
        <w:t>年</w:t>
      </w:r>
      <w:r>
        <w:rPr>
          <w:rFonts w:hint="eastAsia" w:ascii="方正大标宋简体" w:hAnsi="方正大标宋简体" w:eastAsia="方正大标宋简体" w:cs="Times New Roman"/>
          <w:sz w:val="44"/>
          <w:szCs w:val="44"/>
        </w:rPr>
        <w:t>修订）》</w:t>
      </w:r>
    </w:p>
    <w:p w14:paraId="0133622A">
      <w:pPr>
        <w:spacing w:line="560" w:lineRule="exact"/>
        <w:jc w:val="center"/>
        <w:rPr>
          <w:rFonts w:ascii="方正大标宋简体" w:hAnsi="方正大标宋简体" w:eastAsia="方正大标宋简体"/>
        </w:rPr>
      </w:pPr>
      <w:r>
        <w:rPr>
          <w:rFonts w:hint="eastAsia" w:ascii="方正大标宋简体" w:hAnsi="方正大标宋简体" w:eastAsia="方正大标宋简体" w:cs="Times New Roman"/>
          <w:sz w:val="44"/>
          <w:szCs w:val="44"/>
        </w:rPr>
        <w:t>修订说明</w:t>
      </w:r>
    </w:p>
    <w:p w14:paraId="34E8D7F2">
      <w:pPr>
        <w:spacing w:line="560" w:lineRule="exact"/>
        <w:rPr>
          <w:rFonts w:ascii="仿宋_GB2312" w:hAnsi="Times New Roman" w:eastAsia="仿宋_GB2312" w:cs="Times New Roman"/>
          <w:sz w:val="30"/>
          <w:szCs w:val="30"/>
        </w:rPr>
      </w:pPr>
    </w:p>
    <w:p w14:paraId="7371BF62">
      <w:pPr>
        <w:spacing w:line="560" w:lineRule="exact"/>
        <w:ind w:firstLine="640" w:firstLineChars="200"/>
        <w:rPr>
          <w:rFonts w:ascii="仿宋_GB2312" w:hAnsi="Times New Roman" w:eastAsia="仿宋_GB2312" w:cs="Times New Roman"/>
          <w:sz w:val="32"/>
          <w:szCs w:val="30"/>
        </w:rPr>
      </w:pPr>
      <w:r>
        <w:rPr>
          <w:rFonts w:hint="eastAsia" w:ascii="仿宋_GB2312" w:hAnsi="Times New Roman" w:eastAsia="仿宋_GB2312" w:cs="Times New Roman"/>
          <w:sz w:val="32"/>
          <w:szCs w:val="30"/>
        </w:rPr>
        <w:t>为贯彻落实《关于推动中长期资金入市工作的实施方案》《关于深化科创板改革 服务科技创新和新质生产力发展的八条措施》，</w:t>
      </w:r>
      <w:r>
        <w:rPr>
          <w:rFonts w:hint="eastAsia" w:ascii="仿宋_GB2312" w:hAnsi="Times New Roman" w:eastAsia="仿宋_GB2312" w:cs="Times New Roman"/>
          <w:bCs/>
          <w:sz w:val="32"/>
          <w:szCs w:val="30"/>
        </w:rPr>
        <w:t>优化资本市场投资</w:t>
      </w:r>
      <w:bookmarkStart w:id="0" w:name="_GoBack"/>
      <w:bookmarkEnd w:id="0"/>
      <w:r>
        <w:rPr>
          <w:rFonts w:hint="eastAsia" w:ascii="仿宋_GB2312" w:hAnsi="Times New Roman" w:eastAsia="仿宋_GB2312" w:cs="Times New Roman"/>
          <w:bCs/>
          <w:sz w:val="32"/>
          <w:szCs w:val="30"/>
        </w:rPr>
        <w:t>生态，</w:t>
      </w:r>
      <w:r>
        <w:rPr>
          <w:rFonts w:hint="eastAsia" w:ascii="仿宋_GB2312" w:hAnsi="Times New Roman" w:eastAsia="仿宋_GB2312" w:cs="Times New Roman"/>
          <w:sz w:val="32"/>
          <w:szCs w:val="30"/>
        </w:rPr>
        <w:t>深化发行承销制度试点，上海证券交易所（以下简称</w:t>
      </w:r>
      <w:r>
        <w:rPr>
          <w:rFonts w:hint="eastAsia" w:ascii="仿宋_GB2312" w:hAnsi="Times New Roman" w:eastAsia="仿宋_GB2312" w:cs="Times New Roman"/>
          <w:sz w:val="32"/>
          <w:szCs w:val="30"/>
          <w:lang w:eastAsia="zh"/>
        </w:rPr>
        <w:t>本所</w:t>
      </w:r>
      <w:r>
        <w:rPr>
          <w:rFonts w:hint="eastAsia" w:ascii="仿宋_GB2312" w:hAnsi="Times New Roman" w:eastAsia="仿宋_GB2312" w:cs="Times New Roman"/>
          <w:sz w:val="32"/>
          <w:szCs w:val="30"/>
        </w:rPr>
        <w:t>）对《上海证券交易所首次公开发行证券发行与承销业务实施细则》（以下简称《首发承销细则》）进行修订。现将有关情况说明如下。</w:t>
      </w:r>
    </w:p>
    <w:p w14:paraId="63EA1791">
      <w:pPr>
        <w:spacing w:line="560" w:lineRule="exact"/>
        <w:ind w:firstLine="640" w:firstLineChars="200"/>
        <w:contextualSpacing/>
        <w:rPr>
          <w:rFonts w:ascii="仿宋_GB2312" w:hAnsi="Times New Roman" w:eastAsia="仿宋_GB2312" w:cs="Times New Roman"/>
          <w:sz w:val="32"/>
          <w:szCs w:val="30"/>
        </w:rPr>
      </w:pPr>
      <w:r>
        <w:rPr>
          <w:rFonts w:hint="eastAsia" w:ascii="黑体" w:hAnsi="黑体" w:eastAsia="黑体" w:cs="Times New Roman"/>
          <w:sz w:val="32"/>
          <w:szCs w:val="30"/>
        </w:rPr>
        <w:t>一、主要修订内容</w:t>
      </w:r>
    </w:p>
    <w:p w14:paraId="2300F765">
      <w:pPr>
        <w:spacing w:line="560" w:lineRule="exact"/>
        <w:ind w:firstLine="643" w:firstLineChars="200"/>
        <w:rPr>
          <w:rFonts w:ascii="仿宋_GB2312" w:hAnsi="Times New Roman" w:eastAsia="仿宋_GB2312" w:cs="Times New Roman"/>
          <w:sz w:val="32"/>
          <w:szCs w:val="30"/>
        </w:rPr>
      </w:pPr>
      <w:r>
        <w:rPr>
          <w:rFonts w:hint="eastAsia" w:ascii="仿宋_GB2312" w:hAnsi="Times New Roman" w:eastAsia="仿宋_GB2312" w:cs="Times New Roman"/>
          <w:b/>
          <w:bCs/>
          <w:sz w:val="32"/>
          <w:szCs w:val="30"/>
        </w:rPr>
        <w:t>一是在参与新股申购方面，给予银行理财产品、保险资产管理产品与公募基金同等政策待遇。</w:t>
      </w:r>
      <w:r>
        <w:rPr>
          <w:rFonts w:hint="eastAsia" w:ascii="仿宋_GB2312" w:hAnsi="Times New Roman" w:eastAsia="仿宋_GB2312" w:cs="Times New Roman"/>
          <w:sz w:val="32"/>
          <w:szCs w:val="30"/>
        </w:rPr>
        <w:t>增加理财公司作为网下机构投资者，支持银行理财产品参与网下询价。同时，在公募基金等</w:t>
      </w:r>
      <w:r>
        <w:rPr>
          <w:rFonts w:hint="default" w:ascii="Times New Roman" w:hAnsi="Times New Roman" w:eastAsia="仿宋_GB2312" w:cs="Times New Roman"/>
          <w:sz w:val="32"/>
          <w:szCs w:val="30"/>
        </w:rPr>
        <w:t>6</w:t>
      </w:r>
      <w:r>
        <w:rPr>
          <w:rFonts w:hint="eastAsia" w:ascii="仿宋_GB2312" w:hAnsi="Times New Roman" w:eastAsia="仿宋_GB2312" w:cs="Times New Roman"/>
          <w:sz w:val="32"/>
          <w:szCs w:val="30"/>
        </w:rPr>
        <w:t>类网下优先配售对象的基础上，新增银行理财产品、保险资产管理产品。</w:t>
      </w:r>
    </w:p>
    <w:p w14:paraId="66E8242A">
      <w:pPr>
        <w:spacing w:line="560" w:lineRule="exact"/>
        <w:ind w:firstLine="643" w:firstLineChars="200"/>
        <w:rPr>
          <w:rFonts w:ascii="仿宋_GB2312" w:hAnsi="Times New Roman" w:eastAsia="仿宋_GB2312" w:cs="Times New Roman"/>
          <w:sz w:val="32"/>
          <w:szCs w:val="30"/>
        </w:rPr>
      </w:pPr>
      <w:r>
        <w:rPr>
          <w:rFonts w:hint="eastAsia" w:ascii="仿宋_GB2312" w:hAnsi="Times New Roman" w:eastAsia="仿宋_GB2312" w:cs="Times New Roman"/>
          <w:b/>
          <w:bCs/>
          <w:sz w:val="32"/>
          <w:szCs w:val="30"/>
        </w:rPr>
        <w:t>二是调整未盈利企业发行网下限售安排，提高有长期持股意愿投资者的配售比例。</w:t>
      </w:r>
      <w:r>
        <w:rPr>
          <w:rFonts w:hint="eastAsia" w:ascii="仿宋_GB2312" w:hAnsi="Times New Roman" w:eastAsia="仿宋_GB2312" w:cs="Times New Roman"/>
          <w:sz w:val="32"/>
          <w:szCs w:val="30"/>
        </w:rPr>
        <w:t>按照不同发行规模进一步细化</w:t>
      </w:r>
      <w:r>
        <w:rPr>
          <w:rFonts w:hint="eastAsia" w:ascii="仿宋_GB2312" w:hAnsi="Times New Roman" w:eastAsia="仿宋_GB2312" w:cs="Times New Roman"/>
          <w:bCs/>
          <w:sz w:val="32"/>
          <w:szCs w:val="30"/>
        </w:rPr>
        <w:t>未盈利企业</w:t>
      </w:r>
      <w:r>
        <w:rPr>
          <w:rFonts w:hint="eastAsia" w:ascii="仿宋_GB2312" w:hAnsi="Times New Roman" w:eastAsia="仿宋_GB2312" w:cs="Times New Roman"/>
          <w:sz w:val="32"/>
          <w:szCs w:val="30"/>
        </w:rPr>
        <w:t>网下限售比例安排。同时，明确未盈利企业可以采用约定限售方式，对网下发行证券设定不同档位的限售比例或限售期。报价方面，公募基金、社保基金、养老金、年金基金、银行理财产品、保险资金、保险资产管理产品和合格境外投资者资金可以自主申购不同限售档位的证券，其他投资者按照最低限售档位自主申购。信息披露方面，配套要求披露剔除最高报价部分后不同限售安排的网下投资者剩余报价的中位数和加权平均数。配售方面，明确限售比例更高、限售期更长的网下投资者配售比例应当不低于其他投资者。</w:t>
      </w:r>
    </w:p>
    <w:p w14:paraId="202BD290">
      <w:pPr>
        <w:spacing w:line="560" w:lineRule="exact"/>
        <w:ind w:firstLine="643" w:firstLineChars="200"/>
        <w:rPr>
          <w:rFonts w:ascii="仿宋_GB2312" w:hAnsi="Times New Roman" w:eastAsia="仿宋_GB2312" w:cs="Times New Roman"/>
          <w:sz w:val="32"/>
          <w:szCs w:val="30"/>
        </w:rPr>
      </w:pPr>
      <w:r>
        <w:rPr>
          <w:rFonts w:hint="eastAsia" w:ascii="仿宋_GB2312" w:hAnsi="Times New Roman" w:eastAsia="仿宋_GB2312" w:cs="Times New Roman"/>
          <w:b/>
          <w:bCs/>
          <w:sz w:val="32"/>
          <w:szCs w:val="30"/>
        </w:rPr>
        <w:t>三是根据《公司法》进行适应性修改。</w:t>
      </w:r>
      <w:r>
        <w:rPr>
          <w:rFonts w:hint="eastAsia" w:ascii="仿宋_GB2312" w:hAnsi="Times New Roman" w:eastAsia="仿宋_GB2312" w:cs="Times New Roman"/>
          <w:sz w:val="32"/>
          <w:szCs w:val="30"/>
        </w:rPr>
        <w:t>明确发行人依法不设监事会的，不适用《首发承销细则》有关监事的规定。</w:t>
      </w:r>
    </w:p>
    <w:p w14:paraId="21B48748">
      <w:pPr>
        <w:spacing w:line="560" w:lineRule="exact"/>
        <w:ind w:firstLine="640" w:firstLineChars="200"/>
        <w:contextualSpacing/>
        <w:rPr>
          <w:rFonts w:ascii="仿宋_GB2312" w:hAnsi="Times New Roman" w:eastAsia="仿宋_GB2312" w:cs="Times New Roman"/>
          <w:sz w:val="32"/>
          <w:szCs w:val="30"/>
        </w:rPr>
      </w:pPr>
      <w:r>
        <w:rPr>
          <w:rFonts w:hint="eastAsia" w:ascii="黑体" w:hAnsi="黑体" w:eastAsia="黑体" w:cs="Times New Roman"/>
          <w:sz w:val="32"/>
          <w:szCs w:val="30"/>
        </w:rPr>
        <w:t>二、征求意见及采纳情况</w:t>
      </w:r>
    </w:p>
    <w:p w14:paraId="36E24961">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2025</w:t>
      </w:r>
      <w:r>
        <w:rPr>
          <w:rFonts w:hint="eastAsia" w:ascii="仿宋_GB2312" w:hAnsi="Times New Roman" w:eastAsia="仿宋_GB2312" w:cs="Times New Roman"/>
          <w:sz w:val="32"/>
          <w:szCs w:val="30"/>
        </w:rPr>
        <w:t>年</w:t>
      </w:r>
      <w:r>
        <w:rPr>
          <w:rFonts w:ascii="Times New Roman" w:hAnsi="Times New Roman" w:eastAsia="仿宋_GB2312" w:cs="Times New Roman"/>
          <w:sz w:val="32"/>
          <w:szCs w:val="30"/>
        </w:rPr>
        <w:t>1</w:t>
      </w:r>
      <w:r>
        <w:rPr>
          <w:rFonts w:hint="eastAsia" w:ascii="仿宋_GB2312" w:hAnsi="Times New Roman" w:eastAsia="仿宋_GB2312" w:cs="Times New Roman"/>
          <w:sz w:val="32"/>
          <w:szCs w:val="30"/>
        </w:rPr>
        <w:t>月</w:t>
      </w:r>
      <w:r>
        <w:rPr>
          <w:rFonts w:ascii="Times New Roman" w:hAnsi="Times New Roman" w:eastAsia="仿宋_GB2312" w:cs="Times New Roman"/>
          <w:sz w:val="32"/>
          <w:szCs w:val="30"/>
        </w:rPr>
        <w:t>3</w:t>
      </w:r>
      <w:r>
        <w:rPr>
          <w:rFonts w:hint="eastAsia" w:ascii="仿宋_GB2312" w:hAnsi="Times New Roman" w:eastAsia="仿宋_GB2312" w:cs="Times New Roman"/>
          <w:sz w:val="32"/>
          <w:szCs w:val="30"/>
        </w:rPr>
        <w:t>日至</w:t>
      </w:r>
      <w:r>
        <w:rPr>
          <w:rFonts w:ascii="Times New Roman" w:hAnsi="Times New Roman" w:eastAsia="仿宋_GB2312" w:cs="Times New Roman"/>
          <w:sz w:val="32"/>
          <w:szCs w:val="30"/>
        </w:rPr>
        <w:t>17</w:t>
      </w:r>
      <w:r>
        <w:rPr>
          <w:rFonts w:hint="eastAsia" w:ascii="仿宋_GB2312" w:hAnsi="Times New Roman" w:eastAsia="仿宋_GB2312" w:cs="Times New Roman"/>
          <w:sz w:val="32"/>
          <w:szCs w:val="30"/>
        </w:rPr>
        <w:t>日，</w:t>
      </w:r>
      <w:r>
        <w:rPr>
          <w:rFonts w:hint="eastAsia" w:ascii="仿宋_GB2312" w:hAnsi="Times New Roman" w:eastAsia="仿宋_GB2312" w:cs="Times New Roman"/>
          <w:sz w:val="32"/>
          <w:szCs w:val="30"/>
          <w:lang w:eastAsia="zh"/>
        </w:rPr>
        <w:t>本所</w:t>
      </w:r>
      <w:r>
        <w:rPr>
          <w:rFonts w:hint="eastAsia" w:ascii="仿宋_GB2312" w:hAnsi="Times New Roman" w:eastAsia="仿宋_GB2312" w:cs="Times New Roman"/>
          <w:sz w:val="32"/>
          <w:szCs w:val="30"/>
        </w:rPr>
        <w:t>就《首发承销细则》向社会公开征求意见。征求意见期间，通过官方网站、座谈会等方式，共收到</w:t>
      </w:r>
      <w:r>
        <w:rPr>
          <w:rFonts w:hint="eastAsia" w:ascii="Times New Roman" w:hAnsi="Times New Roman" w:eastAsia="仿宋_GB2312" w:cs="Times New Roman"/>
          <w:sz w:val="32"/>
          <w:szCs w:val="30"/>
        </w:rPr>
        <w:t>20条反馈意见。</w:t>
      </w:r>
      <w:r>
        <w:rPr>
          <w:rFonts w:hint="eastAsia" w:ascii="Times New Roman" w:hAnsi="Times New Roman" w:eastAsia="仿宋_GB2312" w:cs="Times New Roman"/>
          <w:sz w:val="32"/>
          <w:szCs w:val="30"/>
          <w:lang w:eastAsia="zh"/>
        </w:rPr>
        <w:t>本所</w:t>
      </w:r>
      <w:r>
        <w:rPr>
          <w:rFonts w:hint="eastAsia" w:ascii="Times New Roman" w:hAnsi="Times New Roman" w:eastAsia="仿宋_GB2312" w:cs="Times New Roman"/>
          <w:sz w:val="32"/>
          <w:szCs w:val="30"/>
        </w:rPr>
        <w:t>进行了认真研究梳理，采纳了部分意见，进一步完善了相应规则条款。</w:t>
      </w: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9F166">
    <w:pPr>
      <w:pStyle w:val="3"/>
      <w:tabs>
        <w:tab w:val="left" w:pos="5235"/>
      </w:tabs>
      <w:jc w:val="right"/>
      <w:rPr>
        <w:rFonts w:ascii="Times New Roman" w:hAnsi="Times New Roman" w:cs="Times New Roman"/>
        <w:sz w:val="24"/>
        <w:szCs w:val="24"/>
      </w:rPr>
    </w:pPr>
    <w:r>
      <w:rPr>
        <w:sz w:val="24"/>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82765F">
                <w:pPr>
                  <w:pStyle w:val="3"/>
                  <w:rPr>
                    <w:rFonts w:ascii="Times New Roman" w:hAnsi="Times New Roman" w:cs="Times New Roman"/>
                    <w:sz w:val="24"/>
                    <w:szCs w:val="24"/>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A5A2">
    <w:pPr>
      <w:pStyle w:val="3"/>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FA5BC10">
                <w:pPr>
                  <w:pStyle w:val="3"/>
                  <w:rPr>
                    <w:rFonts w:ascii="Times New Roman" w:hAnsi="Times New Roman" w:cs="Times New Roman"/>
                  </w:rPr>
                </w:pPr>
                <w:r>
                  <w:rPr>
                    <w:rFonts w:hint="eastAsia"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hint="eastAsia"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hint="eastAsia" w:ascii="Times New Roman" w:hAnsi="Times New Roman" w:eastAsia="宋体" w:cs="Times New Roman"/>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F6FA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947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E0ECB"/>
    <w:rsid w:val="0002639B"/>
    <w:rsid w:val="000319C2"/>
    <w:rsid w:val="000616CF"/>
    <w:rsid w:val="00065FED"/>
    <w:rsid w:val="00073BC7"/>
    <w:rsid w:val="000D393A"/>
    <w:rsid w:val="000D7242"/>
    <w:rsid w:val="001256A5"/>
    <w:rsid w:val="00154159"/>
    <w:rsid w:val="00166E46"/>
    <w:rsid w:val="00185CD8"/>
    <w:rsid w:val="001A652F"/>
    <w:rsid w:val="001E06C3"/>
    <w:rsid w:val="001E63C1"/>
    <w:rsid w:val="002014CC"/>
    <w:rsid w:val="00204012"/>
    <w:rsid w:val="00250760"/>
    <w:rsid w:val="00275CAE"/>
    <w:rsid w:val="002A15A0"/>
    <w:rsid w:val="002B691B"/>
    <w:rsid w:val="002C3A35"/>
    <w:rsid w:val="002D47A7"/>
    <w:rsid w:val="002E2040"/>
    <w:rsid w:val="002E2FC1"/>
    <w:rsid w:val="002F3D9A"/>
    <w:rsid w:val="00307A5C"/>
    <w:rsid w:val="00324031"/>
    <w:rsid w:val="0038064E"/>
    <w:rsid w:val="00396C69"/>
    <w:rsid w:val="003A4A91"/>
    <w:rsid w:val="003B1763"/>
    <w:rsid w:val="003D2920"/>
    <w:rsid w:val="003F4528"/>
    <w:rsid w:val="00410A50"/>
    <w:rsid w:val="00412884"/>
    <w:rsid w:val="0042584D"/>
    <w:rsid w:val="00426492"/>
    <w:rsid w:val="00456D68"/>
    <w:rsid w:val="00482878"/>
    <w:rsid w:val="004C0CD1"/>
    <w:rsid w:val="004C47DE"/>
    <w:rsid w:val="004C79E9"/>
    <w:rsid w:val="004D21A9"/>
    <w:rsid w:val="004D795C"/>
    <w:rsid w:val="004F01ED"/>
    <w:rsid w:val="00500FFF"/>
    <w:rsid w:val="0050165F"/>
    <w:rsid w:val="00512DA3"/>
    <w:rsid w:val="00513C5F"/>
    <w:rsid w:val="00532A39"/>
    <w:rsid w:val="00560EF8"/>
    <w:rsid w:val="00571696"/>
    <w:rsid w:val="0057424D"/>
    <w:rsid w:val="00581F26"/>
    <w:rsid w:val="005A0584"/>
    <w:rsid w:val="005A7AB5"/>
    <w:rsid w:val="005C041B"/>
    <w:rsid w:val="005D41C5"/>
    <w:rsid w:val="006263B0"/>
    <w:rsid w:val="006500F4"/>
    <w:rsid w:val="00655058"/>
    <w:rsid w:val="0067207B"/>
    <w:rsid w:val="00675F21"/>
    <w:rsid w:val="0068065D"/>
    <w:rsid w:val="00687E8E"/>
    <w:rsid w:val="00690FD2"/>
    <w:rsid w:val="00697940"/>
    <w:rsid w:val="006A02A0"/>
    <w:rsid w:val="006A4E34"/>
    <w:rsid w:val="006E1290"/>
    <w:rsid w:val="00702AD3"/>
    <w:rsid w:val="00722F31"/>
    <w:rsid w:val="0072615D"/>
    <w:rsid w:val="00727381"/>
    <w:rsid w:val="00741FA4"/>
    <w:rsid w:val="007617B1"/>
    <w:rsid w:val="00783479"/>
    <w:rsid w:val="007975E1"/>
    <w:rsid w:val="007A60AF"/>
    <w:rsid w:val="007D32D5"/>
    <w:rsid w:val="007F0709"/>
    <w:rsid w:val="007F7818"/>
    <w:rsid w:val="00825D29"/>
    <w:rsid w:val="00835D5B"/>
    <w:rsid w:val="008572AF"/>
    <w:rsid w:val="008707A5"/>
    <w:rsid w:val="008D419E"/>
    <w:rsid w:val="008E5565"/>
    <w:rsid w:val="0092697A"/>
    <w:rsid w:val="00973BC3"/>
    <w:rsid w:val="00976A8A"/>
    <w:rsid w:val="009A52E5"/>
    <w:rsid w:val="009B0A7A"/>
    <w:rsid w:val="009B2383"/>
    <w:rsid w:val="009D4AB9"/>
    <w:rsid w:val="009E1EC1"/>
    <w:rsid w:val="009E30BD"/>
    <w:rsid w:val="00A419BE"/>
    <w:rsid w:val="00A5005C"/>
    <w:rsid w:val="00A86E60"/>
    <w:rsid w:val="00AA6E4D"/>
    <w:rsid w:val="00AB107D"/>
    <w:rsid w:val="00AE24D8"/>
    <w:rsid w:val="00AF4FA7"/>
    <w:rsid w:val="00B17240"/>
    <w:rsid w:val="00B21042"/>
    <w:rsid w:val="00B5426B"/>
    <w:rsid w:val="00B56284"/>
    <w:rsid w:val="00B62F7A"/>
    <w:rsid w:val="00B64404"/>
    <w:rsid w:val="00B77D92"/>
    <w:rsid w:val="00B921EF"/>
    <w:rsid w:val="00BC0A9B"/>
    <w:rsid w:val="00BE0ECB"/>
    <w:rsid w:val="00BF0ECA"/>
    <w:rsid w:val="00C1771A"/>
    <w:rsid w:val="00C40DB0"/>
    <w:rsid w:val="00C65482"/>
    <w:rsid w:val="00C6649D"/>
    <w:rsid w:val="00C74C30"/>
    <w:rsid w:val="00C947B3"/>
    <w:rsid w:val="00CB7826"/>
    <w:rsid w:val="00CB7BE6"/>
    <w:rsid w:val="00CD764B"/>
    <w:rsid w:val="00CF3CA8"/>
    <w:rsid w:val="00CF4D75"/>
    <w:rsid w:val="00D31B9A"/>
    <w:rsid w:val="00D438B6"/>
    <w:rsid w:val="00D63C4A"/>
    <w:rsid w:val="00D92748"/>
    <w:rsid w:val="00D973CB"/>
    <w:rsid w:val="00DC63CD"/>
    <w:rsid w:val="00DF2793"/>
    <w:rsid w:val="00E122CF"/>
    <w:rsid w:val="00EB7253"/>
    <w:rsid w:val="00EC5E67"/>
    <w:rsid w:val="00EC7F31"/>
    <w:rsid w:val="00EE6F83"/>
    <w:rsid w:val="00F046E8"/>
    <w:rsid w:val="00F26233"/>
    <w:rsid w:val="00F336B7"/>
    <w:rsid w:val="00F345E5"/>
    <w:rsid w:val="00F424C9"/>
    <w:rsid w:val="00FB1A1F"/>
    <w:rsid w:val="00FB3060"/>
    <w:rsid w:val="00FB364B"/>
    <w:rsid w:val="00FC0D1E"/>
    <w:rsid w:val="00FD0F97"/>
    <w:rsid w:val="11705A68"/>
    <w:rsid w:val="14D02939"/>
    <w:rsid w:val="17BFDC8F"/>
    <w:rsid w:val="32FD4289"/>
    <w:rsid w:val="39137B71"/>
    <w:rsid w:val="53862BD8"/>
    <w:rsid w:val="5BFDB4AC"/>
    <w:rsid w:val="6C805B29"/>
    <w:rsid w:val="7FE32D1C"/>
    <w:rsid w:val="EBFA6356"/>
    <w:rsid w:val="FEFCA0ED"/>
    <w:rsid w:val="FF1C6D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755</Words>
  <Characters>763</Characters>
  <Lines>5</Lines>
  <Paragraphs>1</Paragraphs>
  <TotalTime>9</TotalTime>
  <ScaleCrop>false</ScaleCrop>
  <LinksUpToDate>false</LinksUpToDate>
  <CharactersWithSpaces>764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2025-03-14T14:54:00Z</dcterms:created>
  <dc:creator>sse</dc:creator>
  <cp:lastModifiedBy>whxu</cp:lastModifiedBy>
  <cp:lastPrinted>2024-11-21T10:20:00Z</cp:lastPrinted>
  <dcterms:modified xsi:type="dcterms:W3CDTF">2025-03-28T17:31:25Z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62130FD3728A9CC61909E66774F5B930_43</vt:lpwstr>
  </property>
</Properties>
</file>