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84D4F">
      <w:pPr>
        <w:spacing w:line="560" w:lineRule="exact"/>
        <w:jc w:val="left"/>
        <w:rPr>
          <w:rFonts w:eastAsia="黑体"/>
          <w:sz w:val="32"/>
          <w:szCs w:val="30"/>
        </w:rPr>
      </w:pPr>
      <w:r>
        <w:rPr>
          <w:rFonts w:hAnsi="黑体" w:eastAsia="黑体"/>
          <w:sz w:val="32"/>
          <w:szCs w:val="30"/>
        </w:rPr>
        <w:t>附件</w:t>
      </w:r>
      <w:r>
        <w:rPr>
          <w:rFonts w:hint="eastAsia" w:hAnsi="黑体" w:eastAsia="黑体"/>
          <w:sz w:val="32"/>
          <w:szCs w:val="30"/>
        </w:rPr>
        <w:t>1</w:t>
      </w:r>
    </w:p>
    <w:p w14:paraId="1DD0A329">
      <w:pPr>
        <w:adjustRightInd w:val="0"/>
        <w:snapToGrid w:val="0"/>
        <w:spacing w:line="560" w:lineRule="exact"/>
        <w:rPr>
          <w:rFonts w:eastAsia="仿宋_GB2312"/>
          <w:sz w:val="32"/>
          <w:szCs w:val="32"/>
        </w:rPr>
      </w:pPr>
    </w:p>
    <w:p w14:paraId="44C23D45">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上海证券交易所上市公司证券发行与承销业务实施细则（</w:t>
      </w:r>
      <w:r>
        <w:rPr>
          <w:rFonts w:eastAsia="方正大标宋简体"/>
          <w:sz w:val="44"/>
          <w:szCs w:val="44"/>
        </w:rPr>
        <w:t>2025</w:t>
      </w:r>
      <w:r>
        <w:rPr>
          <w:rFonts w:hint="eastAsia" w:ascii="方正大标宋简体" w:hAnsi="方正大标宋简体" w:eastAsia="方正大标宋简体" w:cs="方正大标宋简体"/>
          <w:sz w:val="44"/>
          <w:szCs w:val="44"/>
        </w:rPr>
        <w:t>年修订）</w:t>
      </w:r>
    </w:p>
    <w:p w14:paraId="28291A98">
      <w:pPr>
        <w:spacing w:line="560" w:lineRule="exact"/>
        <w:jc w:val="center"/>
        <w:rPr>
          <w:rFonts w:eastAsia="仿宋_GB2312" w:cs="仿宋"/>
          <w:sz w:val="32"/>
          <w:szCs w:val="32"/>
        </w:rPr>
      </w:pPr>
    </w:p>
    <w:p w14:paraId="444AD3BF">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14:paraId="484CB60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为了规范上海证券交易所（以下简称本所）上市公司（以下简称上市公司）证券发行与承销行为，根据《证券发行与承销管理办法》（以下简称《承销办法》）、《上市公司证券发行注</w:t>
      </w:r>
      <w:bookmarkStart w:id="0" w:name="_GoBack"/>
      <w:bookmarkEnd w:id="0"/>
      <w:r>
        <w:rPr>
          <w:rFonts w:hint="eastAsia" w:eastAsia="仿宋_GB2312" w:cs="仿宋"/>
          <w:sz w:val="32"/>
          <w:szCs w:val="32"/>
        </w:rPr>
        <w:t>册管理办法》（以下简称《再融资办法》）、《优先股试点管理办法》等有关规定，制定本细则。</w:t>
      </w:r>
    </w:p>
    <w:p w14:paraId="2483FD3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经中国证券监督管理委员会（以下简称中国证监会）注册后，上市公司股票、可转换公司债券（以下简称可转债）、存托凭证和中国证监会认可的其他品种（以下统称证券）在本所的发行承销业务，适用本细则。本细则未作规定的，适用本所其他有关规定。</w:t>
      </w:r>
    </w:p>
    <w:p w14:paraId="628712F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董事、高级管理人员、证券公司、证券服务机构及其相关执业人员，以及上市公司控股股东、实际控制人及其知情人员，应当遵守有关法律法规、规章、规范性文件及本所其他业务规则，勤勉尽责，不得利用上市公司发行证券谋取不正当利益，禁止泄露内幕信息和利用内幕信息进行证券交易或者操纵证券交易价格。</w:t>
      </w:r>
    </w:p>
    <w:p w14:paraId="74EBA5E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上市公司的控股股东、实际控制人和发行对象，应当按照有关规定及时向上市公司提供信息，配合上市公司真实、准确、完整地履行信息披露义务。</w:t>
      </w:r>
    </w:p>
    <w:p w14:paraId="672497AD">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上市公司、承销商选择发行证券的发行对象和确定发行价格、利率，应当遵循公平、公正原则。</w:t>
      </w:r>
    </w:p>
    <w:p w14:paraId="1551431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上市公司、承销商和发行对象，不得在证券发行过程中进行合谋报价、利益输送或者谋取其他不正当利益。</w:t>
      </w:r>
    </w:p>
    <w:p w14:paraId="44EA1C5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采用代销方式的，上市公司和主承销商应当事先约定发行失败的情形及安排。代销期届满，向投资者出售的股票数量未达到拟公开发行股票数量的70%，本次发行失败。</w:t>
      </w:r>
    </w:p>
    <w:p w14:paraId="5645DA9A">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第二章  向不特定对象发行证券</w:t>
      </w:r>
    </w:p>
    <w:p w14:paraId="7C89BA72">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上市公司向原股东配售股份（以下简称配股），应当向股权登记日登记在册的股东配售，且配售比例应当相同。</w:t>
      </w:r>
    </w:p>
    <w:p w14:paraId="6488376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上市公司配股的，配股价格应当由上市公司和主承销商根据公司股票在二级市场的价格、市盈率及市净率、募集资金投资项目的资金需求量等因素协商确定，配股价格不得低于1元/股。</w:t>
      </w:r>
    </w:p>
    <w:p w14:paraId="658FE3A0">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cs="仿宋"/>
          <w:sz w:val="32"/>
          <w:szCs w:val="32"/>
        </w:rPr>
        <w:t>上市公司向不特定对象募集股份（以下简称增发）或向不特定对象发行可转债，向股权登记日登记在册的原股东优先配售的，优先配售比例应当在发行公告中披露。</w:t>
      </w:r>
      <w:r>
        <w:rPr>
          <w:rFonts w:hint="eastAsia" w:eastAsia="仿宋_GB2312"/>
          <w:sz w:val="32"/>
          <w:szCs w:val="32"/>
        </w:rPr>
        <w:t>原股东参与优先配售后的剩余部分可全部用于网上发行，或用于网上和网下发行。</w:t>
      </w:r>
    </w:p>
    <w:p w14:paraId="5E056A2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网上发行应当通过本所交易系统进行。上市公司和主承销商可以向机构投资者自行组织网下发行，机构投资者的具体条件、发行程序应当在发行公告中确定并披露。</w:t>
      </w:r>
    </w:p>
    <w:p w14:paraId="7544005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上市公司增发的，发行价格可以由上市公司与主承销商协商确定，但应当不低于公告招股意向书前20个交易日或者前一个交易日公司股票均价。</w:t>
      </w:r>
    </w:p>
    <w:p w14:paraId="1CCF7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向不特定对象发行可转债的，转股价格和利率由上市公司与主承销商协商确定，但转股价格应当不低于募集说明书公告日前20个交易日上市公司股票交易均价和前一个交易日均价，利率应当符合国家有关规定。</w:t>
      </w:r>
    </w:p>
    <w:p w14:paraId="1D9A42A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上市公司原股东参与优先配售，通过网上方式进行，确有需要的，可以通过网下方式进行。</w:t>
      </w:r>
    </w:p>
    <w:p w14:paraId="36BA849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机构投资者可以同时通过网上、网下两种方式参与申购，其他投资者通过网上方式参与申购。</w:t>
      </w:r>
    </w:p>
    <w:p w14:paraId="11F08B57">
      <w:pPr>
        <w:adjustRightInd w:val="0"/>
        <w:snapToGrid w:val="0"/>
        <w:spacing w:line="560" w:lineRule="exact"/>
        <w:ind w:firstLine="640" w:firstLineChars="200"/>
        <w:rPr>
          <w:rFonts w:eastAsia="仿宋_GB2312"/>
          <w:sz w:val="32"/>
          <w:szCs w:val="32"/>
        </w:rPr>
      </w:pPr>
      <w:r>
        <w:rPr>
          <w:rFonts w:hint="eastAsia" w:eastAsia="仿宋_GB2312" w:cs="仿宋"/>
          <w:sz w:val="32"/>
          <w:szCs w:val="32"/>
        </w:rPr>
        <w:t>原股东除可参与优先配售外，也可参与优先配售后剩余部分的网上、网下发行。</w:t>
      </w:r>
    </w:p>
    <w:p w14:paraId="3DFAC34F">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cs="仿宋"/>
          <w:sz w:val="32"/>
          <w:szCs w:val="32"/>
        </w:rPr>
        <w:t>上市公司和主承销商应当在发行公告中明确发行承销方式，以及网上、网下有效申购不足部分、</w:t>
      </w:r>
      <w:r>
        <w:rPr>
          <w:rFonts w:hint="eastAsia" w:eastAsia="仿宋_GB2312"/>
          <w:sz w:val="32"/>
          <w:szCs w:val="32"/>
        </w:rPr>
        <w:t>投资者申购后未足额缴付认购资金部分（以下简称弃购部分）</w:t>
      </w:r>
      <w:r>
        <w:rPr>
          <w:rFonts w:hint="eastAsia" w:eastAsia="仿宋_GB2312" w:cs="仿宋"/>
          <w:sz w:val="32"/>
          <w:szCs w:val="32"/>
        </w:rPr>
        <w:t>的处理安排</w:t>
      </w:r>
      <w:r>
        <w:rPr>
          <w:rFonts w:hint="eastAsia" w:eastAsia="仿宋_GB2312"/>
          <w:sz w:val="32"/>
          <w:szCs w:val="32"/>
        </w:rPr>
        <w:t>。弃购部分拟向网下机构投资者二次配售的，还应明确二次配售的投资者范围、配售原则、实施程序及二次配售后仍存在弃购部分的处理安排等。</w:t>
      </w:r>
    </w:p>
    <w:p w14:paraId="07521147">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参与网上申购的投资者可以使用所持上海市场证券账户在T日（T日为网上申购日，下同）申购上市公司的证券，申购时间为T日9:30-11:30、13:00-15:00。</w:t>
      </w:r>
    </w:p>
    <w:p w14:paraId="26E4C81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上市公司增发的，</w:t>
      </w:r>
      <w:r>
        <w:rPr>
          <w:rFonts w:hint="eastAsia" w:eastAsia="仿宋_GB2312"/>
          <w:sz w:val="32"/>
          <w:szCs w:val="32"/>
        </w:rPr>
        <w:t>网下发行应当和网上发行同日进行。</w:t>
      </w:r>
      <w:r>
        <w:rPr>
          <w:rFonts w:hint="eastAsia" w:eastAsia="仿宋_GB2312" w:cs="仿宋"/>
          <w:sz w:val="32"/>
          <w:szCs w:val="32"/>
        </w:rPr>
        <w:t>向不特定对象发行可转债的，网下申购日应不晚于T日。</w:t>
      </w:r>
    </w:p>
    <w:p w14:paraId="52723CE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申购时间内，参与网上申购的投资者以发行价格填写申购委托单。一经申报，不得撤单。申购配号根据实际有效申购进行，每一有效申购单位配一个号，对所有有效申购单位按时间顺序连续配号。</w:t>
      </w:r>
    </w:p>
    <w:p w14:paraId="68F55CA1">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2"/>
        </w:rPr>
        <w:t>上市公司和主承销商应当合理确定并在发行公告中披露网上申购上限。</w:t>
      </w:r>
    </w:p>
    <w:p w14:paraId="30F0E2D9">
      <w:pPr>
        <w:pStyle w:val="64"/>
        <w:adjustRightInd w:val="0"/>
        <w:snapToGrid w:val="0"/>
        <w:spacing w:line="560" w:lineRule="exact"/>
        <w:ind w:firstLine="640"/>
        <w:rPr>
          <w:rFonts w:eastAsia="仿宋_GB2312"/>
          <w:sz w:val="32"/>
          <w:szCs w:val="32"/>
        </w:rPr>
      </w:pPr>
      <w:r>
        <w:rPr>
          <w:rFonts w:hint="eastAsia" w:eastAsia="仿宋_GB2312"/>
          <w:sz w:val="32"/>
          <w:szCs w:val="32"/>
        </w:rPr>
        <w:t>上市公司增发的，网上申购最小单位应当符合</w:t>
      </w:r>
      <w:r>
        <w:rPr>
          <w:rFonts w:hint="eastAsia" w:eastAsia="仿宋_GB2312" w:cs="仿宋"/>
          <w:sz w:val="32"/>
          <w:szCs w:val="32"/>
        </w:rPr>
        <w:t>《上海市场首次公开发行股票网上发行实施细则》</w:t>
      </w:r>
      <w:r>
        <w:rPr>
          <w:rFonts w:hint="eastAsia" w:eastAsia="仿宋_GB2312"/>
          <w:sz w:val="32"/>
          <w:szCs w:val="32"/>
        </w:rPr>
        <w:t>的规定。向不特定对象发行可转债的，网上申购最小单位为1手（1000元），申购数量应当为1手或1手的整数倍。网上申购数量不得高于发行公告中确定的申购上限，如超过则该笔申购无效。</w:t>
      </w:r>
    </w:p>
    <w:p w14:paraId="4628525F">
      <w:pPr>
        <w:pStyle w:val="64"/>
        <w:adjustRightInd w:val="0"/>
        <w:snapToGrid w:val="0"/>
        <w:spacing w:line="560" w:lineRule="exact"/>
        <w:ind w:firstLine="640"/>
        <w:rPr>
          <w:rFonts w:eastAsia="仿宋_GB2312" w:cs="仿宋"/>
          <w:sz w:val="32"/>
          <w:szCs w:val="32"/>
        </w:rPr>
      </w:pPr>
      <w:r>
        <w:rPr>
          <w:rFonts w:hint="eastAsia" w:eastAsia="仿宋_GB2312"/>
          <w:sz w:val="32"/>
          <w:szCs w:val="32"/>
        </w:rPr>
        <w:t>为保证申购的有序进行，本所可根据市场情况和技术系统承载能力对申购单位、最大申购数量、申购时间进行调整，并向市场公告。</w:t>
      </w:r>
    </w:p>
    <w:p w14:paraId="4B44C5A8">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2"/>
        </w:rPr>
        <w:t>投资者参与网上申购只能使用一个证券账户。同一投资者使用多个证券账户参与同一只证券申购的，或者投资者使用同一证券账户多次参与同一只证券申购的，以该投资者的第一笔申购为有效申购，其余申购均为无效申购。</w:t>
      </w:r>
    </w:p>
    <w:p w14:paraId="4B3AEC2E">
      <w:pPr>
        <w:adjustRightInd w:val="0"/>
        <w:snapToGrid w:val="0"/>
        <w:spacing w:line="560" w:lineRule="exact"/>
        <w:ind w:firstLine="640" w:firstLineChars="200"/>
        <w:rPr>
          <w:rFonts w:eastAsia="仿宋_GB2312"/>
          <w:sz w:val="32"/>
          <w:szCs w:val="32"/>
        </w:rPr>
      </w:pPr>
      <w:r>
        <w:rPr>
          <w:rFonts w:hint="eastAsia" w:eastAsia="仿宋_GB2312"/>
          <w:sz w:val="32"/>
          <w:szCs w:val="32"/>
        </w:rPr>
        <w:t>确认多个证券账户为同一投资者持有的原则为证券账户注册资料中的“账户持有人名称”“有效身份证明文件号码”均相同。证券公司客户定向资产管理专用账户、企业年金账户以及职业年金账户，证券账户注册资料中“账户持有人名称”相同且“有效身份证明文件号码”相同的，按不同投资者进行统计。</w:t>
      </w:r>
    </w:p>
    <w:p w14:paraId="553674D7">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不合格、休眠和注销的证券账户不得参与证券的申购。</w:t>
      </w:r>
    </w:p>
    <w:p w14:paraId="7B6917E7">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sz w:val="32"/>
          <w:szCs w:val="32"/>
        </w:rPr>
        <w:t>参与网上申购的投资者应自主表达申购意向，证券公司不得接受投资者的概括委托代其进行申购。</w:t>
      </w:r>
    </w:p>
    <w:p w14:paraId="4BC984EC">
      <w:pPr>
        <w:adjustRightInd w:val="0"/>
        <w:snapToGrid w:val="0"/>
        <w:spacing w:line="560" w:lineRule="exact"/>
        <w:ind w:firstLine="640" w:firstLineChars="200"/>
        <w:rPr>
          <w:rFonts w:eastAsia="仿宋_GB2312"/>
          <w:sz w:val="32"/>
          <w:szCs w:val="32"/>
        </w:rPr>
      </w:pPr>
      <w:r>
        <w:rPr>
          <w:rFonts w:hint="eastAsia" w:eastAsia="仿宋_GB2312"/>
          <w:sz w:val="32"/>
          <w:szCs w:val="32"/>
        </w:rPr>
        <w:t>对于参与网上申购的投资者，证券公司在中签认购资金交收日前（含T+3日），不得为其申报撤销指定交易及注销相应证券账户。</w:t>
      </w:r>
    </w:p>
    <w:p w14:paraId="55975D52">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sz w:val="32"/>
          <w:szCs w:val="32"/>
        </w:rPr>
        <w:t>参与可转债网下申购的同一配售对象只能使用一个证券账户。同一网下机构投资者管理多个证券投资产品的，每个产品可视作一个配售对象；其他投资者，每个投资者视作一个配售对象。</w:t>
      </w:r>
    </w:p>
    <w:p w14:paraId="7D249F00">
      <w:pPr>
        <w:numPr>
          <w:ilvl w:val="0"/>
          <w:numId w:val="3"/>
        </w:numPr>
        <w:adjustRightInd w:val="0"/>
        <w:snapToGrid w:val="0"/>
        <w:spacing w:line="560" w:lineRule="exact"/>
        <w:ind w:left="0" w:firstLine="640" w:firstLineChars="200"/>
        <w:rPr>
          <w:rFonts w:eastAsia="仿宋_GB2312" w:cs="仿宋"/>
          <w:sz w:val="32"/>
          <w:szCs w:val="32"/>
          <w:u w:val="single"/>
        </w:rPr>
      </w:pPr>
      <w:r>
        <w:rPr>
          <w:rFonts w:hint="eastAsia" w:eastAsia="仿宋_GB2312" w:cs="仿宋"/>
          <w:sz w:val="32"/>
          <w:szCs w:val="32"/>
        </w:rPr>
        <w:t>上市公司增发或向不特定对象发行可转债，主承销商对参与网下配售的机构投资者或其管理的配售对象进行分类的，应当在发行公告中充分说明分类配售的理由、必要性和分类标准，可以对不同类别网下机构投资者或配售对象设定不同的配售比例，但对同一类别网下机构投资者或配售对象应当按相同的比例配售。</w:t>
      </w:r>
    </w:p>
    <w:p w14:paraId="510C816E">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cs="仿宋"/>
          <w:sz w:val="32"/>
          <w:szCs w:val="32"/>
        </w:rPr>
        <w:t>上市公司增发的，上市公司和主承销商</w:t>
      </w:r>
      <w:r>
        <w:rPr>
          <w:rFonts w:hint="eastAsia" w:eastAsia="仿宋_GB2312"/>
          <w:sz w:val="32"/>
          <w:szCs w:val="32"/>
        </w:rPr>
        <w:t>可以在发行公告中明确，参与</w:t>
      </w:r>
      <w:r>
        <w:rPr>
          <w:rFonts w:hint="eastAsia" w:eastAsia="仿宋_GB2312" w:cs="仿宋"/>
          <w:sz w:val="32"/>
          <w:szCs w:val="32"/>
        </w:rPr>
        <w:t>网上发行的投资者和参与优先配售的原股东在申购时</w:t>
      </w:r>
      <w:r>
        <w:rPr>
          <w:rFonts w:hint="eastAsia" w:eastAsia="仿宋_GB2312"/>
          <w:sz w:val="32"/>
          <w:szCs w:val="32"/>
        </w:rPr>
        <w:t>全额缴纳申购资金，参与网下发行</w:t>
      </w:r>
      <w:r>
        <w:rPr>
          <w:rFonts w:hint="eastAsia" w:eastAsia="仿宋_GB2312" w:cs="仿宋"/>
          <w:sz w:val="32"/>
          <w:szCs w:val="32"/>
        </w:rPr>
        <w:t>的机构投资者在申购时缴纳不超过拟</w:t>
      </w:r>
      <w:r>
        <w:rPr>
          <w:rFonts w:hint="eastAsia" w:eastAsia="仿宋_GB2312"/>
          <w:sz w:val="32"/>
          <w:szCs w:val="32"/>
        </w:rPr>
        <w:t>申购金额20%的保证金，</w:t>
      </w:r>
      <w:r>
        <w:rPr>
          <w:rFonts w:hint="eastAsia" w:eastAsia="仿宋_GB2312" w:cs="仿宋"/>
          <w:sz w:val="32"/>
          <w:szCs w:val="32"/>
        </w:rPr>
        <w:t>明确网下机构投资者在申购后未足额缴付资金时的保证金处理方式。主承销商对网下机构投资者分类配售的，可以根据投资者或其</w:t>
      </w:r>
      <w:r>
        <w:rPr>
          <w:rFonts w:hint="eastAsia" w:eastAsia="仿宋_GB2312"/>
          <w:sz w:val="32"/>
          <w:szCs w:val="32"/>
        </w:rPr>
        <w:t>管理的配售对象类别设定不同的保证金比例。</w:t>
      </w:r>
    </w:p>
    <w:p w14:paraId="4573E86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sz w:val="32"/>
          <w:szCs w:val="32"/>
        </w:rPr>
        <w:t>上市公司向</w:t>
      </w:r>
      <w:r>
        <w:rPr>
          <w:rFonts w:hint="eastAsia" w:eastAsia="仿宋_GB2312" w:cs="仿宋"/>
          <w:sz w:val="32"/>
          <w:szCs w:val="32"/>
        </w:rPr>
        <w:t>不特定对象</w:t>
      </w:r>
      <w:r>
        <w:rPr>
          <w:rFonts w:hint="eastAsia" w:eastAsia="仿宋_GB2312"/>
          <w:sz w:val="32"/>
          <w:szCs w:val="32"/>
        </w:rPr>
        <w:t>发行可转债的</w:t>
      </w:r>
      <w:r>
        <w:rPr>
          <w:rFonts w:hint="eastAsia" w:eastAsia="仿宋_GB2312" w:cs="仿宋"/>
          <w:sz w:val="32"/>
          <w:szCs w:val="32"/>
        </w:rPr>
        <w:t>，网上投资者在申购时无需缴付申购资金。上市公司和主承销商可以在发行公告中明确，参与优先配售的原股东在申购时全额缴纳申购资金，参与网下发行的单一申购账户在申购时缴纳不超过50万元的保证金，明确网下机构投资者在申购后未足额缴付资金时保证金的处理方式。主承销商对网下机构投资者分类配售的，可以根据投资者或其</w:t>
      </w:r>
      <w:r>
        <w:rPr>
          <w:rFonts w:hint="eastAsia" w:eastAsia="仿宋_GB2312"/>
          <w:sz w:val="32"/>
          <w:szCs w:val="32"/>
        </w:rPr>
        <w:t>管理的配售对象类别设定不同的保证金金额。</w:t>
      </w:r>
    </w:p>
    <w:p w14:paraId="36657BA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上市公司和主承销商应当在网下配售和网上发行之间建立回拨机制，回拨后网上发行中签率和网下发行的最低获配比例趋于一致。</w:t>
      </w:r>
    </w:p>
    <w:p w14:paraId="023A2C7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主承销商根据网上有效申购总量和回拨后的网上发行数量确定中签率，并根据总配号量和中签率组织摇号抽签，公布中签结果。</w:t>
      </w:r>
    </w:p>
    <w:p w14:paraId="53EA436E">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cs="仿宋"/>
          <w:sz w:val="32"/>
          <w:szCs w:val="32"/>
        </w:rPr>
        <w:t>根据本细则和发行公告，网上投资者在申购时无需缴付申购资金的，应当在中签后根据中国证券登记结算有限责任公司（以下简称中国结</w:t>
      </w:r>
      <w:r>
        <w:rPr>
          <w:rFonts w:hint="eastAsia" w:eastAsia="仿宋_GB2312"/>
          <w:sz w:val="32"/>
          <w:szCs w:val="32"/>
        </w:rPr>
        <w:t>算）上海分公司的规定，确保其资金账户在T+2日日终有足额认购资金。投资者认购资金不足的，不足部分视为放弃认购，由此产生的后果及相关法律责任，由投资者自行承担。</w:t>
      </w:r>
    </w:p>
    <w:p w14:paraId="35FD30B6">
      <w:pPr>
        <w:pStyle w:val="64"/>
        <w:adjustRightInd w:val="0"/>
        <w:snapToGrid w:val="0"/>
        <w:spacing w:line="560" w:lineRule="exact"/>
        <w:ind w:firstLine="640"/>
        <w:rPr>
          <w:rFonts w:eastAsia="仿宋_GB2312"/>
          <w:sz w:val="32"/>
          <w:szCs w:val="32"/>
        </w:rPr>
      </w:pPr>
      <w:r>
        <w:rPr>
          <w:rFonts w:hint="eastAsia" w:eastAsia="仿宋_GB2312"/>
          <w:sz w:val="32"/>
          <w:szCs w:val="32"/>
        </w:rPr>
        <w:t>投资者放弃认购及中国结算上海分公司做无效认购处理的，按发行公告确定的方式处理。</w:t>
      </w:r>
    </w:p>
    <w:p w14:paraId="7F7CC06A">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市场发生重大变化，投资者弃购数量占发行总数比例超过10%的，上市公司和主承销商可以将投资者弃购部分向网下机构投资者二次配售。</w:t>
      </w:r>
    </w:p>
    <w:p w14:paraId="6D272D5F">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安排二</w:t>
      </w:r>
      <w:r>
        <w:rPr>
          <w:rFonts w:hint="eastAsia" w:eastAsia="仿宋_GB2312"/>
          <w:kern w:val="0"/>
          <w:sz w:val="32"/>
          <w:szCs w:val="32"/>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eastAsia="仿宋_GB2312"/>
          <w:sz w:val="32"/>
          <w:szCs w:val="32"/>
        </w:rPr>
        <w:t>。</w:t>
      </w:r>
    </w:p>
    <w:p w14:paraId="0CAEAA15">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sz w:val="32"/>
          <w:szCs w:val="32"/>
        </w:rPr>
        <w:t>网上投资者连续12个月内累计出现3次中签但未足额缴款的情形时，自结算参与人最近一次申报其放弃认购的次日起6个月（按180个自然日计算，含次日）内不得参与新股、可转债、可交换债和存托凭证的网上申购。</w:t>
      </w:r>
    </w:p>
    <w:p w14:paraId="58991BFF">
      <w:pPr>
        <w:adjustRightInd w:val="0"/>
        <w:snapToGrid w:val="0"/>
        <w:spacing w:line="560" w:lineRule="exact"/>
        <w:ind w:firstLine="640" w:firstLineChars="200"/>
        <w:rPr>
          <w:rFonts w:eastAsia="仿宋_GB2312"/>
          <w:sz w:val="32"/>
          <w:szCs w:val="32"/>
        </w:rPr>
      </w:pPr>
      <w:r>
        <w:rPr>
          <w:rFonts w:hint="eastAsia" w:eastAsia="仿宋_GB2312"/>
          <w:sz w:val="32"/>
          <w:szCs w:val="32"/>
        </w:rPr>
        <w:t>本所根据中国结算上海分公司提供的不得参与新股、可转债、可交换债和存托凭证申购的投资者名单，在申购后、配号前对相应申购做无效处理。</w:t>
      </w:r>
    </w:p>
    <w:p w14:paraId="27428C78">
      <w:pPr>
        <w:adjustRightInd w:val="0"/>
        <w:snapToGrid w:val="0"/>
        <w:spacing w:line="560" w:lineRule="exact"/>
        <w:ind w:firstLine="640" w:firstLineChars="200"/>
        <w:rPr>
          <w:rFonts w:eastAsia="仿宋_GB2312"/>
          <w:sz w:val="32"/>
          <w:szCs w:val="32"/>
        </w:rPr>
      </w:pPr>
      <w:r>
        <w:rPr>
          <w:rFonts w:hint="eastAsia" w:eastAsia="仿宋_GB2312"/>
          <w:sz w:val="32"/>
          <w:szCs w:val="32"/>
        </w:rPr>
        <w:t>放弃认购情形以投资者为单位进行判断，即投资者持有多个证券账户的，其名下任何一个证券账户（含不合格、注销证券账户）发生放弃认购情形的，均纳入该投资者放弃认购次数。放弃认购的次数按照投资者实际放弃认购新股、可转债、可交换债和存托凭证的次数合并计算。</w:t>
      </w:r>
    </w:p>
    <w:p w14:paraId="466B899B">
      <w:pPr>
        <w:adjustRightInd w:val="0"/>
        <w:snapToGrid w:val="0"/>
        <w:spacing w:line="560" w:lineRule="exact"/>
        <w:ind w:firstLine="640" w:firstLineChars="200"/>
        <w:rPr>
          <w:rFonts w:eastAsia="仿宋_GB2312"/>
          <w:sz w:val="32"/>
          <w:szCs w:val="32"/>
        </w:rPr>
      </w:pPr>
      <w:r>
        <w:rPr>
          <w:rFonts w:hint="eastAsia" w:eastAsia="仿宋_GB2312"/>
          <w:sz w:val="32"/>
          <w:szCs w:val="32"/>
        </w:rPr>
        <w:t>上市公司增发或向不特定对象发行可转债的，网下和网上投资者缴款认购的新股或可转债数量合计不足本次公开发行数量的70%时，可以中止发行。</w:t>
      </w:r>
    </w:p>
    <w:p w14:paraId="266CB686">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中国证监会作出予以注册决定后，由上市公司和主承销商在注册决定的有效期内选择发行时间。在启动发行前，上市公司和主承销商应当及时向本所报备发行与承销方案。本所3个工作日内表示无异议的，上市公司和主承销商可以启动发行工作。</w:t>
      </w:r>
    </w:p>
    <w:p w14:paraId="565A2CB8">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证券上市之日起10个工作日内，主承销商应当将验资报告、专项法律意见书、承销总结报告等文件一并通过本所向中国证监会备案。</w:t>
      </w:r>
    </w:p>
    <w:p w14:paraId="4E9D9756">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上市公司增发采用超额配售选择权的，上市公司和主承销商应当审慎评估采用超额配售选择权的可行性、预期目标等，在首次预先披露的募集说明书中明确是否采用超额配售选择权，并在招股意向书中详细披露超额配售选择权实施方案，包括实施目标、操作策略、可能发生的情形以及预期达到的效果。</w:t>
      </w:r>
    </w:p>
    <w:p w14:paraId="2667252B">
      <w:pPr>
        <w:adjustRightInd w:val="0"/>
        <w:snapToGrid w:val="0"/>
        <w:spacing w:line="560" w:lineRule="exact"/>
        <w:ind w:firstLine="640" w:firstLineChars="200"/>
        <w:rPr>
          <w:rFonts w:eastAsia="仿宋_GB2312"/>
          <w:sz w:val="32"/>
          <w:szCs w:val="32"/>
        </w:rPr>
      </w:pPr>
      <w:r>
        <w:rPr>
          <w:rFonts w:hint="eastAsia" w:eastAsia="仿宋_GB2312"/>
          <w:sz w:val="32"/>
          <w:szCs w:val="32"/>
        </w:rPr>
        <w:t>采用超额配售选择权的其他安排，参照适用</w:t>
      </w:r>
      <w:r>
        <w:rPr>
          <w:rFonts w:hint="eastAsia" w:eastAsia="仿宋_GB2312" w:cs="仿宋"/>
          <w:sz w:val="32"/>
          <w:szCs w:val="32"/>
        </w:rPr>
        <w:t>《上海证券交易所</w:t>
      </w:r>
      <w:r>
        <w:rPr>
          <w:rFonts w:eastAsia="仿宋_GB2312" w:cs="仿宋"/>
          <w:sz w:val="32"/>
          <w:szCs w:val="32"/>
        </w:rPr>
        <w:t>首次公开发行证券发行与承销业务实施细则</w:t>
      </w:r>
      <w:r>
        <w:rPr>
          <w:rFonts w:hint="eastAsia" w:eastAsia="仿宋_GB2312" w:cs="仿宋"/>
          <w:sz w:val="32"/>
          <w:szCs w:val="32"/>
        </w:rPr>
        <w:t>》</w:t>
      </w:r>
      <w:r>
        <w:rPr>
          <w:rFonts w:hint="eastAsia" w:eastAsia="仿宋_GB2312"/>
          <w:sz w:val="32"/>
          <w:szCs w:val="32"/>
        </w:rPr>
        <w:t>等规则的规定。</w:t>
      </w:r>
    </w:p>
    <w:p w14:paraId="61555E01">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第三章  向特定对象发行证券</w:t>
      </w:r>
    </w:p>
    <w:p w14:paraId="367CF0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第一节  一般规定</w:t>
      </w:r>
    </w:p>
    <w:p w14:paraId="40366D95">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向特定对象发行证券，上市公司和主承销商向投资者进行推介或者提供投资价值研究报告的（以下统称路演推介），不得采用任何公开方式，且不得早于上市公司董事会关于向特定对象发行证券的决议公告日，但本细则另有规定的除外。路演推介内容不得超出中国证监会和本所认可的公开信息披露范围，不得对股票二级市场交易价格作出预测。</w:t>
      </w:r>
    </w:p>
    <w:p w14:paraId="388F83F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《再融资办法》所称“发行对象不超过三十五名”，是指认购并获得本次向特定对象发行证券的法人、自然人或者其他合法投资组织不超过35名。</w:t>
      </w:r>
    </w:p>
    <w:p w14:paraId="7C95E88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证券投资基金管理公司、证券公司、理财公司、保险公司、合格境外机构投资者、人民币合格境外机构投资者以其管理的2只以上产品认购的，视为一个发行对象。</w:t>
      </w:r>
    </w:p>
    <w:p w14:paraId="72BCC4BD">
      <w:pPr>
        <w:adjustRightInd w:val="0"/>
        <w:snapToGrid w:val="0"/>
        <w:spacing w:line="560" w:lineRule="exact"/>
        <w:ind w:left="600"/>
        <w:rPr>
          <w:rFonts w:eastAsia="仿宋_GB2312" w:cs="仿宋"/>
          <w:sz w:val="32"/>
          <w:szCs w:val="32"/>
        </w:rPr>
      </w:pPr>
      <w:r>
        <w:rPr>
          <w:rFonts w:hint="eastAsia" w:eastAsia="仿宋_GB2312" w:cs="仿宋"/>
          <w:sz w:val="32"/>
          <w:szCs w:val="32"/>
        </w:rPr>
        <w:t>信托公司作为发行对象，只能以自有资金认购。</w:t>
      </w:r>
    </w:p>
    <w:p w14:paraId="5E50198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向特定对象发行证券采用竞价方式的，上市公司和主承销商的控股股东、实际控制人、董事、监事、高级管理人员及其控制或者施加重大影响的关联方不得参与竞价。</w:t>
      </w:r>
    </w:p>
    <w:p w14:paraId="1929E0A8">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第二节  适用一般程序的向特定对象发行股票</w:t>
      </w:r>
    </w:p>
    <w:p w14:paraId="52BBE5B5">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上市公司向特定对象发行股票，董事会决议确定全部发行对象的，董事会决议中应当同时确定具体发行对象及其认购数量或金额、认购价格或者定价原则，并经股东会作出决议。</w:t>
      </w:r>
    </w:p>
    <w:p w14:paraId="73D1AA9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上市公司和主承销商在取得中国证监会的予以注册决定后，应当按照股东会决议及认购合同的约定发行股票。</w:t>
      </w:r>
    </w:p>
    <w:p w14:paraId="563E6B3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董事会决议确定部分发行对象的，上市公司和主承销商应当向符合条件的特定对象提供认购邀请书，并通过竞价方式确定发行价格和其他发行对象。股东会应当就上述事项作出决议。</w:t>
      </w:r>
    </w:p>
    <w:p w14:paraId="4760F21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董事会决议确定的发行对象不得参与本次发行的竞价，且应当接受竞价结果。董事会决议应当明确在通过竞价方式未能产生发行价格的情况下，前述发行对象是否继续参与认购、价格确定原则及认购数量。</w:t>
      </w:r>
    </w:p>
    <w:p w14:paraId="28919F14">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董事会决议确定具体发行对象的，上市公司应当在召开董事会的当日或者前一日与相应发行对象签订附生效条件的股份认购合同。</w:t>
      </w:r>
    </w:p>
    <w:p w14:paraId="59BC9E7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本条所述认购合同应当载明该发行对象拟认购股份的数量或数量区间或者金额或金额区间、认购价格或定价原则、限售期及违约情形处置安排，同时约定本次发行经上市公司董事会、股东会批准并经中国证监会注册，该合同即应生效。</w:t>
      </w:r>
    </w:p>
    <w:p w14:paraId="617E151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上市公司向特定对象发行股票，董事会决议未确定发行对象的，通过竞价方式确定发行价格和发行对象，董事会决议应当明确本次发行对象的范围、资格和依据，以及定价原则，并经股东会作出决议。</w:t>
      </w:r>
    </w:p>
    <w:p w14:paraId="15F213F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上市公司向特定对象发行股票董事会决议公告后，符合条件的特定对象可以向上市公司和主承销商提交认购意向书。</w:t>
      </w:r>
    </w:p>
    <w:p w14:paraId="59157C03">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中国证监会作出予以注册决定后，由上市公司和主承销商在注册决定的有效期内选择发行时间。</w:t>
      </w:r>
    </w:p>
    <w:p w14:paraId="718820F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在启动发行前，上市公司和主承销商应当及时向本所报备发行与承销方案，本所3个工作日内表示无异议的，上市公司和主承销商可以启动发行工作。上市公司根据《再融资办法》的规定自行销售的，由上市公司向本所报备发行与承销方案。</w:t>
      </w:r>
    </w:p>
    <w:p w14:paraId="4ABEECD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向本所报备的发行与承销方案及认购邀请书，应当明确中止发行情形和相应处置安排，可以约定认购不足或者缴款不足时追加认购的操作程序、对象要求等。根据认购邀请书的约定启动追加认购的，应当在10个工作日内完成。</w:t>
      </w:r>
    </w:p>
    <w:p w14:paraId="2025B25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和主承销商应当按照公正、透明的原则，在认购邀请书中事先约定选择发行对象、收取认购保证金及符合条件的特定对象违约时保证金的处理方式、确定认购价格、分配认购数量等事项的操作规则，主承销商向符合条件的特定对象收取的认购保证金不得超过拟认购金额的20%。</w:t>
      </w:r>
    </w:p>
    <w:p w14:paraId="267D11C3">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在发行期首日前一工作日，上市公司和主承销商可以向符合条件的特定对象提供认购邀请书。</w:t>
      </w:r>
    </w:p>
    <w:p w14:paraId="040D89B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认购邀请书发送对象除应当包含董事会决议公告后已经提交认购意向书的投资者、公司前20名股东外，还应当包括下列投资者：</w:t>
      </w:r>
    </w:p>
    <w:p w14:paraId="1A8E746A">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（一）不少于20家证券投资基金管理公司；</w:t>
      </w:r>
    </w:p>
    <w:p w14:paraId="206C60F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（二）不少于10家证券公司；</w:t>
      </w:r>
    </w:p>
    <w:p w14:paraId="3A7FFB42">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（三）不少于5家保险机构投资者。</w:t>
      </w:r>
    </w:p>
    <w:p w14:paraId="0F66523E">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上述发送认购邀请书的对象应当同时符合本所相关规定。</w:t>
      </w:r>
    </w:p>
    <w:p w14:paraId="5676CAE7">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562BCB3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认购邀请书发出后，上市公司和主承销商应当在认购邀请书约定的时间内收集符合条件的特定对象签署的申购报价表。</w:t>
      </w:r>
    </w:p>
    <w:p w14:paraId="7AA357A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在申购报价期间，上市公司和主承销商及相关人员应当确保不以任何方式泄露符合条件的特定对象申购报价情况，申购报价过程应当由发行人律师现场见证。</w:t>
      </w:r>
    </w:p>
    <w:p w14:paraId="44E64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无有效报价时，上市公司和主承销商可以中止发行。</w:t>
      </w:r>
    </w:p>
    <w:p w14:paraId="476C8623">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报价高低进行累计统计，按照价格优先及董事会决议确定的其他原则合理确定发行价格和发行对象。董事会决议确定的原则应当公平、公正，符合上市公司及其全体股东的利益。</w:t>
      </w:r>
    </w:p>
    <w:p w14:paraId="507D422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发行结果确定后，上市公司应当与发行对象签订正式股份认购合同，发行对象应当按照合同约定缴款。</w:t>
      </w:r>
    </w:p>
    <w:p w14:paraId="65379E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发行对象的认购资金应当先划入主承销商为本次发行专门开立的账户，验资完毕后，扣除相关费用再划入上市公司募集资金专项存储账户。</w:t>
      </w:r>
    </w:p>
    <w:p w14:paraId="44E720B7">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上市公司和主承销商应当在本次发行验资完成后的3个工作日内，将股份认购合同、发行情况报告书、发行过程和认购对象合规性审核报告、专项法律意见书和验资报告等文件通过本所向中国证监会备案。</w:t>
      </w:r>
    </w:p>
    <w:p w14:paraId="18841F2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发行情况报告书应当根据中国证监会关于信息披露内容与格式的相关规定编制。</w:t>
      </w:r>
    </w:p>
    <w:p w14:paraId="48B974F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上市公司应当及时办理股份登记，登记完成后，上市公司向本所申请办理股份上市事宜。</w:t>
      </w:r>
    </w:p>
    <w:p w14:paraId="6650F22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主承销商关于本次发行过程和认购对象合规性的报告应当详细披露本次发行的全部过程，列示符合条件的特定对象申购报价情况及其获得配售的情况，并对发行结果是否公平、公正，是否符合向特定对象发行股票的有关规定发表意见。</w:t>
      </w:r>
    </w:p>
    <w:p w14:paraId="173779E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报价在发行价格之上的特定对象未获得配售或者被调减配售数量的，主承销商应当向该特定对象充分说明理由，并在报告书中说明情况。</w:t>
      </w:r>
    </w:p>
    <w:p w14:paraId="6570ADE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发行人律师关于本次发行过程和认购对象合规性的专项法律意见书应当详细认证本次发行的全部过程，并对发行过程的合规性、发行结果是否公平、公正，是否符合向特定对象发行股票的有关规定发表明确意见。</w:t>
      </w:r>
    </w:p>
    <w:p w14:paraId="62C5779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发行人律师应当对认购邀请书、申购报价表、股份认购合同及其他有关法律文书进行见证，并在专项法律意见书中确认有关法律文书合法有效。</w:t>
      </w:r>
    </w:p>
    <w:p w14:paraId="6AF4E37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自行销售的，上市公司应当根据本细则第四十五条的规定在验资完成后办理股份登记等事宜。</w:t>
      </w:r>
    </w:p>
    <w:p w14:paraId="62E699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第三节  适用简易程序的向特定对象发行股票</w:t>
      </w:r>
    </w:p>
    <w:p w14:paraId="10B4802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适用简易程序的，上市公司和主承销商可以在年度股东会后，按照本细则第三十条的规定向符合条件的投资者进行路演推介。</w:t>
      </w:r>
    </w:p>
    <w:p w14:paraId="388B9362">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适用简易程序的，上市公司和主承销商应当以竞价方式确定发行价格和发行对象。</w:t>
      </w:r>
    </w:p>
    <w:p w14:paraId="1019E6C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上市公司向特定对象发行股票年度股东会决议公告后，符合条件的特定对象可以向上市公司和主承销商提交认购意向书。</w:t>
      </w:r>
    </w:p>
    <w:p w14:paraId="542967FB">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在发行期首日前一工作日，上市公司和主承销商可以向符合条件的特定对象提供认购邀请书。认购邀请书发送对象包含已经提交认购意向书的投资者，以及符合本细则第四十一条规定的其他投资者。</w:t>
      </w:r>
    </w:p>
    <w:p w14:paraId="426FA2F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上市公司和主承销商提供的认购邀请书应当符合本细则第三十九条第二款和第四十条的规定。</w:t>
      </w:r>
    </w:p>
    <w:p w14:paraId="76EE49F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6BB42A4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认购邀请书发出后，上市公司和主承销商应当根据本细则第四十二条和第四十三条的规定确定发行价格和发行对象。</w:t>
      </w:r>
    </w:p>
    <w:p w14:paraId="0103BE7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与发行对象应当及时签订附生效条件的股份认购合同。认购合同应当约定，本次竞价结果等发行事项经年度股东会授权的董事会批准并经中国证监会注册，该合同即应生效。认购合同签订后3个工作日内，经年度股东会授权的董事会应当对竞价结果等发行事项作出决议。</w:t>
      </w:r>
    </w:p>
    <w:p w14:paraId="102E020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适用简易程序的，上市公司和主承销商应当在取得中国证监会的予以注册决定后2个工作日内向本所提交发行与承销方案等文件，10个工作日内完成发行缴款。</w:t>
      </w:r>
    </w:p>
    <w:p w14:paraId="34A757D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适用简易程序的，上市公司应当根据本细则第四十五条至第四十七条的规定在验资完成后办理股份登记等事宜。</w:t>
      </w:r>
    </w:p>
    <w:p w14:paraId="1401FCDF">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第四节  向特定对象发行可转换公司债券</w:t>
      </w:r>
    </w:p>
    <w:p w14:paraId="498E483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上市公司向特定对象发行可转债的，应当采用竞价方式确定利率和发行对象。董事会决议应当确定本次发行对象的范围、资格和依据，以及转股价格、利率确定原则，并经股东会作出决议。</w:t>
      </w:r>
    </w:p>
    <w:p w14:paraId="1B8CA53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上市公司向特定对象发行可转债的，符合条件的特定对象可以根据本细则第三十七条的规定提交认购意向书。</w:t>
      </w:r>
    </w:p>
    <w:p w14:paraId="252495A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中国证监会作出予以注册决定后，上市公司和主承销商根据本细则第三十八条和第三十九条的规定选择发行时间、向本所报备发行与承销方案及认购邀请书并启动发行工作。</w:t>
      </w:r>
    </w:p>
    <w:p w14:paraId="1058C7D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向特定对象发行可转债的，上市公司和主承销商应当按照公正、透明的原则，在认购邀请书中事先约定选择发行对象、收取认购保证金及投资者违约时保证金的处理方式、转股价格、确定利率、分配认购数量等事项的操作规则，主承销商可以向符合条件的特定对象</w:t>
      </w:r>
      <w:r>
        <w:rPr>
          <w:rFonts w:hint="eastAsia" w:eastAsia="仿宋_GB2312"/>
          <w:sz w:val="32"/>
          <w:szCs w:val="32"/>
        </w:rPr>
        <w:t>收取不超过拟申购金额20%的保证金。</w:t>
      </w:r>
    </w:p>
    <w:p w14:paraId="30D8B1F3">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上市公司和主承销商根据本细则第四十一条的规定向符合条件的特定对象提供认购邀请书。</w:t>
      </w:r>
    </w:p>
    <w:p w14:paraId="53E3891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上市公司向特定对象发行可转债的，认购邀请书发出后，申购报价应当符合本细则第四十二条的规定。</w:t>
      </w:r>
    </w:p>
    <w:p w14:paraId="76FF086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利率由低到高进行累计统计，按照利率优先及董事会决议确定的其他原则合理确定利率和发行对象。董事会决议确定的原则应当公平、公正，符合上市公司及其全体股东的利益。上市公司和主承销商可以根据本细则第三十九条第二款的规定事先约定追加认购安排。</w:t>
      </w:r>
    </w:p>
    <w:p w14:paraId="4840744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发行结果确定后，上市公司应参照本细则第四十四条至第四十七条的规定验资并办理登记等事宜。</w:t>
      </w:r>
    </w:p>
    <w:p w14:paraId="3D2DEEDD">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第四章  其他事项</w:t>
      </w:r>
    </w:p>
    <w:p w14:paraId="2E4CD94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参与认购科创板上市公司发行证券的投资者，应当符合科创板股票投资者适当性管理要求。</w:t>
      </w:r>
    </w:p>
    <w:p w14:paraId="4C4A440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上市公司发行前特定期间股票均价计算公式为：特定期间股票交易均价=特定期间内股票交易总额/特定期间内股票交易总量。</w:t>
      </w:r>
    </w:p>
    <w:p w14:paraId="1F9CC914">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主承销商应当按有关规定及时划付申购资金冻结利息。</w:t>
      </w:r>
    </w:p>
    <w:p w14:paraId="3092B01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除《承销办法》和本细则规定的中止发行情形外，上市公司和主承销商可以在发行与承销方案中约定中止发行的其他具体情形。主承销商和发行人律师应当说明约定中止发行的理由、必要性，并对约定的中止发行情形是否合理、合规、公平、公正发表明确意见。</w:t>
      </w:r>
    </w:p>
    <w:p w14:paraId="0B3E693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止发行后，在注册有效期内符合《再融资办法》等规定的发行条件且未发生可能影响本次发行的重大事项的，经向本所备案可以重新启动发行。主承销商和发行人律师应当对中止发行是否符合约定、合理、合规、公平、公正发表明确意见。</w:t>
      </w:r>
    </w:p>
    <w:p w14:paraId="342B794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中国证监会作出予以注册决定后，上市公司发生影响证券发行或投资者判断重大事项的，在满足会后事项监管要求的前提下，经向本所备案，方可启动发行。</w:t>
      </w:r>
    </w:p>
    <w:p w14:paraId="065E873D">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上市公司及其控股股东和实际控制人、证券公司、证券服务机构、参与本次发行的投资者及相关人员等出现以下情形的，本所可以对其按照《上海证券交易所</w:t>
      </w:r>
      <w:r>
        <w:rPr>
          <w:rFonts w:eastAsia="仿宋_GB2312" w:cs="仿宋"/>
          <w:sz w:val="32"/>
          <w:szCs w:val="32"/>
        </w:rPr>
        <w:t>首次公开发行证券发行与承销业务实施细则</w:t>
      </w:r>
      <w:r>
        <w:rPr>
          <w:rFonts w:hint="eastAsia" w:eastAsia="仿宋_GB2312" w:cs="仿宋"/>
          <w:sz w:val="32"/>
          <w:szCs w:val="32"/>
        </w:rPr>
        <w:t>》的规定实施日常监管、采取监管措施和纪律处分，并向中国证监会报告：</w:t>
      </w:r>
    </w:p>
    <w:p w14:paraId="11EDA35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（一）证券公司承销擅自公开发行或者变相公开发行的证券；</w:t>
      </w:r>
    </w:p>
    <w:p w14:paraId="4975AF3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（二）在证券发行过程中违反本细则规定，进行合谋报价、利益输送或者谋取不正当利益；</w:t>
      </w:r>
    </w:p>
    <w:p w14:paraId="2AA76B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（三）违反《承销办法》《再融资办法》和本细则等规定，向不符合要求的投资者进行竞价、配售；</w:t>
      </w:r>
    </w:p>
    <w:p w14:paraId="06C6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（四）上市公司、承销商、证券服务机构等未按规定及时编制、报备或披露证券发行承销相关文件，或者所报备、披露信息不真实、不准确、不完整，存在虚假记载、误导性陈述或者重大遗漏；</w:t>
      </w:r>
    </w:p>
    <w:p w14:paraId="3C7AE01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（五）未及时向本所报备发行与承销方案，或者本所提出异议后仍然按原方案启动发行工作；</w:t>
      </w:r>
    </w:p>
    <w:p w14:paraId="1949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（六）根据《承销办法》和本细则等规定，应当暂停或中止发行而不暂停或中止发行；</w:t>
      </w:r>
    </w:p>
    <w:p w14:paraId="77F7788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（七）参与证券发行的投资者违反其作出的限售期以及其他相关承诺；</w:t>
      </w:r>
    </w:p>
    <w:p w14:paraId="3C24317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（八）承销商违反规定向上市公司、投资者不当收取费用；</w:t>
      </w:r>
    </w:p>
    <w:p w14:paraId="1812DC7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（九）上市公司、承销商、证券服务机构未按照本细则和向本所报备的发行与承销方案等文件开展业务，或者未按规定在业务系统及时、准确录入有关信息对证券发行造成不利影响的；</w:t>
      </w:r>
    </w:p>
    <w:p w14:paraId="5256AB3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（十）违反本细则的其他情形。</w:t>
      </w:r>
    </w:p>
    <w:p w14:paraId="4EC7FB6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承销涉嫌违法违规或存在异常情形的，本所可以要求上市公司和承销商暂停或中止发行，对相关事项进行查处，并向中国证监会报告。参与认购的投资者擅自转让限售期限未满的证券，情节严重的，十二个月内不得作为特定对象认购证券。</w:t>
      </w:r>
    </w:p>
    <w:p w14:paraId="2D268FE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适用简易程序向特定对象发行股票的，本所发现上市公司及其控股股东和实际控制人、证券公司、证券服务机构、参与本次发行的投资者及相关人员等存在相关违法违规行为的，可以根据本细则第六十五条的规定从重处罚并向中国证监会报告。</w:t>
      </w:r>
    </w:p>
    <w:p w14:paraId="18DF0DD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及其控股股东和实际控制人、证券公司、证券服务机构、投资者及其直接负责的主管人员和其他直接责任人员被其他证券交易所采取暂不接受文件、认定为不适当人选等自律监管措施和纪律处分的，本所按照业务规则，在相应期限内不接受其提交或者签字的相关文件，或者认为其不适合担任证券发行人董事、高级管理人员。</w:t>
      </w:r>
    </w:p>
    <w:p w14:paraId="2026E1B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股票公开发行自律委员会可以对本所上市公司证券发行和承销事宜提供咨询意见。</w:t>
      </w:r>
    </w:p>
    <w:p w14:paraId="0208CF6B">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14:paraId="5D1E7E79">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2"/>
        </w:rPr>
        <w:t>已在本所上市的红筹企业发行以新增证券为基础证券的存托凭证，适用本细则关于上市公司发行股票的规定。本细则未作规定的，适用本所关于存托凭证的有关规定</w:t>
      </w:r>
      <w:r>
        <w:rPr>
          <w:rFonts w:hint="eastAsia" w:eastAsia="仿宋_GB2312" w:cs="仿宋"/>
          <w:sz w:val="32"/>
          <w:szCs w:val="32"/>
        </w:rPr>
        <w:t>。</w:t>
      </w:r>
    </w:p>
    <w:p w14:paraId="0AD15C51">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上市公司发行证券购买资产同时募集配套资金的，募集配套资金部分的证券发行与承销事宜参照本细则执行。</w:t>
      </w:r>
    </w:p>
    <w:p w14:paraId="05BD01D6">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上市公司向不特定对象发行优先股的发行程序参照本细则关于上市公司增发的相关规定执行，向特定对象发行优先股的发行程序参照本细则关于上市公司向特定对象发行证券的相关规定执行。</w:t>
      </w:r>
    </w:p>
    <w:p w14:paraId="392CF0C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上市公司向特定对象发行优先股的，认购邀请书的发送范围可以不适用本细则第四十一条的规定，但应涵盖一定的公募基金、社保基金、年金基金和保险资金等投资者以及已经提交认购意向书的投资者。</w:t>
      </w:r>
    </w:p>
    <w:p w14:paraId="1B05E5BA">
      <w:pPr>
        <w:pStyle w:val="64"/>
        <w:numPr>
          <w:ilvl w:val="0"/>
          <w:numId w:val="3"/>
        </w:numPr>
        <w:adjustRightInd w:val="0"/>
        <w:snapToGrid w:val="0"/>
        <w:spacing w:line="560" w:lineRule="exact"/>
        <w:ind w:left="0" w:firstLine="640"/>
        <w:rPr>
          <w:rFonts w:eastAsia="仿宋_GB2312"/>
          <w:sz w:val="32"/>
          <w:szCs w:val="30"/>
        </w:rPr>
      </w:pPr>
      <w:r>
        <w:rPr>
          <w:rFonts w:hint="eastAsia" w:eastAsia="仿宋_GB2312" w:cs="仿宋"/>
          <w:sz w:val="32"/>
          <w:szCs w:val="32"/>
        </w:rPr>
        <w:t>本细则对上市公司发行可转债未作规定的，适用本所关于可转债业务的其他相关规定。</w:t>
      </w:r>
    </w:p>
    <w:p w14:paraId="0F469F3F">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0"/>
        </w:rPr>
        <w:t>本细则所称理财公司，是指在境内依法设立的商业银行理财子公司，以及国家金融监督管理总局批准设立的其他主要从事理财业务的非银行金融机构。</w:t>
      </w:r>
    </w:p>
    <w:p w14:paraId="433BE2C2">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本细则经本所理事会审议通过并报中国证监会批准后生效，修改时亦同。</w:t>
      </w:r>
    </w:p>
    <w:p w14:paraId="77B32DB4">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本细则由本所负责解释。</w:t>
      </w:r>
    </w:p>
    <w:p w14:paraId="1694A62E">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本细则自发布之日起施行。本所于2</w:t>
      </w:r>
      <w:r>
        <w:rPr>
          <w:rFonts w:eastAsia="仿宋_GB2312" w:cs="仿宋"/>
          <w:sz w:val="32"/>
          <w:szCs w:val="32"/>
        </w:rPr>
        <w:t>0</w:t>
      </w:r>
      <w:r>
        <w:rPr>
          <w:rFonts w:hint="eastAsia" w:eastAsia="仿宋_GB2312" w:cs="仿宋"/>
          <w:sz w:val="32"/>
          <w:szCs w:val="32"/>
        </w:rPr>
        <w:t>23年2月17日发布的《上海证券交易所上市公司证券发行与承销业务实施细则》（上证发〔</w:t>
      </w:r>
      <w:r>
        <w:rPr>
          <w:rFonts w:eastAsia="仿宋_GB2312" w:cs="仿宋"/>
          <w:sz w:val="32"/>
          <w:szCs w:val="32"/>
        </w:rPr>
        <w:t>202</w:t>
      </w:r>
      <w:r>
        <w:rPr>
          <w:rFonts w:hint="eastAsia" w:eastAsia="仿宋_GB2312" w:cs="仿宋"/>
          <w:sz w:val="32"/>
          <w:szCs w:val="32"/>
        </w:rPr>
        <w:t>3〕34号）同时废止。</w:t>
      </w:r>
    </w:p>
    <w:p w14:paraId="12A5EDF9">
      <w:pPr>
        <w:spacing w:line="560" w:lineRule="exact"/>
        <w:rPr>
          <w:rFonts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00000000000000000"/>
    <w:charset w:val="86"/>
    <w:family w:val="modern"/>
    <w:pitch w:val="default"/>
    <w:sig w:usb0="A00002BF" w:usb1="184F6CFA" w:usb2="00000012" w:usb3="00000000" w:csb0="00040001"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panose1 w:val="02010600000101010101"/>
    <w:charset w:val="86"/>
    <w:family w:val="modern"/>
    <w:pitch w:val="default"/>
    <w:sig w:usb0="00000001" w:usb1="080E0800" w:usb2="00000002"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00"/>
    <w:family w:val="roman"/>
    <w:pitch w:val="default"/>
    <w:sig w:usb0="00000000" w:usb1="00000000" w:usb2="00000000" w:usb3="00000000" w:csb0="00000001" w:csb1="00000000"/>
  </w:font>
  <w:font w:name="Helvetica">
    <w:altName w:val="DejaVu Sans"/>
    <w:panose1 w:val="020B0604020202020204"/>
    <w:charset w:val="00"/>
    <w:family w:val="swiss"/>
    <w:pitch w:val="default"/>
    <w:sig w:usb0="00000000" w:usb1="00000000" w:usb2="00000000" w:usb3="00000000" w:csb0="00000001" w:csb1="00000000"/>
  </w:font>
  <w:font w:name="Frutiger 45 Light">
    <w:altName w:val="阿里巴巴普惠体 R"/>
    <w:panose1 w:val="00000000000000000000"/>
    <w:charset w:val="00"/>
    <w:family w:val="swiss"/>
    <w:pitch w:val="default"/>
    <w:sig w:usb0="00000000" w:usb1="00000000" w:usb2="00000000" w:usb3="00000000" w:csb0="00000193" w:csb1="00000000"/>
  </w:font>
  <w:font w:name="阿里巴巴普惠体 R">
    <w:panose1 w:val="00020600040101010101"/>
    <w:charset w:val="86"/>
    <w:family w:val="auto"/>
    <w:pitch w:val="default"/>
    <w:sig w:usb0="A00002FF" w:usb1="7ACF7CFB" w:usb2="0000001E" w:usb3="00000000" w:csb0="0004009F"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Univers">
    <w:altName w:val="阿里巴巴普惠体 R"/>
    <w:panose1 w:val="00000000000000000000"/>
    <w:charset w:val="00"/>
    <w:family w:val="swiss"/>
    <w:pitch w:val="default"/>
    <w:sig w:usb0="00000000" w:usb1="00000000" w:usb2="00000000" w:usb3="00000000" w:csb0="0000000F"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978B">
    <w:pPr>
      <w:pStyle w:val="18"/>
      <w:jc w:val="center"/>
      <w:rPr>
        <w:rFonts w:ascii="宋体" w:hAnsi="宋体" w:cs="宋体"/>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8FC44A">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3D53">
    <w:pPr>
      <w:pStyle w:val="18"/>
      <w:framePr w:wrap="around" w:vAnchor="text" w:hAnchor="margin" w:xAlign="center" w:y="1"/>
      <w:rPr>
        <w:rStyle w:val="32"/>
      </w:rPr>
    </w:pPr>
  </w:p>
  <w:p w14:paraId="62A26F4D">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3BF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DBB0B"/>
    <w:multiLevelType w:val="singleLevel"/>
    <w:tmpl w:val="A00DBB0B"/>
    <w:lvl w:ilvl="0" w:tentative="0">
      <w:start w:val="1"/>
      <w:numFmt w:val="chineseCounting"/>
      <w:lvlText w:val="第%1条"/>
      <w:lvlJc w:val="left"/>
      <w:pPr>
        <w:ind w:left="2547" w:hanging="420"/>
      </w:pPr>
      <w:rPr>
        <w:rFonts w:hint="eastAsia" w:ascii="仿宋_GB2312" w:hAnsi="黑体" w:eastAsia="仿宋_GB2312"/>
        <w:b/>
        <w:bCs/>
        <w:i w:val="0"/>
        <w:sz w:val="32"/>
        <w:szCs w:val="32"/>
        <w:lang w:val="en-US"/>
      </w:rPr>
    </w:lvl>
  </w:abstractNum>
  <w:abstractNum w:abstractNumId="1">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2">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B4B"/>
    <w:rsid w:val="00001C7D"/>
    <w:rsid w:val="00003E3B"/>
    <w:rsid w:val="00004247"/>
    <w:rsid w:val="00006D18"/>
    <w:rsid w:val="00007153"/>
    <w:rsid w:val="000101F0"/>
    <w:rsid w:val="000123C7"/>
    <w:rsid w:val="00015CF8"/>
    <w:rsid w:val="00016AAA"/>
    <w:rsid w:val="00023C6B"/>
    <w:rsid w:val="00023D06"/>
    <w:rsid w:val="00025327"/>
    <w:rsid w:val="000254CE"/>
    <w:rsid w:val="00025A12"/>
    <w:rsid w:val="00025D14"/>
    <w:rsid w:val="00026000"/>
    <w:rsid w:val="00030A3E"/>
    <w:rsid w:val="00034D02"/>
    <w:rsid w:val="000373C8"/>
    <w:rsid w:val="0004078E"/>
    <w:rsid w:val="00040EBC"/>
    <w:rsid w:val="00041A60"/>
    <w:rsid w:val="00042926"/>
    <w:rsid w:val="000432C6"/>
    <w:rsid w:val="0004401E"/>
    <w:rsid w:val="00044E84"/>
    <w:rsid w:val="00045851"/>
    <w:rsid w:val="00045B5A"/>
    <w:rsid w:val="00046F1D"/>
    <w:rsid w:val="00052CA3"/>
    <w:rsid w:val="000531EB"/>
    <w:rsid w:val="00053585"/>
    <w:rsid w:val="00055B23"/>
    <w:rsid w:val="00055D8A"/>
    <w:rsid w:val="00056418"/>
    <w:rsid w:val="000575D2"/>
    <w:rsid w:val="00057D6A"/>
    <w:rsid w:val="0006008F"/>
    <w:rsid w:val="00060722"/>
    <w:rsid w:val="0006252E"/>
    <w:rsid w:val="00064775"/>
    <w:rsid w:val="00065144"/>
    <w:rsid w:val="00065822"/>
    <w:rsid w:val="00066E70"/>
    <w:rsid w:val="00067FF1"/>
    <w:rsid w:val="00070DA4"/>
    <w:rsid w:val="0007113F"/>
    <w:rsid w:val="000715CD"/>
    <w:rsid w:val="00073EF3"/>
    <w:rsid w:val="000747FA"/>
    <w:rsid w:val="00075702"/>
    <w:rsid w:val="0007649E"/>
    <w:rsid w:val="000767DF"/>
    <w:rsid w:val="00076F96"/>
    <w:rsid w:val="00077264"/>
    <w:rsid w:val="00081D93"/>
    <w:rsid w:val="00081E89"/>
    <w:rsid w:val="000825BD"/>
    <w:rsid w:val="000829BB"/>
    <w:rsid w:val="000838F0"/>
    <w:rsid w:val="00084847"/>
    <w:rsid w:val="0008558C"/>
    <w:rsid w:val="0008603B"/>
    <w:rsid w:val="000906F1"/>
    <w:rsid w:val="00092467"/>
    <w:rsid w:val="000926AA"/>
    <w:rsid w:val="000932C8"/>
    <w:rsid w:val="00094F31"/>
    <w:rsid w:val="00096C82"/>
    <w:rsid w:val="00097322"/>
    <w:rsid w:val="000A01F7"/>
    <w:rsid w:val="000A0752"/>
    <w:rsid w:val="000A1F1A"/>
    <w:rsid w:val="000A2AE9"/>
    <w:rsid w:val="000A36F5"/>
    <w:rsid w:val="000A3859"/>
    <w:rsid w:val="000A4874"/>
    <w:rsid w:val="000A4E05"/>
    <w:rsid w:val="000A5CA0"/>
    <w:rsid w:val="000A759B"/>
    <w:rsid w:val="000A78EC"/>
    <w:rsid w:val="000B135F"/>
    <w:rsid w:val="000B19DE"/>
    <w:rsid w:val="000B1C87"/>
    <w:rsid w:val="000B1CA3"/>
    <w:rsid w:val="000B2003"/>
    <w:rsid w:val="000B3D7A"/>
    <w:rsid w:val="000B53A1"/>
    <w:rsid w:val="000B7DC1"/>
    <w:rsid w:val="000C18B8"/>
    <w:rsid w:val="000C5079"/>
    <w:rsid w:val="000C5DAB"/>
    <w:rsid w:val="000C6D3B"/>
    <w:rsid w:val="000D089A"/>
    <w:rsid w:val="000D23F1"/>
    <w:rsid w:val="000D3E58"/>
    <w:rsid w:val="000D5E80"/>
    <w:rsid w:val="000D6AE7"/>
    <w:rsid w:val="000D7324"/>
    <w:rsid w:val="000D76BD"/>
    <w:rsid w:val="000E0C54"/>
    <w:rsid w:val="000E0F35"/>
    <w:rsid w:val="000E1D7A"/>
    <w:rsid w:val="000E28C6"/>
    <w:rsid w:val="000E2B68"/>
    <w:rsid w:val="000E3BF1"/>
    <w:rsid w:val="000E75BE"/>
    <w:rsid w:val="000E7A26"/>
    <w:rsid w:val="000E7A4C"/>
    <w:rsid w:val="000F063C"/>
    <w:rsid w:val="000F13A0"/>
    <w:rsid w:val="000F1729"/>
    <w:rsid w:val="000F3A20"/>
    <w:rsid w:val="000F3DDE"/>
    <w:rsid w:val="000F6F92"/>
    <w:rsid w:val="000F7690"/>
    <w:rsid w:val="00103077"/>
    <w:rsid w:val="00103B4B"/>
    <w:rsid w:val="00104481"/>
    <w:rsid w:val="00106537"/>
    <w:rsid w:val="00106E5E"/>
    <w:rsid w:val="001116CD"/>
    <w:rsid w:val="00112324"/>
    <w:rsid w:val="0011465A"/>
    <w:rsid w:val="001149F0"/>
    <w:rsid w:val="001157CA"/>
    <w:rsid w:val="0011790D"/>
    <w:rsid w:val="00121D8C"/>
    <w:rsid w:val="00123AFE"/>
    <w:rsid w:val="00126898"/>
    <w:rsid w:val="00127BB8"/>
    <w:rsid w:val="0013026D"/>
    <w:rsid w:val="001303BE"/>
    <w:rsid w:val="001313FC"/>
    <w:rsid w:val="001320F9"/>
    <w:rsid w:val="0013265E"/>
    <w:rsid w:val="00132F87"/>
    <w:rsid w:val="00133437"/>
    <w:rsid w:val="00135048"/>
    <w:rsid w:val="00135243"/>
    <w:rsid w:val="00135676"/>
    <w:rsid w:val="00136D79"/>
    <w:rsid w:val="00136E1D"/>
    <w:rsid w:val="001373E7"/>
    <w:rsid w:val="00140DB0"/>
    <w:rsid w:val="00143741"/>
    <w:rsid w:val="00144741"/>
    <w:rsid w:val="00145463"/>
    <w:rsid w:val="00145E5C"/>
    <w:rsid w:val="001475B0"/>
    <w:rsid w:val="0014770C"/>
    <w:rsid w:val="0015039D"/>
    <w:rsid w:val="001510D1"/>
    <w:rsid w:val="0015159A"/>
    <w:rsid w:val="00152423"/>
    <w:rsid w:val="0015628A"/>
    <w:rsid w:val="00156E9B"/>
    <w:rsid w:val="001607D9"/>
    <w:rsid w:val="00160C0B"/>
    <w:rsid w:val="0016249D"/>
    <w:rsid w:val="001628DD"/>
    <w:rsid w:val="00162B2D"/>
    <w:rsid w:val="001636A4"/>
    <w:rsid w:val="00163F0D"/>
    <w:rsid w:val="001650FE"/>
    <w:rsid w:val="00165363"/>
    <w:rsid w:val="00167547"/>
    <w:rsid w:val="001675AF"/>
    <w:rsid w:val="0017731B"/>
    <w:rsid w:val="00177844"/>
    <w:rsid w:val="00177966"/>
    <w:rsid w:val="00180B6B"/>
    <w:rsid w:val="00185194"/>
    <w:rsid w:val="00185244"/>
    <w:rsid w:val="00186386"/>
    <w:rsid w:val="00187EC9"/>
    <w:rsid w:val="00191A1F"/>
    <w:rsid w:val="0019316F"/>
    <w:rsid w:val="00194A6E"/>
    <w:rsid w:val="00194AAF"/>
    <w:rsid w:val="00195F7F"/>
    <w:rsid w:val="00197495"/>
    <w:rsid w:val="00197504"/>
    <w:rsid w:val="00197F59"/>
    <w:rsid w:val="001A27B8"/>
    <w:rsid w:val="001A2908"/>
    <w:rsid w:val="001A306E"/>
    <w:rsid w:val="001A4038"/>
    <w:rsid w:val="001A5E3D"/>
    <w:rsid w:val="001B0CC8"/>
    <w:rsid w:val="001B0E13"/>
    <w:rsid w:val="001B2176"/>
    <w:rsid w:val="001B2E0F"/>
    <w:rsid w:val="001B3FB4"/>
    <w:rsid w:val="001B412F"/>
    <w:rsid w:val="001B76C0"/>
    <w:rsid w:val="001C0319"/>
    <w:rsid w:val="001C078A"/>
    <w:rsid w:val="001C1D39"/>
    <w:rsid w:val="001C248C"/>
    <w:rsid w:val="001C265D"/>
    <w:rsid w:val="001C3676"/>
    <w:rsid w:val="001C3FB0"/>
    <w:rsid w:val="001C515F"/>
    <w:rsid w:val="001C5A32"/>
    <w:rsid w:val="001C5E9A"/>
    <w:rsid w:val="001C66D4"/>
    <w:rsid w:val="001C7595"/>
    <w:rsid w:val="001C7EE4"/>
    <w:rsid w:val="001D0955"/>
    <w:rsid w:val="001D29C8"/>
    <w:rsid w:val="001D3D41"/>
    <w:rsid w:val="001D5CF2"/>
    <w:rsid w:val="001D6097"/>
    <w:rsid w:val="001D661F"/>
    <w:rsid w:val="001D6B24"/>
    <w:rsid w:val="001D71C5"/>
    <w:rsid w:val="001E0992"/>
    <w:rsid w:val="001E1D78"/>
    <w:rsid w:val="001E2936"/>
    <w:rsid w:val="001E2BC7"/>
    <w:rsid w:val="001E2F7B"/>
    <w:rsid w:val="001E3107"/>
    <w:rsid w:val="001E4D1C"/>
    <w:rsid w:val="001E52DC"/>
    <w:rsid w:val="001E53A2"/>
    <w:rsid w:val="001E55F0"/>
    <w:rsid w:val="001E594A"/>
    <w:rsid w:val="001E5FFD"/>
    <w:rsid w:val="001E7729"/>
    <w:rsid w:val="001E7AC9"/>
    <w:rsid w:val="001E7C93"/>
    <w:rsid w:val="001F31C1"/>
    <w:rsid w:val="001F3DCC"/>
    <w:rsid w:val="001F658F"/>
    <w:rsid w:val="001F6A6E"/>
    <w:rsid w:val="00201124"/>
    <w:rsid w:val="002106B0"/>
    <w:rsid w:val="00210AB6"/>
    <w:rsid w:val="00211106"/>
    <w:rsid w:val="00211440"/>
    <w:rsid w:val="0021196D"/>
    <w:rsid w:val="00212492"/>
    <w:rsid w:val="002141CC"/>
    <w:rsid w:val="0021491E"/>
    <w:rsid w:val="0021537B"/>
    <w:rsid w:val="00217D52"/>
    <w:rsid w:val="00220EFA"/>
    <w:rsid w:val="0022256E"/>
    <w:rsid w:val="0022274E"/>
    <w:rsid w:val="00222DC0"/>
    <w:rsid w:val="002243B6"/>
    <w:rsid w:val="00227A2C"/>
    <w:rsid w:val="00230603"/>
    <w:rsid w:val="0023064B"/>
    <w:rsid w:val="00230694"/>
    <w:rsid w:val="00230E4E"/>
    <w:rsid w:val="0023100B"/>
    <w:rsid w:val="00232359"/>
    <w:rsid w:val="00232702"/>
    <w:rsid w:val="002329AE"/>
    <w:rsid w:val="00232F16"/>
    <w:rsid w:val="00233149"/>
    <w:rsid w:val="002344BE"/>
    <w:rsid w:val="00234A4F"/>
    <w:rsid w:val="00234E30"/>
    <w:rsid w:val="00235263"/>
    <w:rsid w:val="00240494"/>
    <w:rsid w:val="00240656"/>
    <w:rsid w:val="00241971"/>
    <w:rsid w:val="00241C94"/>
    <w:rsid w:val="002436E6"/>
    <w:rsid w:val="00243E11"/>
    <w:rsid w:val="002441E9"/>
    <w:rsid w:val="00244718"/>
    <w:rsid w:val="0024484E"/>
    <w:rsid w:val="00245FED"/>
    <w:rsid w:val="00247A8F"/>
    <w:rsid w:val="00253F05"/>
    <w:rsid w:val="002549B0"/>
    <w:rsid w:val="00256A60"/>
    <w:rsid w:val="0026012D"/>
    <w:rsid w:val="00260879"/>
    <w:rsid w:val="00260FCD"/>
    <w:rsid w:val="0026137B"/>
    <w:rsid w:val="002618E8"/>
    <w:rsid w:val="0026217A"/>
    <w:rsid w:val="002635C2"/>
    <w:rsid w:val="00263787"/>
    <w:rsid w:val="002649A0"/>
    <w:rsid w:val="00266DD8"/>
    <w:rsid w:val="002679E4"/>
    <w:rsid w:val="00267B6F"/>
    <w:rsid w:val="00267D17"/>
    <w:rsid w:val="0027033D"/>
    <w:rsid w:val="00270D15"/>
    <w:rsid w:val="00271DEA"/>
    <w:rsid w:val="00272B98"/>
    <w:rsid w:val="00272E11"/>
    <w:rsid w:val="00275429"/>
    <w:rsid w:val="0027565F"/>
    <w:rsid w:val="00275CBD"/>
    <w:rsid w:val="00275FED"/>
    <w:rsid w:val="0027766B"/>
    <w:rsid w:val="00277FFE"/>
    <w:rsid w:val="00280575"/>
    <w:rsid w:val="00280AD9"/>
    <w:rsid w:val="00281615"/>
    <w:rsid w:val="002839B7"/>
    <w:rsid w:val="0028470E"/>
    <w:rsid w:val="002850BA"/>
    <w:rsid w:val="002860FE"/>
    <w:rsid w:val="0029198B"/>
    <w:rsid w:val="00291DB3"/>
    <w:rsid w:val="002939FC"/>
    <w:rsid w:val="002948E6"/>
    <w:rsid w:val="00294A2C"/>
    <w:rsid w:val="0029628D"/>
    <w:rsid w:val="00296697"/>
    <w:rsid w:val="002A028B"/>
    <w:rsid w:val="002A0A0B"/>
    <w:rsid w:val="002A0FC5"/>
    <w:rsid w:val="002A239C"/>
    <w:rsid w:val="002A3524"/>
    <w:rsid w:val="002A38C3"/>
    <w:rsid w:val="002A42A6"/>
    <w:rsid w:val="002A5B12"/>
    <w:rsid w:val="002A7D56"/>
    <w:rsid w:val="002B0D2D"/>
    <w:rsid w:val="002B1931"/>
    <w:rsid w:val="002B34E9"/>
    <w:rsid w:val="002B3909"/>
    <w:rsid w:val="002B7FB9"/>
    <w:rsid w:val="002C0231"/>
    <w:rsid w:val="002C3339"/>
    <w:rsid w:val="002C44E0"/>
    <w:rsid w:val="002C5145"/>
    <w:rsid w:val="002C7AC9"/>
    <w:rsid w:val="002D03C3"/>
    <w:rsid w:val="002D247D"/>
    <w:rsid w:val="002D5674"/>
    <w:rsid w:val="002D5D60"/>
    <w:rsid w:val="002D60DF"/>
    <w:rsid w:val="002D78E7"/>
    <w:rsid w:val="002D7AA5"/>
    <w:rsid w:val="002E07CD"/>
    <w:rsid w:val="002E2810"/>
    <w:rsid w:val="002E2C77"/>
    <w:rsid w:val="002E3469"/>
    <w:rsid w:val="002E42D0"/>
    <w:rsid w:val="002E4C05"/>
    <w:rsid w:val="002E4D4C"/>
    <w:rsid w:val="002E7143"/>
    <w:rsid w:val="002E7C38"/>
    <w:rsid w:val="002F011D"/>
    <w:rsid w:val="002F047E"/>
    <w:rsid w:val="002F0D79"/>
    <w:rsid w:val="002F119E"/>
    <w:rsid w:val="002F19CD"/>
    <w:rsid w:val="002F3D59"/>
    <w:rsid w:val="002F3F57"/>
    <w:rsid w:val="002F5046"/>
    <w:rsid w:val="002F599F"/>
    <w:rsid w:val="002F64C8"/>
    <w:rsid w:val="002F6B5E"/>
    <w:rsid w:val="002F7770"/>
    <w:rsid w:val="0030160D"/>
    <w:rsid w:val="00301B8F"/>
    <w:rsid w:val="00302341"/>
    <w:rsid w:val="00302D40"/>
    <w:rsid w:val="0030332C"/>
    <w:rsid w:val="00304446"/>
    <w:rsid w:val="00304524"/>
    <w:rsid w:val="00304AB8"/>
    <w:rsid w:val="00306F9F"/>
    <w:rsid w:val="003103D2"/>
    <w:rsid w:val="00310AA0"/>
    <w:rsid w:val="00310B97"/>
    <w:rsid w:val="003128D1"/>
    <w:rsid w:val="00313450"/>
    <w:rsid w:val="0031389B"/>
    <w:rsid w:val="00314881"/>
    <w:rsid w:val="00315A37"/>
    <w:rsid w:val="0031602E"/>
    <w:rsid w:val="003203A2"/>
    <w:rsid w:val="00320E81"/>
    <w:rsid w:val="00323793"/>
    <w:rsid w:val="0032399D"/>
    <w:rsid w:val="00323C36"/>
    <w:rsid w:val="00326C6B"/>
    <w:rsid w:val="00327E4E"/>
    <w:rsid w:val="003317AD"/>
    <w:rsid w:val="00332396"/>
    <w:rsid w:val="00332F22"/>
    <w:rsid w:val="00333B5A"/>
    <w:rsid w:val="003369A0"/>
    <w:rsid w:val="00337451"/>
    <w:rsid w:val="003403ED"/>
    <w:rsid w:val="00341593"/>
    <w:rsid w:val="00341638"/>
    <w:rsid w:val="0034251F"/>
    <w:rsid w:val="00343987"/>
    <w:rsid w:val="003459FC"/>
    <w:rsid w:val="00350938"/>
    <w:rsid w:val="00350A49"/>
    <w:rsid w:val="0035170E"/>
    <w:rsid w:val="0035204B"/>
    <w:rsid w:val="00352CC0"/>
    <w:rsid w:val="00352ED3"/>
    <w:rsid w:val="00352FFB"/>
    <w:rsid w:val="00353B18"/>
    <w:rsid w:val="00353F36"/>
    <w:rsid w:val="003544A4"/>
    <w:rsid w:val="00355B57"/>
    <w:rsid w:val="003561F6"/>
    <w:rsid w:val="00360A79"/>
    <w:rsid w:val="00363433"/>
    <w:rsid w:val="00363B34"/>
    <w:rsid w:val="00363C2F"/>
    <w:rsid w:val="003642F6"/>
    <w:rsid w:val="00365389"/>
    <w:rsid w:val="00365C40"/>
    <w:rsid w:val="003671CC"/>
    <w:rsid w:val="003674EB"/>
    <w:rsid w:val="00370147"/>
    <w:rsid w:val="00370A37"/>
    <w:rsid w:val="00370F08"/>
    <w:rsid w:val="00371056"/>
    <w:rsid w:val="003714B3"/>
    <w:rsid w:val="003721BA"/>
    <w:rsid w:val="003727E2"/>
    <w:rsid w:val="00372FCB"/>
    <w:rsid w:val="0037348E"/>
    <w:rsid w:val="00373B1E"/>
    <w:rsid w:val="00373B90"/>
    <w:rsid w:val="00374AC8"/>
    <w:rsid w:val="00374EFA"/>
    <w:rsid w:val="00375147"/>
    <w:rsid w:val="00375CB8"/>
    <w:rsid w:val="0037781A"/>
    <w:rsid w:val="00380C4E"/>
    <w:rsid w:val="00381A99"/>
    <w:rsid w:val="003825B7"/>
    <w:rsid w:val="003844D8"/>
    <w:rsid w:val="0038457C"/>
    <w:rsid w:val="00384D67"/>
    <w:rsid w:val="00386A61"/>
    <w:rsid w:val="0038722F"/>
    <w:rsid w:val="003876FE"/>
    <w:rsid w:val="00387B66"/>
    <w:rsid w:val="0039017A"/>
    <w:rsid w:val="003935C7"/>
    <w:rsid w:val="00393AC8"/>
    <w:rsid w:val="003950D3"/>
    <w:rsid w:val="00397420"/>
    <w:rsid w:val="003A2017"/>
    <w:rsid w:val="003A4275"/>
    <w:rsid w:val="003A46E9"/>
    <w:rsid w:val="003A4957"/>
    <w:rsid w:val="003A5630"/>
    <w:rsid w:val="003A5A71"/>
    <w:rsid w:val="003A646D"/>
    <w:rsid w:val="003B1962"/>
    <w:rsid w:val="003B1BE5"/>
    <w:rsid w:val="003B1ED9"/>
    <w:rsid w:val="003B2F8E"/>
    <w:rsid w:val="003B45A3"/>
    <w:rsid w:val="003B6094"/>
    <w:rsid w:val="003B65E2"/>
    <w:rsid w:val="003B7D3A"/>
    <w:rsid w:val="003C1932"/>
    <w:rsid w:val="003C231F"/>
    <w:rsid w:val="003C23AD"/>
    <w:rsid w:val="003C293C"/>
    <w:rsid w:val="003C37A4"/>
    <w:rsid w:val="003C37A5"/>
    <w:rsid w:val="003C7171"/>
    <w:rsid w:val="003D1E70"/>
    <w:rsid w:val="003D24C9"/>
    <w:rsid w:val="003D2819"/>
    <w:rsid w:val="003D283D"/>
    <w:rsid w:val="003D2946"/>
    <w:rsid w:val="003D2EC1"/>
    <w:rsid w:val="003D3027"/>
    <w:rsid w:val="003D4612"/>
    <w:rsid w:val="003D4890"/>
    <w:rsid w:val="003D5445"/>
    <w:rsid w:val="003D73C7"/>
    <w:rsid w:val="003D7920"/>
    <w:rsid w:val="003E06D1"/>
    <w:rsid w:val="003E100F"/>
    <w:rsid w:val="003E26C5"/>
    <w:rsid w:val="003E29B2"/>
    <w:rsid w:val="003E3377"/>
    <w:rsid w:val="003E75F6"/>
    <w:rsid w:val="003F001B"/>
    <w:rsid w:val="003F17CF"/>
    <w:rsid w:val="003F318F"/>
    <w:rsid w:val="003F3F73"/>
    <w:rsid w:val="003F3FF7"/>
    <w:rsid w:val="003F6811"/>
    <w:rsid w:val="003F6CCB"/>
    <w:rsid w:val="003F6CCE"/>
    <w:rsid w:val="0040193F"/>
    <w:rsid w:val="00401D7B"/>
    <w:rsid w:val="00401ED0"/>
    <w:rsid w:val="004028FB"/>
    <w:rsid w:val="00402AE7"/>
    <w:rsid w:val="004050CB"/>
    <w:rsid w:val="0040559C"/>
    <w:rsid w:val="00405A5B"/>
    <w:rsid w:val="00412C9B"/>
    <w:rsid w:val="00412E0B"/>
    <w:rsid w:val="0041372A"/>
    <w:rsid w:val="00413F4C"/>
    <w:rsid w:val="00414B1B"/>
    <w:rsid w:val="004156A9"/>
    <w:rsid w:val="00415ABF"/>
    <w:rsid w:val="004161E0"/>
    <w:rsid w:val="0041714A"/>
    <w:rsid w:val="004206D0"/>
    <w:rsid w:val="004221B0"/>
    <w:rsid w:val="004223D9"/>
    <w:rsid w:val="00423198"/>
    <w:rsid w:val="004235D3"/>
    <w:rsid w:val="00423733"/>
    <w:rsid w:val="0042579A"/>
    <w:rsid w:val="00425B16"/>
    <w:rsid w:val="00425CAE"/>
    <w:rsid w:val="0042642B"/>
    <w:rsid w:val="00426AE2"/>
    <w:rsid w:val="0042799E"/>
    <w:rsid w:val="00431061"/>
    <w:rsid w:val="004318A5"/>
    <w:rsid w:val="00433D0E"/>
    <w:rsid w:val="00434222"/>
    <w:rsid w:val="004347DB"/>
    <w:rsid w:val="00435293"/>
    <w:rsid w:val="0043610F"/>
    <w:rsid w:val="00436F3C"/>
    <w:rsid w:val="00440411"/>
    <w:rsid w:val="00441379"/>
    <w:rsid w:val="00441EC7"/>
    <w:rsid w:val="004473CB"/>
    <w:rsid w:val="00447C13"/>
    <w:rsid w:val="004503F5"/>
    <w:rsid w:val="00450748"/>
    <w:rsid w:val="004512D0"/>
    <w:rsid w:val="00451DE9"/>
    <w:rsid w:val="00454698"/>
    <w:rsid w:val="004548F8"/>
    <w:rsid w:val="00455485"/>
    <w:rsid w:val="00455D76"/>
    <w:rsid w:val="00456542"/>
    <w:rsid w:val="00456CC6"/>
    <w:rsid w:val="0046088C"/>
    <w:rsid w:val="00460CC9"/>
    <w:rsid w:val="004610E5"/>
    <w:rsid w:val="00461CCC"/>
    <w:rsid w:val="00464517"/>
    <w:rsid w:val="004648F6"/>
    <w:rsid w:val="0046578C"/>
    <w:rsid w:val="00467671"/>
    <w:rsid w:val="00470C37"/>
    <w:rsid w:val="004729E7"/>
    <w:rsid w:val="00472F3E"/>
    <w:rsid w:val="004738B1"/>
    <w:rsid w:val="0047596A"/>
    <w:rsid w:val="0047627C"/>
    <w:rsid w:val="00476F51"/>
    <w:rsid w:val="00480A92"/>
    <w:rsid w:val="00480BA3"/>
    <w:rsid w:val="00482808"/>
    <w:rsid w:val="0048367A"/>
    <w:rsid w:val="00483722"/>
    <w:rsid w:val="00483F26"/>
    <w:rsid w:val="00484427"/>
    <w:rsid w:val="00485191"/>
    <w:rsid w:val="004856ED"/>
    <w:rsid w:val="00486163"/>
    <w:rsid w:val="00487582"/>
    <w:rsid w:val="00490265"/>
    <w:rsid w:val="004907A6"/>
    <w:rsid w:val="00490DD3"/>
    <w:rsid w:val="00491F2C"/>
    <w:rsid w:val="00493714"/>
    <w:rsid w:val="004940F2"/>
    <w:rsid w:val="00495800"/>
    <w:rsid w:val="004964F8"/>
    <w:rsid w:val="00497FE2"/>
    <w:rsid w:val="004A0B8C"/>
    <w:rsid w:val="004A178E"/>
    <w:rsid w:val="004A24E8"/>
    <w:rsid w:val="004A3057"/>
    <w:rsid w:val="004A3FEE"/>
    <w:rsid w:val="004A4E70"/>
    <w:rsid w:val="004A7413"/>
    <w:rsid w:val="004A7B72"/>
    <w:rsid w:val="004B009A"/>
    <w:rsid w:val="004B02FE"/>
    <w:rsid w:val="004B093C"/>
    <w:rsid w:val="004B1D50"/>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0102"/>
    <w:rsid w:val="004D0429"/>
    <w:rsid w:val="004D08B4"/>
    <w:rsid w:val="004D0E6D"/>
    <w:rsid w:val="004D192C"/>
    <w:rsid w:val="004D2769"/>
    <w:rsid w:val="004D3CA9"/>
    <w:rsid w:val="004D3EE9"/>
    <w:rsid w:val="004D3F25"/>
    <w:rsid w:val="004D550C"/>
    <w:rsid w:val="004D56FB"/>
    <w:rsid w:val="004D5968"/>
    <w:rsid w:val="004D7336"/>
    <w:rsid w:val="004E110D"/>
    <w:rsid w:val="004E2860"/>
    <w:rsid w:val="004E29FD"/>
    <w:rsid w:val="004E3143"/>
    <w:rsid w:val="004E3724"/>
    <w:rsid w:val="004E46A0"/>
    <w:rsid w:val="004E5320"/>
    <w:rsid w:val="004E60FA"/>
    <w:rsid w:val="004E6F54"/>
    <w:rsid w:val="004E70D1"/>
    <w:rsid w:val="004F0560"/>
    <w:rsid w:val="004F0E96"/>
    <w:rsid w:val="004F0F24"/>
    <w:rsid w:val="004F158D"/>
    <w:rsid w:val="004F1AAD"/>
    <w:rsid w:val="004F282C"/>
    <w:rsid w:val="004F3F5E"/>
    <w:rsid w:val="004F73EA"/>
    <w:rsid w:val="0050061D"/>
    <w:rsid w:val="005012B2"/>
    <w:rsid w:val="00501E8E"/>
    <w:rsid w:val="00502B77"/>
    <w:rsid w:val="00503A26"/>
    <w:rsid w:val="00503E84"/>
    <w:rsid w:val="00504E8B"/>
    <w:rsid w:val="0050608F"/>
    <w:rsid w:val="00506CFA"/>
    <w:rsid w:val="00511DA3"/>
    <w:rsid w:val="00514115"/>
    <w:rsid w:val="0051472D"/>
    <w:rsid w:val="00515589"/>
    <w:rsid w:val="005166C5"/>
    <w:rsid w:val="00516FE8"/>
    <w:rsid w:val="00524254"/>
    <w:rsid w:val="00524516"/>
    <w:rsid w:val="0052596B"/>
    <w:rsid w:val="005267E3"/>
    <w:rsid w:val="005269DB"/>
    <w:rsid w:val="00526EC7"/>
    <w:rsid w:val="005308E5"/>
    <w:rsid w:val="00530BB1"/>
    <w:rsid w:val="0053123E"/>
    <w:rsid w:val="0053175B"/>
    <w:rsid w:val="00531853"/>
    <w:rsid w:val="00532175"/>
    <w:rsid w:val="00532C03"/>
    <w:rsid w:val="00532EC4"/>
    <w:rsid w:val="0053321A"/>
    <w:rsid w:val="005357A4"/>
    <w:rsid w:val="0053655F"/>
    <w:rsid w:val="00537B28"/>
    <w:rsid w:val="00540E15"/>
    <w:rsid w:val="00542AD1"/>
    <w:rsid w:val="00543914"/>
    <w:rsid w:val="005456AC"/>
    <w:rsid w:val="00545E78"/>
    <w:rsid w:val="00546621"/>
    <w:rsid w:val="005467E8"/>
    <w:rsid w:val="0055053A"/>
    <w:rsid w:val="00550946"/>
    <w:rsid w:val="00551C59"/>
    <w:rsid w:val="00554FF6"/>
    <w:rsid w:val="00555FEB"/>
    <w:rsid w:val="005564E1"/>
    <w:rsid w:val="00556AC5"/>
    <w:rsid w:val="00556F5A"/>
    <w:rsid w:val="00557DDC"/>
    <w:rsid w:val="00557E04"/>
    <w:rsid w:val="00560769"/>
    <w:rsid w:val="00562A79"/>
    <w:rsid w:val="00564833"/>
    <w:rsid w:val="00564B8D"/>
    <w:rsid w:val="00564C0D"/>
    <w:rsid w:val="00564C84"/>
    <w:rsid w:val="00565168"/>
    <w:rsid w:val="00565AF5"/>
    <w:rsid w:val="00565B5B"/>
    <w:rsid w:val="00565D30"/>
    <w:rsid w:val="00566C8D"/>
    <w:rsid w:val="0056710A"/>
    <w:rsid w:val="00567379"/>
    <w:rsid w:val="0057069C"/>
    <w:rsid w:val="00570D07"/>
    <w:rsid w:val="00570FA8"/>
    <w:rsid w:val="0057155E"/>
    <w:rsid w:val="005729DE"/>
    <w:rsid w:val="00573516"/>
    <w:rsid w:val="005737E8"/>
    <w:rsid w:val="00574305"/>
    <w:rsid w:val="00574738"/>
    <w:rsid w:val="005753A8"/>
    <w:rsid w:val="005759DB"/>
    <w:rsid w:val="00575A29"/>
    <w:rsid w:val="00576110"/>
    <w:rsid w:val="005761D3"/>
    <w:rsid w:val="00576230"/>
    <w:rsid w:val="0057782A"/>
    <w:rsid w:val="005819C9"/>
    <w:rsid w:val="00581F1C"/>
    <w:rsid w:val="005841B7"/>
    <w:rsid w:val="0058429F"/>
    <w:rsid w:val="00584DE5"/>
    <w:rsid w:val="005852F4"/>
    <w:rsid w:val="0058531A"/>
    <w:rsid w:val="005853D8"/>
    <w:rsid w:val="00586A5C"/>
    <w:rsid w:val="005871A7"/>
    <w:rsid w:val="00591567"/>
    <w:rsid w:val="005922B9"/>
    <w:rsid w:val="0059289B"/>
    <w:rsid w:val="00592F47"/>
    <w:rsid w:val="00597075"/>
    <w:rsid w:val="00597865"/>
    <w:rsid w:val="00597C58"/>
    <w:rsid w:val="00597C90"/>
    <w:rsid w:val="005A0248"/>
    <w:rsid w:val="005A0E7E"/>
    <w:rsid w:val="005A512B"/>
    <w:rsid w:val="005A6819"/>
    <w:rsid w:val="005A729C"/>
    <w:rsid w:val="005B0A0A"/>
    <w:rsid w:val="005B1B34"/>
    <w:rsid w:val="005B1EF7"/>
    <w:rsid w:val="005B2C45"/>
    <w:rsid w:val="005B3346"/>
    <w:rsid w:val="005B4376"/>
    <w:rsid w:val="005B4A0C"/>
    <w:rsid w:val="005B740A"/>
    <w:rsid w:val="005C0282"/>
    <w:rsid w:val="005C0AA5"/>
    <w:rsid w:val="005C1D93"/>
    <w:rsid w:val="005C2403"/>
    <w:rsid w:val="005D1E77"/>
    <w:rsid w:val="005D34F3"/>
    <w:rsid w:val="005D50A5"/>
    <w:rsid w:val="005D5C42"/>
    <w:rsid w:val="005D6354"/>
    <w:rsid w:val="005D655A"/>
    <w:rsid w:val="005E0FC8"/>
    <w:rsid w:val="005E45BA"/>
    <w:rsid w:val="005E4BD1"/>
    <w:rsid w:val="005E5D55"/>
    <w:rsid w:val="005E6B96"/>
    <w:rsid w:val="005E6D26"/>
    <w:rsid w:val="005E755A"/>
    <w:rsid w:val="005F0B5C"/>
    <w:rsid w:val="005F1000"/>
    <w:rsid w:val="005F115B"/>
    <w:rsid w:val="005F3893"/>
    <w:rsid w:val="005F5CEB"/>
    <w:rsid w:val="005F65E7"/>
    <w:rsid w:val="006012ED"/>
    <w:rsid w:val="00604249"/>
    <w:rsid w:val="006046F4"/>
    <w:rsid w:val="00607B22"/>
    <w:rsid w:val="006109CC"/>
    <w:rsid w:val="00612558"/>
    <w:rsid w:val="00613446"/>
    <w:rsid w:val="00615526"/>
    <w:rsid w:val="00615806"/>
    <w:rsid w:val="006160EB"/>
    <w:rsid w:val="00616271"/>
    <w:rsid w:val="006224DE"/>
    <w:rsid w:val="006226D3"/>
    <w:rsid w:val="00622999"/>
    <w:rsid w:val="00622E00"/>
    <w:rsid w:val="0062461B"/>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157B"/>
    <w:rsid w:val="00642DAC"/>
    <w:rsid w:val="00642F6C"/>
    <w:rsid w:val="006430C3"/>
    <w:rsid w:val="006456C3"/>
    <w:rsid w:val="006472EF"/>
    <w:rsid w:val="00647D43"/>
    <w:rsid w:val="0065011B"/>
    <w:rsid w:val="00650F2C"/>
    <w:rsid w:val="00651302"/>
    <w:rsid w:val="00651BDA"/>
    <w:rsid w:val="00651E51"/>
    <w:rsid w:val="006523DE"/>
    <w:rsid w:val="00652A6C"/>
    <w:rsid w:val="0065306F"/>
    <w:rsid w:val="00653332"/>
    <w:rsid w:val="00653F39"/>
    <w:rsid w:val="00656373"/>
    <w:rsid w:val="00656A3B"/>
    <w:rsid w:val="00656A62"/>
    <w:rsid w:val="00656EBD"/>
    <w:rsid w:val="00657D26"/>
    <w:rsid w:val="00660EA6"/>
    <w:rsid w:val="00661A30"/>
    <w:rsid w:val="006626EC"/>
    <w:rsid w:val="006634DC"/>
    <w:rsid w:val="00663BF9"/>
    <w:rsid w:val="006643A1"/>
    <w:rsid w:val="00664A78"/>
    <w:rsid w:val="0066604E"/>
    <w:rsid w:val="006719BB"/>
    <w:rsid w:val="006726A5"/>
    <w:rsid w:val="006748A8"/>
    <w:rsid w:val="00674E92"/>
    <w:rsid w:val="006758CE"/>
    <w:rsid w:val="00675DA4"/>
    <w:rsid w:val="0067618A"/>
    <w:rsid w:val="006774D8"/>
    <w:rsid w:val="00677C37"/>
    <w:rsid w:val="00681E16"/>
    <w:rsid w:val="006845CB"/>
    <w:rsid w:val="00687AD3"/>
    <w:rsid w:val="00687B1F"/>
    <w:rsid w:val="00690933"/>
    <w:rsid w:val="00692832"/>
    <w:rsid w:val="006942A0"/>
    <w:rsid w:val="006950E9"/>
    <w:rsid w:val="00695832"/>
    <w:rsid w:val="00695BE1"/>
    <w:rsid w:val="0069603A"/>
    <w:rsid w:val="00697209"/>
    <w:rsid w:val="006A0175"/>
    <w:rsid w:val="006A0837"/>
    <w:rsid w:val="006A188E"/>
    <w:rsid w:val="006A260F"/>
    <w:rsid w:val="006A2EFC"/>
    <w:rsid w:val="006A3A14"/>
    <w:rsid w:val="006A4528"/>
    <w:rsid w:val="006A5E0F"/>
    <w:rsid w:val="006A7195"/>
    <w:rsid w:val="006B12E3"/>
    <w:rsid w:val="006B1437"/>
    <w:rsid w:val="006B1CB8"/>
    <w:rsid w:val="006B212A"/>
    <w:rsid w:val="006B2CC4"/>
    <w:rsid w:val="006B309B"/>
    <w:rsid w:val="006B3B78"/>
    <w:rsid w:val="006B3EFA"/>
    <w:rsid w:val="006B42DD"/>
    <w:rsid w:val="006B71BA"/>
    <w:rsid w:val="006B7AD2"/>
    <w:rsid w:val="006B7D55"/>
    <w:rsid w:val="006C06FD"/>
    <w:rsid w:val="006C17B7"/>
    <w:rsid w:val="006C271C"/>
    <w:rsid w:val="006C44D8"/>
    <w:rsid w:val="006C4D4D"/>
    <w:rsid w:val="006C4F79"/>
    <w:rsid w:val="006C6CBB"/>
    <w:rsid w:val="006D070F"/>
    <w:rsid w:val="006D07D3"/>
    <w:rsid w:val="006D46CE"/>
    <w:rsid w:val="006D5B11"/>
    <w:rsid w:val="006D5D36"/>
    <w:rsid w:val="006D62D7"/>
    <w:rsid w:val="006D6B0F"/>
    <w:rsid w:val="006D77DA"/>
    <w:rsid w:val="006E1373"/>
    <w:rsid w:val="006E1852"/>
    <w:rsid w:val="006E2493"/>
    <w:rsid w:val="006E3C7D"/>
    <w:rsid w:val="006E3D07"/>
    <w:rsid w:val="006E43AF"/>
    <w:rsid w:val="006E45F7"/>
    <w:rsid w:val="006E53B6"/>
    <w:rsid w:val="006F0FD0"/>
    <w:rsid w:val="006F1AC8"/>
    <w:rsid w:val="006F255C"/>
    <w:rsid w:val="006F2772"/>
    <w:rsid w:val="006F3984"/>
    <w:rsid w:val="006F3EC4"/>
    <w:rsid w:val="006F4002"/>
    <w:rsid w:val="006F4810"/>
    <w:rsid w:val="006F4BC0"/>
    <w:rsid w:val="006F5F8C"/>
    <w:rsid w:val="006F76EC"/>
    <w:rsid w:val="00700E2A"/>
    <w:rsid w:val="00700EDE"/>
    <w:rsid w:val="00701AED"/>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246EE"/>
    <w:rsid w:val="00724A1C"/>
    <w:rsid w:val="0073155B"/>
    <w:rsid w:val="007315AB"/>
    <w:rsid w:val="00733A2F"/>
    <w:rsid w:val="00736172"/>
    <w:rsid w:val="00737881"/>
    <w:rsid w:val="00737B33"/>
    <w:rsid w:val="0074005F"/>
    <w:rsid w:val="0074121D"/>
    <w:rsid w:val="00743198"/>
    <w:rsid w:val="00743305"/>
    <w:rsid w:val="007437FC"/>
    <w:rsid w:val="00743DAE"/>
    <w:rsid w:val="00746780"/>
    <w:rsid w:val="00746D97"/>
    <w:rsid w:val="00747357"/>
    <w:rsid w:val="00747D97"/>
    <w:rsid w:val="00751A70"/>
    <w:rsid w:val="007520B1"/>
    <w:rsid w:val="007527F4"/>
    <w:rsid w:val="00753327"/>
    <w:rsid w:val="007533EB"/>
    <w:rsid w:val="00755115"/>
    <w:rsid w:val="007574E0"/>
    <w:rsid w:val="00760416"/>
    <w:rsid w:val="007653BF"/>
    <w:rsid w:val="007677C1"/>
    <w:rsid w:val="00771D3C"/>
    <w:rsid w:val="00772D4D"/>
    <w:rsid w:val="00772E38"/>
    <w:rsid w:val="0077370B"/>
    <w:rsid w:val="00773E8A"/>
    <w:rsid w:val="007756C0"/>
    <w:rsid w:val="0077613F"/>
    <w:rsid w:val="0077623D"/>
    <w:rsid w:val="007763AD"/>
    <w:rsid w:val="00780331"/>
    <w:rsid w:val="007807A9"/>
    <w:rsid w:val="007808CE"/>
    <w:rsid w:val="007825D2"/>
    <w:rsid w:val="007830C3"/>
    <w:rsid w:val="007834C9"/>
    <w:rsid w:val="00784B4B"/>
    <w:rsid w:val="00784FDA"/>
    <w:rsid w:val="00786567"/>
    <w:rsid w:val="00790888"/>
    <w:rsid w:val="00790B83"/>
    <w:rsid w:val="00790DE5"/>
    <w:rsid w:val="00792066"/>
    <w:rsid w:val="007A097C"/>
    <w:rsid w:val="007A0D40"/>
    <w:rsid w:val="007A166F"/>
    <w:rsid w:val="007A1AA6"/>
    <w:rsid w:val="007A1EC1"/>
    <w:rsid w:val="007A20C4"/>
    <w:rsid w:val="007A2438"/>
    <w:rsid w:val="007A3627"/>
    <w:rsid w:val="007A6813"/>
    <w:rsid w:val="007A7E39"/>
    <w:rsid w:val="007B0FD7"/>
    <w:rsid w:val="007B1705"/>
    <w:rsid w:val="007B1D1F"/>
    <w:rsid w:val="007B20D3"/>
    <w:rsid w:val="007B3011"/>
    <w:rsid w:val="007B3E71"/>
    <w:rsid w:val="007B52A6"/>
    <w:rsid w:val="007B647F"/>
    <w:rsid w:val="007B6A84"/>
    <w:rsid w:val="007B6D9E"/>
    <w:rsid w:val="007B6E56"/>
    <w:rsid w:val="007C0722"/>
    <w:rsid w:val="007C0CA3"/>
    <w:rsid w:val="007C14C0"/>
    <w:rsid w:val="007C2188"/>
    <w:rsid w:val="007C26B5"/>
    <w:rsid w:val="007C277F"/>
    <w:rsid w:val="007C2840"/>
    <w:rsid w:val="007C377E"/>
    <w:rsid w:val="007C435B"/>
    <w:rsid w:val="007C47E6"/>
    <w:rsid w:val="007C4CE8"/>
    <w:rsid w:val="007C5711"/>
    <w:rsid w:val="007C59A1"/>
    <w:rsid w:val="007C728C"/>
    <w:rsid w:val="007C7B01"/>
    <w:rsid w:val="007D0941"/>
    <w:rsid w:val="007D16C1"/>
    <w:rsid w:val="007D3C28"/>
    <w:rsid w:val="007D3DD0"/>
    <w:rsid w:val="007D5C87"/>
    <w:rsid w:val="007D5CAA"/>
    <w:rsid w:val="007D70E3"/>
    <w:rsid w:val="007E2616"/>
    <w:rsid w:val="007E3363"/>
    <w:rsid w:val="007E39BE"/>
    <w:rsid w:val="007E3AE9"/>
    <w:rsid w:val="007E3B8A"/>
    <w:rsid w:val="007E4FE1"/>
    <w:rsid w:val="007E5988"/>
    <w:rsid w:val="007E5EC9"/>
    <w:rsid w:val="007F03F3"/>
    <w:rsid w:val="007F161C"/>
    <w:rsid w:val="007F1A9B"/>
    <w:rsid w:val="007F247C"/>
    <w:rsid w:val="007F3AE9"/>
    <w:rsid w:val="007F5C34"/>
    <w:rsid w:val="007F6781"/>
    <w:rsid w:val="007F6C5F"/>
    <w:rsid w:val="00800B68"/>
    <w:rsid w:val="00801517"/>
    <w:rsid w:val="00802449"/>
    <w:rsid w:val="00803306"/>
    <w:rsid w:val="0080331D"/>
    <w:rsid w:val="00803482"/>
    <w:rsid w:val="00803C9B"/>
    <w:rsid w:val="008047A9"/>
    <w:rsid w:val="008069AC"/>
    <w:rsid w:val="00810099"/>
    <w:rsid w:val="00811382"/>
    <w:rsid w:val="00812B58"/>
    <w:rsid w:val="008131EF"/>
    <w:rsid w:val="00813912"/>
    <w:rsid w:val="00814A30"/>
    <w:rsid w:val="00814BE6"/>
    <w:rsid w:val="00815956"/>
    <w:rsid w:val="00817688"/>
    <w:rsid w:val="0081774A"/>
    <w:rsid w:val="00817CA1"/>
    <w:rsid w:val="008211C2"/>
    <w:rsid w:val="00821C89"/>
    <w:rsid w:val="00821D4C"/>
    <w:rsid w:val="00822ABF"/>
    <w:rsid w:val="00824394"/>
    <w:rsid w:val="0082486A"/>
    <w:rsid w:val="00824A87"/>
    <w:rsid w:val="00825046"/>
    <w:rsid w:val="00826807"/>
    <w:rsid w:val="00826992"/>
    <w:rsid w:val="008272B9"/>
    <w:rsid w:val="00832781"/>
    <w:rsid w:val="008328A3"/>
    <w:rsid w:val="008350AB"/>
    <w:rsid w:val="00836B7B"/>
    <w:rsid w:val="00837048"/>
    <w:rsid w:val="00837188"/>
    <w:rsid w:val="00842134"/>
    <w:rsid w:val="008440DB"/>
    <w:rsid w:val="00844BD0"/>
    <w:rsid w:val="00847709"/>
    <w:rsid w:val="00850425"/>
    <w:rsid w:val="00850919"/>
    <w:rsid w:val="00850BE1"/>
    <w:rsid w:val="0085158C"/>
    <w:rsid w:val="00853E2D"/>
    <w:rsid w:val="00854507"/>
    <w:rsid w:val="00854C50"/>
    <w:rsid w:val="00855BB7"/>
    <w:rsid w:val="008563A3"/>
    <w:rsid w:val="0085749D"/>
    <w:rsid w:val="008600BD"/>
    <w:rsid w:val="0086032B"/>
    <w:rsid w:val="00862881"/>
    <w:rsid w:val="0086335C"/>
    <w:rsid w:val="008637C1"/>
    <w:rsid w:val="00863F8B"/>
    <w:rsid w:val="00864D13"/>
    <w:rsid w:val="00865189"/>
    <w:rsid w:val="00865EA5"/>
    <w:rsid w:val="00865EE8"/>
    <w:rsid w:val="008679D6"/>
    <w:rsid w:val="00870D86"/>
    <w:rsid w:val="00871824"/>
    <w:rsid w:val="00872F14"/>
    <w:rsid w:val="00874B93"/>
    <w:rsid w:val="00875DE0"/>
    <w:rsid w:val="00876B78"/>
    <w:rsid w:val="00877B26"/>
    <w:rsid w:val="008804F2"/>
    <w:rsid w:val="00882156"/>
    <w:rsid w:val="00882E61"/>
    <w:rsid w:val="0088326D"/>
    <w:rsid w:val="00883A4B"/>
    <w:rsid w:val="00883BB2"/>
    <w:rsid w:val="008855A9"/>
    <w:rsid w:val="00887655"/>
    <w:rsid w:val="008876D1"/>
    <w:rsid w:val="0088799E"/>
    <w:rsid w:val="0089079B"/>
    <w:rsid w:val="00893E3E"/>
    <w:rsid w:val="00895293"/>
    <w:rsid w:val="00895B7D"/>
    <w:rsid w:val="00896230"/>
    <w:rsid w:val="00896CDC"/>
    <w:rsid w:val="00896FD1"/>
    <w:rsid w:val="008A007C"/>
    <w:rsid w:val="008A046C"/>
    <w:rsid w:val="008A0953"/>
    <w:rsid w:val="008A1745"/>
    <w:rsid w:val="008A5BEB"/>
    <w:rsid w:val="008A5E4F"/>
    <w:rsid w:val="008A78A5"/>
    <w:rsid w:val="008A7907"/>
    <w:rsid w:val="008B2795"/>
    <w:rsid w:val="008B27CC"/>
    <w:rsid w:val="008B2F51"/>
    <w:rsid w:val="008B3745"/>
    <w:rsid w:val="008B4851"/>
    <w:rsid w:val="008B577C"/>
    <w:rsid w:val="008B7873"/>
    <w:rsid w:val="008C09C1"/>
    <w:rsid w:val="008C0A41"/>
    <w:rsid w:val="008C0D8B"/>
    <w:rsid w:val="008C2274"/>
    <w:rsid w:val="008C2BF3"/>
    <w:rsid w:val="008C3EF1"/>
    <w:rsid w:val="008C76F6"/>
    <w:rsid w:val="008D0B9E"/>
    <w:rsid w:val="008D1848"/>
    <w:rsid w:val="008D2A62"/>
    <w:rsid w:val="008D337C"/>
    <w:rsid w:val="008D3ECB"/>
    <w:rsid w:val="008D40AB"/>
    <w:rsid w:val="008D4424"/>
    <w:rsid w:val="008D7607"/>
    <w:rsid w:val="008D7852"/>
    <w:rsid w:val="008E0EB8"/>
    <w:rsid w:val="008E1305"/>
    <w:rsid w:val="008E2831"/>
    <w:rsid w:val="008E2B10"/>
    <w:rsid w:val="008E2B5E"/>
    <w:rsid w:val="008E373B"/>
    <w:rsid w:val="008E38FD"/>
    <w:rsid w:val="008E4675"/>
    <w:rsid w:val="008E4696"/>
    <w:rsid w:val="008E6141"/>
    <w:rsid w:val="008E64AA"/>
    <w:rsid w:val="008E67E1"/>
    <w:rsid w:val="008E70EF"/>
    <w:rsid w:val="008E71A2"/>
    <w:rsid w:val="008E779F"/>
    <w:rsid w:val="008F04DC"/>
    <w:rsid w:val="008F115A"/>
    <w:rsid w:val="008F1D0D"/>
    <w:rsid w:val="008F221A"/>
    <w:rsid w:val="008F271A"/>
    <w:rsid w:val="008F279F"/>
    <w:rsid w:val="008F33EE"/>
    <w:rsid w:val="008F443D"/>
    <w:rsid w:val="008F44E6"/>
    <w:rsid w:val="008F5BDC"/>
    <w:rsid w:val="008F5F79"/>
    <w:rsid w:val="008F6424"/>
    <w:rsid w:val="008F669A"/>
    <w:rsid w:val="008F6D05"/>
    <w:rsid w:val="00900BA6"/>
    <w:rsid w:val="00900D17"/>
    <w:rsid w:val="009014DC"/>
    <w:rsid w:val="009023DE"/>
    <w:rsid w:val="00903A38"/>
    <w:rsid w:val="00904278"/>
    <w:rsid w:val="00904315"/>
    <w:rsid w:val="0090442A"/>
    <w:rsid w:val="0091045A"/>
    <w:rsid w:val="00910AFE"/>
    <w:rsid w:val="00910C49"/>
    <w:rsid w:val="0091122E"/>
    <w:rsid w:val="00911C77"/>
    <w:rsid w:val="00912402"/>
    <w:rsid w:val="0091360C"/>
    <w:rsid w:val="00913A1D"/>
    <w:rsid w:val="00914135"/>
    <w:rsid w:val="00914DA3"/>
    <w:rsid w:val="0091552B"/>
    <w:rsid w:val="009156B2"/>
    <w:rsid w:val="00916197"/>
    <w:rsid w:val="0091791D"/>
    <w:rsid w:val="009179B4"/>
    <w:rsid w:val="00920E8C"/>
    <w:rsid w:val="009225B6"/>
    <w:rsid w:val="009227A4"/>
    <w:rsid w:val="00922F45"/>
    <w:rsid w:val="00926648"/>
    <w:rsid w:val="009267B5"/>
    <w:rsid w:val="0092681A"/>
    <w:rsid w:val="009274DB"/>
    <w:rsid w:val="00930780"/>
    <w:rsid w:val="00930A5A"/>
    <w:rsid w:val="00931299"/>
    <w:rsid w:val="00931828"/>
    <w:rsid w:val="009329BE"/>
    <w:rsid w:val="00932D6A"/>
    <w:rsid w:val="0093567E"/>
    <w:rsid w:val="0093659D"/>
    <w:rsid w:val="00937FA6"/>
    <w:rsid w:val="00940A44"/>
    <w:rsid w:val="00940C63"/>
    <w:rsid w:val="00941EA3"/>
    <w:rsid w:val="00942841"/>
    <w:rsid w:val="0094344B"/>
    <w:rsid w:val="00944CA6"/>
    <w:rsid w:val="009455F8"/>
    <w:rsid w:val="009469CA"/>
    <w:rsid w:val="00946AF3"/>
    <w:rsid w:val="00946C69"/>
    <w:rsid w:val="00946E37"/>
    <w:rsid w:val="00946E57"/>
    <w:rsid w:val="00947BF3"/>
    <w:rsid w:val="0095068D"/>
    <w:rsid w:val="0095106D"/>
    <w:rsid w:val="00956996"/>
    <w:rsid w:val="00956D22"/>
    <w:rsid w:val="009571BD"/>
    <w:rsid w:val="00961E9B"/>
    <w:rsid w:val="00962833"/>
    <w:rsid w:val="00962E5E"/>
    <w:rsid w:val="009637B8"/>
    <w:rsid w:val="00965B3E"/>
    <w:rsid w:val="00965C7F"/>
    <w:rsid w:val="009661BD"/>
    <w:rsid w:val="00967F26"/>
    <w:rsid w:val="00967F89"/>
    <w:rsid w:val="00970E24"/>
    <w:rsid w:val="00972165"/>
    <w:rsid w:val="0097258E"/>
    <w:rsid w:val="00974A29"/>
    <w:rsid w:val="00975021"/>
    <w:rsid w:val="0097636E"/>
    <w:rsid w:val="009816DE"/>
    <w:rsid w:val="00981F0B"/>
    <w:rsid w:val="009837B9"/>
    <w:rsid w:val="009837BA"/>
    <w:rsid w:val="00984151"/>
    <w:rsid w:val="00984982"/>
    <w:rsid w:val="009856EB"/>
    <w:rsid w:val="0098660E"/>
    <w:rsid w:val="0098747C"/>
    <w:rsid w:val="00987544"/>
    <w:rsid w:val="009876E3"/>
    <w:rsid w:val="00990027"/>
    <w:rsid w:val="00992635"/>
    <w:rsid w:val="009954A3"/>
    <w:rsid w:val="00995B90"/>
    <w:rsid w:val="009961A0"/>
    <w:rsid w:val="00996CAE"/>
    <w:rsid w:val="00996D3E"/>
    <w:rsid w:val="009A2385"/>
    <w:rsid w:val="009A45F5"/>
    <w:rsid w:val="009A52E1"/>
    <w:rsid w:val="009A54EE"/>
    <w:rsid w:val="009B03B4"/>
    <w:rsid w:val="009B04E7"/>
    <w:rsid w:val="009B23E4"/>
    <w:rsid w:val="009B2C2E"/>
    <w:rsid w:val="009B3A90"/>
    <w:rsid w:val="009B3D6E"/>
    <w:rsid w:val="009B697A"/>
    <w:rsid w:val="009B7FE0"/>
    <w:rsid w:val="009C10BC"/>
    <w:rsid w:val="009C423A"/>
    <w:rsid w:val="009C61AC"/>
    <w:rsid w:val="009D0CF1"/>
    <w:rsid w:val="009D1433"/>
    <w:rsid w:val="009D1623"/>
    <w:rsid w:val="009D52E2"/>
    <w:rsid w:val="009D5BDA"/>
    <w:rsid w:val="009D5CD7"/>
    <w:rsid w:val="009D6E0C"/>
    <w:rsid w:val="009D7092"/>
    <w:rsid w:val="009D74AD"/>
    <w:rsid w:val="009E1613"/>
    <w:rsid w:val="009E3CA9"/>
    <w:rsid w:val="009E4191"/>
    <w:rsid w:val="009E4AFF"/>
    <w:rsid w:val="009E4F2A"/>
    <w:rsid w:val="009E5C03"/>
    <w:rsid w:val="009E66D3"/>
    <w:rsid w:val="009E76CC"/>
    <w:rsid w:val="009F0780"/>
    <w:rsid w:val="009F0D46"/>
    <w:rsid w:val="009F0DE7"/>
    <w:rsid w:val="009F1898"/>
    <w:rsid w:val="009F3071"/>
    <w:rsid w:val="009F35BE"/>
    <w:rsid w:val="009F4E89"/>
    <w:rsid w:val="009F6782"/>
    <w:rsid w:val="00A011C4"/>
    <w:rsid w:val="00A013DA"/>
    <w:rsid w:val="00A02B03"/>
    <w:rsid w:val="00A03F72"/>
    <w:rsid w:val="00A049BE"/>
    <w:rsid w:val="00A04C5C"/>
    <w:rsid w:val="00A06579"/>
    <w:rsid w:val="00A0658C"/>
    <w:rsid w:val="00A06CF4"/>
    <w:rsid w:val="00A102AD"/>
    <w:rsid w:val="00A10983"/>
    <w:rsid w:val="00A10E01"/>
    <w:rsid w:val="00A11C18"/>
    <w:rsid w:val="00A11E61"/>
    <w:rsid w:val="00A12A4E"/>
    <w:rsid w:val="00A13044"/>
    <w:rsid w:val="00A138FF"/>
    <w:rsid w:val="00A151ED"/>
    <w:rsid w:val="00A160B5"/>
    <w:rsid w:val="00A165BD"/>
    <w:rsid w:val="00A16828"/>
    <w:rsid w:val="00A213F5"/>
    <w:rsid w:val="00A234E8"/>
    <w:rsid w:val="00A2393F"/>
    <w:rsid w:val="00A247ED"/>
    <w:rsid w:val="00A271E5"/>
    <w:rsid w:val="00A273D3"/>
    <w:rsid w:val="00A27D95"/>
    <w:rsid w:val="00A27EA2"/>
    <w:rsid w:val="00A27FDA"/>
    <w:rsid w:val="00A3290D"/>
    <w:rsid w:val="00A344C2"/>
    <w:rsid w:val="00A34C88"/>
    <w:rsid w:val="00A35972"/>
    <w:rsid w:val="00A35CE5"/>
    <w:rsid w:val="00A3666F"/>
    <w:rsid w:val="00A40D16"/>
    <w:rsid w:val="00A410F8"/>
    <w:rsid w:val="00A4133D"/>
    <w:rsid w:val="00A429BF"/>
    <w:rsid w:val="00A43E50"/>
    <w:rsid w:val="00A440F8"/>
    <w:rsid w:val="00A4426B"/>
    <w:rsid w:val="00A444F2"/>
    <w:rsid w:val="00A44C01"/>
    <w:rsid w:val="00A47F0F"/>
    <w:rsid w:val="00A505ED"/>
    <w:rsid w:val="00A50FA8"/>
    <w:rsid w:val="00A54074"/>
    <w:rsid w:val="00A54DD2"/>
    <w:rsid w:val="00A556EC"/>
    <w:rsid w:val="00A5750A"/>
    <w:rsid w:val="00A576FA"/>
    <w:rsid w:val="00A61778"/>
    <w:rsid w:val="00A64355"/>
    <w:rsid w:val="00A643AB"/>
    <w:rsid w:val="00A67700"/>
    <w:rsid w:val="00A679AD"/>
    <w:rsid w:val="00A715FB"/>
    <w:rsid w:val="00A76668"/>
    <w:rsid w:val="00A76DF9"/>
    <w:rsid w:val="00A82346"/>
    <w:rsid w:val="00A839F1"/>
    <w:rsid w:val="00A83B31"/>
    <w:rsid w:val="00A843AB"/>
    <w:rsid w:val="00A84519"/>
    <w:rsid w:val="00A852EF"/>
    <w:rsid w:val="00A85685"/>
    <w:rsid w:val="00A8676B"/>
    <w:rsid w:val="00A873F6"/>
    <w:rsid w:val="00A8789D"/>
    <w:rsid w:val="00A87BB6"/>
    <w:rsid w:val="00A90F75"/>
    <w:rsid w:val="00A91F70"/>
    <w:rsid w:val="00A924DE"/>
    <w:rsid w:val="00A93150"/>
    <w:rsid w:val="00A93C8A"/>
    <w:rsid w:val="00A93CE5"/>
    <w:rsid w:val="00A9403B"/>
    <w:rsid w:val="00A9416E"/>
    <w:rsid w:val="00A94B78"/>
    <w:rsid w:val="00A95030"/>
    <w:rsid w:val="00A95046"/>
    <w:rsid w:val="00A9543E"/>
    <w:rsid w:val="00A969E2"/>
    <w:rsid w:val="00A9709A"/>
    <w:rsid w:val="00A97815"/>
    <w:rsid w:val="00A978E6"/>
    <w:rsid w:val="00A97ED5"/>
    <w:rsid w:val="00AA1A8B"/>
    <w:rsid w:val="00AA238C"/>
    <w:rsid w:val="00AA3D7C"/>
    <w:rsid w:val="00AB0D15"/>
    <w:rsid w:val="00AB1910"/>
    <w:rsid w:val="00AB1C92"/>
    <w:rsid w:val="00AB2B60"/>
    <w:rsid w:val="00AB331D"/>
    <w:rsid w:val="00AB3AB3"/>
    <w:rsid w:val="00AB6117"/>
    <w:rsid w:val="00AB6F38"/>
    <w:rsid w:val="00AB7053"/>
    <w:rsid w:val="00AB749B"/>
    <w:rsid w:val="00AB7CE1"/>
    <w:rsid w:val="00AC0006"/>
    <w:rsid w:val="00AC12AE"/>
    <w:rsid w:val="00AC1905"/>
    <w:rsid w:val="00AC2931"/>
    <w:rsid w:val="00AC3767"/>
    <w:rsid w:val="00AC38E7"/>
    <w:rsid w:val="00AC495F"/>
    <w:rsid w:val="00AC5635"/>
    <w:rsid w:val="00AC58A3"/>
    <w:rsid w:val="00AC7176"/>
    <w:rsid w:val="00AC78CF"/>
    <w:rsid w:val="00AD10C5"/>
    <w:rsid w:val="00AD27F5"/>
    <w:rsid w:val="00AD3D98"/>
    <w:rsid w:val="00AD407F"/>
    <w:rsid w:val="00AD41DD"/>
    <w:rsid w:val="00AD5FEB"/>
    <w:rsid w:val="00AD66B6"/>
    <w:rsid w:val="00AE109F"/>
    <w:rsid w:val="00AE1AD1"/>
    <w:rsid w:val="00AE1C6A"/>
    <w:rsid w:val="00AE238D"/>
    <w:rsid w:val="00AE37A4"/>
    <w:rsid w:val="00AE74EE"/>
    <w:rsid w:val="00AE7D61"/>
    <w:rsid w:val="00AF0394"/>
    <w:rsid w:val="00AF099F"/>
    <w:rsid w:val="00AF1C67"/>
    <w:rsid w:val="00AF2F2B"/>
    <w:rsid w:val="00AF3753"/>
    <w:rsid w:val="00AF3E13"/>
    <w:rsid w:val="00AF5338"/>
    <w:rsid w:val="00AF5694"/>
    <w:rsid w:val="00AF7467"/>
    <w:rsid w:val="00B00C58"/>
    <w:rsid w:val="00B01BDE"/>
    <w:rsid w:val="00B03655"/>
    <w:rsid w:val="00B0573B"/>
    <w:rsid w:val="00B074F7"/>
    <w:rsid w:val="00B07B8B"/>
    <w:rsid w:val="00B10D9D"/>
    <w:rsid w:val="00B127DC"/>
    <w:rsid w:val="00B1399D"/>
    <w:rsid w:val="00B1419A"/>
    <w:rsid w:val="00B161D9"/>
    <w:rsid w:val="00B16924"/>
    <w:rsid w:val="00B16A34"/>
    <w:rsid w:val="00B17073"/>
    <w:rsid w:val="00B17421"/>
    <w:rsid w:val="00B17E6D"/>
    <w:rsid w:val="00B17F54"/>
    <w:rsid w:val="00B205BE"/>
    <w:rsid w:val="00B20C38"/>
    <w:rsid w:val="00B24669"/>
    <w:rsid w:val="00B24CD1"/>
    <w:rsid w:val="00B24DED"/>
    <w:rsid w:val="00B26CD0"/>
    <w:rsid w:val="00B274D6"/>
    <w:rsid w:val="00B27721"/>
    <w:rsid w:val="00B27751"/>
    <w:rsid w:val="00B3095A"/>
    <w:rsid w:val="00B318A4"/>
    <w:rsid w:val="00B33921"/>
    <w:rsid w:val="00B3428E"/>
    <w:rsid w:val="00B352BC"/>
    <w:rsid w:val="00B35E7E"/>
    <w:rsid w:val="00B372F0"/>
    <w:rsid w:val="00B37C56"/>
    <w:rsid w:val="00B417B5"/>
    <w:rsid w:val="00B41CF9"/>
    <w:rsid w:val="00B42677"/>
    <w:rsid w:val="00B4528A"/>
    <w:rsid w:val="00B458F6"/>
    <w:rsid w:val="00B46694"/>
    <w:rsid w:val="00B46FFC"/>
    <w:rsid w:val="00B50D87"/>
    <w:rsid w:val="00B5283F"/>
    <w:rsid w:val="00B53126"/>
    <w:rsid w:val="00B57128"/>
    <w:rsid w:val="00B57B90"/>
    <w:rsid w:val="00B62456"/>
    <w:rsid w:val="00B62790"/>
    <w:rsid w:val="00B629CD"/>
    <w:rsid w:val="00B62F7C"/>
    <w:rsid w:val="00B64A25"/>
    <w:rsid w:val="00B6567C"/>
    <w:rsid w:val="00B661EC"/>
    <w:rsid w:val="00B6696B"/>
    <w:rsid w:val="00B671AF"/>
    <w:rsid w:val="00B67E73"/>
    <w:rsid w:val="00B72D35"/>
    <w:rsid w:val="00B73134"/>
    <w:rsid w:val="00B73B59"/>
    <w:rsid w:val="00B74CFF"/>
    <w:rsid w:val="00B761DC"/>
    <w:rsid w:val="00B777DC"/>
    <w:rsid w:val="00B778B6"/>
    <w:rsid w:val="00B816D5"/>
    <w:rsid w:val="00B81C86"/>
    <w:rsid w:val="00B8219B"/>
    <w:rsid w:val="00B84D0F"/>
    <w:rsid w:val="00B85CB9"/>
    <w:rsid w:val="00B86ACD"/>
    <w:rsid w:val="00B86C6A"/>
    <w:rsid w:val="00B8777E"/>
    <w:rsid w:val="00B9008D"/>
    <w:rsid w:val="00B91F88"/>
    <w:rsid w:val="00B920E9"/>
    <w:rsid w:val="00B95AC1"/>
    <w:rsid w:val="00B972D5"/>
    <w:rsid w:val="00BA0663"/>
    <w:rsid w:val="00BA08DC"/>
    <w:rsid w:val="00BA0A6D"/>
    <w:rsid w:val="00BA6230"/>
    <w:rsid w:val="00BA71DE"/>
    <w:rsid w:val="00BA798F"/>
    <w:rsid w:val="00BB0484"/>
    <w:rsid w:val="00BB1073"/>
    <w:rsid w:val="00BB196F"/>
    <w:rsid w:val="00BB491B"/>
    <w:rsid w:val="00BB4EBB"/>
    <w:rsid w:val="00BB5D2A"/>
    <w:rsid w:val="00BB711D"/>
    <w:rsid w:val="00BB73D8"/>
    <w:rsid w:val="00BB7B84"/>
    <w:rsid w:val="00BC4132"/>
    <w:rsid w:val="00BC43DE"/>
    <w:rsid w:val="00BC5AE5"/>
    <w:rsid w:val="00BC66F7"/>
    <w:rsid w:val="00BC6FE3"/>
    <w:rsid w:val="00BD0B83"/>
    <w:rsid w:val="00BD225F"/>
    <w:rsid w:val="00BD27FF"/>
    <w:rsid w:val="00BD329E"/>
    <w:rsid w:val="00BD44AE"/>
    <w:rsid w:val="00BD641D"/>
    <w:rsid w:val="00BE1A3D"/>
    <w:rsid w:val="00BE1E28"/>
    <w:rsid w:val="00BE2432"/>
    <w:rsid w:val="00BE315A"/>
    <w:rsid w:val="00BE3C9B"/>
    <w:rsid w:val="00BE458C"/>
    <w:rsid w:val="00BE5DEB"/>
    <w:rsid w:val="00BF01C8"/>
    <w:rsid w:val="00BF02E0"/>
    <w:rsid w:val="00BF03E4"/>
    <w:rsid w:val="00BF1067"/>
    <w:rsid w:val="00BF4692"/>
    <w:rsid w:val="00BF4E51"/>
    <w:rsid w:val="00BF54AF"/>
    <w:rsid w:val="00BF69B9"/>
    <w:rsid w:val="00BF7CEC"/>
    <w:rsid w:val="00C010F2"/>
    <w:rsid w:val="00C0135E"/>
    <w:rsid w:val="00C017FB"/>
    <w:rsid w:val="00C044E4"/>
    <w:rsid w:val="00C04696"/>
    <w:rsid w:val="00C074F2"/>
    <w:rsid w:val="00C07D29"/>
    <w:rsid w:val="00C13461"/>
    <w:rsid w:val="00C13FFE"/>
    <w:rsid w:val="00C141BA"/>
    <w:rsid w:val="00C167D3"/>
    <w:rsid w:val="00C16B1E"/>
    <w:rsid w:val="00C177C8"/>
    <w:rsid w:val="00C20B16"/>
    <w:rsid w:val="00C22077"/>
    <w:rsid w:val="00C220EE"/>
    <w:rsid w:val="00C22111"/>
    <w:rsid w:val="00C22A33"/>
    <w:rsid w:val="00C22C9F"/>
    <w:rsid w:val="00C22EF9"/>
    <w:rsid w:val="00C23BA3"/>
    <w:rsid w:val="00C23FA9"/>
    <w:rsid w:val="00C24220"/>
    <w:rsid w:val="00C25697"/>
    <w:rsid w:val="00C3069F"/>
    <w:rsid w:val="00C314A7"/>
    <w:rsid w:val="00C32C09"/>
    <w:rsid w:val="00C32E16"/>
    <w:rsid w:val="00C34157"/>
    <w:rsid w:val="00C34AC1"/>
    <w:rsid w:val="00C350F7"/>
    <w:rsid w:val="00C36242"/>
    <w:rsid w:val="00C36F56"/>
    <w:rsid w:val="00C379BA"/>
    <w:rsid w:val="00C37FDA"/>
    <w:rsid w:val="00C4130D"/>
    <w:rsid w:val="00C42C11"/>
    <w:rsid w:val="00C42E98"/>
    <w:rsid w:val="00C43757"/>
    <w:rsid w:val="00C43FE4"/>
    <w:rsid w:val="00C448E0"/>
    <w:rsid w:val="00C46276"/>
    <w:rsid w:val="00C4638B"/>
    <w:rsid w:val="00C52470"/>
    <w:rsid w:val="00C52770"/>
    <w:rsid w:val="00C52B2B"/>
    <w:rsid w:val="00C54DAA"/>
    <w:rsid w:val="00C554A3"/>
    <w:rsid w:val="00C55F9C"/>
    <w:rsid w:val="00C57EE8"/>
    <w:rsid w:val="00C63004"/>
    <w:rsid w:val="00C643E2"/>
    <w:rsid w:val="00C64A14"/>
    <w:rsid w:val="00C64B1C"/>
    <w:rsid w:val="00C656A0"/>
    <w:rsid w:val="00C659B1"/>
    <w:rsid w:val="00C66584"/>
    <w:rsid w:val="00C66C32"/>
    <w:rsid w:val="00C70250"/>
    <w:rsid w:val="00C70E82"/>
    <w:rsid w:val="00C7130F"/>
    <w:rsid w:val="00C72CEB"/>
    <w:rsid w:val="00C7302A"/>
    <w:rsid w:val="00C73209"/>
    <w:rsid w:val="00C73A04"/>
    <w:rsid w:val="00C74F21"/>
    <w:rsid w:val="00C7560E"/>
    <w:rsid w:val="00C761FD"/>
    <w:rsid w:val="00C762F4"/>
    <w:rsid w:val="00C76FE5"/>
    <w:rsid w:val="00C833B0"/>
    <w:rsid w:val="00C84700"/>
    <w:rsid w:val="00C85236"/>
    <w:rsid w:val="00C8595A"/>
    <w:rsid w:val="00C86B02"/>
    <w:rsid w:val="00C86E5D"/>
    <w:rsid w:val="00C86FEF"/>
    <w:rsid w:val="00C87DEC"/>
    <w:rsid w:val="00C9066A"/>
    <w:rsid w:val="00C91ACC"/>
    <w:rsid w:val="00C92850"/>
    <w:rsid w:val="00C9429F"/>
    <w:rsid w:val="00C95850"/>
    <w:rsid w:val="00C959C2"/>
    <w:rsid w:val="00C962A7"/>
    <w:rsid w:val="00C96731"/>
    <w:rsid w:val="00C96B0D"/>
    <w:rsid w:val="00CA0513"/>
    <w:rsid w:val="00CA08D1"/>
    <w:rsid w:val="00CA1284"/>
    <w:rsid w:val="00CA1ABB"/>
    <w:rsid w:val="00CA394C"/>
    <w:rsid w:val="00CA3F9A"/>
    <w:rsid w:val="00CA4F79"/>
    <w:rsid w:val="00CA5E67"/>
    <w:rsid w:val="00CA7026"/>
    <w:rsid w:val="00CB132D"/>
    <w:rsid w:val="00CB5201"/>
    <w:rsid w:val="00CB5610"/>
    <w:rsid w:val="00CB5AE1"/>
    <w:rsid w:val="00CB64F4"/>
    <w:rsid w:val="00CC093D"/>
    <w:rsid w:val="00CC11B1"/>
    <w:rsid w:val="00CC1ED1"/>
    <w:rsid w:val="00CC2E77"/>
    <w:rsid w:val="00CC2E7A"/>
    <w:rsid w:val="00CC311D"/>
    <w:rsid w:val="00CC3409"/>
    <w:rsid w:val="00CC4111"/>
    <w:rsid w:val="00CC485A"/>
    <w:rsid w:val="00CC7109"/>
    <w:rsid w:val="00CD0E0B"/>
    <w:rsid w:val="00CD127E"/>
    <w:rsid w:val="00CD2371"/>
    <w:rsid w:val="00CD261A"/>
    <w:rsid w:val="00CD3395"/>
    <w:rsid w:val="00CD430F"/>
    <w:rsid w:val="00CD5F94"/>
    <w:rsid w:val="00CD5FBB"/>
    <w:rsid w:val="00CD6DA7"/>
    <w:rsid w:val="00CE00E9"/>
    <w:rsid w:val="00CE09C0"/>
    <w:rsid w:val="00CE0E2E"/>
    <w:rsid w:val="00CE10A6"/>
    <w:rsid w:val="00CE13F7"/>
    <w:rsid w:val="00CE1C93"/>
    <w:rsid w:val="00CE1D24"/>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2CD"/>
    <w:rsid w:val="00D07D94"/>
    <w:rsid w:val="00D07DD8"/>
    <w:rsid w:val="00D07E97"/>
    <w:rsid w:val="00D12BCF"/>
    <w:rsid w:val="00D13A35"/>
    <w:rsid w:val="00D13BFC"/>
    <w:rsid w:val="00D15A21"/>
    <w:rsid w:val="00D16F07"/>
    <w:rsid w:val="00D20661"/>
    <w:rsid w:val="00D2253E"/>
    <w:rsid w:val="00D23733"/>
    <w:rsid w:val="00D23A63"/>
    <w:rsid w:val="00D23E03"/>
    <w:rsid w:val="00D24329"/>
    <w:rsid w:val="00D253D9"/>
    <w:rsid w:val="00D26514"/>
    <w:rsid w:val="00D30F64"/>
    <w:rsid w:val="00D338AD"/>
    <w:rsid w:val="00D3630D"/>
    <w:rsid w:val="00D36AEB"/>
    <w:rsid w:val="00D36BA8"/>
    <w:rsid w:val="00D4152E"/>
    <w:rsid w:val="00D41B5C"/>
    <w:rsid w:val="00D41D37"/>
    <w:rsid w:val="00D42EEE"/>
    <w:rsid w:val="00D44F1A"/>
    <w:rsid w:val="00D45DBE"/>
    <w:rsid w:val="00D4657B"/>
    <w:rsid w:val="00D46CDD"/>
    <w:rsid w:val="00D47D2F"/>
    <w:rsid w:val="00D51212"/>
    <w:rsid w:val="00D51D8C"/>
    <w:rsid w:val="00D51E9F"/>
    <w:rsid w:val="00D525A1"/>
    <w:rsid w:val="00D53FA7"/>
    <w:rsid w:val="00D542BF"/>
    <w:rsid w:val="00D55E24"/>
    <w:rsid w:val="00D5706F"/>
    <w:rsid w:val="00D61499"/>
    <w:rsid w:val="00D614DC"/>
    <w:rsid w:val="00D61909"/>
    <w:rsid w:val="00D61C74"/>
    <w:rsid w:val="00D627C9"/>
    <w:rsid w:val="00D6395C"/>
    <w:rsid w:val="00D64812"/>
    <w:rsid w:val="00D64971"/>
    <w:rsid w:val="00D66453"/>
    <w:rsid w:val="00D66799"/>
    <w:rsid w:val="00D671AC"/>
    <w:rsid w:val="00D67319"/>
    <w:rsid w:val="00D700D5"/>
    <w:rsid w:val="00D712AB"/>
    <w:rsid w:val="00D719BD"/>
    <w:rsid w:val="00D72578"/>
    <w:rsid w:val="00D728E3"/>
    <w:rsid w:val="00D731DD"/>
    <w:rsid w:val="00D7460C"/>
    <w:rsid w:val="00D7484D"/>
    <w:rsid w:val="00D768DD"/>
    <w:rsid w:val="00D76E4A"/>
    <w:rsid w:val="00D76EB9"/>
    <w:rsid w:val="00D76F42"/>
    <w:rsid w:val="00D774F7"/>
    <w:rsid w:val="00D814C1"/>
    <w:rsid w:val="00D8173B"/>
    <w:rsid w:val="00D81A51"/>
    <w:rsid w:val="00D8304C"/>
    <w:rsid w:val="00D83CB6"/>
    <w:rsid w:val="00D83DE2"/>
    <w:rsid w:val="00D86073"/>
    <w:rsid w:val="00D867B7"/>
    <w:rsid w:val="00D878CA"/>
    <w:rsid w:val="00D90A70"/>
    <w:rsid w:val="00D91599"/>
    <w:rsid w:val="00D91B5C"/>
    <w:rsid w:val="00D91C9F"/>
    <w:rsid w:val="00D92119"/>
    <w:rsid w:val="00D92703"/>
    <w:rsid w:val="00D92B4B"/>
    <w:rsid w:val="00D93EB7"/>
    <w:rsid w:val="00D94438"/>
    <w:rsid w:val="00D94B81"/>
    <w:rsid w:val="00D950A3"/>
    <w:rsid w:val="00D9630E"/>
    <w:rsid w:val="00D96B8E"/>
    <w:rsid w:val="00D96C38"/>
    <w:rsid w:val="00D97317"/>
    <w:rsid w:val="00D9743F"/>
    <w:rsid w:val="00D97FA0"/>
    <w:rsid w:val="00DA4932"/>
    <w:rsid w:val="00DA4BD9"/>
    <w:rsid w:val="00DA5154"/>
    <w:rsid w:val="00DA6860"/>
    <w:rsid w:val="00DA6D2F"/>
    <w:rsid w:val="00DA6E93"/>
    <w:rsid w:val="00DA6F52"/>
    <w:rsid w:val="00DA72ED"/>
    <w:rsid w:val="00DB42D5"/>
    <w:rsid w:val="00DB5F8F"/>
    <w:rsid w:val="00DB6DAF"/>
    <w:rsid w:val="00DC0BD8"/>
    <w:rsid w:val="00DC1826"/>
    <w:rsid w:val="00DC22B1"/>
    <w:rsid w:val="00DC254B"/>
    <w:rsid w:val="00DC25B0"/>
    <w:rsid w:val="00DC2730"/>
    <w:rsid w:val="00DC2AA2"/>
    <w:rsid w:val="00DC3B96"/>
    <w:rsid w:val="00DC439B"/>
    <w:rsid w:val="00DC4B86"/>
    <w:rsid w:val="00DC546B"/>
    <w:rsid w:val="00DC785D"/>
    <w:rsid w:val="00DC7E64"/>
    <w:rsid w:val="00DD0013"/>
    <w:rsid w:val="00DD1336"/>
    <w:rsid w:val="00DD1F3D"/>
    <w:rsid w:val="00DD20B3"/>
    <w:rsid w:val="00DD2DF5"/>
    <w:rsid w:val="00DD3E34"/>
    <w:rsid w:val="00DD4327"/>
    <w:rsid w:val="00DD4BBE"/>
    <w:rsid w:val="00DD561A"/>
    <w:rsid w:val="00DD6F7F"/>
    <w:rsid w:val="00DE03CE"/>
    <w:rsid w:val="00DE0BF3"/>
    <w:rsid w:val="00DE12CD"/>
    <w:rsid w:val="00DE1505"/>
    <w:rsid w:val="00DE301F"/>
    <w:rsid w:val="00DE37DF"/>
    <w:rsid w:val="00DE38BC"/>
    <w:rsid w:val="00DE421D"/>
    <w:rsid w:val="00DE4905"/>
    <w:rsid w:val="00DE6F82"/>
    <w:rsid w:val="00DE76FA"/>
    <w:rsid w:val="00DE7FCC"/>
    <w:rsid w:val="00DE7FED"/>
    <w:rsid w:val="00DF1725"/>
    <w:rsid w:val="00DF200B"/>
    <w:rsid w:val="00DF21E2"/>
    <w:rsid w:val="00DF3814"/>
    <w:rsid w:val="00DF4B4D"/>
    <w:rsid w:val="00DF527D"/>
    <w:rsid w:val="00DF59AD"/>
    <w:rsid w:val="00DF6F3F"/>
    <w:rsid w:val="00DF7696"/>
    <w:rsid w:val="00DF797C"/>
    <w:rsid w:val="00E00477"/>
    <w:rsid w:val="00E00703"/>
    <w:rsid w:val="00E008BF"/>
    <w:rsid w:val="00E02B93"/>
    <w:rsid w:val="00E02F2F"/>
    <w:rsid w:val="00E034C6"/>
    <w:rsid w:val="00E05AE9"/>
    <w:rsid w:val="00E06C21"/>
    <w:rsid w:val="00E06E44"/>
    <w:rsid w:val="00E10910"/>
    <w:rsid w:val="00E1170D"/>
    <w:rsid w:val="00E11A6F"/>
    <w:rsid w:val="00E11B42"/>
    <w:rsid w:val="00E1249A"/>
    <w:rsid w:val="00E124E5"/>
    <w:rsid w:val="00E23056"/>
    <w:rsid w:val="00E2329A"/>
    <w:rsid w:val="00E24818"/>
    <w:rsid w:val="00E2552F"/>
    <w:rsid w:val="00E257B1"/>
    <w:rsid w:val="00E25D1B"/>
    <w:rsid w:val="00E2662D"/>
    <w:rsid w:val="00E26798"/>
    <w:rsid w:val="00E26808"/>
    <w:rsid w:val="00E26A5C"/>
    <w:rsid w:val="00E26BC1"/>
    <w:rsid w:val="00E27F6A"/>
    <w:rsid w:val="00E3026C"/>
    <w:rsid w:val="00E31491"/>
    <w:rsid w:val="00E3178A"/>
    <w:rsid w:val="00E318E0"/>
    <w:rsid w:val="00E326D2"/>
    <w:rsid w:val="00E32C07"/>
    <w:rsid w:val="00E33D69"/>
    <w:rsid w:val="00E346E5"/>
    <w:rsid w:val="00E35AAE"/>
    <w:rsid w:val="00E367FD"/>
    <w:rsid w:val="00E4056B"/>
    <w:rsid w:val="00E40C07"/>
    <w:rsid w:val="00E41228"/>
    <w:rsid w:val="00E41913"/>
    <w:rsid w:val="00E41EED"/>
    <w:rsid w:val="00E43C6C"/>
    <w:rsid w:val="00E44550"/>
    <w:rsid w:val="00E449BA"/>
    <w:rsid w:val="00E44C61"/>
    <w:rsid w:val="00E46994"/>
    <w:rsid w:val="00E46E15"/>
    <w:rsid w:val="00E47FC7"/>
    <w:rsid w:val="00E5043D"/>
    <w:rsid w:val="00E5078A"/>
    <w:rsid w:val="00E50CE8"/>
    <w:rsid w:val="00E5173A"/>
    <w:rsid w:val="00E51EB6"/>
    <w:rsid w:val="00E536D9"/>
    <w:rsid w:val="00E57C14"/>
    <w:rsid w:val="00E610DA"/>
    <w:rsid w:val="00E62569"/>
    <w:rsid w:val="00E62B0D"/>
    <w:rsid w:val="00E6461E"/>
    <w:rsid w:val="00E65F25"/>
    <w:rsid w:val="00E6667A"/>
    <w:rsid w:val="00E71441"/>
    <w:rsid w:val="00E71BF0"/>
    <w:rsid w:val="00E72F89"/>
    <w:rsid w:val="00E7343B"/>
    <w:rsid w:val="00E76547"/>
    <w:rsid w:val="00E76E57"/>
    <w:rsid w:val="00E776FE"/>
    <w:rsid w:val="00E77C2F"/>
    <w:rsid w:val="00E80F43"/>
    <w:rsid w:val="00E818EC"/>
    <w:rsid w:val="00E81A7A"/>
    <w:rsid w:val="00E82B0D"/>
    <w:rsid w:val="00E833C4"/>
    <w:rsid w:val="00E837DF"/>
    <w:rsid w:val="00E8557A"/>
    <w:rsid w:val="00E86BB6"/>
    <w:rsid w:val="00E86D70"/>
    <w:rsid w:val="00E87DED"/>
    <w:rsid w:val="00E92748"/>
    <w:rsid w:val="00E93766"/>
    <w:rsid w:val="00E9412F"/>
    <w:rsid w:val="00E94AF6"/>
    <w:rsid w:val="00E95344"/>
    <w:rsid w:val="00E95806"/>
    <w:rsid w:val="00E95AB8"/>
    <w:rsid w:val="00E963E8"/>
    <w:rsid w:val="00E96BC2"/>
    <w:rsid w:val="00E970D1"/>
    <w:rsid w:val="00E97F7F"/>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64F5"/>
    <w:rsid w:val="00EB71B2"/>
    <w:rsid w:val="00EC06BA"/>
    <w:rsid w:val="00EC08DE"/>
    <w:rsid w:val="00EC21DD"/>
    <w:rsid w:val="00EC29B9"/>
    <w:rsid w:val="00EC3A09"/>
    <w:rsid w:val="00EC3A46"/>
    <w:rsid w:val="00EC6FF1"/>
    <w:rsid w:val="00EC74A0"/>
    <w:rsid w:val="00EC778B"/>
    <w:rsid w:val="00ED1009"/>
    <w:rsid w:val="00ED240E"/>
    <w:rsid w:val="00ED3827"/>
    <w:rsid w:val="00ED42EC"/>
    <w:rsid w:val="00ED4EA5"/>
    <w:rsid w:val="00ED6233"/>
    <w:rsid w:val="00EE40AF"/>
    <w:rsid w:val="00EE4486"/>
    <w:rsid w:val="00EE54EF"/>
    <w:rsid w:val="00EE6733"/>
    <w:rsid w:val="00EE6A95"/>
    <w:rsid w:val="00EE7FFA"/>
    <w:rsid w:val="00EF01DD"/>
    <w:rsid w:val="00EF0F9B"/>
    <w:rsid w:val="00EF1F4E"/>
    <w:rsid w:val="00EF5671"/>
    <w:rsid w:val="00EF5F11"/>
    <w:rsid w:val="00EF61D6"/>
    <w:rsid w:val="00EF61D8"/>
    <w:rsid w:val="00EF64EB"/>
    <w:rsid w:val="00EF6944"/>
    <w:rsid w:val="00EF704A"/>
    <w:rsid w:val="00F0077C"/>
    <w:rsid w:val="00F00CB5"/>
    <w:rsid w:val="00F026C1"/>
    <w:rsid w:val="00F0311C"/>
    <w:rsid w:val="00F03516"/>
    <w:rsid w:val="00F110CE"/>
    <w:rsid w:val="00F12172"/>
    <w:rsid w:val="00F1244D"/>
    <w:rsid w:val="00F16739"/>
    <w:rsid w:val="00F16A4D"/>
    <w:rsid w:val="00F22214"/>
    <w:rsid w:val="00F228AC"/>
    <w:rsid w:val="00F230FB"/>
    <w:rsid w:val="00F232F6"/>
    <w:rsid w:val="00F247F7"/>
    <w:rsid w:val="00F268FA"/>
    <w:rsid w:val="00F26E5A"/>
    <w:rsid w:val="00F30CB3"/>
    <w:rsid w:val="00F30D3E"/>
    <w:rsid w:val="00F33544"/>
    <w:rsid w:val="00F33585"/>
    <w:rsid w:val="00F35D72"/>
    <w:rsid w:val="00F36607"/>
    <w:rsid w:val="00F367DD"/>
    <w:rsid w:val="00F37E2E"/>
    <w:rsid w:val="00F40887"/>
    <w:rsid w:val="00F417E1"/>
    <w:rsid w:val="00F41814"/>
    <w:rsid w:val="00F41C82"/>
    <w:rsid w:val="00F42573"/>
    <w:rsid w:val="00F4274C"/>
    <w:rsid w:val="00F428B1"/>
    <w:rsid w:val="00F43401"/>
    <w:rsid w:val="00F43E37"/>
    <w:rsid w:val="00F44962"/>
    <w:rsid w:val="00F47271"/>
    <w:rsid w:val="00F47FC3"/>
    <w:rsid w:val="00F51D5A"/>
    <w:rsid w:val="00F520EF"/>
    <w:rsid w:val="00F53787"/>
    <w:rsid w:val="00F53D54"/>
    <w:rsid w:val="00F56915"/>
    <w:rsid w:val="00F61DD5"/>
    <w:rsid w:val="00F6471D"/>
    <w:rsid w:val="00F70340"/>
    <w:rsid w:val="00F70D36"/>
    <w:rsid w:val="00F7219B"/>
    <w:rsid w:val="00F72B44"/>
    <w:rsid w:val="00F73B34"/>
    <w:rsid w:val="00F73C21"/>
    <w:rsid w:val="00F73EAA"/>
    <w:rsid w:val="00F74DCA"/>
    <w:rsid w:val="00F7734B"/>
    <w:rsid w:val="00F80FBC"/>
    <w:rsid w:val="00F823A1"/>
    <w:rsid w:val="00F8244E"/>
    <w:rsid w:val="00F832F9"/>
    <w:rsid w:val="00F851BC"/>
    <w:rsid w:val="00F872D0"/>
    <w:rsid w:val="00F902DB"/>
    <w:rsid w:val="00F90C37"/>
    <w:rsid w:val="00F94115"/>
    <w:rsid w:val="00F96976"/>
    <w:rsid w:val="00FA1581"/>
    <w:rsid w:val="00FA2532"/>
    <w:rsid w:val="00FA4135"/>
    <w:rsid w:val="00FA5BBC"/>
    <w:rsid w:val="00FA6B83"/>
    <w:rsid w:val="00FB1234"/>
    <w:rsid w:val="00FB13AC"/>
    <w:rsid w:val="00FB14CC"/>
    <w:rsid w:val="00FB37DA"/>
    <w:rsid w:val="00FB46E4"/>
    <w:rsid w:val="00FB4AB8"/>
    <w:rsid w:val="00FB55EC"/>
    <w:rsid w:val="00FB5F49"/>
    <w:rsid w:val="00FB723D"/>
    <w:rsid w:val="00FC60FB"/>
    <w:rsid w:val="00FC7A1C"/>
    <w:rsid w:val="00FD1AFA"/>
    <w:rsid w:val="00FD1FA9"/>
    <w:rsid w:val="00FD285C"/>
    <w:rsid w:val="00FD305F"/>
    <w:rsid w:val="00FD32EF"/>
    <w:rsid w:val="00FD3537"/>
    <w:rsid w:val="00FD382B"/>
    <w:rsid w:val="00FD4291"/>
    <w:rsid w:val="00FD4BE8"/>
    <w:rsid w:val="00FD5A59"/>
    <w:rsid w:val="00FE10FC"/>
    <w:rsid w:val="00FE1AD3"/>
    <w:rsid w:val="00FE1C97"/>
    <w:rsid w:val="00FE2137"/>
    <w:rsid w:val="00FE7B4A"/>
    <w:rsid w:val="00FE7B50"/>
    <w:rsid w:val="00FF15AB"/>
    <w:rsid w:val="00FF1D6C"/>
    <w:rsid w:val="00FF1F3F"/>
    <w:rsid w:val="00FF20FC"/>
    <w:rsid w:val="00FF2685"/>
    <w:rsid w:val="00FF3412"/>
    <w:rsid w:val="00FF3F08"/>
    <w:rsid w:val="00FF47D8"/>
    <w:rsid w:val="00FF5017"/>
    <w:rsid w:val="00FF525E"/>
    <w:rsid w:val="00FF547C"/>
    <w:rsid w:val="00FF56C0"/>
    <w:rsid w:val="00FF57A6"/>
    <w:rsid w:val="00FF7C29"/>
    <w:rsid w:val="01111915"/>
    <w:rsid w:val="083C5F36"/>
    <w:rsid w:val="0EC34685"/>
    <w:rsid w:val="13C41812"/>
    <w:rsid w:val="1C1906F8"/>
    <w:rsid w:val="29A93595"/>
    <w:rsid w:val="2D6A5A84"/>
    <w:rsid w:val="38E73A1B"/>
    <w:rsid w:val="46A8040E"/>
    <w:rsid w:val="47B769CE"/>
    <w:rsid w:val="4A671887"/>
    <w:rsid w:val="517327C5"/>
    <w:rsid w:val="5B07662D"/>
    <w:rsid w:val="5E3755AC"/>
    <w:rsid w:val="6836510A"/>
    <w:rsid w:val="6AE94BA4"/>
    <w:rsid w:val="6D1547B0"/>
    <w:rsid w:val="6DF523F6"/>
    <w:rsid w:val="72EF37B8"/>
    <w:rsid w:val="73FF58C2"/>
    <w:rsid w:val="873F95FA"/>
    <w:rsid w:val="FFAF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link w:val="5"/>
    <w:semiHidden/>
    <w:qFormat/>
    <w:uiPriority w:val="0"/>
    <w:rPr>
      <w:rFonts w:ascii="Cambria" w:hAnsi="Cambria" w:eastAsia="宋体" w:cs="Times New Roman"/>
      <w:b/>
      <w:bCs/>
      <w:kern w:val="2"/>
      <w:sz w:val="28"/>
      <w:szCs w:val="28"/>
    </w:rPr>
  </w:style>
  <w:style w:type="character" w:customStyle="1" w:styleId="41">
    <w:name w:val="标题 5 Char"/>
    <w:link w:val="6"/>
    <w:semiHidden/>
    <w:qFormat/>
    <w:uiPriority w:val="0"/>
    <w:rPr>
      <w:b/>
      <w:bCs/>
      <w:kern w:val="2"/>
      <w:sz w:val="28"/>
      <w:szCs w:val="28"/>
    </w:rPr>
  </w:style>
  <w:style w:type="character" w:customStyle="1" w:styleId="42">
    <w:name w:val="标题 6 Char"/>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link w:val="9"/>
    <w:qFormat/>
    <w:uiPriority w:val="0"/>
    <w:rPr>
      <w:rFonts w:ascii="方正大标宋简体" w:hAnsi="宋体" w:eastAsia="方正大标宋简体"/>
      <w:bCs/>
      <w:kern w:val="2"/>
      <w:sz w:val="42"/>
      <w:szCs w:val="42"/>
      <w:lang w:val="en-US" w:eastAsia="zh-CN"/>
    </w:rPr>
  </w:style>
  <w:style w:type="character" w:customStyle="1" w:styleId="45">
    <w:name w:val="正文文本 Char"/>
    <w:link w:val="10"/>
    <w:qFormat/>
    <w:uiPriority w:val="0"/>
    <w:rPr>
      <w:rFonts w:eastAsia="Times New Roman"/>
      <w:kern w:val="2"/>
      <w:sz w:val="21"/>
      <w:szCs w:val="24"/>
      <w:lang w:val="en-US" w:eastAsia="zh-CN"/>
    </w:rPr>
  </w:style>
  <w:style w:type="character" w:customStyle="1" w:styleId="46">
    <w:name w:val="正文文本缩进 Char"/>
    <w:link w:val="11"/>
    <w:qFormat/>
    <w:uiPriority w:val="0"/>
    <w:rPr>
      <w:rFonts w:ascii="仿宋_GB2312" w:eastAsia="仿宋_GB2312"/>
      <w:kern w:val="2"/>
      <w:sz w:val="30"/>
      <w:szCs w:val="24"/>
      <w:lang w:val="en-US" w:eastAsia="zh-CN" w:bidi="ar-SA"/>
    </w:rPr>
  </w:style>
  <w:style w:type="character" w:customStyle="1" w:styleId="47">
    <w:name w:val="纯文本 Char"/>
    <w:link w:val="13"/>
    <w:qFormat/>
    <w:uiPriority w:val="0"/>
    <w:rPr>
      <w:rFonts w:ascii="宋体" w:hAnsi="Courier New" w:eastAsia="宋体" w:cs="Courier New"/>
      <w:kern w:val="2"/>
      <w:sz w:val="21"/>
      <w:szCs w:val="21"/>
      <w:lang w:val="en-US" w:eastAsia="zh-CN" w:bidi="ar-SA"/>
    </w:rPr>
  </w:style>
  <w:style w:type="character" w:customStyle="1" w:styleId="48">
    <w:name w:val="日期 Char"/>
    <w:link w:val="14"/>
    <w:qFormat/>
    <w:uiPriority w:val="0"/>
    <w:rPr>
      <w:rFonts w:ascii="楷体_GB2312" w:eastAsia="楷体_GB2312"/>
      <w:kern w:val="2"/>
      <w:sz w:val="32"/>
      <w:lang w:val="en-US" w:eastAsia="zh-CN" w:bidi="ar-SA"/>
    </w:rPr>
  </w:style>
  <w:style w:type="character" w:customStyle="1" w:styleId="49">
    <w:name w:val="正文文本缩进 2 Char"/>
    <w:link w:val="15"/>
    <w:qFormat/>
    <w:uiPriority w:val="0"/>
    <w:rPr>
      <w:rFonts w:ascii="仿宋_GB2312" w:hAnsi="宋体" w:eastAsia="仿宋_GB2312"/>
      <w:kern w:val="2"/>
      <w:sz w:val="30"/>
      <w:szCs w:val="30"/>
      <w:lang w:val="en-US" w:eastAsia="zh-CN"/>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link w:val="20"/>
    <w:qFormat/>
    <w:uiPriority w:val="0"/>
    <w:rPr>
      <w:rFonts w:ascii="Cambria" w:hAnsi="Cambria" w:cs="Times New Roman"/>
      <w:b/>
      <w:bCs/>
      <w:kern w:val="28"/>
      <w:sz w:val="32"/>
      <w:szCs w:val="32"/>
    </w:rPr>
  </w:style>
  <w:style w:type="character" w:customStyle="1" w:styleId="55">
    <w:name w:val="脚注文本 Char"/>
    <w:link w:val="21"/>
    <w:qFormat/>
    <w:uiPriority w:val="0"/>
    <w:rPr>
      <w:rFonts w:eastAsia="Times New Roman"/>
      <w:kern w:val="2"/>
      <w:sz w:val="18"/>
      <w:szCs w:val="18"/>
      <w:lang w:val="en-US" w:eastAsia="zh-CN"/>
    </w:rPr>
  </w:style>
  <w:style w:type="character" w:customStyle="1" w:styleId="56">
    <w:name w:val="正文文本缩进 3 Char"/>
    <w:link w:val="22"/>
    <w:qFormat/>
    <w:uiPriority w:val="0"/>
    <w:rPr>
      <w:rFonts w:ascii="仿宋_GB2312" w:eastAsia="仿宋_GB2312"/>
      <w:sz w:val="30"/>
      <w:szCs w:val="28"/>
      <w:lang w:val="zh-CN" w:eastAsia="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link w:val="25"/>
    <w:qFormat/>
    <w:uiPriority w:val="0"/>
    <w:rPr>
      <w:rFonts w:ascii="ClassGarmnd BT" w:hAnsi="ClassGarmnd BT" w:eastAsia="宋体" w:cs="ClassGarmnd BT"/>
      <w:b/>
      <w:kern w:val="1"/>
      <w:sz w:val="32"/>
      <w:lang w:val="en-AU" w:eastAsia="ar-SA"/>
    </w:rPr>
  </w:style>
  <w:style w:type="character" w:customStyle="1" w:styleId="59">
    <w:name w:val="批注主题 Char"/>
    <w:link w:val="26"/>
    <w:qFormat/>
    <w:uiPriority w:val="0"/>
    <w:rPr>
      <w:rFonts w:eastAsia="宋体"/>
      <w:b/>
      <w:bCs/>
      <w:kern w:val="2"/>
      <w:sz w:val="21"/>
      <w:szCs w:val="24"/>
      <w:lang w:bidi="ar-SA"/>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qFormat/>
    <w:uiPriority w:val="0"/>
  </w:style>
  <w:style w:type="character" w:customStyle="1" w:styleId="62">
    <w:name w:val="dash6b63_005f6587_005f_005fchar__char"/>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5"/>
    <w:qFormat/>
    <w:uiPriority w:val="0"/>
    <w:rPr>
      <w:rFonts w:eastAsia="宋体"/>
      <w:b/>
      <w:bCs/>
      <w:kern w:val="44"/>
      <w:sz w:val="44"/>
      <w:szCs w:val="44"/>
      <w:lang w:val="en-US" w:eastAsia="zh-CN" w:bidi="ar-SA"/>
    </w:rPr>
  </w:style>
  <w:style w:type="character" w:customStyle="1" w:styleId="74">
    <w:name w:val="Char Char14"/>
    <w:qFormat/>
    <w:uiPriority w:val="0"/>
    <w:rPr>
      <w:rFonts w:eastAsia="宋体"/>
      <w:b/>
      <w:bCs/>
      <w:kern w:val="2"/>
      <w:sz w:val="32"/>
      <w:szCs w:val="32"/>
      <w:lang w:val="en-US" w:eastAsia="zh-CN" w:bidi="ar-SA"/>
    </w:rPr>
  </w:style>
  <w:style w:type="character" w:customStyle="1" w:styleId="75">
    <w:name w:val="Char Char13"/>
    <w:qFormat/>
    <w:uiPriority w:val="0"/>
    <w:rPr>
      <w:rFonts w:eastAsia="宋体"/>
      <w:kern w:val="2"/>
      <w:sz w:val="18"/>
      <w:szCs w:val="18"/>
      <w:lang w:val="en-US" w:eastAsia="zh-CN" w:bidi="ar-SA"/>
    </w:rPr>
  </w:style>
  <w:style w:type="character" w:customStyle="1" w:styleId="76">
    <w:name w:val="Char Char12"/>
    <w:qFormat/>
    <w:uiPriority w:val="0"/>
    <w:rPr>
      <w:rFonts w:eastAsia="宋体"/>
      <w:kern w:val="2"/>
      <w:sz w:val="18"/>
      <w:szCs w:val="18"/>
      <w:lang w:val="en-US" w:eastAsia="zh-CN" w:bidi="ar-SA"/>
    </w:rPr>
  </w:style>
  <w:style w:type="character" w:customStyle="1" w:styleId="77">
    <w:name w:val="正文文本缩进 Char1"/>
    <w:qFormat/>
    <w:uiPriority w:val="0"/>
    <w:rPr>
      <w:kern w:val="2"/>
      <w:sz w:val="21"/>
      <w:szCs w:val="24"/>
    </w:rPr>
  </w:style>
  <w:style w:type="character" w:customStyle="1" w:styleId="78">
    <w:name w:val="日期 Char1"/>
    <w:qFormat/>
    <w:uiPriority w:val="0"/>
    <w:rPr>
      <w:kern w:val="2"/>
      <w:sz w:val="21"/>
      <w:szCs w:val="24"/>
    </w:rPr>
  </w:style>
  <w:style w:type="character" w:customStyle="1" w:styleId="79">
    <w:name w:val="正文文本 Char1"/>
    <w:qFormat/>
    <w:uiPriority w:val="0"/>
    <w:rPr>
      <w:kern w:val="2"/>
      <w:sz w:val="21"/>
      <w:szCs w:val="24"/>
    </w:rPr>
  </w:style>
  <w:style w:type="character" w:customStyle="1" w:styleId="80">
    <w:name w:val="批注框文本 Char1"/>
    <w:qFormat/>
    <w:uiPriority w:val="0"/>
    <w:rPr>
      <w:kern w:val="2"/>
      <w:sz w:val="18"/>
      <w:szCs w:val="18"/>
    </w:rPr>
  </w:style>
  <w:style w:type="character" w:customStyle="1" w:styleId="81">
    <w:name w:val="正文文本缩进 2 Char1"/>
    <w:qFormat/>
    <w:uiPriority w:val="0"/>
    <w:rPr>
      <w:kern w:val="2"/>
      <w:sz w:val="21"/>
      <w:szCs w:val="24"/>
    </w:rPr>
  </w:style>
  <w:style w:type="character" w:customStyle="1" w:styleId="82">
    <w:name w:val="正文文本 2 Char1"/>
    <w:qFormat/>
    <w:uiPriority w:val="0"/>
    <w:rPr>
      <w:kern w:val="2"/>
      <w:sz w:val="21"/>
      <w:szCs w:val="24"/>
    </w:rPr>
  </w:style>
  <w:style w:type="character" w:customStyle="1" w:styleId="83">
    <w:name w:val="正文文本缩进 3 Char1"/>
    <w:qFormat/>
    <w:uiPriority w:val="0"/>
    <w:rPr>
      <w:kern w:val="2"/>
      <w:sz w:val="16"/>
      <w:szCs w:val="16"/>
    </w:rPr>
  </w:style>
  <w:style w:type="character" w:customStyle="1" w:styleId="84">
    <w:name w:val="正文文本 3 Char1"/>
    <w:qFormat/>
    <w:uiPriority w:val="0"/>
    <w:rPr>
      <w:kern w:val="2"/>
      <w:sz w:val="16"/>
      <w:szCs w:val="16"/>
    </w:rPr>
  </w:style>
  <w:style w:type="character" w:customStyle="1" w:styleId="85">
    <w:name w:val="纯文本 Char1"/>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qFormat/>
    <w:uiPriority w:val="0"/>
    <w:rPr>
      <w:rFonts w:eastAsia="仿宋_GB2312"/>
      <w:kern w:val="2"/>
      <w:sz w:val="28"/>
      <w:szCs w:val="28"/>
    </w:rPr>
  </w:style>
  <w:style w:type="paragraph" w:customStyle="1" w:styleId="95">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Revision"/>
    <w:semiHidden/>
    <w:qFormat/>
    <w:uiPriority w:val="99"/>
    <w:rPr>
      <w:rFonts w:ascii="Times New Roman" w:hAnsi="Times New Roman" w:eastAsia="宋体" w:cs="Times New Roman"/>
      <w:kern w:val="2"/>
      <w:sz w:val="21"/>
      <w:lang w:val="en-US" w:eastAsia="zh-CN" w:bidi="ar-SA"/>
    </w:rPr>
  </w:style>
  <w:style w:type="character" w:customStyle="1" w:styleId="150">
    <w:name w:val="批注文字 字符1"/>
    <w:qFormat/>
    <w:locked/>
    <w:uiPriority w:val="0"/>
    <w:rPr>
      <w:rFonts w:eastAsia="宋体"/>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9549</Words>
  <Characters>9611</Characters>
  <Lines>69</Lines>
  <Paragraphs>19</Paragraphs>
  <TotalTime>3</TotalTime>
  <ScaleCrop>false</ScaleCrop>
  <LinksUpToDate>false</LinksUpToDate>
  <CharactersWithSpaces>9631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2025-03-28T11:20:00Z</dcterms:created>
  <dc:creator>sse</dc:creator>
  <cp:lastModifiedBy>whxu</cp:lastModifiedBy>
  <cp:lastPrinted>2021-12-30T18:54:00Z</cp:lastPrinted>
  <dcterms:modified xsi:type="dcterms:W3CDTF">2025-03-28T20:36:11Z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7ED64D84C5C1464A95085F6558F26683</vt:lpwstr>
  </property>
</Properties>
</file>