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4D4F">
      <w:pPr>
        <w:spacing w:line="560" w:lineRule="exact"/>
        <w:jc w:val="left"/>
        <w:rPr>
          <w:rFonts w:eastAsia="黑体"/>
          <w:sz w:val="32"/>
          <w:szCs w:val="30"/>
        </w:rPr>
      </w:pPr>
      <w:r>
        <w:rPr>
          <w:rFonts w:hAnsi="黑体" w:eastAsia="黑体"/>
          <w:sz w:val="32"/>
          <w:szCs w:val="30"/>
        </w:rPr>
        <w:t>附件</w:t>
      </w:r>
      <w:r>
        <w:rPr>
          <w:rFonts w:hint="eastAsia" w:hAnsi="黑体" w:eastAsia="黑体"/>
          <w:sz w:val="32"/>
          <w:szCs w:val="30"/>
        </w:rPr>
        <w:t>1</w:t>
      </w:r>
    </w:p>
    <w:p w14:paraId="1DD0A329">
      <w:pPr>
        <w:adjustRightInd w:val="0"/>
        <w:snapToGrid w:val="0"/>
        <w:spacing w:line="560" w:lineRule="exact"/>
        <w:rPr>
          <w:rFonts w:eastAsia="仿宋_GB2312"/>
          <w:sz w:val="32"/>
          <w:szCs w:val="32"/>
        </w:rPr>
      </w:pPr>
    </w:p>
    <w:p w14:paraId="44C23D45">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上海证券交易所上市公司证券发行与承销业务实施细则（</w:t>
      </w:r>
      <w:r>
        <w:rPr>
          <w:rFonts w:eastAsia="方正大标宋简体"/>
          <w:sz w:val="44"/>
          <w:szCs w:val="44"/>
        </w:rPr>
        <w:t>2025</w:t>
      </w:r>
      <w:r>
        <w:rPr>
          <w:rFonts w:hint="eastAsia" w:ascii="方正大标宋简体" w:hAnsi="方正大标宋简体" w:eastAsia="方正大标宋简体" w:cs="方正大标宋简体"/>
          <w:sz w:val="44"/>
          <w:szCs w:val="44"/>
        </w:rPr>
        <w:t>年修订）</w:t>
      </w:r>
    </w:p>
    <w:p w14:paraId="28291A98">
      <w:pPr>
        <w:spacing w:line="560" w:lineRule="exact"/>
        <w:jc w:val="center"/>
        <w:rPr>
          <w:rFonts w:eastAsia="仿宋_GB2312" w:cs="仿宋"/>
          <w:sz w:val="32"/>
          <w:szCs w:val="32"/>
        </w:rPr>
      </w:pPr>
    </w:p>
    <w:p w14:paraId="444AD3BF">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14:paraId="484CB60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第一条</w:t>
      </w:r>
      <w:r>
        <w:rPr>
          <w:rFonts w:hint="eastAsia" w:eastAsia="仿宋_GB2312" w:cs="仿宋"/>
          <w:sz w:val="32"/>
          <w:szCs w:val="32"/>
        </w:rPr>
        <w:t>为了规范上海证券交易所（以下简称本所）上市公司（以下简称上市公司）证券发行与承销行为，根据《证券发行与承销管理办法》（以下简称《承销办法》）、《上市公司证券发行注册管理办法》（以下简称《再融资办法》）、《优先股试点管理办法》等有关规定，制定本细则。</w:t>
      </w:r>
    </w:p>
    <w:p w14:paraId="2483FD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第二条</w:t>
      </w: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628712F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第三条</w:t>
      </w: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74EBA5E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第四条</w:t>
      </w: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672497A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第五条</w:t>
      </w:r>
      <w:r>
        <w:rPr>
          <w:rFonts w:hint="eastAsia" w:eastAsia="仿宋_GB2312" w:cs="仿宋"/>
          <w:sz w:val="32"/>
          <w:szCs w:val="32"/>
        </w:rPr>
        <w:t>上市公司、承销商选择发行证券的发行对象和确定发行价格、利率，应当遵循公平、公正原则。</w:t>
      </w:r>
    </w:p>
    <w:p w14:paraId="1551431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4EA1C5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第六条</w:t>
      </w: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5645DA9A">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第二章  向不特定对象发行证券</w:t>
      </w:r>
    </w:p>
    <w:p w14:paraId="7C89BA7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第七条</w:t>
      </w:r>
      <w:r>
        <w:rPr>
          <w:rFonts w:hint="eastAsia" w:eastAsia="仿宋_GB2312" w:cs="仿宋"/>
          <w:sz w:val="32"/>
          <w:szCs w:val="32"/>
        </w:rPr>
        <w:t>上市公司向原股东配售股份（以下简称配股），应当向股权登记日登记在册的股东配售，且配售比例应当相同。</w:t>
      </w:r>
    </w:p>
    <w:p w14:paraId="6488376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第八条</w:t>
      </w: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658FE3A0">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第九条</w:t>
      </w: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E056A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7544005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第十条</w:t>
      </w: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1CCF7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1D9A42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第十一条</w:t>
      </w:r>
      <w:r>
        <w:rPr>
          <w:rFonts w:hint="eastAsia" w:eastAsia="仿宋_GB2312" w:cs="仿宋"/>
          <w:sz w:val="32"/>
          <w:szCs w:val="32"/>
        </w:rPr>
        <w:t>上市公司原股东参与优先配售，通过网上方式进行，确有需要的，可以通过网下方式进行。</w:t>
      </w:r>
    </w:p>
    <w:p w14:paraId="36BA849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11F08B5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3DFAC34F">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第十二条</w:t>
      </w: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0752114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第十三条</w:t>
      </w: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26E4C8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52723CE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第十四条</w:t>
      </w: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68F55CA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第十五条</w:t>
      </w:r>
      <w:r>
        <w:rPr>
          <w:rFonts w:hint="eastAsia" w:eastAsia="仿宋_GB2312"/>
          <w:sz w:val="32"/>
          <w:szCs w:val="32"/>
        </w:rPr>
        <w:t>上市公司和主承销商应当合理确定并在发行公告中披露网上申购上限。</w:t>
      </w:r>
    </w:p>
    <w:p w14:paraId="30F0E2D9">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628525F">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B44C5A8">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第十六条</w:t>
      </w: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B3AEC2E">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553674D7">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7B6917E7">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第十七条</w:t>
      </w:r>
      <w:r>
        <w:rPr>
          <w:rFonts w:hint="eastAsia" w:eastAsia="仿宋_GB2312"/>
          <w:sz w:val="32"/>
          <w:szCs w:val="32"/>
        </w:rPr>
        <w:t>参与网上申购的投资者应自主表达申购意向，证券公司不得接受投资者的概括委托代其进行申购。</w:t>
      </w:r>
    </w:p>
    <w:p w14:paraId="4BC984EC">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55975D52">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第十八条</w:t>
      </w: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7D249F00">
      <w:pPr>
        <w:numPr>
          <w:ilvl w:val="0"/>
          <w:numId w:val="0"/>
        </w:numPr>
        <w:adjustRightInd w:val="0"/>
        <w:snapToGrid w:val="0"/>
        <w:spacing w:line="560" w:lineRule="exact"/>
        <w:ind w:left="0" w:leftChars="0" w:firstLine="643" w:firstLineChars="200"/>
        <w:rPr>
          <w:rFonts w:eastAsia="仿宋_GB2312" w:cs="仿宋"/>
          <w:sz w:val="32"/>
          <w:szCs w:val="32"/>
          <w:u w:val="single"/>
        </w:rPr>
      </w:pPr>
      <w:r>
        <w:rPr>
          <w:rFonts w:hint="eastAsia" w:ascii="仿宋_GB2312" w:hAnsi="黑体" w:eastAsia="仿宋_GB2312" w:cs="仿宋"/>
          <w:b/>
          <w:bCs/>
          <w:i w:val="0"/>
          <w:kern w:val="2"/>
          <w:sz w:val="32"/>
          <w:szCs w:val="32"/>
          <w:lang w:val="en-US" w:eastAsia="zh-CN" w:bidi="ar-SA"/>
        </w:rPr>
        <w:t>第十九条</w:t>
      </w: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510C816E">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第二十条</w:t>
      </w: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4573E86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第二十一条</w:t>
      </w: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36657B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第二十二条</w:t>
      </w: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023A2C7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53EA436E">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第二十三条</w:t>
      </w: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35FD30B6">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7F7CC06A">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第二十四条</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6D272D5F">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第二十五条</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0CAEAA15">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第二十六条</w:t>
      </w: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58991BFF">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27428C78">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466B899B">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266CB68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第二十七条</w:t>
      </w:r>
      <w:r>
        <w:rPr>
          <w:rFonts w:hint="eastAsia" w:eastAsia="仿宋_GB2312"/>
          <w:sz w:val="32"/>
          <w:szCs w:val="32"/>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565A2CB8">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第二十八条</w:t>
      </w:r>
      <w:r>
        <w:rPr>
          <w:rFonts w:hint="eastAsia" w:eastAsia="仿宋_GB2312"/>
          <w:sz w:val="32"/>
          <w:szCs w:val="32"/>
        </w:rPr>
        <w:t>证券上市之日起10个工作日内，主承销商应当将验资报告、专项法律意见书、承销总结报告等文件一并通过本所向中国证监会备案。</w:t>
      </w:r>
    </w:p>
    <w:p w14:paraId="4E9D975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第二十九条</w:t>
      </w: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2667252B">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61555E01">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第三章  向特定对象发行证券</w:t>
      </w:r>
    </w:p>
    <w:p w14:paraId="367CF0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第一节  一般规定</w:t>
      </w:r>
    </w:p>
    <w:p w14:paraId="40366D95">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第三十条</w:t>
      </w: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388F83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第三十一条</w:t>
      </w: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7C95E88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证券投资基金管理公司、证券公司、理财公司、保险公司、合格境外机构投资者、人民币合格境外机构投资者以其管理的2只以上产品认购的，视为一个发行对象。</w:t>
      </w:r>
    </w:p>
    <w:p w14:paraId="72BCC4BD">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5E50198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第三十二条</w:t>
      </w: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1929E0A8">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第二节  适用一般程序的向特定对象发行股票</w:t>
      </w:r>
    </w:p>
    <w:p w14:paraId="52BBE5B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第三十三条</w:t>
      </w:r>
      <w:r>
        <w:rPr>
          <w:rFonts w:hint="eastAsia" w:eastAsia="仿宋_GB2312" w:cs="仿宋"/>
          <w:sz w:val="32"/>
          <w:szCs w:val="32"/>
        </w:rPr>
        <w:t>上市公司向特定对象发行股票，董事会决议确定全部发行对象的，董事会决议中应当同时确定具体发行对象及其认购数量或金额、认购价格或者定价原则，并经股东会作出决议。</w:t>
      </w:r>
    </w:p>
    <w:p w14:paraId="73D1AA9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563E6B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第三十四条</w:t>
      </w: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4760F21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董事会决议确定的发行对象不得参与本次发行的竞价，且应当接受竞价结果。董事会决议应当明确在通过竞价方式未能产生发行价格的情况下，前述发行对象是否继续参与认购、价格确定原则及认购数量。</w:t>
      </w:r>
    </w:p>
    <w:p w14:paraId="28919F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第三十五条</w:t>
      </w: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59BC9E7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区间或者金额或金额区间、认购价格或定价原则、限售期及违约情形处置安排，同时约定本次发行经上市公司董事会、股东会批准并经中国证监会注册，该合同即应生效。</w:t>
      </w:r>
    </w:p>
    <w:p w14:paraId="617E151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第三十六条</w:t>
      </w: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15F213F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第三十七条</w:t>
      </w:r>
      <w:r>
        <w:rPr>
          <w:rFonts w:hint="eastAsia" w:eastAsia="仿宋_GB2312" w:cs="仿宋"/>
          <w:sz w:val="32"/>
          <w:szCs w:val="32"/>
        </w:rPr>
        <w:t>上市公司向特定对象发行股票董事会决议公告后，符合条件的特定对象可以向上市公司和主承销商提交认购意向书。</w:t>
      </w:r>
    </w:p>
    <w:p w14:paraId="59157C0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第三十八条</w:t>
      </w:r>
      <w:r>
        <w:rPr>
          <w:rFonts w:hint="eastAsia" w:eastAsia="仿宋_GB2312" w:cs="仿宋"/>
          <w:sz w:val="32"/>
          <w:szCs w:val="32"/>
        </w:rPr>
        <w:t>中国证监会作出予以注册决定后，由上市公司和主承销商在注册决定的有效期内选择发行时间。</w:t>
      </w:r>
    </w:p>
    <w:p w14:paraId="718820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第三十九条</w:t>
      </w: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4ABEECD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2025B25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第四十条</w:t>
      </w: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267D11C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第四十一条</w:t>
      </w:r>
      <w:r>
        <w:rPr>
          <w:rFonts w:hint="eastAsia" w:eastAsia="仿宋_GB2312" w:cs="仿宋"/>
          <w:sz w:val="32"/>
          <w:szCs w:val="32"/>
        </w:rPr>
        <w:t>在发行期首日前一工作日，上市公司和主承销商可以向符合条件的特定对象提供认购邀请书。</w:t>
      </w:r>
    </w:p>
    <w:p w14:paraId="040D89B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1A8E746A">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206C60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3A7FFB4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0F66523E">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676CAE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562BCB3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第四十二条</w:t>
      </w:r>
      <w:r>
        <w:rPr>
          <w:rFonts w:hint="eastAsia" w:eastAsia="仿宋_GB2312" w:cs="仿宋"/>
          <w:sz w:val="32"/>
          <w:szCs w:val="32"/>
        </w:rPr>
        <w:t>认购邀请书发出后，上市公司和主承销商应当在认购邀请书约定的时间内收集符合条件的特定对象签署的申购报价表。</w:t>
      </w:r>
    </w:p>
    <w:p w14:paraId="7AA357A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44E64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476C862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第四十三条</w:t>
      </w: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07D4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第四十四条</w:t>
      </w:r>
      <w:r>
        <w:rPr>
          <w:rFonts w:hint="eastAsia" w:eastAsia="仿宋_GB2312" w:cs="仿宋"/>
          <w:sz w:val="32"/>
          <w:szCs w:val="32"/>
        </w:rPr>
        <w:t>发行结果确定后，上市公司应当与发行对象签订正式股份认购合同，发行对象应当按照合同约定缴款。</w:t>
      </w:r>
    </w:p>
    <w:p w14:paraId="65379E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44E720B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第四十五条</w:t>
      </w: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18841F2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48B974F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6650F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第四十六条</w:t>
      </w: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173779E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6570ADE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第四十七条</w:t>
      </w: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62C5779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6AF4E37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第四十八条</w:t>
      </w:r>
      <w:r>
        <w:rPr>
          <w:rFonts w:hint="eastAsia" w:eastAsia="仿宋_GB2312" w:cs="仿宋"/>
          <w:sz w:val="32"/>
          <w:szCs w:val="32"/>
        </w:rPr>
        <w:t>自行销售的，上市公司应当根据本细则第四十五条的规定在验资完成后办理股份登记等事宜。</w:t>
      </w:r>
    </w:p>
    <w:p w14:paraId="62E699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第三节  适用简易程序的向特定对象发行股票</w:t>
      </w:r>
    </w:p>
    <w:p w14:paraId="10B4802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第四十九条</w:t>
      </w:r>
      <w:r>
        <w:rPr>
          <w:rFonts w:hint="eastAsia" w:eastAsia="仿宋_GB2312" w:cs="仿宋"/>
          <w:sz w:val="32"/>
          <w:szCs w:val="32"/>
        </w:rPr>
        <w:t>适用简易程序的，上市公司和主承销商可以在年度股东会后，按照本细则第三十条的规定向符合条件的投资者进行路演推介。</w:t>
      </w:r>
    </w:p>
    <w:p w14:paraId="388B936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第五十条</w:t>
      </w:r>
      <w:r>
        <w:rPr>
          <w:rFonts w:hint="eastAsia" w:eastAsia="仿宋_GB2312" w:cs="仿宋"/>
          <w:sz w:val="32"/>
          <w:szCs w:val="32"/>
        </w:rPr>
        <w:t>适用简易程序的，上市公司和主承销商应当以竞价方式确定发行价格和发行对象。</w:t>
      </w:r>
    </w:p>
    <w:p w14:paraId="1019E6C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第五十一条</w:t>
      </w:r>
      <w:r>
        <w:rPr>
          <w:rFonts w:hint="eastAsia" w:eastAsia="仿宋_GB2312" w:cs="仿宋"/>
          <w:sz w:val="32"/>
          <w:szCs w:val="32"/>
        </w:rPr>
        <w:t>上市公司向特定对象发行股票年度股东会决议公告后，符合条件的特定对象可以向上市公司和主承销商提交认购意向书。</w:t>
      </w:r>
    </w:p>
    <w:p w14:paraId="542967FB">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第五十二条</w:t>
      </w: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在发行期首日前一工作日，上市公司和主承销商可以向符合条件的特定对象提供认购邀请书。认购邀请书发送对象包含已经提交认购意向书的投资者，以及符合本细则第四十一条规定的其他投资者。</w:t>
      </w:r>
    </w:p>
    <w:p w14:paraId="426FA2F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上市公司和主承销商提供的认购邀请书应当符合本细则第三十九条第二款和第四十条的规定。</w:t>
      </w:r>
    </w:p>
    <w:p w14:paraId="76EE49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BB42A4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第五十三条</w:t>
      </w:r>
      <w:r>
        <w:rPr>
          <w:rFonts w:hint="eastAsia" w:eastAsia="仿宋_GB2312" w:cs="仿宋"/>
          <w:sz w:val="32"/>
          <w:szCs w:val="32"/>
        </w:rPr>
        <w:t>认购邀请书发出后，上市公司和主承销商应当根据本细则第四十二条和第四十三条的规定确定发行价格和发行对象。</w:t>
      </w:r>
    </w:p>
    <w:p w14:paraId="0103BE7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年度股东会授权的董事会批准并经中国证监会注册，该合同即应生效。认购合同签订后3个工作日内，经年度股东会授权的董事会应当对竞价结果等发行事项作出决议。</w:t>
      </w:r>
    </w:p>
    <w:p w14:paraId="102E020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第五十四条</w:t>
      </w: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34A757D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第五十五条</w:t>
      </w:r>
      <w:r>
        <w:rPr>
          <w:rFonts w:hint="eastAsia" w:eastAsia="仿宋_GB2312" w:cs="仿宋"/>
          <w:sz w:val="32"/>
          <w:szCs w:val="32"/>
        </w:rPr>
        <w:t>适用简易程序的，上市公司应当根据本细则第四十五条至第四十七条的规定在验资完成后办理股份登记等事宜。</w:t>
      </w:r>
    </w:p>
    <w:p w14:paraId="1401FCDF">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第四节  向特定对象发行可转换公司债券</w:t>
      </w:r>
    </w:p>
    <w:p w14:paraId="498E483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第五十六条</w:t>
      </w: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1B8CA53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第五十七条</w:t>
      </w:r>
      <w:r>
        <w:rPr>
          <w:rFonts w:hint="eastAsia" w:eastAsia="仿宋_GB2312" w:cs="仿宋"/>
          <w:sz w:val="32"/>
          <w:szCs w:val="32"/>
        </w:rPr>
        <w:t>上市公司向特定对象发行可转债的，符合条件的特定对象可以根据本细则第三十七条的规定提交认购意向书。</w:t>
      </w:r>
    </w:p>
    <w:p w14:paraId="252495A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中国证监会作出予以注册决定后，上市公司和主承销商根据本细则第三十八条和第三十九条的规定选择发行时间、向本所报备发行与承销方案及认购邀请书并启动发行工作。</w:t>
      </w:r>
    </w:p>
    <w:p w14:paraId="1058C7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第五十八条</w:t>
      </w: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30D8B1F3">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上市公司和主承销商根据本细则第四十一条的规定向符合条件的特定对象提供认购邀请书。</w:t>
      </w:r>
    </w:p>
    <w:p w14:paraId="53E3891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第五十九条</w:t>
      </w:r>
      <w:r>
        <w:rPr>
          <w:rFonts w:hint="eastAsia" w:eastAsia="仿宋_GB2312" w:cs="仿宋"/>
          <w:sz w:val="32"/>
          <w:szCs w:val="32"/>
        </w:rPr>
        <w:t>上市公司向特定对象发行可转债的，认购邀请书发出后，申购报价应当符合本细则第四十二条的规定。</w:t>
      </w:r>
    </w:p>
    <w:p w14:paraId="76FF086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第三十九条第二款的规定事先约定追加认购安排。</w:t>
      </w:r>
    </w:p>
    <w:p w14:paraId="484074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发行结果确定后，上市公司应参照本细则第四十四条至第四十七条的规定验资并办理登记等事宜。</w:t>
      </w:r>
    </w:p>
    <w:p w14:paraId="3D2DEEDD">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第四章  其他事项</w:t>
      </w:r>
    </w:p>
    <w:p w14:paraId="2E4CD94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第六十条</w:t>
      </w:r>
      <w:r>
        <w:rPr>
          <w:rFonts w:hint="eastAsia" w:eastAsia="仿宋_GB2312" w:cs="仿宋"/>
          <w:sz w:val="32"/>
          <w:szCs w:val="32"/>
        </w:rPr>
        <w:t>参与认购科创板上市公司发行证券的投资者，应当符合科创板股票投资者适当性管理要求。</w:t>
      </w:r>
    </w:p>
    <w:p w14:paraId="4C4A440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第六十一条</w:t>
      </w:r>
      <w:r>
        <w:rPr>
          <w:rFonts w:hint="eastAsia" w:eastAsia="仿宋_GB2312" w:cs="仿宋"/>
          <w:sz w:val="32"/>
          <w:szCs w:val="32"/>
        </w:rPr>
        <w:t>上市公司发行前特定期间股票均价计算公式为：特定期间股票交易均价=特定期间内股票交易总额/特定期间内股票交易总量。</w:t>
      </w:r>
    </w:p>
    <w:p w14:paraId="1F9CC9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第六十二条</w:t>
      </w:r>
      <w:r>
        <w:rPr>
          <w:rFonts w:hint="eastAsia" w:eastAsia="仿宋_GB2312" w:cs="仿宋"/>
          <w:sz w:val="32"/>
          <w:szCs w:val="32"/>
        </w:rPr>
        <w:t>主承销商应当按有关规定及时划付申购资金冻结利息。</w:t>
      </w:r>
    </w:p>
    <w:p w14:paraId="3092B01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第六十三条</w:t>
      </w: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0B3E693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42B794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第六十四条</w:t>
      </w: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065E873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第六十五条</w:t>
      </w: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11EDA35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4975AF3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2AA76B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w:t>
      </w:r>
      <w:bookmarkStart w:id="0" w:name="_GoBack"/>
      <w:bookmarkEnd w:id="0"/>
      <w:r>
        <w:rPr>
          <w:rFonts w:hint="eastAsia" w:eastAsia="仿宋_GB2312" w:cs="仿宋"/>
          <w:sz w:val="32"/>
          <w:szCs w:val="32"/>
        </w:rPr>
        <w:t>三）违反《承销办法》《再融资办法》和本细则等规定，向不符合要求的投资者进行竞价、配售；</w:t>
      </w:r>
    </w:p>
    <w:p w14:paraId="06C6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3C7AE01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949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77F7788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3C24317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1812DC7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5256AB3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4EC7FB6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D268FE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第六十六条</w:t>
      </w: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第六十五条的规定从重处罚并向中国证监会报告。</w:t>
      </w:r>
    </w:p>
    <w:p w14:paraId="18DF0D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第六十七条</w:t>
      </w: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2026E1B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第六十八条</w:t>
      </w:r>
      <w:r>
        <w:rPr>
          <w:rFonts w:hint="eastAsia" w:eastAsia="仿宋_GB2312" w:cs="仿宋"/>
          <w:sz w:val="32"/>
          <w:szCs w:val="32"/>
        </w:rPr>
        <w:t>股票公开发行自律委员会可以对本所上市公司证券发行和承销事宜提供咨询意见。</w:t>
      </w:r>
    </w:p>
    <w:p w14:paraId="0208CF6B">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14:paraId="5D1E7E79">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第六十九条</w:t>
      </w: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0AD15C5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第七十条</w:t>
      </w:r>
      <w:r>
        <w:rPr>
          <w:rFonts w:hint="eastAsia" w:eastAsia="仿宋_GB2312" w:cs="仿宋"/>
          <w:sz w:val="32"/>
          <w:szCs w:val="32"/>
        </w:rPr>
        <w:t>上市公司发行证券购买资产同时募集配套资金的，募集配套资金部分的证券发行与承销事宜参照本细则执行。</w:t>
      </w:r>
    </w:p>
    <w:p w14:paraId="05BD01D6">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第七十一条</w:t>
      </w: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392CF0C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上市公司向特定对象发行优先股的，认购邀请书的发送范围可以不适用本细则第四十一条的规定，但应涵盖一定的公募基金、社保基金、年金基金和保险资金等投资者以及已经提交认购意向书的投资者。</w:t>
      </w:r>
    </w:p>
    <w:p w14:paraId="1B05E5BA">
      <w:pPr>
        <w:pStyle w:val="64"/>
        <w:numPr>
          <w:ilvl w:val="0"/>
          <w:numId w:val="0"/>
        </w:numPr>
        <w:adjustRightInd w:val="0"/>
        <w:snapToGrid w:val="0"/>
        <w:spacing w:line="560" w:lineRule="exact"/>
        <w:ind w:left="0" w:leftChars="0" w:firstLine="643" w:firstLineChars="200"/>
        <w:rPr>
          <w:rFonts w:eastAsia="仿宋_GB2312"/>
          <w:sz w:val="32"/>
          <w:szCs w:val="30"/>
        </w:rPr>
      </w:pPr>
      <w:r>
        <w:rPr>
          <w:rFonts w:hint="eastAsia" w:ascii="仿宋_GB2312" w:hAnsi="黑体" w:eastAsia="仿宋_GB2312" w:cs="Times New Roman"/>
          <w:b/>
          <w:bCs/>
          <w:i w:val="0"/>
          <w:kern w:val="2"/>
          <w:sz w:val="32"/>
          <w:szCs w:val="32"/>
          <w:lang w:val="en-US" w:eastAsia="zh-CN" w:bidi="ar-SA"/>
        </w:rPr>
        <w:t>第七十二条</w:t>
      </w:r>
      <w:r>
        <w:rPr>
          <w:rFonts w:hint="eastAsia" w:eastAsia="仿宋_GB2312" w:cs="仿宋"/>
          <w:sz w:val="32"/>
          <w:szCs w:val="32"/>
        </w:rPr>
        <w:t>本细则对上市公司发行可转债未作规定的，适用本所关于可转债业务的其他相关规定。</w:t>
      </w:r>
    </w:p>
    <w:p w14:paraId="0F469F3F">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第七十三条</w:t>
      </w: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33BE2C2">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第七十四条</w:t>
      </w:r>
      <w:r>
        <w:rPr>
          <w:rFonts w:hint="eastAsia" w:eastAsia="仿宋_GB2312" w:cs="仿宋"/>
          <w:sz w:val="32"/>
          <w:szCs w:val="32"/>
        </w:rPr>
        <w:t>本细则经本所理事会审议通过并报中国证监会批准后生效，修改时亦同。</w:t>
      </w:r>
    </w:p>
    <w:p w14:paraId="77B32DB4">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第七十五条</w:t>
      </w:r>
      <w:r>
        <w:rPr>
          <w:rFonts w:hint="eastAsia" w:eastAsia="仿宋_GB2312" w:cs="仿宋"/>
          <w:sz w:val="32"/>
          <w:szCs w:val="32"/>
        </w:rPr>
        <w:t>本细则由本所负责解释。</w:t>
      </w:r>
    </w:p>
    <w:p w14:paraId="1694A62E">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第七十六条</w:t>
      </w: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23年2月17日发布的《上海证券交易所上市公司证券发行与承销业务实施细则》（上证发〔</w:t>
      </w:r>
      <w:r>
        <w:rPr>
          <w:rFonts w:eastAsia="仿宋_GB2312" w:cs="仿宋"/>
          <w:sz w:val="32"/>
          <w:szCs w:val="32"/>
        </w:rPr>
        <w:t>202</w:t>
      </w:r>
      <w:r>
        <w:rPr>
          <w:rFonts w:hint="eastAsia" w:eastAsia="仿宋_GB2312" w:cs="仿宋"/>
          <w:sz w:val="32"/>
          <w:szCs w:val="32"/>
        </w:rPr>
        <w:t>3〕34号）同时废止。</w:t>
      </w:r>
    </w:p>
    <w:p w14:paraId="12A5EDF9">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0000101010101"/>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Helvetica">
    <w:panose1 w:val="020B0604020202030204"/>
    <w:charset w:val="00"/>
    <w:family w:val="swiss"/>
    <w:pitch w:val="default"/>
    <w:sig w:usb0="00000000" w:usb1="00000000" w:usb2="00000000" w:usb3="00000000" w:csb0="00000093" w:csb1="00000000"/>
  </w:font>
  <w:font w:name="Frutiger 45 Light">
    <w:altName w:val="Sazanami Mincho"/>
    <w:panose1 w:val="00000000000000000000"/>
    <w:charset w:val="00"/>
    <w:family w:val="swiss"/>
    <w:pitch w:val="default"/>
    <w:sig w:usb0="00000000" w:usb1="00000000" w:usb2="00000000" w:usb3="00000000" w:csb0="00000193" w:csb1="00000000"/>
  </w:font>
  <w:font w:name="阿里巴巴普惠体 R">
    <w:altName w:val="宋体"/>
    <w:panose1 w:val="00020600040101010101"/>
    <w:charset w:val="86"/>
    <w:family w:val="auto"/>
    <w:pitch w:val="default"/>
    <w:sig w:usb0="00000000" w:usb1="00000000" w:usb2="0000001E" w:usb3="00000000" w:csb0="000400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azanami Mincho"/>
    <w:panose1 w:val="00000000000000000000"/>
    <w:charset w:val="00"/>
    <w:family w:val="swiss"/>
    <w:pitch w:val="default"/>
    <w:sig w:usb0="00000000" w:usb1="00000000" w:usb2="00000000" w:usb3="00000000" w:csb0="0000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978B">
    <w:pPr>
      <w:pStyle w:val="18"/>
      <w:jc w:val="center"/>
      <w:rPr>
        <w:rFonts w:ascii="宋体" w:hAnsi="宋体" w:cs="宋体"/>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3D53">
    <w:pPr>
      <w:pStyle w:val="18"/>
      <w:framePr w:wrap="around" w:vAnchor="text" w:hAnchor="margin" w:xAlign="center" w:y="1"/>
      <w:rPr>
        <w:rStyle w:val="32"/>
      </w:rPr>
    </w:pPr>
  </w:p>
  <w:p w14:paraId="62A26F4D">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3BF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83C5F36"/>
    <w:rsid w:val="0EC34685"/>
    <w:rsid w:val="13C41812"/>
    <w:rsid w:val="1C1906F8"/>
    <w:rsid w:val="29A93595"/>
    <w:rsid w:val="2D6A5A84"/>
    <w:rsid w:val="38E73A1B"/>
    <w:rsid w:val="46A8040E"/>
    <w:rsid w:val="47B769CE"/>
    <w:rsid w:val="4A671887"/>
    <w:rsid w:val="517327C5"/>
    <w:rsid w:val="5B07662D"/>
    <w:rsid w:val="5E3755AC"/>
    <w:rsid w:val="66187A39"/>
    <w:rsid w:val="6836510A"/>
    <w:rsid w:val="6AE94BA4"/>
    <w:rsid w:val="6D1547B0"/>
    <w:rsid w:val="6DF523F6"/>
    <w:rsid w:val="72EF37B8"/>
    <w:rsid w:val="73FF58C2"/>
    <w:rsid w:val="873F95FA"/>
    <w:rsid w:val="FFA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9549</Words>
  <Characters>9611</Characters>
  <Lines>69</Lines>
  <Paragraphs>19</Paragraphs>
  <TotalTime>3</TotalTime>
  <ScaleCrop>false</ScaleCrop>
  <LinksUpToDate>false</LinksUpToDate>
  <CharactersWithSpaces>9631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2025-03-28T11:20:00Z</dcterms:created>
  <dc:creator>sse</dc:creator>
  <cp:lastModifiedBy>妮妮橙  จุ๊บ</cp:lastModifiedBy>
  <cp:lastPrinted>2021-12-30T18:54:00Z</cp:lastPrinted>
  <dcterms:modified xsi:type="dcterms:W3CDTF">2025-07-09T05:45:52Z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7ED64D84C5C1464A95085F6558F26683</vt:lpwstr>
  </property>
  <property fmtid="{D5CDD505-2E9C-101B-9397-08002B2CF9AE}" pid="4" name="KSOTemplateDocerSaveRecord">
    <vt:lpwstr>eyJoZGlkIjoiMTU4ZWRiMTZhMjAzZTczZTMwYjAxYTVhNTEzNDEwOWMiLCJ1c2VySWQiOiIxMDQyNTAzNzc4In0=</vt:lpwstr>
  </property>
</Properties>
</file>