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23C" w:rsidRDefault="007535F4">
      <w:pPr>
        <w:spacing w:line="560" w:lineRule="exact"/>
        <w:rPr>
          <w:rFonts w:ascii="仿宋_GB2312" w:eastAsia="仿宋_GB2312"/>
          <w:b/>
          <w:sz w:val="30"/>
          <w:szCs w:val="30"/>
        </w:rPr>
      </w:pPr>
      <w:r>
        <w:rPr>
          <w:rFonts w:ascii="仿宋_GB2312" w:eastAsia="仿宋_GB2312" w:hint="eastAsia"/>
          <w:b/>
          <w:sz w:val="30"/>
          <w:szCs w:val="30"/>
        </w:rPr>
        <w:t>附件</w:t>
      </w:r>
    </w:p>
    <w:p w:rsidR="0001723C" w:rsidRDefault="0001723C">
      <w:pPr>
        <w:spacing w:line="560" w:lineRule="exact"/>
        <w:ind w:firstLineChars="200" w:firstLine="600"/>
        <w:rPr>
          <w:rFonts w:ascii="仿宋_GB2312" w:eastAsia="仿宋_GB2312"/>
          <w:sz w:val="30"/>
          <w:szCs w:val="30"/>
        </w:rPr>
      </w:pPr>
    </w:p>
    <w:p w:rsidR="0001723C" w:rsidRPr="007535F4" w:rsidRDefault="007535F4">
      <w:pPr>
        <w:spacing w:line="560" w:lineRule="exact"/>
        <w:jc w:val="center"/>
        <w:rPr>
          <w:rFonts w:eastAsia="黑体"/>
          <w:b/>
          <w:bCs/>
          <w:sz w:val="42"/>
          <w:szCs w:val="42"/>
        </w:rPr>
      </w:pPr>
      <w:r w:rsidRPr="007535F4">
        <w:rPr>
          <w:rFonts w:eastAsia="黑体" w:hint="eastAsia"/>
          <w:b/>
          <w:bCs/>
          <w:sz w:val="42"/>
          <w:szCs w:val="42"/>
        </w:rPr>
        <w:t>上海证券交易所上市开放式基金业务指引</w:t>
      </w:r>
    </w:p>
    <w:p w:rsidR="0001723C" w:rsidRPr="007535F4" w:rsidRDefault="007535F4">
      <w:pPr>
        <w:spacing w:line="560" w:lineRule="exact"/>
        <w:jc w:val="center"/>
        <w:rPr>
          <w:rFonts w:eastAsia="黑体"/>
          <w:b/>
          <w:bCs/>
          <w:sz w:val="42"/>
          <w:szCs w:val="42"/>
        </w:rPr>
      </w:pPr>
      <w:r w:rsidRPr="007535F4">
        <w:rPr>
          <w:rFonts w:eastAsia="黑体" w:hint="eastAsia"/>
          <w:b/>
          <w:bCs/>
          <w:sz w:val="42"/>
          <w:szCs w:val="42"/>
        </w:rPr>
        <w:t>（</w:t>
      </w:r>
      <w:r w:rsidRPr="007535F4">
        <w:rPr>
          <w:rFonts w:eastAsia="黑体" w:hint="eastAsia"/>
          <w:b/>
          <w:bCs/>
          <w:sz w:val="42"/>
          <w:szCs w:val="42"/>
        </w:rPr>
        <w:t>2019</w:t>
      </w:r>
      <w:r w:rsidRPr="007535F4">
        <w:rPr>
          <w:rFonts w:eastAsia="黑体" w:hint="eastAsia"/>
          <w:b/>
          <w:bCs/>
          <w:sz w:val="42"/>
          <w:szCs w:val="42"/>
        </w:rPr>
        <w:t>年修订）</w:t>
      </w:r>
    </w:p>
    <w:p w:rsidR="0001723C" w:rsidRDefault="0001723C" w:rsidP="007535F4">
      <w:pPr>
        <w:spacing w:line="560" w:lineRule="exact"/>
        <w:ind w:firstLineChars="200" w:firstLine="600"/>
        <w:jc w:val="center"/>
        <w:rPr>
          <w:rFonts w:ascii="仿宋_GB2312" w:eastAsia="仿宋_GB2312" w:hAnsi="宋体"/>
          <w:b/>
          <w:sz w:val="30"/>
          <w:szCs w:val="30"/>
        </w:rPr>
      </w:pPr>
    </w:p>
    <w:p w:rsidR="0001723C" w:rsidRDefault="007535F4">
      <w:pPr>
        <w:pStyle w:val="af9"/>
        <w:widowControl/>
        <w:spacing w:line="560" w:lineRule="exact"/>
        <w:ind w:firstLineChars="0" w:firstLine="0"/>
        <w:jc w:val="center"/>
        <w:rPr>
          <w:rFonts w:ascii="黑体" w:eastAsia="黑体" w:hAnsi="黑体"/>
          <w:b/>
          <w:sz w:val="30"/>
          <w:szCs w:val="30"/>
        </w:rPr>
      </w:pPr>
      <w:bookmarkStart w:id="0" w:name="0"/>
      <w:bookmarkStart w:id="1" w:name="_Toc338048949"/>
      <w:bookmarkEnd w:id="0"/>
      <w:r>
        <w:rPr>
          <w:rFonts w:ascii="黑体" w:eastAsia="黑体" w:hAnsi="黑体"/>
          <w:b/>
          <w:sz w:val="30"/>
          <w:szCs w:val="30"/>
        </w:rPr>
        <w:t>第一章</w:t>
      </w:r>
      <w:r>
        <w:rPr>
          <w:rFonts w:ascii="黑体" w:eastAsia="黑体" w:hAnsi="黑体" w:hint="eastAsia"/>
          <w:b/>
          <w:sz w:val="30"/>
          <w:szCs w:val="30"/>
        </w:rPr>
        <w:t>总则</w:t>
      </w:r>
      <w:bookmarkEnd w:id="1"/>
    </w:p>
    <w:p w:rsidR="0001723C" w:rsidRDefault="007535F4">
      <w:pPr>
        <w:tabs>
          <w:tab w:val="left" w:pos="0"/>
        </w:tabs>
        <w:spacing w:line="560" w:lineRule="exact"/>
        <w:ind w:firstLineChars="200" w:firstLine="600"/>
        <w:rPr>
          <w:rFonts w:ascii="仿宋_GB2312" w:eastAsia="仿宋_GB2312"/>
          <w:sz w:val="30"/>
          <w:szCs w:val="30"/>
        </w:rPr>
      </w:pPr>
      <w:r>
        <w:rPr>
          <w:rFonts w:ascii="仿宋_GB2312" w:eastAsia="仿宋_GB2312" w:hint="eastAsia"/>
          <w:sz w:val="30"/>
          <w:szCs w:val="30"/>
        </w:rPr>
        <w:t>第一条</w:t>
      </w:r>
      <w:r>
        <w:rPr>
          <w:rFonts w:ascii="仿宋_GB2312" w:eastAsia="仿宋_GB2312" w:hint="eastAsia"/>
          <w:sz w:val="30"/>
          <w:szCs w:val="30"/>
        </w:rPr>
        <w:t xml:space="preserve"> </w:t>
      </w:r>
      <w:r>
        <w:rPr>
          <w:rFonts w:ascii="仿宋_GB2312" w:eastAsia="仿宋_GB2312" w:hint="eastAsia"/>
          <w:sz w:val="30"/>
          <w:szCs w:val="30"/>
        </w:rPr>
        <w:t>为促进证券投资基金业的发展，规范上海证券交易所上市开放式基金（以下简称上证</w:t>
      </w:r>
      <w:r>
        <w:rPr>
          <w:rFonts w:ascii="仿宋_GB2312" w:eastAsia="仿宋_GB2312" w:hint="eastAsia"/>
          <w:sz w:val="30"/>
          <w:szCs w:val="30"/>
        </w:rPr>
        <w:t>LOF</w:t>
      </w:r>
      <w:r>
        <w:rPr>
          <w:rFonts w:ascii="仿宋_GB2312" w:eastAsia="仿宋_GB2312" w:hint="eastAsia"/>
          <w:sz w:val="30"/>
          <w:szCs w:val="30"/>
        </w:rPr>
        <w:t>）的交易和登记结算相关业务，根据《上海证券交易所交易规则》《上海证券交易所证券投资基金上市规则》（以下简称《证券投资基金上市规则》）《上海证券交易所开放式基金业务管理办法》（以下简称《开放式基金业务管理办法》）《中国证券登记结算有限责任公司上市开放式基金登记结算业务实施细则》（以下简称《上市开放式基金登记结算业务实施细则》）等相关规定，上海证券交易所（以下简称上交所）与中国证券登记结算有限责任公司（以下简称中国结算）共同制定本</w:t>
      </w:r>
      <w:r>
        <w:rPr>
          <w:rFonts w:ascii="仿宋_GB2312" w:eastAsia="仿宋_GB2312" w:hint="eastAsia"/>
          <w:sz w:val="30"/>
          <w:szCs w:val="30"/>
        </w:rPr>
        <w:t>指引。</w:t>
      </w:r>
    </w:p>
    <w:p w:rsidR="0001723C" w:rsidRDefault="007535F4">
      <w:pPr>
        <w:tabs>
          <w:tab w:val="left" w:pos="0"/>
        </w:tabs>
        <w:spacing w:line="560" w:lineRule="exact"/>
        <w:ind w:firstLineChars="200" w:firstLine="600"/>
        <w:rPr>
          <w:rFonts w:ascii="仿宋_GB2312" w:eastAsia="仿宋_GB2312"/>
          <w:sz w:val="30"/>
          <w:szCs w:val="30"/>
        </w:rPr>
      </w:pPr>
      <w:r>
        <w:rPr>
          <w:rFonts w:ascii="仿宋_GB2312" w:eastAsia="仿宋_GB2312" w:hint="eastAsia"/>
          <w:sz w:val="30"/>
          <w:szCs w:val="30"/>
        </w:rPr>
        <w:t>第二条</w:t>
      </w:r>
      <w:r>
        <w:rPr>
          <w:rFonts w:ascii="仿宋_GB2312" w:eastAsia="仿宋_GB2312" w:hint="eastAsia"/>
          <w:sz w:val="30"/>
          <w:szCs w:val="30"/>
        </w:rPr>
        <w:t xml:space="preserve"> </w:t>
      </w:r>
      <w:r>
        <w:rPr>
          <w:rFonts w:ascii="仿宋_GB2312" w:eastAsia="仿宋_GB2312" w:hint="eastAsia"/>
          <w:sz w:val="30"/>
          <w:szCs w:val="30"/>
        </w:rPr>
        <w:t>上交所会员可以参与上证</w:t>
      </w:r>
      <w:r>
        <w:rPr>
          <w:rFonts w:ascii="仿宋_GB2312" w:eastAsia="仿宋_GB2312" w:hint="eastAsia"/>
          <w:sz w:val="30"/>
          <w:szCs w:val="30"/>
        </w:rPr>
        <w:t>LOF</w:t>
      </w:r>
      <w:r>
        <w:rPr>
          <w:rFonts w:ascii="仿宋_GB2312" w:eastAsia="仿宋_GB2312" w:hint="eastAsia"/>
          <w:sz w:val="30"/>
          <w:szCs w:val="30"/>
        </w:rPr>
        <w:t>交易、分级基金分拆合并等业务；经上交所及中国结算认可的具有基金销售业务资格的上交所会员还可参与上证</w:t>
      </w:r>
      <w:r>
        <w:rPr>
          <w:rFonts w:ascii="仿宋_GB2312" w:eastAsia="仿宋_GB2312" w:hint="eastAsia"/>
          <w:sz w:val="30"/>
          <w:szCs w:val="30"/>
        </w:rPr>
        <w:t>LOF</w:t>
      </w:r>
      <w:r>
        <w:rPr>
          <w:rFonts w:ascii="仿宋_GB2312" w:eastAsia="仿宋_GB2312" w:hint="eastAsia"/>
          <w:sz w:val="30"/>
          <w:szCs w:val="30"/>
        </w:rPr>
        <w:t>的认购、申购、赎回等业务。</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投资者可通过前款规定的上交所会员（业务资格有所不同，以下统称场内证券经营机构）交易以及认购、申购、赎回上证</w:t>
      </w:r>
      <w:r>
        <w:rPr>
          <w:rFonts w:ascii="仿宋_GB2312" w:eastAsia="仿宋_GB2312" w:hint="eastAsia"/>
          <w:sz w:val="30"/>
          <w:szCs w:val="30"/>
        </w:rPr>
        <w:t>LOF</w:t>
      </w:r>
      <w:r>
        <w:rPr>
          <w:rFonts w:ascii="仿宋_GB2312" w:eastAsia="仿宋_GB2312" w:hint="eastAsia"/>
          <w:sz w:val="30"/>
          <w:szCs w:val="30"/>
        </w:rPr>
        <w:t>份额，也可通过商业银行、证券公司、基金公司直销等场外基金销售机构（以下统称场外基金销售机构）认购、申购和赎回上证</w:t>
      </w:r>
      <w:r>
        <w:rPr>
          <w:rFonts w:ascii="仿宋_GB2312" w:eastAsia="仿宋_GB2312" w:hint="eastAsia"/>
          <w:sz w:val="30"/>
          <w:szCs w:val="30"/>
        </w:rPr>
        <w:t>LOF</w:t>
      </w:r>
      <w:r>
        <w:rPr>
          <w:rFonts w:ascii="仿宋_GB2312" w:eastAsia="仿宋_GB2312" w:hint="eastAsia"/>
          <w:sz w:val="30"/>
          <w:szCs w:val="30"/>
        </w:rPr>
        <w:t>份额。</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单个上证</w:t>
      </w:r>
      <w:r>
        <w:rPr>
          <w:rFonts w:ascii="仿宋_GB2312" w:eastAsia="仿宋_GB2312" w:hint="eastAsia"/>
          <w:sz w:val="30"/>
          <w:szCs w:val="30"/>
        </w:rPr>
        <w:t>LOF</w:t>
      </w:r>
      <w:r>
        <w:rPr>
          <w:rFonts w:ascii="仿宋_GB2312" w:eastAsia="仿宋_GB2312" w:hint="eastAsia"/>
          <w:sz w:val="30"/>
          <w:szCs w:val="30"/>
        </w:rPr>
        <w:t>产品的场内证券经营机构以及场外基金销售机构名单以基金管理人的公告为准。</w:t>
      </w:r>
    </w:p>
    <w:p w:rsidR="0001723C" w:rsidRDefault="007535F4">
      <w:pPr>
        <w:tabs>
          <w:tab w:val="left" w:pos="0"/>
        </w:tabs>
        <w:spacing w:line="560" w:lineRule="exact"/>
        <w:ind w:firstLineChars="200" w:firstLine="600"/>
        <w:rPr>
          <w:rFonts w:ascii="仿宋_GB2312" w:eastAsia="仿宋_GB2312"/>
          <w:sz w:val="30"/>
          <w:szCs w:val="30"/>
        </w:rPr>
      </w:pPr>
      <w:r>
        <w:rPr>
          <w:rFonts w:ascii="仿宋_GB2312" w:eastAsia="仿宋_GB2312" w:hint="eastAsia"/>
          <w:sz w:val="30"/>
          <w:szCs w:val="30"/>
        </w:rPr>
        <w:t>第三条</w:t>
      </w:r>
      <w:r>
        <w:rPr>
          <w:rFonts w:ascii="仿宋_GB2312" w:eastAsia="仿宋_GB2312" w:hint="eastAsia"/>
          <w:sz w:val="30"/>
          <w:szCs w:val="30"/>
        </w:rPr>
        <w:t xml:space="preserve"> </w:t>
      </w:r>
      <w:r>
        <w:rPr>
          <w:rFonts w:ascii="仿宋_GB2312" w:eastAsia="仿宋_GB2312" w:hint="eastAsia"/>
          <w:sz w:val="30"/>
          <w:szCs w:val="30"/>
        </w:rPr>
        <w:t>基金</w:t>
      </w:r>
      <w:r>
        <w:rPr>
          <w:rFonts w:ascii="仿宋_GB2312" w:eastAsia="仿宋_GB2312" w:hint="eastAsia"/>
          <w:sz w:val="30"/>
          <w:szCs w:val="30"/>
        </w:rPr>
        <w:t>管理人、基金销售机构（包括场内证券经营机构及场外基金销售机构）应按照上交所和中国结算相关规定办理参与上证</w:t>
      </w:r>
      <w:r>
        <w:rPr>
          <w:rFonts w:ascii="仿宋_GB2312" w:eastAsia="仿宋_GB2312" w:hint="eastAsia"/>
          <w:sz w:val="30"/>
          <w:szCs w:val="30"/>
        </w:rPr>
        <w:t>LOF</w:t>
      </w:r>
      <w:r>
        <w:rPr>
          <w:rFonts w:ascii="仿宋_GB2312" w:eastAsia="仿宋_GB2312" w:hint="eastAsia"/>
          <w:sz w:val="30"/>
          <w:szCs w:val="30"/>
        </w:rPr>
        <w:t>业务的相关手续。中国结算总部统一向基金管理人提供基金持有人名册、场内和场外份额明细、账户资料等相关数据资料和相关登记结算服务。</w:t>
      </w:r>
    </w:p>
    <w:p w:rsidR="0001723C" w:rsidRDefault="007535F4">
      <w:pPr>
        <w:pStyle w:val="af9"/>
        <w:widowControl/>
        <w:spacing w:line="560" w:lineRule="exact"/>
        <w:ind w:firstLineChars="0" w:firstLine="0"/>
        <w:jc w:val="center"/>
        <w:rPr>
          <w:rFonts w:ascii="黑体" w:eastAsia="黑体" w:hAnsi="黑体"/>
          <w:b/>
          <w:sz w:val="30"/>
          <w:szCs w:val="30"/>
        </w:rPr>
      </w:pPr>
      <w:bookmarkStart w:id="2" w:name="_Toc338048950"/>
      <w:r>
        <w:rPr>
          <w:rFonts w:ascii="黑体" w:eastAsia="黑体" w:hAnsi="黑体"/>
          <w:b/>
          <w:sz w:val="30"/>
          <w:szCs w:val="30"/>
        </w:rPr>
        <w:t>第二章</w:t>
      </w:r>
      <w:r>
        <w:rPr>
          <w:rFonts w:ascii="黑体" w:eastAsia="黑体" w:hAnsi="黑体" w:hint="eastAsia"/>
          <w:b/>
          <w:sz w:val="30"/>
          <w:szCs w:val="30"/>
        </w:rPr>
        <w:t>基金简称、代码和账户</w:t>
      </w:r>
      <w:bookmarkEnd w:id="2"/>
    </w:p>
    <w:p w:rsidR="0001723C" w:rsidRDefault="007535F4" w:rsidP="007535F4">
      <w:pPr>
        <w:pStyle w:val="26"/>
        <w:spacing w:afterLines="0" w:line="560" w:lineRule="exact"/>
        <w:ind w:firstLineChars="200" w:firstLine="600"/>
        <w:rPr>
          <w:b/>
          <w:sz w:val="30"/>
          <w:szCs w:val="30"/>
        </w:rPr>
      </w:pPr>
      <w:r>
        <w:rPr>
          <w:rFonts w:hint="eastAsia"/>
          <w:b/>
          <w:sz w:val="30"/>
          <w:szCs w:val="30"/>
        </w:rPr>
        <w:t>第一节</w:t>
      </w:r>
      <w:r>
        <w:rPr>
          <w:b/>
          <w:sz w:val="30"/>
          <w:szCs w:val="30"/>
        </w:rPr>
        <w:tab/>
      </w:r>
      <w:r>
        <w:rPr>
          <w:rFonts w:hint="eastAsia"/>
          <w:b/>
          <w:sz w:val="30"/>
          <w:szCs w:val="30"/>
        </w:rPr>
        <w:t xml:space="preserve"> </w:t>
      </w:r>
      <w:r>
        <w:rPr>
          <w:rFonts w:hint="eastAsia"/>
          <w:b/>
          <w:sz w:val="30"/>
          <w:szCs w:val="30"/>
        </w:rPr>
        <w:t>基金简称和代码</w:t>
      </w:r>
    </w:p>
    <w:p w:rsidR="0001723C" w:rsidRDefault="007535F4">
      <w:pPr>
        <w:tabs>
          <w:tab w:val="left" w:pos="0"/>
        </w:tabs>
        <w:spacing w:line="560" w:lineRule="exact"/>
        <w:ind w:firstLineChars="200" w:firstLine="600"/>
        <w:rPr>
          <w:rFonts w:ascii="仿宋_GB2312" w:eastAsia="仿宋_GB2312"/>
          <w:sz w:val="30"/>
          <w:szCs w:val="30"/>
        </w:rPr>
      </w:pPr>
      <w:r>
        <w:rPr>
          <w:rFonts w:ascii="仿宋_GB2312" w:eastAsia="仿宋_GB2312" w:hint="eastAsia"/>
          <w:sz w:val="30"/>
          <w:szCs w:val="30"/>
        </w:rPr>
        <w:t>第四条</w:t>
      </w:r>
      <w:r>
        <w:rPr>
          <w:rFonts w:ascii="仿宋_GB2312" w:eastAsia="仿宋_GB2312" w:hint="eastAsia"/>
          <w:sz w:val="30"/>
          <w:szCs w:val="30"/>
        </w:rPr>
        <w:t xml:space="preserve"> </w:t>
      </w:r>
      <w:r>
        <w:rPr>
          <w:rFonts w:ascii="仿宋_GB2312" w:eastAsia="仿宋_GB2312" w:hint="eastAsia"/>
          <w:sz w:val="30"/>
          <w:szCs w:val="30"/>
        </w:rPr>
        <w:t>上交所根据基金管理人申请提供基金场内简称和基金代码。基金管理人及其销售机构、基金托管人应使用与上交所相同的代码。</w:t>
      </w:r>
    </w:p>
    <w:p w:rsidR="0001723C" w:rsidRDefault="007535F4">
      <w:pPr>
        <w:tabs>
          <w:tab w:val="left" w:pos="0"/>
        </w:tabs>
        <w:spacing w:line="560" w:lineRule="exact"/>
        <w:ind w:firstLineChars="200" w:firstLine="600"/>
        <w:rPr>
          <w:rFonts w:ascii="仿宋_GB2312" w:eastAsia="仿宋_GB2312"/>
          <w:sz w:val="30"/>
          <w:szCs w:val="30"/>
        </w:rPr>
      </w:pPr>
      <w:r>
        <w:rPr>
          <w:rFonts w:ascii="仿宋_GB2312" w:eastAsia="仿宋_GB2312" w:hint="eastAsia"/>
          <w:sz w:val="30"/>
          <w:szCs w:val="30"/>
        </w:rPr>
        <w:t>第五条</w:t>
      </w:r>
      <w:r>
        <w:rPr>
          <w:rFonts w:ascii="仿宋_GB2312" w:eastAsia="仿宋_GB2312" w:hint="eastAsia"/>
          <w:sz w:val="30"/>
          <w:szCs w:val="30"/>
        </w:rPr>
        <w:t>基金场内简称不超过</w:t>
      </w:r>
      <w:r>
        <w:rPr>
          <w:rFonts w:ascii="仿宋_GB2312" w:eastAsia="仿宋_GB2312" w:hint="eastAsia"/>
          <w:sz w:val="30"/>
          <w:szCs w:val="30"/>
        </w:rPr>
        <w:t>4</w:t>
      </w:r>
      <w:r>
        <w:rPr>
          <w:rFonts w:ascii="仿宋_GB2312" w:eastAsia="仿宋_GB2312" w:hint="eastAsia"/>
          <w:sz w:val="30"/>
          <w:szCs w:val="30"/>
        </w:rPr>
        <w:t>个汉字或</w:t>
      </w:r>
      <w:r>
        <w:rPr>
          <w:rFonts w:ascii="仿宋_GB2312" w:eastAsia="仿宋_GB2312" w:hint="eastAsia"/>
          <w:sz w:val="30"/>
          <w:szCs w:val="30"/>
        </w:rPr>
        <w:t>8</w:t>
      </w:r>
      <w:r>
        <w:rPr>
          <w:rFonts w:ascii="仿宋_GB2312" w:eastAsia="仿宋_GB2312" w:hint="eastAsia"/>
          <w:sz w:val="30"/>
          <w:szCs w:val="30"/>
        </w:rPr>
        <w:t>个字符，用于标识基金管理人和基金产品。</w:t>
      </w:r>
    </w:p>
    <w:p w:rsidR="0001723C" w:rsidRDefault="007535F4">
      <w:pPr>
        <w:tabs>
          <w:tab w:val="left" w:pos="0"/>
        </w:tabs>
        <w:spacing w:line="560" w:lineRule="exact"/>
        <w:ind w:firstLineChars="200" w:firstLine="600"/>
        <w:rPr>
          <w:rFonts w:ascii="仿宋_GB2312" w:eastAsia="仿宋_GB2312"/>
          <w:sz w:val="30"/>
          <w:szCs w:val="30"/>
        </w:rPr>
      </w:pPr>
      <w:r>
        <w:rPr>
          <w:rFonts w:ascii="仿宋_GB2312" w:eastAsia="仿宋_GB2312" w:hint="eastAsia"/>
          <w:sz w:val="30"/>
          <w:szCs w:val="30"/>
        </w:rPr>
        <w:t>第六条</w:t>
      </w:r>
      <w:r>
        <w:rPr>
          <w:rFonts w:ascii="仿宋_GB2312" w:eastAsia="仿宋_GB2312" w:hint="eastAsia"/>
          <w:sz w:val="30"/>
          <w:szCs w:val="30"/>
        </w:rPr>
        <w:t xml:space="preserve"> </w:t>
      </w:r>
      <w:r>
        <w:rPr>
          <w:rFonts w:ascii="仿宋_GB2312" w:eastAsia="仿宋_GB2312" w:hint="eastAsia"/>
          <w:sz w:val="30"/>
          <w:szCs w:val="30"/>
        </w:rPr>
        <w:t>基金代码由</w:t>
      </w:r>
      <w:r>
        <w:rPr>
          <w:rFonts w:ascii="仿宋_GB2312" w:eastAsia="仿宋_GB2312" w:hint="eastAsia"/>
          <w:sz w:val="30"/>
          <w:szCs w:val="30"/>
        </w:rPr>
        <w:t>6</w:t>
      </w:r>
      <w:r>
        <w:rPr>
          <w:rFonts w:ascii="仿宋_GB2312" w:eastAsia="仿宋_GB2312" w:hint="eastAsia"/>
          <w:sz w:val="30"/>
          <w:szCs w:val="30"/>
        </w:rPr>
        <w:t>位阿拉伯数字构成，用于标识基金产品序号。</w:t>
      </w:r>
    </w:p>
    <w:p w:rsidR="0001723C" w:rsidRDefault="007535F4" w:rsidP="007535F4">
      <w:pPr>
        <w:pStyle w:val="26"/>
        <w:spacing w:afterLines="0" w:line="560" w:lineRule="exact"/>
        <w:ind w:firstLineChars="200" w:firstLine="600"/>
        <w:rPr>
          <w:b/>
          <w:sz w:val="30"/>
          <w:szCs w:val="30"/>
        </w:rPr>
      </w:pPr>
      <w:r>
        <w:rPr>
          <w:rFonts w:hint="eastAsia"/>
          <w:b/>
          <w:sz w:val="30"/>
          <w:szCs w:val="30"/>
        </w:rPr>
        <w:t>第二节</w:t>
      </w:r>
      <w:r>
        <w:rPr>
          <w:b/>
          <w:sz w:val="30"/>
          <w:szCs w:val="30"/>
        </w:rPr>
        <w:tab/>
      </w:r>
      <w:r>
        <w:rPr>
          <w:rFonts w:hint="eastAsia"/>
          <w:b/>
          <w:sz w:val="30"/>
          <w:szCs w:val="30"/>
        </w:rPr>
        <w:t xml:space="preserve">  </w:t>
      </w:r>
      <w:r>
        <w:rPr>
          <w:rFonts w:hint="eastAsia"/>
          <w:b/>
          <w:sz w:val="30"/>
          <w:szCs w:val="30"/>
        </w:rPr>
        <w:t>证券账户和基金账户</w:t>
      </w:r>
    </w:p>
    <w:p w:rsidR="0001723C" w:rsidRDefault="007535F4">
      <w:pPr>
        <w:tabs>
          <w:tab w:val="left" w:pos="0"/>
        </w:tabs>
        <w:spacing w:line="560" w:lineRule="exact"/>
        <w:ind w:firstLineChars="200" w:firstLine="600"/>
        <w:rPr>
          <w:rFonts w:ascii="仿宋_GB2312" w:eastAsia="仿宋_GB2312"/>
          <w:sz w:val="30"/>
          <w:szCs w:val="30"/>
        </w:rPr>
      </w:pPr>
      <w:r>
        <w:rPr>
          <w:rFonts w:ascii="仿宋_GB2312" w:eastAsia="仿宋_GB2312" w:hint="eastAsia"/>
          <w:sz w:val="30"/>
          <w:szCs w:val="30"/>
        </w:rPr>
        <w:t>第七条</w:t>
      </w:r>
      <w:r>
        <w:rPr>
          <w:rFonts w:ascii="仿宋_GB2312" w:eastAsia="仿宋_GB2312" w:hint="eastAsia"/>
          <w:sz w:val="30"/>
          <w:szCs w:val="30"/>
        </w:rPr>
        <w:t xml:space="preserve"> </w:t>
      </w:r>
      <w:r>
        <w:rPr>
          <w:rFonts w:ascii="仿宋_GB2312" w:eastAsia="仿宋_GB2312" w:hint="eastAsia"/>
          <w:sz w:val="30"/>
          <w:szCs w:val="30"/>
        </w:rPr>
        <w:t>中国结算对上证</w:t>
      </w:r>
      <w:r>
        <w:rPr>
          <w:rFonts w:ascii="仿宋_GB2312" w:eastAsia="仿宋_GB2312" w:hint="eastAsia"/>
          <w:sz w:val="30"/>
          <w:szCs w:val="30"/>
        </w:rPr>
        <w:t>LOF</w:t>
      </w:r>
      <w:r>
        <w:rPr>
          <w:rFonts w:ascii="仿宋_GB2312" w:eastAsia="仿宋_GB2312" w:hint="eastAsia"/>
          <w:sz w:val="30"/>
          <w:szCs w:val="30"/>
        </w:rPr>
        <w:t>份额实行分系统登记。投资者通过场内证券经营机构认购、申购、买入所得的上证</w:t>
      </w:r>
      <w:r>
        <w:rPr>
          <w:rFonts w:ascii="仿宋_GB2312" w:eastAsia="仿宋_GB2312" w:hint="eastAsia"/>
          <w:sz w:val="30"/>
          <w:szCs w:val="30"/>
        </w:rPr>
        <w:t>LOF</w:t>
      </w:r>
      <w:r>
        <w:rPr>
          <w:rFonts w:ascii="仿宋_GB2312" w:eastAsia="仿宋_GB2312" w:hint="eastAsia"/>
          <w:sz w:val="30"/>
          <w:szCs w:val="30"/>
        </w:rPr>
        <w:t>份额登记在中国结算上海分公司证券登记结算系统（以下简称中国结算上海分公司证券登记系统）；投资者通过场外基金销售机构认购、申购所得的上证</w:t>
      </w:r>
      <w:r>
        <w:rPr>
          <w:rFonts w:ascii="仿宋_GB2312" w:eastAsia="仿宋_GB2312" w:hint="eastAsia"/>
          <w:sz w:val="30"/>
          <w:szCs w:val="30"/>
        </w:rPr>
        <w:t>LOF</w:t>
      </w:r>
      <w:r>
        <w:rPr>
          <w:rFonts w:ascii="仿宋_GB2312" w:eastAsia="仿宋_GB2312" w:hint="eastAsia"/>
          <w:sz w:val="30"/>
          <w:szCs w:val="30"/>
        </w:rPr>
        <w:t>份额登记在中国结算开放式基金登记结算系统（以下简称中国结算</w:t>
      </w:r>
      <w:r>
        <w:rPr>
          <w:rFonts w:ascii="仿宋_GB2312" w:eastAsia="仿宋_GB2312" w:hint="eastAsia"/>
          <w:sz w:val="30"/>
          <w:szCs w:val="30"/>
        </w:rPr>
        <w:t>TA</w:t>
      </w:r>
      <w:r>
        <w:rPr>
          <w:rFonts w:ascii="仿宋_GB2312" w:eastAsia="仿宋_GB2312" w:hint="eastAsia"/>
          <w:sz w:val="30"/>
          <w:szCs w:val="30"/>
        </w:rPr>
        <w:t>系统）。</w:t>
      </w:r>
    </w:p>
    <w:p w:rsidR="0001723C" w:rsidRDefault="007535F4">
      <w:pPr>
        <w:tabs>
          <w:tab w:val="left" w:pos="0"/>
        </w:tabs>
        <w:spacing w:line="560" w:lineRule="exact"/>
        <w:ind w:firstLineChars="200" w:firstLine="600"/>
        <w:rPr>
          <w:rFonts w:ascii="仿宋_GB2312" w:eastAsia="仿宋_GB2312"/>
          <w:sz w:val="30"/>
          <w:szCs w:val="30"/>
        </w:rPr>
      </w:pPr>
      <w:r>
        <w:rPr>
          <w:rFonts w:ascii="仿宋_GB2312" w:eastAsia="仿宋_GB2312" w:hint="eastAsia"/>
          <w:sz w:val="30"/>
          <w:szCs w:val="30"/>
        </w:rPr>
        <w:t>第八条</w:t>
      </w:r>
      <w:r>
        <w:rPr>
          <w:rFonts w:ascii="仿宋_GB2312" w:eastAsia="仿宋_GB2312" w:hint="eastAsia"/>
          <w:sz w:val="30"/>
          <w:szCs w:val="30"/>
        </w:rPr>
        <w:t xml:space="preserve"> </w:t>
      </w:r>
      <w:r>
        <w:rPr>
          <w:rFonts w:ascii="仿宋_GB2312" w:eastAsia="仿宋_GB2312" w:hint="eastAsia"/>
          <w:sz w:val="30"/>
          <w:szCs w:val="30"/>
        </w:rPr>
        <w:t>投资者可持中国结算上海人民币普通股票账户或证</w:t>
      </w:r>
      <w:r>
        <w:rPr>
          <w:rFonts w:ascii="仿宋_GB2312" w:eastAsia="仿宋_GB2312" w:hint="eastAsia"/>
          <w:sz w:val="30"/>
          <w:szCs w:val="30"/>
        </w:rPr>
        <w:lastRenderedPageBreak/>
        <w:t>券投资基金账户（以下统称上海证券账户，其中证券投资基金</w:t>
      </w:r>
      <w:r>
        <w:rPr>
          <w:rFonts w:ascii="仿宋_GB2312" w:eastAsia="仿宋_GB2312" w:hint="eastAsia"/>
          <w:sz w:val="30"/>
          <w:szCs w:val="30"/>
        </w:rPr>
        <w:t>账户同中国结算《证券账户管理规则》所称“封闭式基金账户”）通过场内证券经营机构在上交所认购、申购、赎回及交易上证</w:t>
      </w:r>
      <w:r>
        <w:rPr>
          <w:rFonts w:ascii="仿宋_GB2312" w:eastAsia="仿宋_GB2312" w:hint="eastAsia"/>
          <w:sz w:val="30"/>
          <w:szCs w:val="30"/>
        </w:rPr>
        <w:t>LOF</w:t>
      </w:r>
      <w:r>
        <w:rPr>
          <w:rFonts w:ascii="仿宋_GB2312" w:eastAsia="仿宋_GB2312" w:hint="eastAsia"/>
          <w:sz w:val="30"/>
          <w:szCs w:val="30"/>
        </w:rPr>
        <w:t>份额。投资者可持中国结算上海开放式基金账户通过场外基金销售机构认购、申购和赎回上证</w:t>
      </w:r>
      <w:r>
        <w:rPr>
          <w:rFonts w:ascii="仿宋_GB2312" w:eastAsia="仿宋_GB2312" w:hint="eastAsia"/>
          <w:sz w:val="30"/>
          <w:szCs w:val="30"/>
        </w:rPr>
        <w:t>LOF</w:t>
      </w:r>
      <w:r>
        <w:rPr>
          <w:rFonts w:ascii="仿宋_GB2312" w:eastAsia="仿宋_GB2312" w:hint="eastAsia"/>
          <w:sz w:val="30"/>
          <w:szCs w:val="30"/>
        </w:rPr>
        <w:t>份额。</w:t>
      </w:r>
    </w:p>
    <w:p w:rsidR="0001723C" w:rsidRDefault="007535F4">
      <w:pPr>
        <w:tabs>
          <w:tab w:val="left" w:pos="0"/>
        </w:tabs>
        <w:spacing w:line="560" w:lineRule="exact"/>
        <w:ind w:firstLineChars="200" w:firstLine="600"/>
        <w:rPr>
          <w:rFonts w:ascii="仿宋_GB2312" w:eastAsia="仿宋_GB2312"/>
          <w:sz w:val="30"/>
          <w:szCs w:val="30"/>
        </w:rPr>
      </w:pPr>
      <w:r>
        <w:rPr>
          <w:rFonts w:ascii="仿宋_GB2312" w:eastAsia="仿宋_GB2312" w:hint="eastAsia"/>
          <w:sz w:val="30"/>
          <w:szCs w:val="30"/>
        </w:rPr>
        <w:t>第九条</w:t>
      </w:r>
      <w:r>
        <w:rPr>
          <w:rFonts w:ascii="仿宋_GB2312" w:eastAsia="仿宋_GB2312" w:hint="eastAsia"/>
          <w:sz w:val="30"/>
          <w:szCs w:val="30"/>
        </w:rPr>
        <w:t xml:space="preserve"> </w:t>
      </w:r>
      <w:r>
        <w:rPr>
          <w:rFonts w:ascii="仿宋_GB2312" w:eastAsia="仿宋_GB2312" w:hint="eastAsia"/>
          <w:sz w:val="30"/>
          <w:szCs w:val="30"/>
        </w:rPr>
        <w:t>上海证券账户的开立、使用、账户资料变更、查询、注销等业务，按照中国结算《证券账户管理规则》等相关规定办理；开放式基金账户的开立、使用、账户资料变更、查询、注销等业务，按照中国结算《上市开放式基金登记结算业务实施细则》《开放式证券投资基金及证券公司集合资产管理计划登记结算业务指南》等相关规定</w:t>
      </w:r>
      <w:r>
        <w:rPr>
          <w:rFonts w:ascii="仿宋_GB2312" w:eastAsia="仿宋_GB2312" w:hint="eastAsia"/>
          <w:sz w:val="30"/>
          <w:szCs w:val="30"/>
        </w:rPr>
        <w:t>办理。</w:t>
      </w:r>
    </w:p>
    <w:p w:rsidR="0001723C" w:rsidRDefault="007535F4" w:rsidP="007535F4">
      <w:pPr>
        <w:pStyle w:val="26"/>
        <w:spacing w:afterLines="0" w:line="560" w:lineRule="exact"/>
        <w:ind w:firstLineChars="200" w:firstLine="600"/>
        <w:rPr>
          <w:b/>
          <w:sz w:val="30"/>
          <w:szCs w:val="30"/>
        </w:rPr>
      </w:pPr>
      <w:r>
        <w:rPr>
          <w:rFonts w:hint="eastAsia"/>
          <w:b/>
          <w:sz w:val="30"/>
          <w:szCs w:val="30"/>
        </w:rPr>
        <w:t>第三节</w:t>
      </w:r>
      <w:r>
        <w:rPr>
          <w:b/>
          <w:sz w:val="30"/>
          <w:szCs w:val="30"/>
        </w:rPr>
        <w:t xml:space="preserve">  </w:t>
      </w:r>
      <w:r>
        <w:rPr>
          <w:rFonts w:hint="eastAsia"/>
          <w:b/>
          <w:sz w:val="30"/>
          <w:szCs w:val="30"/>
        </w:rPr>
        <w:t>资金结算账户</w:t>
      </w:r>
    </w:p>
    <w:p w:rsidR="0001723C" w:rsidRDefault="007535F4">
      <w:pPr>
        <w:tabs>
          <w:tab w:val="left" w:pos="0"/>
        </w:tabs>
        <w:spacing w:line="560" w:lineRule="exact"/>
        <w:ind w:firstLineChars="200" w:firstLine="600"/>
        <w:rPr>
          <w:rFonts w:ascii="仿宋_GB2312" w:eastAsia="仿宋_GB2312"/>
          <w:sz w:val="30"/>
          <w:szCs w:val="30"/>
        </w:rPr>
      </w:pPr>
      <w:r>
        <w:rPr>
          <w:rFonts w:ascii="仿宋_GB2312" w:eastAsia="仿宋_GB2312" w:hint="eastAsia"/>
          <w:sz w:val="30"/>
          <w:szCs w:val="30"/>
        </w:rPr>
        <w:t>第十条</w:t>
      </w:r>
      <w:r>
        <w:rPr>
          <w:rFonts w:ascii="仿宋_GB2312" w:eastAsia="仿宋_GB2312" w:hint="eastAsia"/>
          <w:sz w:val="30"/>
          <w:szCs w:val="30"/>
        </w:rPr>
        <w:t xml:space="preserve"> </w:t>
      </w:r>
      <w:r>
        <w:rPr>
          <w:rFonts w:ascii="仿宋_GB2312" w:eastAsia="仿宋_GB2312" w:hint="eastAsia"/>
          <w:sz w:val="30"/>
          <w:szCs w:val="30"/>
        </w:rPr>
        <w:t>场内证券经营机构、场外基金销售机构、基金管理人等上证</w:t>
      </w:r>
      <w:r>
        <w:rPr>
          <w:rFonts w:ascii="仿宋_GB2312" w:eastAsia="仿宋_GB2312" w:hint="eastAsia"/>
          <w:sz w:val="30"/>
          <w:szCs w:val="30"/>
        </w:rPr>
        <w:t>LOF</w:t>
      </w:r>
      <w:r>
        <w:rPr>
          <w:rFonts w:ascii="仿宋_GB2312" w:eastAsia="仿宋_GB2312" w:hint="eastAsia"/>
          <w:sz w:val="30"/>
          <w:szCs w:val="30"/>
        </w:rPr>
        <w:t>结算业务参与人应在中国结算开立相关资金结算账户。</w:t>
      </w:r>
    </w:p>
    <w:p w:rsidR="0001723C" w:rsidRDefault="007535F4">
      <w:pPr>
        <w:tabs>
          <w:tab w:val="left" w:pos="0"/>
        </w:tabs>
        <w:spacing w:line="560" w:lineRule="exact"/>
        <w:ind w:firstLineChars="200" w:firstLine="600"/>
        <w:rPr>
          <w:rFonts w:ascii="仿宋_GB2312" w:eastAsia="仿宋_GB2312"/>
          <w:sz w:val="30"/>
          <w:szCs w:val="30"/>
        </w:rPr>
      </w:pPr>
      <w:r>
        <w:rPr>
          <w:rFonts w:ascii="仿宋_GB2312" w:eastAsia="仿宋_GB2312" w:hint="eastAsia"/>
          <w:sz w:val="30"/>
          <w:szCs w:val="30"/>
        </w:rPr>
        <w:t>第十一条</w:t>
      </w:r>
      <w:r>
        <w:rPr>
          <w:rFonts w:ascii="仿宋_GB2312" w:eastAsia="仿宋_GB2312" w:hint="eastAsia"/>
          <w:sz w:val="30"/>
          <w:szCs w:val="30"/>
        </w:rPr>
        <w:t>参与上证</w:t>
      </w:r>
      <w:r>
        <w:rPr>
          <w:rFonts w:ascii="仿宋_GB2312" w:eastAsia="仿宋_GB2312" w:hint="eastAsia"/>
          <w:sz w:val="30"/>
          <w:szCs w:val="30"/>
        </w:rPr>
        <w:t>LOF</w:t>
      </w:r>
      <w:r>
        <w:rPr>
          <w:rFonts w:ascii="仿宋_GB2312" w:eastAsia="仿宋_GB2312" w:hint="eastAsia"/>
          <w:sz w:val="30"/>
          <w:szCs w:val="30"/>
        </w:rPr>
        <w:t>场内交易和场内权益分派业务的结算业务参与人应当使用证券（</w:t>
      </w:r>
      <w:r>
        <w:rPr>
          <w:rFonts w:ascii="仿宋_GB2312" w:eastAsia="仿宋_GB2312" w:hint="eastAsia"/>
          <w:sz w:val="30"/>
          <w:szCs w:val="30"/>
        </w:rPr>
        <w:t>A</w:t>
      </w:r>
      <w:r>
        <w:rPr>
          <w:rFonts w:ascii="仿宋_GB2312" w:eastAsia="仿宋_GB2312" w:hint="eastAsia"/>
          <w:sz w:val="30"/>
          <w:szCs w:val="30"/>
        </w:rPr>
        <w:t>股）结算备付金账户完成相关资金交收。参与上证</w:t>
      </w:r>
      <w:r>
        <w:rPr>
          <w:rFonts w:ascii="仿宋_GB2312" w:eastAsia="仿宋_GB2312" w:hint="eastAsia"/>
          <w:sz w:val="30"/>
          <w:szCs w:val="30"/>
        </w:rPr>
        <w:t>LOF</w:t>
      </w:r>
      <w:r>
        <w:rPr>
          <w:rFonts w:ascii="仿宋_GB2312" w:eastAsia="仿宋_GB2312" w:hint="eastAsia"/>
          <w:sz w:val="30"/>
          <w:szCs w:val="30"/>
        </w:rPr>
        <w:t>场内认购、申购、赎回和场外认购、申购、赎回、权益分派等业务的应当使用开放式基金结算备付金账户完成相关资金交收。</w:t>
      </w:r>
    </w:p>
    <w:p w:rsidR="0001723C" w:rsidRDefault="007535F4">
      <w:pPr>
        <w:tabs>
          <w:tab w:val="left" w:pos="0"/>
        </w:tabs>
        <w:spacing w:line="560" w:lineRule="exact"/>
        <w:ind w:firstLineChars="200" w:firstLine="600"/>
        <w:rPr>
          <w:rFonts w:ascii="仿宋_GB2312" w:eastAsia="仿宋_GB2312"/>
          <w:sz w:val="30"/>
          <w:szCs w:val="30"/>
        </w:rPr>
      </w:pPr>
      <w:r>
        <w:rPr>
          <w:rFonts w:ascii="仿宋_GB2312" w:eastAsia="仿宋_GB2312" w:hint="eastAsia"/>
          <w:sz w:val="30"/>
          <w:szCs w:val="30"/>
        </w:rPr>
        <w:t>第十二条</w:t>
      </w:r>
      <w:r>
        <w:rPr>
          <w:rFonts w:ascii="仿宋_GB2312" w:eastAsia="仿宋_GB2312" w:hint="eastAsia"/>
          <w:sz w:val="30"/>
          <w:szCs w:val="30"/>
        </w:rPr>
        <w:t>结算业务参与人开立证券（</w:t>
      </w:r>
      <w:r>
        <w:rPr>
          <w:rFonts w:ascii="仿宋_GB2312" w:eastAsia="仿宋_GB2312" w:hint="eastAsia"/>
          <w:sz w:val="30"/>
          <w:szCs w:val="30"/>
        </w:rPr>
        <w:t>A</w:t>
      </w:r>
      <w:r>
        <w:rPr>
          <w:rFonts w:ascii="仿宋_GB2312" w:eastAsia="仿宋_GB2312" w:hint="eastAsia"/>
          <w:sz w:val="30"/>
          <w:szCs w:val="30"/>
        </w:rPr>
        <w:t>股）资金结算账户应按照《中国结算上海分公司结算账户管理及资金结算业务指南》《中国结算深圳分公司证券资金结算业务指南》及相关规定办理；结算业务参与人开立开放式基金资金结算账户应按照中国结算</w:t>
      </w:r>
      <w:r>
        <w:rPr>
          <w:rFonts w:ascii="仿宋_GB2312" w:eastAsia="仿宋_GB2312" w:hint="eastAsia"/>
          <w:sz w:val="30"/>
          <w:szCs w:val="30"/>
        </w:rPr>
        <w:lastRenderedPageBreak/>
        <w:t>《上市开放式基金登记结算业务实施细则》《中国结算上海分公司结算账户管理及资金结算业务指南》《中国结算深圳分公司证券资金结算业务指南》《开放式证券投资基金及证券公司集合资产管理计划登记结算业务指南》及相关规定办理。</w:t>
      </w:r>
    </w:p>
    <w:p w:rsidR="0001723C" w:rsidRDefault="007535F4">
      <w:pPr>
        <w:pStyle w:val="af9"/>
        <w:widowControl/>
        <w:spacing w:line="560" w:lineRule="exact"/>
        <w:ind w:firstLineChars="0" w:firstLine="0"/>
        <w:jc w:val="center"/>
        <w:rPr>
          <w:rFonts w:ascii="黑体" w:eastAsia="黑体" w:hAnsi="黑体"/>
          <w:b/>
          <w:sz w:val="30"/>
          <w:szCs w:val="30"/>
        </w:rPr>
      </w:pPr>
      <w:r>
        <w:rPr>
          <w:rFonts w:ascii="黑体" w:eastAsia="黑体" w:hAnsi="黑体"/>
          <w:b/>
          <w:sz w:val="30"/>
          <w:szCs w:val="30"/>
        </w:rPr>
        <w:t>第三章</w:t>
      </w:r>
      <w:r>
        <w:rPr>
          <w:rFonts w:ascii="黑体" w:eastAsia="黑体" w:hAnsi="黑体" w:hint="eastAsia"/>
          <w:b/>
          <w:sz w:val="30"/>
          <w:szCs w:val="30"/>
        </w:rPr>
        <w:t>认购</w:t>
      </w:r>
    </w:p>
    <w:p w:rsidR="0001723C" w:rsidRDefault="007535F4">
      <w:pPr>
        <w:pStyle w:val="26"/>
        <w:spacing w:afterLines="0" w:line="560" w:lineRule="exact"/>
        <w:rPr>
          <w:b/>
          <w:sz w:val="30"/>
          <w:szCs w:val="30"/>
        </w:rPr>
      </w:pPr>
      <w:r>
        <w:rPr>
          <w:rFonts w:hint="eastAsia"/>
          <w:b/>
          <w:sz w:val="30"/>
          <w:szCs w:val="30"/>
        </w:rPr>
        <w:t>第一节</w:t>
      </w:r>
      <w:r>
        <w:rPr>
          <w:b/>
          <w:sz w:val="30"/>
          <w:szCs w:val="30"/>
        </w:rPr>
        <w:tab/>
      </w:r>
      <w:r>
        <w:rPr>
          <w:rFonts w:hint="eastAsia"/>
          <w:b/>
          <w:sz w:val="30"/>
          <w:szCs w:val="30"/>
        </w:rPr>
        <w:t>认购时间和场所</w:t>
      </w:r>
    </w:p>
    <w:p w:rsidR="0001723C" w:rsidRDefault="007535F4">
      <w:pPr>
        <w:pStyle w:val="3"/>
        <w:numPr>
          <w:ilvl w:val="0"/>
          <w:numId w:val="0"/>
        </w:numPr>
        <w:tabs>
          <w:tab w:val="clear" w:pos="1676"/>
          <w:tab w:val="left" w:pos="0"/>
        </w:tabs>
        <w:spacing w:line="560" w:lineRule="exact"/>
        <w:ind w:firstLineChars="200" w:firstLine="600"/>
        <w:rPr>
          <w:rFonts w:hAnsi="Times New Roman"/>
          <w:sz w:val="30"/>
          <w:szCs w:val="30"/>
        </w:rPr>
      </w:pPr>
      <w:r>
        <w:rPr>
          <w:rFonts w:hAnsi="Times New Roman" w:hint="eastAsia"/>
          <w:sz w:val="30"/>
          <w:szCs w:val="30"/>
        </w:rPr>
        <w:t>第十三条</w:t>
      </w:r>
      <w:r>
        <w:rPr>
          <w:rFonts w:hAnsi="Times New Roman" w:hint="eastAsia"/>
          <w:sz w:val="30"/>
          <w:szCs w:val="30"/>
        </w:rPr>
        <w:t>基金募集期内，投资者可通过场内证券经营机构认购上证</w:t>
      </w:r>
      <w:r>
        <w:rPr>
          <w:rFonts w:hAnsi="Times New Roman" w:hint="eastAsia"/>
          <w:sz w:val="30"/>
          <w:szCs w:val="30"/>
        </w:rPr>
        <w:t>LOF</w:t>
      </w:r>
      <w:r>
        <w:rPr>
          <w:rFonts w:hAnsi="Times New Roman" w:hint="eastAsia"/>
          <w:sz w:val="30"/>
          <w:szCs w:val="30"/>
        </w:rPr>
        <w:t>份额，也可通过场外基金销售机构认购上证</w:t>
      </w:r>
      <w:r>
        <w:rPr>
          <w:rFonts w:hAnsi="Times New Roman" w:hint="eastAsia"/>
          <w:sz w:val="30"/>
          <w:szCs w:val="30"/>
        </w:rPr>
        <w:t>LOF</w:t>
      </w:r>
      <w:r>
        <w:rPr>
          <w:rFonts w:hAnsi="Times New Roman" w:hint="eastAsia"/>
          <w:sz w:val="30"/>
          <w:szCs w:val="30"/>
        </w:rPr>
        <w:t>份额。</w:t>
      </w:r>
    </w:p>
    <w:p w:rsidR="0001723C" w:rsidRDefault="007535F4">
      <w:pPr>
        <w:tabs>
          <w:tab w:val="left" w:pos="0"/>
        </w:tabs>
        <w:spacing w:line="560" w:lineRule="exact"/>
        <w:ind w:firstLineChars="200" w:firstLine="600"/>
        <w:rPr>
          <w:rFonts w:ascii="仿宋_GB2312" w:eastAsia="仿宋_GB2312"/>
          <w:sz w:val="30"/>
          <w:szCs w:val="30"/>
        </w:rPr>
      </w:pPr>
      <w:r>
        <w:rPr>
          <w:rFonts w:ascii="仿宋_GB2312" w:eastAsia="仿宋_GB2312" w:hint="eastAsia"/>
          <w:sz w:val="30"/>
          <w:szCs w:val="30"/>
        </w:rPr>
        <w:t>第十四条</w:t>
      </w:r>
      <w:r>
        <w:rPr>
          <w:rFonts w:ascii="仿宋_GB2312" w:eastAsia="仿宋_GB2312" w:hint="eastAsia"/>
          <w:sz w:val="30"/>
          <w:szCs w:val="30"/>
        </w:rPr>
        <w:t>上交所接受场内证券经营机构认购申报的时间为认购期内每个交易日的</w:t>
      </w:r>
      <w:r>
        <w:rPr>
          <w:rFonts w:ascii="仿宋_GB2312" w:eastAsia="仿宋_GB2312" w:hint="eastAsia"/>
          <w:sz w:val="30"/>
          <w:szCs w:val="30"/>
        </w:rPr>
        <w:t>9</w:t>
      </w:r>
      <w:r>
        <w:rPr>
          <w:rFonts w:ascii="仿宋_GB2312" w:eastAsia="仿宋_GB2312" w:hint="eastAsia"/>
          <w:sz w:val="30"/>
          <w:szCs w:val="30"/>
        </w:rPr>
        <w:t>：</w:t>
      </w:r>
      <w:r>
        <w:rPr>
          <w:rFonts w:ascii="仿宋_GB2312" w:eastAsia="仿宋_GB2312" w:hint="eastAsia"/>
          <w:sz w:val="30"/>
          <w:szCs w:val="30"/>
        </w:rPr>
        <w:t>15</w:t>
      </w:r>
      <w:r>
        <w:rPr>
          <w:rFonts w:ascii="仿宋_GB2312" w:eastAsia="仿宋_GB2312" w:hint="eastAsia"/>
          <w:sz w:val="30"/>
          <w:szCs w:val="30"/>
        </w:rPr>
        <w:t>至</w:t>
      </w:r>
      <w:r>
        <w:rPr>
          <w:rFonts w:ascii="仿宋_GB2312" w:eastAsia="仿宋_GB2312" w:hint="eastAsia"/>
          <w:sz w:val="30"/>
          <w:szCs w:val="30"/>
        </w:rPr>
        <w:t>9</w:t>
      </w:r>
      <w:r>
        <w:rPr>
          <w:rFonts w:ascii="仿宋_GB2312" w:eastAsia="仿宋_GB2312" w:hint="eastAsia"/>
          <w:sz w:val="30"/>
          <w:szCs w:val="30"/>
        </w:rPr>
        <w:t>：</w:t>
      </w:r>
      <w:r>
        <w:rPr>
          <w:rFonts w:ascii="仿宋_GB2312" w:eastAsia="仿宋_GB2312" w:hint="eastAsia"/>
          <w:sz w:val="30"/>
          <w:szCs w:val="30"/>
        </w:rPr>
        <w:t>25</w:t>
      </w:r>
      <w:r>
        <w:rPr>
          <w:rFonts w:ascii="仿宋_GB2312" w:eastAsia="仿宋_GB2312" w:hint="eastAsia"/>
          <w:sz w:val="30"/>
          <w:szCs w:val="30"/>
        </w:rPr>
        <w:t>、</w:t>
      </w:r>
      <w:r>
        <w:rPr>
          <w:rFonts w:ascii="仿宋_GB2312" w:eastAsia="仿宋_GB2312" w:hint="eastAsia"/>
          <w:sz w:val="30"/>
          <w:szCs w:val="30"/>
        </w:rPr>
        <w:t>9:30</w:t>
      </w:r>
      <w:r>
        <w:rPr>
          <w:rFonts w:ascii="仿宋_GB2312" w:eastAsia="仿宋_GB2312" w:hint="eastAsia"/>
          <w:sz w:val="30"/>
          <w:szCs w:val="30"/>
        </w:rPr>
        <w:t>至</w:t>
      </w:r>
      <w:r>
        <w:rPr>
          <w:rFonts w:ascii="仿宋_GB2312" w:eastAsia="仿宋_GB2312" w:hint="eastAsia"/>
          <w:sz w:val="30"/>
          <w:szCs w:val="30"/>
        </w:rPr>
        <w:t>11:30</w:t>
      </w:r>
      <w:r>
        <w:rPr>
          <w:rFonts w:ascii="仿宋_GB2312" w:eastAsia="仿宋_GB2312" w:hint="eastAsia"/>
          <w:sz w:val="30"/>
          <w:szCs w:val="30"/>
        </w:rPr>
        <w:t>和</w:t>
      </w:r>
      <w:r>
        <w:rPr>
          <w:rFonts w:ascii="仿宋_GB2312" w:eastAsia="仿宋_GB2312" w:hint="eastAsia"/>
          <w:sz w:val="30"/>
          <w:szCs w:val="30"/>
        </w:rPr>
        <w:t>13:00</w:t>
      </w:r>
      <w:r>
        <w:rPr>
          <w:rFonts w:ascii="仿宋_GB2312" w:eastAsia="仿宋_GB2312" w:hint="eastAsia"/>
          <w:sz w:val="30"/>
          <w:szCs w:val="30"/>
        </w:rPr>
        <w:t>至</w:t>
      </w:r>
      <w:r>
        <w:rPr>
          <w:rFonts w:ascii="仿宋_GB2312" w:eastAsia="仿宋_GB2312" w:hint="eastAsia"/>
          <w:sz w:val="30"/>
          <w:szCs w:val="30"/>
        </w:rPr>
        <w:t>15:00</w:t>
      </w:r>
      <w:r>
        <w:rPr>
          <w:rFonts w:ascii="仿宋_GB2312" w:eastAsia="仿宋_GB2312" w:hint="eastAsia"/>
          <w:sz w:val="30"/>
          <w:szCs w:val="30"/>
        </w:rPr>
        <w:t>。场外基金销售机构接受投资者认购的时间按照基金管理人《基金招募说明书》等法律文件中的相关规定执行。</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已募集到预定规模的基金份额或出现《基金招募说明书》中约定的其他情形，基金募集期可提前终止或延期。</w:t>
      </w:r>
    </w:p>
    <w:p w:rsidR="0001723C" w:rsidRDefault="007535F4">
      <w:pPr>
        <w:pStyle w:val="26"/>
        <w:spacing w:afterLines="0" w:line="560" w:lineRule="exact"/>
        <w:rPr>
          <w:b/>
          <w:sz w:val="30"/>
          <w:szCs w:val="30"/>
        </w:rPr>
      </w:pPr>
      <w:r>
        <w:rPr>
          <w:rFonts w:hint="eastAsia"/>
          <w:b/>
          <w:sz w:val="30"/>
          <w:szCs w:val="30"/>
        </w:rPr>
        <w:t>第二节</w:t>
      </w:r>
      <w:r>
        <w:rPr>
          <w:rFonts w:hint="eastAsia"/>
          <w:b/>
          <w:sz w:val="30"/>
          <w:szCs w:val="30"/>
        </w:rPr>
        <w:t xml:space="preserve">  </w:t>
      </w:r>
      <w:r>
        <w:rPr>
          <w:b/>
          <w:sz w:val="30"/>
          <w:szCs w:val="30"/>
        </w:rPr>
        <w:tab/>
      </w:r>
      <w:r>
        <w:rPr>
          <w:rFonts w:hint="eastAsia"/>
          <w:b/>
          <w:sz w:val="30"/>
          <w:szCs w:val="30"/>
        </w:rPr>
        <w:t>认购申报</w:t>
      </w:r>
    </w:p>
    <w:p w:rsidR="0001723C" w:rsidRDefault="007535F4">
      <w:pPr>
        <w:tabs>
          <w:tab w:val="left" w:pos="0"/>
        </w:tabs>
        <w:spacing w:line="560" w:lineRule="exact"/>
        <w:ind w:firstLineChars="200" w:firstLine="600"/>
        <w:rPr>
          <w:rFonts w:ascii="仿宋_GB2312" w:eastAsia="仿宋_GB2312"/>
          <w:sz w:val="30"/>
          <w:szCs w:val="30"/>
        </w:rPr>
      </w:pPr>
      <w:r>
        <w:rPr>
          <w:rFonts w:ascii="仿宋_GB2312" w:eastAsia="仿宋_GB2312" w:hint="eastAsia"/>
          <w:sz w:val="30"/>
          <w:szCs w:val="30"/>
        </w:rPr>
        <w:t>第十五条</w:t>
      </w:r>
      <w:r>
        <w:rPr>
          <w:rFonts w:ascii="仿宋_GB2312" w:eastAsia="仿宋_GB2312" w:hint="eastAsia"/>
          <w:sz w:val="30"/>
          <w:szCs w:val="30"/>
        </w:rPr>
        <w:t>投资者通过场内证券经营机构认购上证</w:t>
      </w:r>
      <w:r>
        <w:rPr>
          <w:rFonts w:ascii="仿宋_GB2312" w:eastAsia="仿宋_GB2312" w:hint="eastAsia"/>
          <w:sz w:val="30"/>
          <w:szCs w:val="30"/>
        </w:rPr>
        <w:t>LOF</w:t>
      </w:r>
      <w:r>
        <w:rPr>
          <w:rFonts w:ascii="仿宋_GB2312" w:eastAsia="仿宋_GB2312" w:hint="eastAsia"/>
          <w:sz w:val="30"/>
          <w:szCs w:val="30"/>
        </w:rPr>
        <w:t>份</w:t>
      </w:r>
      <w:r>
        <w:rPr>
          <w:rFonts w:ascii="仿宋_GB2312" w:eastAsia="仿宋_GB2312" w:hint="eastAsia"/>
          <w:sz w:val="30"/>
          <w:szCs w:val="30"/>
        </w:rPr>
        <w:t>额，应采用“金额认购”的申报方式，并符合以下要求：</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（一）认购申报价格为“</w:t>
      </w:r>
      <w:r>
        <w:rPr>
          <w:rFonts w:ascii="仿宋_GB2312" w:eastAsia="仿宋_GB2312" w:hint="eastAsia"/>
          <w:sz w:val="30"/>
          <w:szCs w:val="30"/>
        </w:rPr>
        <w:t>1</w:t>
      </w:r>
      <w:r>
        <w:rPr>
          <w:rFonts w:ascii="仿宋_GB2312" w:eastAsia="仿宋_GB2312" w:hint="eastAsia"/>
          <w:sz w:val="30"/>
          <w:szCs w:val="30"/>
        </w:rPr>
        <w:t>元”；</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（二）认购金额为</w:t>
      </w:r>
      <w:r>
        <w:rPr>
          <w:rFonts w:ascii="仿宋_GB2312" w:eastAsia="仿宋_GB2312" w:hint="eastAsia"/>
          <w:sz w:val="30"/>
          <w:szCs w:val="30"/>
        </w:rPr>
        <w:t>1</w:t>
      </w:r>
      <w:r>
        <w:rPr>
          <w:rFonts w:ascii="仿宋_GB2312" w:eastAsia="仿宋_GB2312" w:hint="eastAsia"/>
          <w:sz w:val="30"/>
          <w:szCs w:val="30"/>
        </w:rPr>
        <w:t>元的整倍数，且不低于</w:t>
      </w:r>
      <w:r>
        <w:rPr>
          <w:rFonts w:ascii="仿宋_GB2312" w:eastAsia="仿宋_GB2312" w:hint="eastAsia"/>
          <w:sz w:val="30"/>
          <w:szCs w:val="30"/>
        </w:rPr>
        <w:t>1000</w:t>
      </w:r>
      <w:r>
        <w:rPr>
          <w:rFonts w:ascii="仿宋_GB2312" w:eastAsia="仿宋_GB2312" w:hint="eastAsia"/>
          <w:sz w:val="30"/>
          <w:szCs w:val="30"/>
        </w:rPr>
        <w:t>元；</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（三）符合基金合同和招募说明书的相关约定。</w:t>
      </w:r>
    </w:p>
    <w:p w:rsidR="0001723C" w:rsidRDefault="007535F4">
      <w:pPr>
        <w:pStyle w:val="3"/>
        <w:numPr>
          <w:ilvl w:val="0"/>
          <w:numId w:val="0"/>
        </w:numPr>
        <w:tabs>
          <w:tab w:val="clear" w:pos="1676"/>
          <w:tab w:val="left" w:pos="0"/>
        </w:tabs>
        <w:spacing w:line="560" w:lineRule="exact"/>
        <w:ind w:firstLineChars="200" w:firstLine="600"/>
        <w:rPr>
          <w:sz w:val="30"/>
          <w:szCs w:val="30"/>
        </w:rPr>
      </w:pPr>
      <w:r>
        <w:rPr>
          <w:rFonts w:hint="eastAsia"/>
          <w:sz w:val="30"/>
          <w:szCs w:val="30"/>
        </w:rPr>
        <w:t>第十六条</w:t>
      </w:r>
      <w:r>
        <w:rPr>
          <w:rFonts w:hint="eastAsia"/>
          <w:sz w:val="30"/>
          <w:szCs w:val="30"/>
        </w:rPr>
        <w:t>投资者通过</w:t>
      </w:r>
      <w:r>
        <w:rPr>
          <w:rFonts w:hAnsi="Times New Roman" w:hint="eastAsia"/>
          <w:sz w:val="30"/>
          <w:szCs w:val="30"/>
        </w:rPr>
        <w:t>场内证券经营机构</w:t>
      </w:r>
      <w:r>
        <w:rPr>
          <w:rFonts w:hint="eastAsia"/>
          <w:sz w:val="30"/>
          <w:szCs w:val="30"/>
        </w:rPr>
        <w:t>认购上证</w:t>
      </w:r>
      <w:r>
        <w:rPr>
          <w:rFonts w:hint="eastAsia"/>
          <w:sz w:val="30"/>
          <w:szCs w:val="30"/>
        </w:rPr>
        <w:t>LOF</w:t>
      </w:r>
      <w:r>
        <w:rPr>
          <w:rFonts w:hint="eastAsia"/>
          <w:sz w:val="30"/>
          <w:szCs w:val="30"/>
        </w:rPr>
        <w:t>份额，在同一交易日可多次提交认购申报。当日提交的认购申报，在当日接受认购申报的时段内可以撤销。</w:t>
      </w:r>
    </w:p>
    <w:p w:rsidR="0001723C" w:rsidRDefault="007535F4" w:rsidP="007535F4">
      <w:pPr>
        <w:pStyle w:val="26"/>
        <w:spacing w:afterLines="0" w:line="560" w:lineRule="exact"/>
        <w:ind w:firstLineChars="200" w:firstLine="600"/>
        <w:rPr>
          <w:b/>
          <w:sz w:val="30"/>
          <w:szCs w:val="30"/>
        </w:rPr>
      </w:pPr>
      <w:r>
        <w:rPr>
          <w:rFonts w:hint="eastAsia"/>
          <w:b/>
          <w:sz w:val="30"/>
          <w:szCs w:val="30"/>
        </w:rPr>
        <w:lastRenderedPageBreak/>
        <w:t>第三节</w:t>
      </w:r>
      <w:r>
        <w:rPr>
          <w:b/>
          <w:sz w:val="30"/>
          <w:szCs w:val="30"/>
        </w:rPr>
        <w:tab/>
      </w:r>
      <w:r>
        <w:rPr>
          <w:rFonts w:hint="eastAsia"/>
          <w:b/>
          <w:sz w:val="30"/>
          <w:szCs w:val="30"/>
        </w:rPr>
        <w:t xml:space="preserve"> </w:t>
      </w:r>
      <w:r>
        <w:rPr>
          <w:rFonts w:hint="eastAsia"/>
          <w:b/>
          <w:sz w:val="30"/>
          <w:szCs w:val="30"/>
        </w:rPr>
        <w:t>认购费率设置及认购资金处理</w:t>
      </w:r>
    </w:p>
    <w:p w:rsidR="0001723C" w:rsidRDefault="007535F4">
      <w:pPr>
        <w:pStyle w:val="3"/>
        <w:numPr>
          <w:ilvl w:val="0"/>
          <w:numId w:val="0"/>
        </w:numPr>
        <w:tabs>
          <w:tab w:val="clear" w:pos="1676"/>
          <w:tab w:val="left" w:pos="0"/>
        </w:tabs>
        <w:spacing w:line="560" w:lineRule="exact"/>
        <w:ind w:firstLineChars="200" w:firstLine="600"/>
        <w:rPr>
          <w:rStyle w:val="3Char2"/>
          <w:sz w:val="30"/>
          <w:szCs w:val="30"/>
        </w:rPr>
      </w:pPr>
      <w:r>
        <w:rPr>
          <w:rFonts w:hint="eastAsia"/>
          <w:sz w:val="30"/>
          <w:szCs w:val="30"/>
        </w:rPr>
        <w:t>第十七条</w:t>
      </w:r>
      <w:r>
        <w:rPr>
          <w:rFonts w:hint="eastAsia"/>
          <w:sz w:val="30"/>
          <w:szCs w:val="30"/>
        </w:rPr>
        <w:t>基金管理人可按认购金额分段设置场内和场外认购费率。基金管理人可以对场内上证</w:t>
      </w:r>
      <w:r>
        <w:rPr>
          <w:rFonts w:hint="eastAsia"/>
          <w:sz w:val="30"/>
          <w:szCs w:val="30"/>
        </w:rPr>
        <w:t>LOF</w:t>
      </w:r>
      <w:r>
        <w:rPr>
          <w:rFonts w:hint="eastAsia"/>
          <w:sz w:val="30"/>
          <w:szCs w:val="30"/>
        </w:rPr>
        <w:t>认购设置统一的费率，对场外上证</w:t>
      </w:r>
      <w:r>
        <w:rPr>
          <w:rFonts w:hint="eastAsia"/>
          <w:sz w:val="30"/>
          <w:szCs w:val="30"/>
        </w:rPr>
        <w:t>LOF</w:t>
      </w:r>
      <w:r>
        <w:rPr>
          <w:rFonts w:hint="eastAsia"/>
          <w:sz w:val="30"/>
          <w:szCs w:val="30"/>
        </w:rPr>
        <w:t>认购按照场外基金销售机构分</w:t>
      </w:r>
      <w:r>
        <w:rPr>
          <w:rFonts w:hint="eastAsia"/>
          <w:sz w:val="30"/>
          <w:szCs w:val="30"/>
        </w:rPr>
        <w:t>别设置费率和折扣下限。</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认购费率由基金管理人在《基金招募说明书》中约定。中国结算</w:t>
      </w:r>
      <w:r>
        <w:rPr>
          <w:rFonts w:ascii="仿宋_GB2312" w:eastAsia="仿宋_GB2312" w:hint="eastAsia"/>
          <w:sz w:val="30"/>
          <w:szCs w:val="30"/>
        </w:rPr>
        <w:t>TA</w:t>
      </w:r>
      <w:r>
        <w:rPr>
          <w:rFonts w:ascii="仿宋_GB2312" w:eastAsia="仿宋_GB2312" w:hint="eastAsia"/>
          <w:sz w:val="30"/>
          <w:szCs w:val="30"/>
        </w:rPr>
        <w:t>系统依据基金管理人给定的认购费率，按照以下公式计算投资者场内和场外认购所得上证</w:t>
      </w:r>
      <w:r>
        <w:rPr>
          <w:rFonts w:ascii="仿宋_GB2312" w:eastAsia="仿宋_GB2312" w:hint="eastAsia"/>
          <w:sz w:val="30"/>
          <w:szCs w:val="30"/>
        </w:rPr>
        <w:t>LOF</w:t>
      </w:r>
      <w:r>
        <w:rPr>
          <w:rFonts w:ascii="仿宋_GB2312" w:eastAsia="仿宋_GB2312" w:hint="eastAsia"/>
          <w:sz w:val="30"/>
          <w:szCs w:val="30"/>
        </w:rPr>
        <w:t>份额</w:t>
      </w:r>
      <w:r>
        <w:rPr>
          <w:rFonts w:ascii="仿宋_GB2312" w:eastAsia="仿宋_GB2312" w:hint="eastAsia"/>
          <w:sz w:val="30"/>
          <w:szCs w:val="30"/>
        </w:rPr>
        <w:t>:</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认购费</w:t>
      </w:r>
      <w:r>
        <w:rPr>
          <w:rFonts w:ascii="仿宋_GB2312" w:eastAsia="仿宋_GB2312" w:hint="eastAsia"/>
          <w:sz w:val="30"/>
          <w:szCs w:val="30"/>
        </w:rPr>
        <w:t>=</w:t>
      </w:r>
      <w:r>
        <w:rPr>
          <w:rFonts w:ascii="仿宋_GB2312" w:eastAsia="仿宋_GB2312" w:hint="eastAsia"/>
          <w:sz w:val="30"/>
          <w:szCs w:val="30"/>
        </w:rPr>
        <w:t>有效认购金额×（认购费率×折扣率）</w:t>
      </w:r>
      <w:r>
        <w:rPr>
          <w:rFonts w:ascii="仿宋_GB2312" w:eastAsia="仿宋_GB2312" w:hint="eastAsia"/>
          <w:sz w:val="30"/>
          <w:szCs w:val="30"/>
        </w:rPr>
        <w:t>/</w:t>
      </w:r>
      <w:r>
        <w:rPr>
          <w:rFonts w:ascii="仿宋_GB2312" w:eastAsia="仿宋_GB2312" w:hint="eastAsia"/>
          <w:sz w:val="30"/>
          <w:szCs w:val="30"/>
        </w:rPr>
        <w:t>（</w:t>
      </w:r>
      <w:r>
        <w:rPr>
          <w:rFonts w:ascii="仿宋_GB2312" w:eastAsia="仿宋_GB2312" w:hint="eastAsia"/>
          <w:sz w:val="30"/>
          <w:szCs w:val="30"/>
        </w:rPr>
        <w:t>1+</w:t>
      </w:r>
      <w:r>
        <w:rPr>
          <w:rFonts w:ascii="仿宋_GB2312" w:eastAsia="仿宋_GB2312" w:hint="eastAsia"/>
          <w:sz w:val="30"/>
          <w:szCs w:val="30"/>
        </w:rPr>
        <w:t>认购费率×折扣率）</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认购份额＝（有效认购金额－认购费）</w:t>
      </w:r>
      <w:r>
        <w:rPr>
          <w:rFonts w:ascii="仿宋_GB2312" w:eastAsia="仿宋_GB2312" w:hint="eastAsia"/>
          <w:sz w:val="30"/>
          <w:szCs w:val="30"/>
        </w:rPr>
        <w:t>/</w:t>
      </w:r>
      <w:r>
        <w:rPr>
          <w:rFonts w:ascii="仿宋_GB2312" w:eastAsia="仿宋_GB2312" w:hint="eastAsia"/>
          <w:sz w:val="30"/>
          <w:szCs w:val="30"/>
        </w:rPr>
        <w:t>发行价</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如基金管理人给定了单笔认购费固定金额的，以上认购费按基金管理人给定的固定金额计算。</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投资者认购所得场内上证</w:t>
      </w:r>
      <w:r>
        <w:rPr>
          <w:rFonts w:ascii="仿宋_GB2312" w:eastAsia="仿宋_GB2312" w:hint="eastAsia"/>
          <w:sz w:val="30"/>
          <w:szCs w:val="30"/>
        </w:rPr>
        <w:t>LOF</w:t>
      </w:r>
      <w:r>
        <w:rPr>
          <w:rFonts w:ascii="仿宋_GB2312" w:eastAsia="仿宋_GB2312" w:hint="eastAsia"/>
          <w:sz w:val="30"/>
          <w:szCs w:val="30"/>
        </w:rPr>
        <w:t>份额先按四舍五入原则保留到小数点后两位，再按截位法保留到整数位，小数部分对应的金额退还投资者</w:t>
      </w:r>
      <w:r>
        <w:rPr>
          <w:rFonts w:ascii="仿宋_GB2312" w:eastAsia="仿宋_GB2312" w:hint="eastAsia"/>
          <w:sz w:val="30"/>
          <w:szCs w:val="30"/>
        </w:rPr>
        <w:t>;</w:t>
      </w:r>
      <w:r>
        <w:rPr>
          <w:rFonts w:ascii="仿宋_GB2312" w:eastAsia="仿宋_GB2312" w:hint="eastAsia"/>
          <w:sz w:val="30"/>
          <w:szCs w:val="30"/>
        </w:rPr>
        <w:t>投资者认购所得场外上证</w:t>
      </w:r>
      <w:r>
        <w:rPr>
          <w:rFonts w:ascii="仿宋_GB2312" w:eastAsia="仿宋_GB2312" w:hint="eastAsia"/>
          <w:sz w:val="30"/>
          <w:szCs w:val="30"/>
        </w:rPr>
        <w:t>LOF</w:t>
      </w:r>
      <w:r>
        <w:rPr>
          <w:rFonts w:ascii="仿宋_GB2312" w:eastAsia="仿宋_GB2312" w:hint="eastAsia"/>
          <w:sz w:val="30"/>
          <w:szCs w:val="30"/>
        </w:rPr>
        <w:t>份额按四舍五入原则保留到小数点后两位。</w:t>
      </w:r>
    </w:p>
    <w:p w:rsidR="0001723C" w:rsidRDefault="007535F4">
      <w:pPr>
        <w:pStyle w:val="3"/>
        <w:numPr>
          <w:ilvl w:val="0"/>
          <w:numId w:val="0"/>
        </w:numPr>
        <w:tabs>
          <w:tab w:val="clear" w:pos="1676"/>
          <w:tab w:val="left" w:pos="0"/>
        </w:tabs>
        <w:spacing w:line="560" w:lineRule="exact"/>
        <w:ind w:firstLineChars="200" w:firstLine="600"/>
        <w:rPr>
          <w:rFonts w:hAnsi="华文中宋"/>
          <w:sz w:val="30"/>
          <w:szCs w:val="30"/>
        </w:rPr>
      </w:pPr>
      <w:r>
        <w:rPr>
          <w:rFonts w:hAnsi="华文中宋" w:hint="eastAsia"/>
          <w:sz w:val="30"/>
          <w:szCs w:val="30"/>
        </w:rPr>
        <w:t>第十八条</w:t>
      </w:r>
      <w:r>
        <w:rPr>
          <w:rFonts w:hint="eastAsia"/>
          <w:sz w:val="30"/>
          <w:szCs w:val="30"/>
        </w:rPr>
        <w:t>场内和场外认购资金在基金募集期形成的利息可以按照基金管理人的选择折算成</w:t>
      </w:r>
      <w:r>
        <w:rPr>
          <w:rStyle w:val="3Char2"/>
          <w:rFonts w:hint="eastAsia"/>
          <w:sz w:val="30"/>
          <w:szCs w:val="30"/>
        </w:rPr>
        <w:t>上证</w:t>
      </w:r>
      <w:r>
        <w:rPr>
          <w:rStyle w:val="3Char2"/>
          <w:rFonts w:hint="eastAsia"/>
          <w:sz w:val="30"/>
          <w:szCs w:val="30"/>
        </w:rPr>
        <w:t>LOF</w:t>
      </w:r>
      <w:r>
        <w:rPr>
          <w:rStyle w:val="3Char2"/>
          <w:rFonts w:hint="eastAsia"/>
          <w:sz w:val="30"/>
          <w:szCs w:val="30"/>
        </w:rPr>
        <w:t>份额，归投资者所有。中国结算</w:t>
      </w:r>
      <w:r>
        <w:rPr>
          <w:rStyle w:val="3Char2"/>
          <w:rFonts w:hint="eastAsia"/>
          <w:sz w:val="30"/>
          <w:szCs w:val="30"/>
        </w:rPr>
        <w:t>TA</w:t>
      </w:r>
      <w:r>
        <w:rPr>
          <w:rStyle w:val="3Char2"/>
          <w:rFonts w:hint="eastAsia"/>
          <w:sz w:val="30"/>
          <w:szCs w:val="30"/>
        </w:rPr>
        <w:t>系统按照以下公式计算：</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利息＝有效认购金额（认购一次确认金额）×年利率×计息天数</w:t>
      </w:r>
      <w:r>
        <w:rPr>
          <w:rFonts w:ascii="仿宋_GB2312" w:eastAsia="仿宋_GB2312" w:hint="eastAsia"/>
          <w:sz w:val="30"/>
          <w:szCs w:val="30"/>
        </w:rPr>
        <w:t>/360</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利息转份额＝利息</w:t>
      </w:r>
      <w:r>
        <w:rPr>
          <w:rFonts w:ascii="仿宋_GB2312" w:eastAsia="仿宋_GB2312" w:hint="eastAsia"/>
          <w:sz w:val="30"/>
          <w:szCs w:val="30"/>
        </w:rPr>
        <w:t>/</w:t>
      </w:r>
      <w:r>
        <w:rPr>
          <w:rFonts w:ascii="仿宋_GB2312" w:eastAsia="仿宋_GB2312" w:hint="eastAsia"/>
          <w:sz w:val="30"/>
          <w:szCs w:val="30"/>
        </w:rPr>
        <w:t>发行价</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认购利息折份额的年利率按基金管理人的选择设定。中国结</w:t>
      </w:r>
      <w:r>
        <w:rPr>
          <w:rFonts w:ascii="仿宋_GB2312" w:eastAsia="仿宋_GB2312" w:hint="eastAsia"/>
          <w:sz w:val="30"/>
          <w:szCs w:val="30"/>
        </w:rPr>
        <w:lastRenderedPageBreak/>
        <w:t>算</w:t>
      </w:r>
      <w:r>
        <w:rPr>
          <w:rFonts w:ascii="仿宋_GB2312" w:eastAsia="仿宋_GB2312" w:hint="eastAsia"/>
          <w:sz w:val="30"/>
          <w:szCs w:val="30"/>
        </w:rPr>
        <w:t>TA</w:t>
      </w:r>
      <w:r>
        <w:rPr>
          <w:rFonts w:ascii="仿宋_GB2312" w:eastAsia="仿宋_GB2312" w:hint="eastAsia"/>
          <w:sz w:val="30"/>
          <w:szCs w:val="30"/>
        </w:rPr>
        <w:t>系统对场内认购利息折算的基金份额按截位法保留到整数位，小数部分舍去归基金资产；场外认购利息折算的基金份额按截位法保留到小数点后两位，小数点第三位以后部分舍去归基金资产。</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基金管理人可以对上述中国结算</w:t>
      </w:r>
      <w:r>
        <w:rPr>
          <w:rFonts w:ascii="仿宋_GB2312" w:eastAsia="仿宋_GB2312" w:hint="eastAsia"/>
          <w:sz w:val="30"/>
          <w:szCs w:val="30"/>
        </w:rPr>
        <w:t>TA</w:t>
      </w:r>
      <w:r>
        <w:rPr>
          <w:rFonts w:ascii="仿宋_GB2312" w:eastAsia="仿宋_GB2312" w:hint="eastAsia"/>
          <w:sz w:val="30"/>
          <w:szCs w:val="30"/>
        </w:rPr>
        <w:t>系统计算的利息进行修改，中国结算</w:t>
      </w:r>
      <w:r>
        <w:rPr>
          <w:rFonts w:ascii="仿宋_GB2312" w:eastAsia="仿宋_GB2312" w:hint="eastAsia"/>
          <w:sz w:val="30"/>
          <w:szCs w:val="30"/>
        </w:rPr>
        <w:t>TA</w:t>
      </w:r>
      <w:r>
        <w:rPr>
          <w:rFonts w:ascii="仿宋_GB2312" w:eastAsia="仿宋_GB2312" w:hint="eastAsia"/>
          <w:sz w:val="30"/>
          <w:szCs w:val="30"/>
        </w:rPr>
        <w:t>系统按照基金管理人修改后的利息为投资者折算</w:t>
      </w:r>
      <w:r>
        <w:rPr>
          <w:rStyle w:val="3Char2"/>
          <w:rFonts w:hint="eastAsia"/>
          <w:sz w:val="30"/>
          <w:szCs w:val="30"/>
        </w:rPr>
        <w:t>上证</w:t>
      </w:r>
      <w:r>
        <w:rPr>
          <w:rStyle w:val="3Char2"/>
          <w:rFonts w:hint="eastAsia"/>
          <w:sz w:val="30"/>
          <w:szCs w:val="30"/>
        </w:rPr>
        <w:t>LOF</w:t>
      </w:r>
      <w:r>
        <w:rPr>
          <w:rStyle w:val="3Char2"/>
          <w:rFonts w:hint="eastAsia"/>
          <w:sz w:val="30"/>
          <w:szCs w:val="30"/>
        </w:rPr>
        <w:t>份额</w:t>
      </w:r>
      <w:r>
        <w:rPr>
          <w:rFonts w:ascii="仿宋_GB2312" w:eastAsia="仿宋_GB2312" w:hint="eastAsia"/>
          <w:sz w:val="30"/>
          <w:szCs w:val="30"/>
        </w:rPr>
        <w:t>。</w:t>
      </w:r>
    </w:p>
    <w:p w:rsidR="0001723C" w:rsidRDefault="007535F4">
      <w:pPr>
        <w:pStyle w:val="3"/>
        <w:numPr>
          <w:ilvl w:val="0"/>
          <w:numId w:val="0"/>
        </w:numPr>
        <w:tabs>
          <w:tab w:val="clear" w:pos="1676"/>
          <w:tab w:val="left" w:pos="0"/>
        </w:tabs>
        <w:spacing w:line="560" w:lineRule="exact"/>
        <w:ind w:firstLineChars="200" w:firstLine="600"/>
        <w:rPr>
          <w:sz w:val="30"/>
          <w:szCs w:val="30"/>
        </w:rPr>
      </w:pPr>
      <w:r>
        <w:rPr>
          <w:rFonts w:hint="eastAsia"/>
          <w:sz w:val="30"/>
          <w:szCs w:val="30"/>
        </w:rPr>
        <w:t>第十九条</w:t>
      </w:r>
      <w:r>
        <w:rPr>
          <w:rFonts w:hint="eastAsia"/>
          <w:sz w:val="30"/>
          <w:szCs w:val="30"/>
        </w:rPr>
        <w:t>对于场内认购，在清算日和交收日，中国结算按申请当日交易单元与结算业务参与人的对应关系确定资金清算路径，据此进行相关资金的清算和交收。</w:t>
      </w:r>
    </w:p>
    <w:p w:rsidR="0001723C" w:rsidRDefault="007535F4">
      <w:pPr>
        <w:pStyle w:val="3"/>
        <w:numPr>
          <w:ilvl w:val="0"/>
          <w:numId w:val="0"/>
        </w:numPr>
        <w:tabs>
          <w:tab w:val="clear" w:pos="1676"/>
          <w:tab w:val="left" w:pos="0"/>
        </w:tabs>
        <w:spacing w:line="560" w:lineRule="exact"/>
        <w:ind w:firstLineChars="200" w:firstLine="600"/>
        <w:rPr>
          <w:sz w:val="30"/>
          <w:szCs w:val="30"/>
        </w:rPr>
      </w:pPr>
      <w:r>
        <w:rPr>
          <w:rFonts w:hint="eastAsia"/>
          <w:sz w:val="30"/>
          <w:szCs w:val="30"/>
        </w:rPr>
        <w:t>第二十条</w:t>
      </w:r>
      <w:r>
        <w:rPr>
          <w:rFonts w:hAnsi="华文中宋" w:hint="eastAsia"/>
          <w:sz w:val="30"/>
          <w:szCs w:val="30"/>
        </w:rPr>
        <w:t>对于被</w:t>
      </w:r>
      <w:r>
        <w:rPr>
          <w:rFonts w:hAnsi="华文中宋" w:hint="eastAsia"/>
          <w:sz w:val="30"/>
          <w:szCs w:val="30"/>
        </w:rPr>
        <w:t>基金管理人全部确认失败的认购申请，中</w:t>
      </w:r>
      <w:r>
        <w:rPr>
          <w:rFonts w:hint="eastAsia"/>
          <w:sz w:val="30"/>
          <w:szCs w:val="30"/>
        </w:rPr>
        <w:t>国结算将认购资金及经基金管理人确认的利息划付相关场内证券经营机构或场外基金销售机构，由其退还投资者。</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对于选择利息折份额的，中国结算对被</w:t>
      </w:r>
      <w:r>
        <w:rPr>
          <w:rFonts w:ascii="仿宋_GB2312" w:eastAsia="仿宋_GB2312" w:hAnsi="华文中宋" w:hint="eastAsia"/>
          <w:sz w:val="30"/>
          <w:szCs w:val="30"/>
        </w:rPr>
        <w:t>基金管理人在认购结果确认中</w:t>
      </w:r>
      <w:r>
        <w:rPr>
          <w:rFonts w:ascii="仿宋_GB2312" w:eastAsia="仿宋_GB2312" w:hint="eastAsia"/>
          <w:sz w:val="30"/>
          <w:szCs w:val="30"/>
        </w:rPr>
        <w:t>部分确认失败的认购申请，仅将确认失败部分的认购资金（本金）划付相关场内证券经营机构或场外基金销售机构，由其退还投资者；但对确认失败部分认购资金产生的利息不予退还，中国结算将根据基金管理人确认的有效认购金额（包含在认购结果确认中确认失败部分的认购资金）的利息折算为投资者上证</w:t>
      </w:r>
      <w:r>
        <w:rPr>
          <w:rFonts w:ascii="仿宋_GB2312" w:eastAsia="仿宋_GB2312" w:hint="eastAsia"/>
          <w:sz w:val="30"/>
          <w:szCs w:val="30"/>
        </w:rPr>
        <w:t>LOF</w:t>
      </w:r>
      <w:r>
        <w:rPr>
          <w:rFonts w:ascii="仿宋_GB2312" w:eastAsia="仿宋_GB2312" w:hint="eastAsia"/>
          <w:sz w:val="30"/>
          <w:szCs w:val="30"/>
        </w:rPr>
        <w:t>份额。</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基金募集失败的，中国结算将有</w:t>
      </w:r>
      <w:r>
        <w:rPr>
          <w:rFonts w:ascii="仿宋_GB2312" w:eastAsia="仿宋_GB2312" w:hint="eastAsia"/>
          <w:sz w:val="30"/>
          <w:szCs w:val="30"/>
        </w:rPr>
        <w:t>效认购金额加上按相关计息规则计算出的利息，退还相关场内证券经营机构或场外基金销售机构，并由其退还投资者。</w:t>
      </w:r>
    </w:p>
    <w:p w:rsidR="0001723C" w:rsidRDefault="007535F4" w:rsidP="007535F4">
      <w:pPr>
        <w:pStyle w:val="26"/>
        <w:spacing w:afterLines="0" w:line="560" w:lineRule="exact"/>
        <w:ind w:firstLineChars="200" w:firstLine="600"/>
        <w:rPr>
          <w:b/>
          <w:sz w:val="30"/>
          <w:szCs w:val="30"/>
        </w:rPr>
      </w:pPr>
      <w:r>
        <w:rPr>
          <w:rFonts w:hint="eastAsia"/>
          <w:b/>
          <w:sz w:val="30"/>
          <w:szCs w:val="30"/>
        </w:rPr>
        <w:t>第四节</w:t>
      </w:r>
      <w:r>
        <w:rPr>
          <w:b/>
          <w:sz w:val="30"/>
          <w:szCs w:val="30"/>
        </w:rPr>
        <w:t xml:space="preserve"> </w:t>
      </w:r>
      <w:r>
        <w:rPr>
          <w:rFonts w:hint="eastAsia"/>
          <w:b/>
          <w:sz w:val="30"/>
          <w:szCs w:val="30"/>
        </w:rPr>
        <w:t>业务流程</w:t>
      </w:r>
    </w:p>
    <w:p w:rsidR="0001723C" w:rsidRDefault="007535F4">
      <w:pPr>
        <w:pStyle w:val="3"/>
        <w:numPr>
          <w:ilvl w:val="0"/>
          <w:numId w:val="0"/>
        </w:numPr>
        <w:tabs>
          <w:tab w:val="clear" w:pos="1676"/>
          <w:tab w:val="left" w:pos="0"/>
        </w:tabs>
        <w:spacing w:line="560" w:lineRule="exact"/>
        <w:ind w:firstLineChars="200" w:firstLine="600"/>
        <w:rPr>
          <w:sz w:val="30"/>
          <w:szCs w:val="30"/>
        </w:rPr>
      </w:pPr>
      <w:r>
        <w:rPr>
          <w:rFonts w:hint="eastAsia"/>
          <w:sz w:val="30"/>
          <w:szCs w:val="30"/>
        </w:rPr>
        <w:lastRenderedPageBreak/>
        <w:t>第二十一条</w:t>
      </w:r>
      <w:r>
        <w:rPr>
          <w:rFonts w:hint="eastAsia"/>
          <w:sz w:val="30"/>
          <w:szCs w:val="30"/>
        </w:rPr>
        <w:t>上证</w:t>
      </w:r>
      <w:r>
        <w:rPr>
          <w:rFonts w:hint="eastAsia"/>
          <w:sz w:val="30"/>
          <w:szCs w:val="30"/>
        </w:rPr>
        <w:t>LOF</w:t>
      </w:r>
      <w:r>
        <w:rPr>
          <w:rFonts w:hint="eastAsia"/>
          <w:sz w:val="30"/>
          <w:szCs w:val="30"/>
        </w:rPr>
        <w:t>认购业务按照以下流程办理：</w:t>
      </w:r>
    </w:p>
    <w:p w:rsidR="0001723C" w:rsidRDefault="007535F4">
      <w:pPr>
        <w:tabs>
          <w:tab w:val="left" w:pos="0"/>
        </w:tabs>
        <w:spacing w:line="560" w:lineRule="exact"/>
        <w:ind w:firstLineChars="200" w:firstLine="600"/>
        <w:jc w:val="left"/>
        <w:rPr>
          <w:rFonts w:ascii="仿宋_GB2312" w:eastAsia="仿宋_GB2312"/>
          <w:sz w:val="30"/>
          <w:szCs w:val="30"/>
        </w:rPr>
      </w:pPr>
      <w:r>
        <w:rPr>
          <w:rFonts w:ascii="仿宋_GB2312" w:eastAsia="仿宋_GB2312" w:hint="eastAsia"/>
          <w:sz w:val="30"/>
          <w:szCs w:val="30"/>
        </w:rPr>
        <w:t>（一）认购日（</w:t>
      </w:r>
      <w:r>
        <w:rPr>
          <w:rFonts w:ascii="仿宋_GB2312" w:eastAsia="仿宋_GB2312" w:hint="eastAsia"/>
          <w:sz w:val="30"/>
          <w:szCs w:val="30"/>
        </w:rPr>
        <w:t>T</w:t>
      </w:r>
      <w:r>
        <w:rPr>
          <w:rFonts w:ascii="仿宋_GB2312" w:eastAsia="仿宋_GB2312" w:hint="eastAsia"/>
          <w:sz w:val="30"/>
          <w:szCs w:val="30"/>
        </w:rPr>
        <w:t>日，包含基金认购期结束日当日）交易时间，投资者通过有资格的场内证券经营机构向上交所提交上证</w:t>
      </w:r>
      <w:r>
        <w:rPr>
          <w:rFonts w:ascii="仿宋_GB2312" w:eastAsia="仿宋_GB2312" w:hint="eastAsia"/>
          <w:sz w:val="30"/>
          <w:szCs w:val="30"/>
        </w:rPr>
        <w:t>LOF</w:t>
      </w:r>
      <w:r>
        <w:rPr>
          <w:rFonts w:ascii="仿宋_GB2312" w:eastAsia="仿宋_GB2312" w:hint="eastAsia"/>
          <w:sz w:val="30"/>
          <w:szCs w:val="30"/>
        </w:rPr>
        <w:t>场内认购申请；或通过场外基金销售机构提交上证</w:t>
      </w:r>
      <w:r>
        <w:rPr>
          <w:rFonts w:ascii="仿宋_GB2312" w:eastAsia="仿宋_GB2312" w:hint="eastAsia"/>
          <w:sz w:val="30"/>
          <w:szCs w:val="30"/>
        </w:rPr>
        <w:t>LOF</w:t>
      </w:r>
      <w:r>
        <w:rPr>
          <w:rFonts w:ascii="仿宋_GB2312" w:eastAsia="仿宋_GB2312" w:hint="eastAsia"/>
          <w:sz w:val="30"/>
          <w:szCs w:val="30"/>
        </w:rPr>
        <w:t>场外认购申请。</w:t>
      </w:r>
    </w:p>
    <w:p w:rsidR="0001723C" w:rsidRDefault="007535F4">
      <w:pPr>
        <w:tabs>
          <w:tab w:val="left" w:pos="0"/>
        </w:tabs>
        <w:spacing w:line="560" w:lineRule="exact"/>
        <w:ind w:firstLineChars="200" w:firstLine="600"/>
        <w:jc w:val="left"/>
        <w:rPr>
          <w:rFonts w:ascii="仿宋_GB2312" w:eastAsia="仿宋_GB2312"/>
          <w:sz w:val="30"/>
          <w:szCs w:val="30"/>
        </w:rPr>
      </w:pPr>
      <w:r>
        <w:rPr>
          <w:rFonts w:ascii="仿宋_GB2312" w:eastAsia="仿宋_GB2312" w:hint="eastAsia"/>
          <w:sz w:val="30"/>
          <w:szCs w:val="30"/>
        </w:rPr>
        <w:t>（二）</w:t>
      </w:r>
      <w:r>
        <w:rPr>
          <w:rFonts w:ascii="仿宋_GB2312" w:eastAsia="仿宋_GB2312" w:hint="eastAsia"/>
          <w:sz w:val="30"/>
          <w:szCs w:val="30"/>
        </w:rPr>
        <w:t>T</w:t>
      </w:r>
      <w:r>
        <w:rPr>
          <w:rFonts w:ascii="仿宋_GB2312" w:eastAsia="仿宋_GB2312" w:hint="eastAsia"/>
          <w:sz w:val="30"/>
          <w:szCs w:val="30"/>
        </w:rPr>
        <w:t>日日终，上交所将当日所有场内认购申请数据发送中国结算上海分公司，由中国结算上海分公司证券登记系统转发中国结算</w:t>
      </w:r>
      <w:r>
        <w:rPr>
          <w:rFonts w:ascii="仿宋_GB2312" w:eastAsia="仿宋_GB2312" w:hint="eastAsia"/>
          <w:sz w:val="30"/>
          <w:szCs w:val="30"/>
        </w:rPr>
        <w:t>TA</w:t>
      </w:r>
      <w:r>
        <w:rPr>
          <w:rFonts w:ascii="仿宋_GB2312" w:eastAsia="仿宋_GB2312" w:hint="eastAsia"/>
          <w:sz w:val="30"/>
          <w:szCs w:val="30"/>
        </w:rPr>
        <w:t>系统。</w:t>
      </w:r>
    </w:p>
    <w:p w:rsidR="0001723C" w:rsidRDefault="007535F4">
      <w:pPr>
        <w:tabs>
          <w:tab w:val="left" w:pos="0"/>
        </w:tabs>
        <w:spacing w:line="560" w:lineRule="exact"/>
        <w:ind w:firstLineChars="200" w:firstLine="600"/>
        <w:jc w:val="left"/>
        <w:rPr>
          <w:rFonts w:ascii="仿宋_GB2312" w:eastAsia="仿宋_GB2312"/>
          <w:sz w:val="30"/>
          <w:szCs w:val="30"/>
        </w:rPr>
      </w:pPr>
      <w:r>
        <w:rPr>
          <w:rFonts w:ascii="仿宋_GB2312" w:eastAsia="仿宋_GB2312" w:hint="eastAsia"/>
          <w:sz w:val="30"/>
          <w:szCs w:val="30"/>
        </w:rPr>
        <w:t>场外基金销售机构将当日所有场外认购</w:t>
      </w:r>
      <w:r>
        <w:rPr>
          <w:rFonts w:ascii="仿宋_GB2312" w:eastAsia="仿宋_GB2312" w:hint="eastAsia"/>
          <w:sz w:val="30"/>
          <w:szCs w:val="30"/>
        </w:rPr>
        <w:t>申请数据发送至中国结算</w:t>
      </w:r>
      <w:r>
        <w:rPr>
          <w:rFonts w:ascii="仿宋_GB2312" w:eastAsia="仿宋_GB2312" w:hint="eastAsia"/>
          <w:sz w:val="30"/>
          <w:szCs w:val="30"/>
        </w:rPr>
        <w:t>TA</w:t>
      </w:r>
      <w:r>
        <w:rPr>
          <w:rFonts w:ascii="仿宋_GB2312" w:eastAsia="仿宋_GB2312" w:hint="eastAsia"/>
          <w:sz w:val="30"/>
          <w:szCs w:val="30"/>
        </w:rPr>
        <w:t>系统。</w:t>
      </w:r>
    </w:p>
    <w:p w:rsidR="0001723C" w:rsidRDefault="007535F4">
      <w:pPr>
        <w:tabs>
          <w:tab w:val="left" w:pos="0"/>
        </w:tabs>
        <w:spacing w:line="560" w:lineRule="exact"/>
        <w:ind w:firstLineChars="200" w:firstLine="600"/>
        <w:jc w:val="left"/>
        <w:rPr>
          <w:rFonts w:ascii="仿宋_GB2312" w:eastAsia="仿宋_GB2312"/>
          <w:sz w:val="30"/>
          <w:szCs w:val="30"/>
        </w:rPr>
      </w:pPr>
      <w:r>
        <w:rPr>
          <w:rFonts w:ascii="仿宋_GB2312" w:eastAsia="仿宋_GB2312" w:hint="eastAsia"/>
          <w:sz w:val="30"/>
          <w:szCs w:val="30"/>
        </w:rPr>
        <w:t>（三）</w:t>
      </w:r>
      <w:r>
        <w:rPr>
          <w:rFonts w:ascii="仿宋_GB2312" w:eastAsia="仿宋_GB2312" w:hint="eastAsia"/>
          <w:sz w:val="30"/>
          <w:szCs w:val="30"/>
        </w:rPr>
        <w:t>T</w:t>
      </w:r>
      <w:r>
        <w:rPr>
          <w:rFonts w:ascii="仿宋_GB2312" w:eastAsia="仿宋_GB2312" w:hint="eastAsia"/>
          <w:sz w:val="30"/>
          <w:szCs w:val="30"/>
        </w:rPr>
        <w:t>日日终至</w:t>
      </w:r>
      <w:r>
        <w:rPr>
          <w:rFonts w:ascii="仿宋_GB2312" w:eastAsia="仿宋_GB2312" w:hint="eastAsia"/>
          <w:sz w:val="30"/>
          <w:szCs w:val="30"/>
        </w:rPr>
        <w:t>T+1</w:t>
      </w:r>
      <w:r>
        <w:rPr>
          <w:rFonts w:ascii="仿宋_GB2312" w:eastAsia="仿宋_GB2312" w:hint="eastAsia"/>
          <w:sz w:val="30"/>
          <w:szCs w:val="30"/>
        </w:rPr>
        <w:t>日</w:t>
      </w:r>
      <w:r>
        <w:rPr>
          <w:rFonts w:ascii="仿宋_GB2312" w:eastAsia="仿宋_GB2312" w:hint="eastAsia"/>
          <w:sz w:val="30"/>
          <w:szCs w:val="30"/>
        </w:rPr>
        <w:t>12:00</w:t>
      </w:r>
      <w:r>
        <w:rPr>
          <w:rFonts w:ascii="仿宋_GB2312" w:eastAsia="仿宋_GB2312" w:hint="eastAsia"/>
          <w:sz w:val="30"/>
          <w:szCs w:val="30"/>
        </w:rPr>
        <w:t>，中国结算</w:t>
      </w:r>
      <w:r>
        <w:rPr>
          <w:rFonts w:ascii="仿宋_GB2312" w:eastAsia="仿宋_GB2312" w:hint="eastAsia"/>
          <w:sz w:val="30"/>
          <w:szCs w:val="30"/>
        </w:rPr>
        <w:t>TA</w:t>
      </w:r>
      <w:r>
        <w:rPr>
          <w:rFonts w:ascii="仿宋_GB2312" w:eastAsia="仿宋_GB2312" w:hint="eastAsia"/>
          <w:sz w:val="30"/>
          <w:szCs w:val="30"/>
        </w:rPr>
        <w:t>系统将上证</w:t>
      </w:r>
      <w:r>
        <w:rPr>
          <w:rFonts w:ascii="仿宋_GB2312" w:eastAsia="仿宋_GB2312" w:hint="eastAsia"/>
          <w:sz w:val="30"/>
          <w:szCs w:val="30"/>
        </w:rPr>
        <w:t>LOF</w:t>
      </w:r>
      <w:r>
        <w:rPr>
          <w:rFonts w:ascii="仿宋_GB2312" w:eastAsia="仿宋_GB2312" w:hint="eastAsia"/>
          <w:sz w:val="30"/>
          <w:szCs w:val="30"/>
        </w:rPr>
        <w:t>场内和场外认购申请一起发送至相关基金管理人处进行确认，并接收基金管理人的确认文件，进行交易处理和资金清算。</w:t>
      </w:r>
    </w:p>
    <w:p w:rsidR="0001723C" w:rsidRDefault="007535F4">
      <w:pPr>
        <w:tabs>
          <w:tab w:val="left" w:pos="0"/>
        </w:tabs>
        <w:spacing w:line="560" w:lineRule="exact"/>
        <w:ind w:firstLineChars="200" w:firstLine="600"/>
        <w:jc w:val="left"/>
        <w:rPr>
          <w:rFonts w:ascii="仿宋_GB2312" w:eastAsia="仿宋_GB2312"/>
          <w:sz w:val="30"/>
          <w:szCs w:val="30"/>
        </w:rPr>
      </w:pPr>
      <w:r>
        <w:rPr>
          <w:rFonts w:ascii="仿宋_GB2312" w:eastAsia="仿宋_GB2312" w:hint="eastAsia"/>
          <w:sz w:val="30"/>
          <w:szCs w:val="30"/>
        </w:rPr>
        <w:t>中国结算</w:t>
      </w:r>
      <w:r>
        <w:rPr>
          <w:rFonts w:ascii="仿宋_GB2312" w:eastAsia="仿宋_GB2312" w:hint="eastAsia"/>
          <w:sz w:val="30"/>
          <w:szCs w:val="30"/>
        </w:rPr>
        <w:t>TA</w:t>
      </w:r>
      <w:r>
        <w:rPr>
          <w:rFonts w:ascii="仿宋_GB2312" w:eastAsia="仿宋_GB2312" w:hint="eastAsia"/>
          <w:sz w:val="30"/>
          <w:szCs w:val="30"/>
        </w:rPr>
        <w:t>系统对每日认购申请进行的交易确认仅表示认购申请有效，并不代表最终的认购确认结果。</w:t>
      </w:r>
    </w:p>
    <w:p w:rsidR="0001723C" w:rsidRDefault="007535F4">
      <w:pPr>
        <w:tabs>
          <w:tab w:val="left" w:pos="0"/>
        </w:tabs>
        <w:spacing w:line="560" w:lineRule="exact"/>
        <w:ind w:firstLineChars="200" w:firstLine="600"/>
        <w:jc w:val="left"/>
        <w:rPr>
          <w:rFonts w:ascii="仿宋_GB2312" w:eastAsia="仿宋_GB2312"/>
          <w:sz w:val="30"/>
          <w:szCs w:val="30"/>
        </w:rPr>
      </w:pPr>
      <w:r>
        <w:rPr>
          <w:rFonts w:ascii="仿宋_GB2312" w:eastAsia="仿宋_GB2312" w:hint="eastAsia"/>
          <w:sz w:val="30"/>
          <w:szCs w:val="30"/>
        </w:rPr>
        <w:t>（四）</w:t>
      </w:r>
      <w:r>
        <w:rPr>
          <w:rFonts w:ascii="仿宋_GB2312" w:eastAsia="仿宋_GB2312" w:hint="eastAsia"/>
          <w:sz w:val="30"/>
          <w:szCs w:val="30"/>
        </w:rPr>
        <w:t>T</w:t>
      </w:r>
      <w:r>
        <w:rPr>
          <w:rFonts w:ascii="仿宋_GB2312" w:eastAsia="仿宋_GB2312" w:hint="eastAsia"/>
          <w:sz w:val="30"/>
          <w:szCs w:val="30"/>
        </w:rPr>
        <w:t>＋</w:t>
      </w:r>
      <w:r>
        <w:rPr>
          <w:rFonts w:ascii="仿宋_GB2312" w:eastAsia="仿宋_GB2312" w:hint="eastAsia"/>
          <w:sz w:val="30"/>
          <w:szCs w:val="30"/>
        </w:rPr>
        <w:t>1</w:t>
      </w:r>
      <w:r>
        <w:rPr>
          <w:rFonts w:ascii="仿宋_GB2312" w:eastAsia="仿宋_GB2312" w:hint="eastAsia"/>
          <w:sz w:val="30"/>
          <w:szCs w:val="30"/>
        </w:rPr>
        <w:t>日</w:t>
      </w:r>
      <w:r>
        <w:rPr>
          <w:rFonts w:ascii="仿宋_GB2312" w:eastAsia="仿宋_GB2312" w:hint="eastAsia"/>
          <w:sz w:val="30"/>
          <w:szCs w:val="30"/>
        </w:rPr>
        <w:t>12:00</w:t>
      </w:r>
      <w:r>
        <w:rPr>
          <w:rFonts w:ascii="仿宋_GB2312" w:eastAsia="仿宋_GB2312" w:hint="eastAsia"/>
          <w:sz w:val="30"/>
          <w:szCs w:val="30"/>
        </w:rPr>
        <w:t>后，中国结算</w:t>
      </w:r>
      <w:r>
        <w:rPr>
          <w:rFonts w:ascii="仿宋_GB2312" w:eastAsia="仿宋_GB2312" w:hint="eastAsia"/>
          <w:sz w:val="30"/>
          <w:szCs w:val="30"/>
        </w:rPr>
        <w:t>TA</w:t>
      </w:r>
      <w:r>
        <w:rPr>
          <w:rFonts w:ascii="仿宋_GB2312" w:eastAsia="仿宋_GB2312" w:hint="eastAsia"/>
          <w:sz w:val="30"/>
          <w:szCs w:val="30"/>
        </w:rPr>
        <w:t>系统将场内认购交易确认结果发送中国结算上海分公司证券登记系统，中国结算上海分公司将场内认购交易回报数据发送相关场内证券经营机构。</w:t>
      </w:r>
    </w:p>
    <w:p w:rsidR="0001723C" w:rsidRDefault="007535F4">
      <w:pPr>
        <w:tabs>
          <w:tab w:val="left" w:pos="0"/>
        </w:tabs>
        <w:spacing w:line="560" w:lineRule="exact"/>
        <w:ind w:firstLineChars="200" w:firstLine="600"/>
        <w:jc w:val="left"/>
        <w:rPr>
          <w:rFonts w:ascii="仿宋_GB2312" w:eastAsia="仿宋_GB2312"/>
          <w:sz w:val="30"/>
          <w:szCs w:val="30"/>
        </w:rPr>
      </w:pPr>
      <w:r>
        <w:rPr>
          <w:rFonts w:ascii="仿宋_GB2312" w:eastAsia="仿宋_GB2312" w:hint="eastAsia"/>
          <w:sz w:val="30"/>
          <w:szCs w:val="30"/>
        </w:rPr>
        <w:t>中国结算</w:t>
      </w:r>
      <w:r>
        <w:rPr>
          <w:rFonts w:ascii="仿宋_GB2312" w:eastAsia="仿宋_GB2312" w:hint="eastAsia"/>
          <w:sz w:val="30"/>
          <w:szCs w:val="30"/>
        </w:rPr>
        <w:t>TA</w:t>
      </w:r>
      <w:r>
        <w:rPr>
          <w:rFonts w:ascii="仿宋_GB2312" w:eastAsia="仿宋_GB2312" w:hint="eastAsia"/>
          <w:sz w:val="30"/>
          <w:szCs w:val="30"/>
        </w:rPr>
        <w:t>系统将场外认购交易回报数据发送给场外基金销售机构。</w:t>
      </w:r>
    </w:p>
    <w:p w:rsidR="0001723C" w:rsidRDefault="007535F4">
      <w:pPr>
        <w:tabs>
          <w:tab w:val="left" w:pos="0"/>
        </w:tabs>
        <w:spacing w:line="560" w:lineRule="exact"/>
        <w:ind w:firstLineChars="200" w:firstLine="600"/>
        <w:jc w:val="left"/>
        <w:rPr>
          <w:rFonts w:ascii="仿宋_GB2312" w:eastAsia="仿宋_GB2312"/>
          <w:sz w:val="30"/>
          <w:szCs w:val="30"/>
        </w:rPr>
      </w:pPr>
      <w:r>
        <w:rPr>
          <w:rFonts w:ascii="仿宋_GB2312" w:eastAsia="仿宋_GB2312" w:hint="eastAsia"/>
          <w:sz w:val="30"/>
          <w:szCs w:val="30"/>
        </w:rPr>
        <w:t>中国结算</w:t>
      </w:r>
      <w:r>
        <w:rPr>
          <w:rFonts w:ascii="仿宋_GB2312" w:eastAsia="仿宋_GB2312" w:hint="eastAsia"/>
          <w:sz w:val="30"/>
          <w:szCs w:val="30"/>
        </w:rPr>
        <w:t>TA</w:t>
      </w:r>
      <w:r>
        <w:rPr>
          <w:rFonts w:ascii="仿宋_GB2312" w:eastAsia="仿宋_GB2312" w:hint="eastAsia"/>
          <w:sz w:val="30"/>
          <w:szCs w:val="30"/>
        </w:rPr>
        <w:t>系统将场内、场外交易回报数据一并发送至基金管理人。</w:t>
      </w:r>
    </w:p>
    <w:p w:rsidR="0001723C" w:rsidRDefault="007535F4">
      <w:pPr>
        <w:tabs>
          <w:tab w:val="left" w:pos="0"/>
        </w:tabs>
        <w:spacing w:line="560" w:lineRule="exact"/>
        <w:ind w:firstLineChars="200" w:firstLine="600"/>
        <w:jc w:val="left"/>
        <w:rPr>
          <w:rFonts w:ascii="仿宋_GB2312" w:eastAsia="仿宋_GB2312"/>
          <w:sz w:val="30"/>
          <w:szCs w:val="30"/>
        </w:rPr>
      </w:pPr>
      <w:r>
        <w:rPr>
          <w:rFonts w:ascii="仿宋_GB2312" w:eastAsia="仿宋_GB2312" w:hint="eastAsia"/>
          <w:sz w:val="30"/>
          <w:szCs w:val="30"/>
        </w:rPr>
        <w:t>中国结算将场内、场外资金清算数据合并后发送相关基金销售机构（场内资金清算数据与同一证券经营机构的场外数据合并，</w:t>
      </w:r>
      <w:r>
        <w:rPr>
          <w:rFonts w:ascii="仿宋_GB2312" w:eastAsia="仿宋_GB2312" w:hint="eastAsia"/>
          <w:sz w:val="30"/>
          <w:szCs w:val="30"/>
        </w:rPr>
        <w:lastRenderedPageBreak/>
        <w:t>通过场外发送）。</w:t>
      </w:r>
    </w:p>
    <w:p w:rsidR="0001723C" w:rsidRDefault="007535F4">
      <w:pPr>
        <w:tabs>
          <w:tab w:val="left" w:pos="0"/>
        </w:tabs>
        <w:spacing w:line="560" w:lineRule="exact"/>
        <w:ind w:firstLineChars="200" w:firstLine="600"/>
        <w:jc w:val="left"/>
        <w:rPr>
          <w:rFonts w:ascii="仿宋_GB2312" w:eastAsia="仿宋_GB2312"/>
          <w:sz w:val="30"/>
          <w:szCs w:val="30"/>
        </w:rPr>
      </w:pPr>
      <w:r>
        <w:rPr>
          <w:rFonts w:ascii="仿宋_GB2312" w:eastAsia="仿宋_GB2312" w:hint="eastAsia"/>
          <w:sz w:val="30"/>
          <w:szCs w:val="30"/>
        </w:rPr>
        <w:t>（五）</w:t>
      </w:r>
      <w:r>
        <w:rPr>
          <w:rFonts w:ascii="仿宋_GB2312" w:eastAsia="仿宋_GB2312" w:hint="eastAsia"/>
          <w:sz w:val="30"/>
          <w:szCs w:val="30"/>
        </w:rPr>
        <w:t>T</w:t>
      </w:r>
      <w:r>
        <w:rPr>
          <w:rFonts w:ascii="仿宋_GB2312" w:eastAsia="仿宋_GB2312" w:hint="eastAsia"/>
          <w:sz w:val="30"/>
          <w:szCs w:val="30"/>
        </w:rPr>
        <w:t>＋</w:t>
      </w:r>
      <w:r>
        <w:rPr>
          <w:rFonts w:ascii="仿宋_GB2312" w:eastAsia="仿宋_GB2312" w:hint="eastAsia"/>
          <w:sz w:val="30"/>
          <w:szCs w:val="30"/>
        </w:rPr>
        <w:t>2</w:t>
      </w:r>
      <w:r>
        <w:rPr>
          <w:rFonts w:ascii="仿宋_GB2312" w:eastAsia="仿宋_GB2312" w:hint="eastAsia"/>
          <w:sz w:val="30"/>
          <w:szCs w:val="30"/>
        </w:rPr>
        <w:t>日，中国结算于</w:t>
      </w:r>
      <w:r>
        <w:rPr>
          <w:rFonts w:ascii="仿宋_GB2312" w:eastAsia="仿宋_GB2312" w:hint="eastAsia"/>
          <w:sz w:val="30"/>
          <w:szCs w:val="30"/>
        </w:rPr>
        <w:t>9:00</w:t>
      </w:r>
      <w:r>
        <w:rPr>
          <w:rFonts w:ascii="仿宋_GB2312" w:eastAsia="仿宋_GB2312" w:hint="eastAsia"/>
          <w:sz w:val="30"/>
          <w:szCs w:val="30"/>
        </w:rPr>
        <w:t>之前将场内认购全额非担保资金交收数据（资金交收数据为中国结算资金交收系统发送的交收指令）与同一证券经营机构的场外认购全额非担保资金交收数据合并后发送至基金销售机构和基金管理人，基金销售机构据此将场内、场外认购资金划入其开立的开放式基金结算备付金账户，通过中国结算完成向相关基金产品的开放式基金结算备付金账户（或基金管理人以法人名义为其管理的不同资管产品统一开立的开放式基金结算备付金账户）的实时划付。非担保交收业务应当按照中国结算《开放式基金全额非担保结算业务指引》相关规定办理</w:t>
      </w:r>
      <w:r>
        <w:rPr>
          <w:rFonts w:ascii="仿宋_GB2312" w:eastAsia="仿宋_GB2312" w:hint="eastAsia"/>
          <w:sz w:val="30"/>
          <w:szCs w:val="30"/>
        </w:rPr>
        <w:t>。</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（六）</w:t>
      </w:r>
      <w:r>
        <w:rPr>
          <w:rFonts w:ascii="仿宋_GB2312" w:eastAsia="仿宋_GB2312" w:hint="eastAsia"/>
          <w:sz w:val="30"/>
          <w:szCs w:val="30"/>
        </w:rPr>
        <w:t>T+2</w:t>
      </w:r>
      <w:r>
        <w:rPr>
          <w:rFonts w:ascii="仿宋_GB2312" w:eastAsia="仿宋_GB2312" w:hint="eastAsia"/>
          <w:sz w:val="30"/>
          <w:szCs w:val="30"/>
        </w:rPr>
        <w:t>日，投资者可在场内证券经营机构处查询场内认购申请处理结果；可在场外基金销售机构处查询场外认购申请处理结果。</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认购期内的每一认购日均按上述业务流程滚动处理。</w:t>
      </w:r>
    </w:p>
    <w:p w:rsidR="0001723C" w:rsidRDefault="007535F4">
      <w:pPr>
        <w:pStyle w:val="3"/>
        <w:numPr>
          <w:ilvl w:val="0"/>
          <w:numId w:val="0"/>
        </w:numPr>
        <w:tabs>
          <w:tab w:val="clear" w:pos="1676"/>
          <w:tab w:val="left" w:pos="0"/>
        </w:tabs>
        <w:spacing w:line="560" w:lineRule="exact"/>
        <w:ind w:firstLineChars="200" w:firstLine="600"/>
        <w:rPr>
          <w:b/>
          <w:sz w:val="30"/>
          <w:szCs w:val="30"/>
        </w:rPr>
      </w:pPr>
      <w:r>
        <w:rPr>
          <w:rFonts w:hint="eastAsia"/>
          <w:sz w:val="30"/>
          <w:szCs w:val="30"/>
        </w:rPr>
        <w:t>第二十二条</w:t>
      </w:r>
      <w:r>
        <w:rPr>
          <w:rFonts w:hint="eastAsia"/>
          <w:sz w:val="30"/>
          <w:szCs w:val="30"/>
        </w:rPr>
        <w:t>上证</w:t>
      </w:r>
      <w:r>
        <w:rPr>
          <w:rFonts w:hint="eastAsia"/>
          <w:sz w:val="30"/>
          <w:szCs w:val="30"/>
        </w:rPr>
        <w:t>LOF</w:t>
      </w:r>
      <w:r>
        <w:rPr>
          <w:rFonts w:hint="eastAsia"/>
          <w:sz w:val="30"/>
          <w:szCs w:val="30"/>
        </w:rPr>
        <w:t>认购结束业务按照以下流程办理：</w:t>
      </w:r>
    </w:p>
    <w:p w:rsidR="0001723C" w:rsidRDefault="007535F4">
      <w:pPr>
        <w:tabs>
          <w:tab w:val="left" w:pos="0"/>
        </w:tabs>
        <w:spacing w:line="560" w:lineRule="exact"/>
        <w:ind w:firstLineChars="200" w:firstLine="600"/>
        <w:jc w:val="left"/>
        <w:rPr>
          <w:rFonts w:ascii="仿宋_GB2312" w:eastAsia="仿宋_GB2312"/>
          <w:sz w:val="30"/>
          <w:szCs w:val="30"/>
        </w:rPr>
      </w:pPr>
      <w:r>
        <w:rPr>
          <w:rFonts w:ascii="仿宋_GB2312" w:eastAsia="仿宋_GB2312" w:hint="eastAsia"/>
          <w:sz w:val="30"/>
          <w:szCs w:val="30"/>
        </w:rPr>
        <w:t>（一）份额登记日前一日日终至份额登记日</w:t>
      </w:r>
      <w:r>
        <w:rPr>
          <w:rFonts w:ascii="仿宋_GB2312" w:eastAsia="仿宋_GB2312" w:hint="eastAsia"/>
          <w:sz w:val="30"/>
          <w:szCs w:val="30"/>
        </w:rPr>
        <w:t>12:00</w:t>
      </w:r>
      <w:r>
        <w:rPr>
          <w:rFonts w:ascii="仿宋_GB2312" w:eastAsia="仿宋_GB2312" w:hint="eastAsia"/>
          <w:sz w:val="30"/>
          <w:szCs w:val="30"/>
        </w:rPr>
        <w:t>（份额登记日由基金管理人设定，份额登记日前一日最早可以是基金认购结束日），中国结算</w:t>
      </w:r>
      <w:r>
        <w:rPr>
          <w:rFonts w:ascii="仿宋_GB2312" w:eastAsia="仿宋_GB2312" w:hint="eastAsia"/>
          <w:sz w:val="30"/>
          <w:szCs w:val="30"/>
        </w:rPr>
        <w:t>TA</w:t>
      </w:r>
      <w:r>
        <w:rPr>
          <w:rFonts w:ascii="仿宋_GB2312" w:eastAsia="仿宋_GB2312" w:hint="eastAsia"/>
          <w:sz w:val="30"/>
          <w:szCs w:val="30"/>
        </w:rPr>
        <w:t>系统将认购期间上证</w:t>
      </w:r>
      <w:r>
        <w:rPr>
          <w:rFonts w:ascii="仿宋_GB2312" w:eastAsia="仿宋_GB2312" w:hint="eastAsia"/>
          <w:sz w:val="30"/>
          <w:szCs w:val="30"/>
        </w:rPr>
        <w:t>LOF</w:t>
      </w:r>
      <w:r>
        <w:rPr>
          <w:rFonts w:ascii="仿宋_GB2312" w:eastAsia="仿宋_GB2312" w:hint="eastAsia"/>
          <w:sz w:val="30"/>
          <w:szCs w:val="30"/>
        </w:rPr>
        <w:t>全部场内、场外认购申请发送至相关基金管理人处进行确认，并根据基金管理人对认购期间全部申请的确认，计算费用及相关退款、退息数据，完成</w:t>
      </w:r>
      <w:r>
        <w:rPr>
          <w:rFonts w:ascii="仿宋_GB2312" w:eastAsia="仿宋_GB2312" w:hint="eastAsia"/>
          <w:sz w:val="30"/>
          <w:szCs w:val="30"/>
        </w:rPr>
        <w:t>资金清算处理。</w:t>
      </w:r>
    </w:p>
    <w:p w:rsidR="0001723C" w:rsidRDefault="007535F4">
      <w:pPr>
        <w:tabs>
          <w:tab w:val="left" w:pos="0"/>
        </w:tabs>
        <w:spacing w:line="560" w:lineRule="exact"/>
        <w:ind w:firstLineChars="200" w:firstLine="600"/>
        <w:jc w:val="left"/>
        <w:rPr>
          <w:rFonts w:ascii="仿宋_GB2312" w:eastAsia="仿宋_GB2312"/>
          <w:sz w:val="30"/>
          <w:szCs w:val="30"/>
        </w:rPr>
      </w:pPr>
      <w:r>
        <w:rPr>
          <w:rFonts w:ascii="仿宋_GB2312" w:eastAsia="仿宋_GB2312" w:hint="eastAsia"/>
          <w:sz w:val="30"/>
          <w:szCs w:val="30"/>
        </w:rPr>
        <w:t>（二）份额登记日日终，中国结算</w:t>
      </w:r>
      <w:r>
        <w:rPr>
          <w:rFonts w:ascii="仿宋_GB2312" w:eastAsia="仿宋_GB2312" w:hint="eastAsia"/>
          <w:sz w:val="30"/>
          <w:szCs w:val="30"/>
        </w:rPr>
        <w:t>TA</w:t>
      </w:r>
      <w:r>
        <w:rPr>
          <w:rFonts w:ascii="仿宋_GB2312" w:eastAsia="仿宋_GB2312" w:hint="eastAsia"/>
          <w:sz w:val="30"/>
          <w:szCs w:val="30"/>
        </w:rPr>
        <w:t>系统将上证</w:t>
      </w:r>
      <w:r>
        <w:rPr>
          <w:rFonts w:ascii="仿宋_GB2312" w:eastAsia="仿宋_GB2312" w:hint="eastAsia"/>
          <w:sz w:val="30"/>
          <w:szCs w:val="30"/>
        </w:rPr>
        <w:t>LOF</w:t>
      </w:r>
      <w:r>
        <w:rPr>
          <w:rFonts w:ascii="仿宋_GB2312" w:eastAsia="仿宋_GB2312" w:hint="eastAsia"/>
          <w:sz w:val="30"/>
          <w:szCs w:val="30"/>
        </w:rPr>
        <w:t>场内认购确认结果发送至中国结算上海分公司。中国结算上海分公</w:t>
      </w:r>
      <w:r>
        <w:rPr>
          <w:rFonts w:ascii="仿宋_GB2312" w:eastAsia="仿宋_GB2312" w:hint="eastAsia"/>
          <w:sz w:val="30"/>
          <w:szCs w:val="30"/>
        </w:rPr>
        <w:lastRenderedPageBreak/>
        <w:t>司证券登记系统依此进行场内上证</w:t>
      </w:r>
      <w:r>
        <w:rPr>
          <w:rFonts w:ascii="仿宋_GB2312" w:eastAsia="仿宋_GB2312" w:hint="eastAsia"/>
          <w:sz w:val="30"/>
          <w:szCs w:val="30"/>
        </w:rPr>
        <w:t>LOF</w:t>
      </w:r>
      <w:r>
        <w:rPr>
          <w:rFonts w:ascii="仿宋_GB2312" w:eastAsia="仿宋_GB2312" w:hint="eastAsia"/>
          <w:sz w:val="30"/>
          <w:szCs w:val="30"/>
        </w:rPr>
        <w:t>认购登记处理，并将其完成认购登记后的场内基金交易回报、场内份额对账等相关数据发送场内证券经营机构。</w:t>
      </w:r>
    </w:p>
    <w:p w:rsidR="0001723C" w:rsidRDefault="007535F4">
      <w:pPr>
        <w:tabs>
          <w:tab w:val="left" w:pos="0"/>
        </w:tabs>
        <w:spacing w:line="560" w:lineRule="exact"/>
        <w:ind w:firstLineChars="200" w:firstLine="600"/>
        <w:jc w:val="left"/>
        <w:rPr>
          <w:rFonts w:ascii="仿宋_GB2312" w:eastAsia="仿宋_GB2312"/>
          <w:sz w:val="30"/>
          <w:szCs w:val="30"/>
        </w:rPr>
      </w:pPr>
      <w:r>
        <w:rPr>
          <w:rFonts w:ascii="仿宋_GB2312" w:eastAsia="仿宋_GB2312" w:hint="eastAsia"/>
          <w:sz w:val="30"/>
          <w:szCs w:val="30"/>
        </w:rPr>
        <w:t>中国结算</w:t>
      </w:r>
      <w:r>
        <w:rPr>
          <w:rFonts w:ascii="仿宋_GB2312" w:eastAsia="仿宋_GB2312" w:hint="eastAsia"/>
          <w:sz w:val="30"/>
          <w:szCs w:val="30"/>
        </w:rPr>
        <w:t>TA</w:t>
      </w:r>
      <w:r>
        <w:rPr>
          <w:rFonts w:ascii="仿宋_GB2312" w:eastAsia="仿宋_GB2312" w:hint="eastAsia"/>
          <w:sz w:val="30"/>
          <w:szCs w:val="30"/>
        </w:rPr>
        <w:t>系统依据上证</w:t>
      </w:r>
      <w:r>
        <w:rPr>
          <w:rFonts w:ascii="仿宋_GB2312" w:eastAsia="仿宋_GB2312" w:hint="eastAsia"/>
          <w:sz w:val="30"/>
          <w:szCs w:val="30"/>
        </w:rPr>
        <w:t>LOF</w:t>
      </w:r>
      <w:r>
        <w:rPr>
          <w:rFonts w:ascii="仿宋_GB2312" w:eastAsia="仿宋_GB2312" w:hint="eastAsia"/>
          <w:sz w:val="30"/>
          <w:szCs w:val="30"/>
        </w:rPr>
        <w:t>场外认购确认结果进行场外上证</w:t>
      </w:r>
      <w:r>
        <w:rPr>
          <w:rFonts w:ascii="仿宋_GB2312" w:eastAsia="仿宋_GB2312" w:hint="eastAsia"/>
          <w:sz w:val="30"/>
          <w:szCs w:val="30"/>
        </w:rPr>
        <w:t>LOF</w:t>
      </w:r>
      <w:r>
        <w:rPr>
          <w:rFonts w:ascii="仿宋_GB2312" w:eastAsia="仿宋_GB2312" w:hint="eastAsia"/>
          <w:sz w:val="30"/>
          <w:szCs w:val="30"/>
        </w:rPr>
        <w:t>认购登记处理，并将其完成认购登记后的场外基金交易回报、场外份额对账等相关数据发送场外基金销售机构。</w:t>
      </w:r>
    </w:p>
    <w:p w:rsidR="0001723C" w:rsidRDefault="007535F4">
      <w:pPr>
        <w:tabs>
          <w:tab w:val="left" w:pos="0"/>
        </w:tabs>
        <w:spacing w:line="560" w:lineRule="exact"/>
        <w:ind w:firstLineChars="200" w:firstLine="600"/>
        <w:jc w:val="left"/>
        <w:rPr>
          <w:rFonts w:ascii="仿宋_GB2312" w:eastAsia="仿宋_GB2312"/>
          <w:sz w:val="30"/>
          <w:szCs w:val="30"/>
        </w:rPr>
      </w:pPr>
      <w:r>
        <w:rPr>
          <w:rFonts w:ascii="仿宋_GB2312" w:eastAsia="仿宋_GB2312" w:hint="eastAsia"/>
          <w:sz w:val="30"/>
          <w:szCs w:val="30"/>
        </w:rPr>
        <w:t>中国结算</w:t>
      </w:r>
      <w:r>
        <w:rPr>
          <w:rFonts w:ascii="仿宋_GB2312" w:eastAsia="仿宋_GB2312" w:hint="eastAsia"/>
          <w:sz w:val="30"/>
          <w:szCs w:val="30"/>
        </w:rPr>
        <w:t>TA</w:t>
      </w:r>
      <w:r>
        <w:rPr>
          <w:rFonts w:ascii="仿宋_GB2312" w:eastAsia="仿宋_GB2312" w:hint="eastAsia"/>
          <w:sz w:val="30"/>
          <w:szCs w:val="30"/>
        </w:rPr>
        <w:t>系统将场内、场外的交易回报和份额对账等相关数据一并发送至基金管理人。</w:t>
      </w:r>
    </w:p>
    <w:p w:rsidR="0001723C" w:rsidRDefault="007535F4">
      <w:pPr>
        <w:tabs>
          <w:tab w:val="left" w:pos="0"/>
        </w:tabs>
        <w:spacing w:line="560" w:lineRule="exact"/>
        <w:ind w:firstLineChars="200" w:firstLine="600"/>
        <w:jc w:val="left"/>
        <w:rPr>
          <w:rFonts w:ascii="仿宋_GB2312" w:eastAsia="仿宋_GB2312"/>
          <w:sz w:val="30"/>
          <w:szCs w:val="30"/>
        </w:rPr>
      </w:pPr>
      <w:r>
        <w:rPr>
          <w:rFonts w:ascii="仿宋_GB2312" w:eastAsia="仿宋_GB2312" w:hint="eastAsia"/>
          <w:sz w:val="30"/>
          <w:szCs w:val="30"/>
        </w:rPr>
        <w:t>（三）</w:t>
      </w:r>
      <w:r>
        <w:rPr>
          <w:rFonts w:ascii="仿宋_GB2312" w:eastAsia="仿宋_GB2312" w:hint="eastAsia"/>
          <w:sz w:val="30"/>
          <w:szCs w:val="30"/>
        </w:rPr>
        <w:t>份额登记日次日，投资者可在场内证券经营机构处查询场内认购所得上证</w:t>
      </w:r>
      <w:r>
        <w:rPr>
          <w:rFonts w:ascii="仿宋_GB2312" w:eastAsia="仿宋_GB2312" w:hint="eastAsia"/>
          <w:sz w:val="30"/>
          <w:szCs w:val="30"/>
        </w:rPr>
        <w:t>LOF</w:t>
      </w:r>
      <w:r>
        <w:rPr>
          <w:rFonts w:ascii="仿宋_GB2312" w:eastAsia="仿宋_GB2312" w:hint="eastAsia"/>
          <w:sz w:val="30"/>
          <w:szCs w:val="30"/>
        </w:rPr>
        <w:t>份额；可在场外基金销售机构处查询场外认购所得上证</w:t>
      </w:r>
      <w:r>
        <w:rPr>
          <w:rFonts w:ascii="仿宋_GB2312" w:eastAsia="仿宋_GB2312" w:hint="eastAsia"/>
          <w:sz w:val="30"/>
          <w:szCs w:val="30"/>
        </w:rPr>
        <w:t>LOF</w:t>
      </w:r>
      <w:r>
        <w:rPr>
          <w:rFonts w:ascii="仿宋_GB2312" w:eastAsia="仿宋_GB2312" w:hint="eastAsia"/>
          <w:sz w:val="30"/>
          <w:szCs w:val="30"/>
        </w:rPr>
        <w:t>份额。</w:t>
      </w:r>
    </w:p>
    <w:p w:rsidR="0001723C" w:rsidRDefault="007535F4">
      <w:pPr>
        <w:tabs>
          <w:tab w:val="left" w:pos="0"/>
        </w:tabs>
        <w:spacing w:line="560" w:lineRule="exact"/>
        <w:ind w:firstLineChars="200" w:firstLine="600"/>
        <w:jc w:val="left"/>
        <w:rPr>
          <w:rFonts w:ascii="仿宋_GB2312" w:eastAsia="仿宋_GB2312"/>
          <w:sz w:val="30"/>
          <w:szCs w:val="30"/>
        </w:rPr>
      </w:pPr>
      <w:r>
        <w:rPr>
          <w:rFonts w:ascii="仿宋_GB2312" w:eastAsia="仿宋_GB2312" w:hint="eastAsia"/>
          <w:sz w:val="30"/>
          <w:szCs w:val="30"/>
        </w:rPr>
        <w:t>（四）份额登记日次日，中国结算于</w:t>
      </w:r>
      <w:r>
        <w:rPr>
          <w:rFonts w:ascii="仿宋_GB2312" w:eastAsia="仿宋_GB2312" w:hint="eastAsia"/>
          <w:sz w:val="30"/>
          <w:szCs w:val="30"/>
        </w:rPr>
        <w:t>9:00</w:t>
      </w:r>
      <w:r>
        <w:rPr>
          <w:rFonts w:ascii="仿宋_GB2312" w:eastAsia="仿宋_GB2312" w:hint="eastAsia"/>
          <w:sz w:val="30"/>
          <w:szCs w:val="30"/>
        </w:rPr>
        <w:t>之前将场内、场外认购费用、退款及退息（如有）的全额非担保资金交收数据发送至基金销售机构和基金管理人，基金管理人将该基金产品的开放式基金结算备付金账户（或基金管理人以法人名义为其管理的不同资管产品统一开立的开放式基金结算备付金账户）中的认购费用划至该基金管理人的费用账户，将退款资金（如有）划至基金销售机构开立的开放式基金结算备付金账户，由基</w:t>
      </w:r>
      <w:r>
        <w:rPr>
          <w:rFonts w:ascii="仿宋_GB2312" w:eastAsia="仿宋_GB2312" w:hint="eastAsia"/>
          <w:sz w:val="30"/>
          <w:szCs w:val="30"/>
        </w:rPr>
        <w:t>金销售机构负责退还给投资者。</w:t>
      </w:r>
    </w:p>
    <w:p w:rsidR="0001723C" w:rsidRDefault="007535F4">
      <w:pPr>
        <w:pStyle w:val="3"/>
        <w:numPr>
          <w:ilvl w:val="0"/>
          <w:numId w:val="0"/>
        </w:numPr>
        <w:tabs>
          <w:tab w:val="clear" w:pos="1676"/>
          <w:tab w:val="left" w:pos="0"/>
        </w:tabs>
        <w:spacing w:line="560" w:lineRule="exact"/>
        <w:ind w:firstLineChars="200" w:firstLine="600"/>
        <w:rPr>
          <w:sz w:val="30"/>
          <w:szCs w:val="30"/>
        </w:rPr>
      </w:pPr>
      <w:r>
        <w:rPr>
          <w:rFonts w:hint="eastAsia"/>
          <w:sz w:val="30"/>
          <w:szCs w:val="30"/>
        </w:rPr>
        <w:t>第二十三条</w:t>
      </w:r>
      <w:r>
        <w:rPr>
          <w:rFonts w:hint="eastAsia"/>
          <w:sz w:val="30"/>
          <w:szCs w:val="30"/>
        </w:rPr>
        <w:t>基金管理人可在份额登记日</w:t>
      </w:r>
      <w:r>
        <w:rPr>
          <w:rFonts w:hint="eastAsia"/>
          <w:sz w:val="30"/>
          <w:szCs w:val="30"/>
        </w:rPr>
        <w:t>12:00</w:t>
      </w:r>
      <w:r>
        <w:rPr>
          <w:rFonts w:hint="eastAsia"/>
          <w:sz w:val="30"/>
          <w:szCs w:val="30"/>
        </w:rPr>
        <w:t>之前通过确认文件对上证</w:t>
      </w:r>
      <w:r>
        <w:rPr>
          <w:rFonts w:hint="eastAsia"/>
          <w:sz w:val="30"/>
          <w:szCs w:val="30"/>
        </w:rPr>
        <w:t>LOF</w:t>
      </w:r>
      <w:r>
        <w:rPr>
          <w:rFonts w:hint="eastAsia"/>
          <w:sz w:val="30"/>
          <w:szCs w:val="30"/>
        </w:rPr>
        <w:t>认购申请进行末日或全程比例确认，对投资者的认购申请做部分或全部确认失败处理，确保认购结果符合相关法律法规、业务规则、基金合同和招募说明书等法律文件要求。中国结算根据基金管理人的确认文件进行登记处理。</w:t>
      </w:r>
    </w:p>
    <w:p w:rsidR="0001723C" w:rsidRDefault="007535F4">
      <w:pPr>
        <w:pStyle w:val="3"/>
        <w:numPr>
          <w:ilvl w:val="0"/>
          <w:numId w:val="0"/>
        </w:numPr>
        <w:tabs>
          <w:tab w:val="clear" w:pos="1676"/>
          <w:tab w:val="left" w:pos="0"/>
        </w:tabs>
        <w:spacing w:line="560" w:lineRule="exact"/>
        <w:ind w:firstLineChars="200" w:firstLine="600"/>
        <w:rPr>
          <w:sz w:val="30"/>
          <w:szCs w:val="30"/>
        </w:rPr>
      </w:pPr>
      <w:r>
        <w:rPr>
          <w:rFonts w:hint="eastAsia"/>
          <w:sz w:val="30"/>
          <w:szCs w:val="30"/>
        </w:rPr>
        <w:lastRenderedPageBreak/>
        <w:t>第二十四条</w:t>
      </w:r>
      <w:r>
        <w:rPr>
          <w:rFonts w:hint="eastAsia"/>
          <w:sz w:val="30"/>
          <w:szCs w:val="30"/>
        </w:rPr>
        <w:t>认购资金产生的利息，中国结算于结息日的次日记入该基金产品的开放式基金结算备付金账户（或基金管理人以法人名义为其管理的不同资管产品统一开立的开放式基金结算备付金账户）；若基金募集期跨越季度结息日，则相应</w:t>
      </w:r>
      <w:r>
        <w:rPr>
          <w:rFonts w:hint="eastAsia"/>
          <w:sz w:val="30"/>
          <w:szCs w:val="30"/>
        </w:rPr>
        <w:t>利息分多次计付。</w:t>
      </w:r>
    </w:p>
    <w:p w:rsidR="0001723C" w:rsidRDefault="007535F4">
      <w:pPr>
        <w:pStyle w:val="3"/>
        <w:numPr>
          <w:ilvl w:val="0"/>
          <w:numId w:val="0"/>
        </w:numPr>
        <w:tabs>
          <w:tab w:val="clear" w:pos="1676"/>
          <w:tab w:val="left" w:pos="0"/>
        </w:tabs>
        <w:spacing w:line="560" w:lineRule="exact"/>
        <w:ind w:firstLineChars="200" w:firstLine="600"/>
        <w:rPr>
          <w:sz w:val="30"/>
          <w:szCs w:val="30"/>
        </w:rPr>
      </w:pPr>
      <w:r>
        <w:rPr>
          <w:rFonts w:hint="eastAsia"/>
          <w:sz w:val="30"/>
          <w:szCs w:val="30"/>
        </w:rPr>
        <w:t>第二十五条</w:t>
      </w:r>
      <w:r>
        <w:rPr>
          <w:rFonts w:hint="eastAsia"/>
          <w:sz w:val="30"/>
          <w:szCs w:val="30"/>
        </w:rPr>
        <w:t>份额登记日次日，中国结算总部为基金管理人出具书面认购数据说明，基金管理人可以据此进行基金验资等相关工作。</w:t>
      </w:r>
    </w:p>
    <w:p w:rsidR="0001723C" w:rsidRDefault="007535F4">
      <w:pPr>
        <w:pStyle w:val="af9"/>
        <w:widowControl/>
        <w:spacing w:line="560" w:lineRule="exact"/>
        <w:ind w:firstLineChars="0" w:firstLine="0"/>
        <w:jc w:val="center"/>
        <w:rPr>
          <w:rFonts w:ascii="黑体" w:eastAsia="黑体" w:hAnsi="黑体"/>
          <w:b/>
          <w:sz w:val="30"/>
          <w:szCs w:val="30"/>
        </w:rPr>
      </w:pPr>
      <w:r>
        <w:rPr>
          <w:rFonts w:ascii="黑体" w:eastAsia="黑体" w:hAnsi="黑体"/>
          <w:b/>
          <w:sz w:val="30"/>
          <w:szCs w:val="30"/>
        </w:rPr>
        <w:t>第四章</w:t>
      </w:r>
      <w:r>
        <w:rPr>
          <w:rFonts w:ascii="黑体" w:eastAsia="黑体" w:hAnsi="黑体" w:hint="eastAsia"/>
          <w:b/>
          <w:sz w:val="30"/>
          <w:szCs w:val="30"/>
        </w:rPr>
        <w:t>开放、</w:t>
      </w:r>
      <w:bookmarkStart w:id="3" w:name="_Toc338048952"/>
      <w:r>
        <w:rPr>
          <w:rFonts w:ascii="黑体" w:eastAsia="黑体" w:hAnsi="黑体" w:hint="eastAsia"/>
          <w:b/>
          <w:sz w:val="30"/>
          <w:szCs w:val="30"/>
        </w:rPr>
        <w:t>上市</w:t>
      </w:r>
      <w:bookmarkEnd w:id="3"/>
      <w:r>
        <w:rPr>
          <w:rFonts w:ascii="黑体" w:eastAsia="黑体" w:hAnsi="黑体" w:hint="eastAsia"/>
          <w:b/>
          <w:sz w:val="30"/>
          <w:szCs w:val="30"/>
        </w:rPr>
        <w:t>、交易</w:t>
      </w:r>
    </w:p>
    <w:p w:rsidR="0001723C" w:rsidRDefault="007535F4">
      <w:pPr>
        <w:pStyle w:val="3"/>
        <w:numPr>
          <w:ilvl w:val="0"/>
          <w:numId w:val="0"/>
        </w:numPr>
        <w:tabs>
          <w:tab w:val="clear" w:pos="1676"/>
          <w:tab w:val="left" w:pos="0"/>
        </w:tabs>
        <w:spacing w:line="560" w:lineRule="exact"/>
        <w:ind w:firstLineChars="200" w:firstLine="600"/>
        <w:rPr>
          <w:sz w:val="30"/>
          <w:szCs w:val="30"/>
        </w:rPr>
      </w:pPr>
      <w:r>
        <w:rPr>
          <w:rFonts w:hint="eastAsia"/>
          <w:sz w:val="30"/>
          <w:szCs w:val="30"/>
        </w:rPr>
        <w:t>第二十六条</w:t>
      </w:r>
      <w:r>
        <w:rPr>
          <w:rFonts w:hint="eastAsia"/>
          <w:sz w:val="30"/>
          <w:szCs w:val="30"/>
        </w:rPr>
        <w:t>基金管理人应当每日按照相关数据接口规范将上证</w:t>
      </w:r>
      <w:r>
        <w:rPr>
          <w:rFonts w:hint="eastAsia"/>
          <w:sz w:val="30"/>
          <w:szCs w:val="30"/>
        </w:rPr>
        <w:t>LOF</w:t>
      </w:r>
      <w:r>
        <w:rPr>
          <w:rFonts w:hint="eastAsia"/>
          <w:sz w:val="30"/>
          <w:szCs w:val="30"/>
        </w:rPr>
        <w:t>下一交易日的业务状态通知中国结算总部，中国结算根据基金管理人发送的业务状态数据进行场内和场外申购、赎回、转托管等业务控制，并发送给场外基金销售机构，同时通过上交所发送给场内证券经营机构。</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基金上市后，基金管理人应当在上证</w:t>
      </w:r>
      <w:r>
        <w:rPr>
          <w:rFonts w:ascii="仿宋_GB2312" w:eastAsia="仿宋_GB2312" w:hint="eastAsia"/>
          <w:sz w:val="30"/>
          <w:szCs w:val="30"/>
        </w:rPr>
        <w:t>LOF</w:t>
      </w:r>
      <w:r>
        <w:rPr>
          <w:rFonts w:ascii="仿宋_GB2312" w:eastAsia="仿宋_GB2312" w:hint="eastAsia"/>
          <w:sz w:val="30"/>
          <w:szCs w:val="30"/>
        </w:rPr>
        <w:t>暂停或恢复申购、赎回、转托管的前两个交易日</w:t>
      </w:r>
      <w:r>
        <w:rPr>
          <w:rFonts w:ascii="仿宋_GB2312" w:eastAsia="仿宋_GB2312" w:hint="eastAsia"/>
          <w:sz w:val="30"/>
          <w:szCs w:val="30"/>
        </w:rPr>
        <w:t>14:00</w:t>
      </w:r>
      <w:r>
        <w:rPr>
          <w:rFonts w:ascii="仿宋_GB2312" w:eastAsia="仿宋_GB2312" w:hint="eastAsia"/>
          <w:sz w:val="30"/>
          <w:szCs w:val="30"/>
        </w:rPr>
        <w:t>前向上交所提起申</w:t>
      </w:r>
      <w:r>
        <w:rPr>
          <w:rFonts w:ascii="仿宋_GB2312" w:eastAsia="仿宋_GB2312" w:hint="eastAsia"/>
          <w:sz w:val="30"/>
          <w:szCs w:val="30"/>
        </w:rPr>
        <w:t>请，上交所根据基金管理人的申请进行场内申购、赎回、转托管等业务控制。</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基金管理人应当保证向上交所申请的申购、赎回、转托管等业务状态和通过中国结算数据接口规范发送的相关业务状态的一致性、及时性和准确性，因基金管理人发送给上交所和中国结算的相关业务状态不一致、发送延误或信息错误造成的损失由基金管理人自行承担。</w:t>
      </w:r>
    </w:p>
    <w:p w:rsidR="0001723C" w:rsidRDefault="007535F4">
      <w:pPr>
        <w:pStyle w:val="3"/>
        <w:numPr>
          <w:ilvl w:val="0"/>
          <w:numId w:val="0"/>
        </w:numPr>
        <w:tabs>
          <w:tab w:val="clear" w:pos="1676"/>
          <w:tab w:val="left" w:pos="0"/>
        </w:tabs>
        <w:spacing w:line="560" w:lineRule="exact"/>
        <w:ind w:firstLineChars="200" w:firstLine="600"/>
        <w:rPr>
          <w:sz w:val="30"/>
          <w:szCs w:val="30"/>
        </w:rPr>
      </w:pPr>
      <w:r>
        <w:rPr>
          <w:rFonts w:hint="eastAsia"/>
          <w:sz w:val="30"/>
          <w:szCs w:val="30"/>
        </w:rPr>
        <w:t>第二十七条</w:t>
      </w:r>
      <w:r>
        <w:rPr>
          <w:rFonts w:hint="eastAsia"/>
          <w:sz w:val="30"/>
          <w:szCs w:val="30"/>
        </w:rPr>
        <w:t>基金成立后，基金管理人可以按照《证券投资基</w:t>
      </w:r>
      <w:r>
        <w:rPr>
          <w:rFonts w:hint="eastAsia"/>
          <w:sz w:val="30"/>
          <w:szCs w:val="30"/>
        </w:rPr>
        <w:lastRenderedPageBreak/>
        <w:t>金上市规则》的规定，向上交所提交上市申请。</w:t>
      </w:r>
    </w:p>
    <w:p w:rsidR="0001723C" w:rsidRDefault="007535F4">
      <w:pPr>
        <w:pStyle w:val="3"/>
        <w:numPr>
          <w:ilvl w:val="0"/>
          <w:numId w:val="0"/>
        </w:numPr>
        <w:tabs>
          <w:tab w:val="clear" w:pos="1676"/>
          <w:tab w:val="left" w:pos="0"/>
        </w:tabs>
        <w:spacing w:line="560" w:lineRule="exact"/>
        <w:ind w:firstLineChars="200" w:firstLine="600"/>
        <w:rPr>
          <w:sz w:val="30"/>
          <w:szCs w:val="30"/>
        </w:rPr>
      </w:pPr>
      <w:r>
        <w:rPr>
          <w:rFonts w:hint="eastAsia"/>
          <w:sz w:val="30"/>
          <w:szCs w:val="30"/>
        </w:rPr>
        <w:t>第二十八条</w:t>
      </w:r>
      <w:r>
        <w:rPr>
          <w:rFonts w:hint="eastAsia"/>
          <w:sz w:val="30"/>
          <w:szCs w:val="30"/>
        </w:rPr>
        <w:t>上证</w:t>
      </w:r>
      <w:r>
        <w:rPr>
          <w:rFonts w:hint="eastAsia"/>
          <w:sz w:val="30"/>
          <w:szCs w:val="30"/>
        </w:rPr>
        <w:t>LOF</w:t>
      </w:r>
      <w:r>
        <w:rPr>
          <w:rFonts w:hint="eastAsia"/>
          <w:sz w:val="30"/>
          <w:szCs w:val="30"/>
        </w:rPr>
        <w:t>的上市、信息披露、停复牌以及终止上市等事宜，适用《证券投资基金上市规则》的规定。</w:t>
      </w:r>
    </w:p>
    <w:p w:rsidR="0001723C" w:rsidRDefault="007535F4">
      <w:pPr>
        <w:pStyle w:val="3"/>
        <w:numPr>
          <w:ilvl w:val="0"/>
          <w:numId w:val="0"/>
        </w:numPr>
        <w:tabs>
          <w:tab w:val="clear" w:pos="1676"/>
          <w:tab w:val="left" w:pos="0"/>
        </w:tabs>
        <w:spacing w:line="560" w:lineRule="exact"/>
        <w:ind w:firstLineChars="200" w:firstLine="600"/>
        <w:rPr>
          <w:sz w:val="30"/>
          <w:szCs w:val="30"/>
        </w:rPr>
      </w:pPr>
      <w:r>
        <w:rPr>
          <w:rFonts w:hint="eastAsia"/>
          <w:sz w:val="30"/>
          <w:szCs w:val="30"/>
        </w:rPr>
        <w:t>第二十九条</w:t>
      </w:r>
      <w:r>
        <w:rPr>
          <w:rFonts w:hint="eastAsia"/>
          <w:sz w:val="30"/>
          <w:szCs w:val="30"/>
        </w:rPr>
        <w:t>上证</w:t>
      </w:r>
      <w:r>
        <w:rPr>
          <w:rFonts w:hint="eastAsia"/>
          <w:sz w:val="30"/>
          <w:szCs w:val="30"/>
        </w:rPr>
        <w:t>LOF</w:t>
      </w:r>
      <w:r>
        <w:rPr>
          <w:rFonts w:hint="eastAsia"/>
          <w:sz w:val="30"/>
          <w:szCs w:val="30"/>
        </w:rPr>
        <w:t>上市首日的开盘参考价为基金管理人按照基金上市法律文件中规定方式计算并向上交所提供的基金份额参考值（四舍五入至价格最小变动单位）。</w:t>
      </w:r>
    </w:p>
    <w:p w:rsidR="0001723C" w:rsidRDefault="007535F4">
      <w:pPr>
        <w:pStyle w:val="3"/>
        <w:numPr>
          <w:ilvl w:val="0"/>
          <w:numId w:val="0"/>
        </w:numPr>
        <w:tabs>
          <w:tab w:val="clear" w:pos="1676"/>
          <w:tab w:val="left" w:pos="0"/>
        </w:tabs>
        <w:spacing w:line="560" w:lineRule="exact"/>
        <w:ind w:firstLineChars="200" w:firstLine="600"/>
        <w:rPr>
          <w:sz w:val="30"/>
          <w:szCs w:val="30"/>
        </w:rPr>
      </w:pPr>
      <w:r>
        <w:rPr>
          <w:rFonts w:hint="eastAsia"/>
          <w:sz w:val="30"/>
          <w:szCs w:val="30"/>
        </w:rPr>
        <w:t>第三十条</w:t>
      </w:r>
      <w:r>
        <w:rPr>
          <w:rFonts w:hint="eastAsia"/>
          <w:sz w:val="30"/>
          <w:szCs w:val="30"/>
        </w:rPr>
        <w:t>上证</w:t>
      </w:r>
      <w:r>
        <w:rPr>
          <w:rFonts w:hint="eastAsia"/>
          <w:sz w:val="30"/>
          <w:szCs w:val="30"/>
        </w:rPr>
        <w:t>LOF</w:t>
      </w:r>
      <w:r>
        <w:rPr>
          <w:rFonts w:hint="eastAsia"/>
          <w:sz w:val="30"/>
          <w:szCs w:val="30"/>
        </w:rPr>
        <w:t>交易适用《上海证券交易所交易规则》有关基金买卖申报、竞价、成交、开盘价、收盘价、涨跌幅等规定。</w:t>
      </w:r>
    </w:p>
    <w:p w:rsidR="0001723C" w:rsidRDefault="007535F4">
      <w:pPr>
        <w:pStyle w:val="3"/>
        <w:numPr>
          <w:ilvl w:val="0"/>
          <w:numId w:val="0"/>
        </w:numPr>
        <w:tabs>
          <w:tab w:val="clear" w:pos="1676"/>
          <w:tab w:val="left" w:pos="0"/>
        </w:tabs>
        <w:spacing w:line="560" w:lineRule="exact"/>
        <w:ind w:firstLineChars="200" w:firstLine="600"/>
        <w:rPr>
          <w:sz w:val="30"/>
          <w:szCs w:val="30"/>
        </w:rPr>
      </w:pPr>
      <w:r>
        <w:rPr>
          <w:rFonts w:hint="eastAsia"/>
          <w:sz w:val="30"/>
          <w:szCs w:val="30"/>
        </w:rPr>
        <w:t>第三十一条</w:t>
      </w:r>
      <w:r>
        <w:rPr>
          <w:rFonts w:hint="eastAsia"/>
          <w:sz w:val="30"/>
          <w:szCs w:val="30"/>
        </w:rPr>
        <w:t>交易日（</w:t>
      </w:r>
      <w:r>
        <w:rPr>
          <w:rFonts w:hint="eastAsia"/>
          <w:sz w:val="30"/>
          <w:szCs w:val="30"/>
        </w:rPr>
        <w:t>T</w:t>
      </w:r>
      <w:r>
        <w:rPr>
          <w:rFonts w:hint="eastAsia"/>
          <w:sz w:val="30"/>
          <w:szCs w:val="30"/>
        </w:rPr>
        <w:t>日）闭市后，中国结算上海分公司根据上市开放式基金的交易数据，计算结算业务参与人有关上证</w:t>
      </w:r>
      <w:r>
        <w:rPr>
          <w:rFonts w:hint="eastAsia"/>
          <w:sz w:val="30"/>
          <w:szCs w:val="30"/>
        </w:rPr>
        <w:t>LOF</w:t>
      </w:r>
      <w:r>
        <w:rPr>
          <w:rFonts w:hint="eastAsia"/>
          <w:sz w:val="30"/>
          <w:szCs w:val="30"/>
        </w:rPr>
        <w:t>份额的应收、应付净额。</w:t>
      </w:r>
      <w:r>
        <w:rPr>
          <w:rFonts w:hint="eastAsia"/>
          <w:sz w:val="30"/>
          <w:szCs w:val="30"/>
        </w:rPr>
        <w:t>T</w:t>
      </w:r>
      <w:r>
        <w:rPr>
          <w:rFonts w:hint="eastAsia"/>
          <w:sz w:val="30"/>
          <w:szCs w:val="30"/>
        </w:rPr>
        <w:t>日中国结算上海分公司根据上述清算结果完成与结算参与人的证券集中交收，并按照结算参与人委托，完成投资者证券账户的证</w:t>
      </w:r>
      <w:r>
        <w:rPr>
          <w:rFonts w:hint="eastAsia"/>
          <w:sz w:val="30"/>
          <w:szCs w:val="30"/>
        </w:rPr>
        <w:t>券交收处理。</w:t>
      </w:r>
    </w:p>
    <w:p w:rsidR="0001723C" w:rsidRDefault="007535F4">
      <w:pPr>
        <w:pStyle w:val="3"/>
        <w:numPr>
          <w:ilvl w:val="0"/>
          <w:numId w:val="0"/>
        </w:numPr>
        <w:tabs>
          <w:tab w:val="clear" w:pos="1676"/>
          <w:tab w:val="left" w:pos="0"/>
        </w:tabs>
        <w:spacing w:line="560" w:lineRule="exact"/>
        <w:ind w:firstLineChars="200" w:firstLine="600"/>
        <w:rPr>
          <w:sz w:val="30"/>
          <w:szCs w:val="30"/>
        </w:rPr>
      </w:pPr>
      <w:r>
        <w:rPr>
          <w:rFonts w:hint="eastAsia"/>
          <w:sz w:val="30"/>
          <w:szCs w:val="30"/>
        </w:rPr>
        <w:t>第三十二条</w:t>
      </w:r>
      <w:r>
        <w:rPr>
          <w:rFonts w:hint="eastAsia"/>
          <w:sz w:val="30"/>
          <w:szCs w:val="30"/>
        </w:rPr>
        <w:t>T</w:t>
      </w:r>
      <w:r>
        <w:rPr>
          <w:rFonts w:hint="eastAsia"/>
          <w:sz w:val="30"/>
          <w:szCs w:val="30"/>
        </w:rPr>
        <w:t>日闭市后，中国结算上海分公司根据各结算业务参与人当日的交易数据和其他非交易数据（包括股份派息、配股认购扣款、保证金调整、季度结息、透支罚息等），计算出各结算业务参与人在</w:t>
      </w:r>
      <w:r>
        <w:rPr>
          <w:rFonts w:hint="eastAsia"/>
          <w:sz w:val="30"/>
          <w:szCs w:val="30"/>
        </w:rPr>
        <w:t>T+1</w:t>
      </w:r>
      <w:r>
        <w:rPr>
          <w:rFonts w:hint="eastAsia"/>
          <w:sz w:val="30"/>
          <w:szCs w:val="30"/>
        </w:rPr>
        <w:t>日的应收、应付资金净额，生成资金清算数据，并据此与各结算业务参与人完成</w:t>
      </w:r>
      <w:r>
        <w:rPr>
          <w:rFonts w:hint="eastAsia"/>
          <w:sz w:val="30"/>
          <w:szCs w:val="30"/>
        </w:rPr>
        <w:t>T+1</w:t>
      </w:r>
      <w:r>
        <w:rPr>
          <w:rFonts w:hint="eastAsia"/>
          <w:sz w:val="30"/>
          <w:szCs w:val="30"/>
        </w:rPr>
        <w:t>日的资金交收。</w:t>
      </w:r>
    </w:p>
    <w:p w:rsidR="0001723C" w:rsidRDefault="007535F4">
      <w:pPr>
        <w:pStyle w:val="3"/>
        <w:numPr>
          <w:ilvl w:val="0"/>
          <w:numId w:val="0"/>
        </w:numPr>
        <w:tabs>
          <w:tab w:val="clear" w:pos="1676"/>
          <w:tab w:val="left" w:pos="0"/>
        </w:tabs>
        <w:spacing w:line="560" w:lineRule="exact"/>
        <w:ind w:firstLineChars="200" w:firstLine="600"/>
        <w:rPr>
          <w:sz w:val="30"/>
          <w:szCs w:val="30"/>
        </w:rPr>
      </w:pPr>
      <w:r>
        <w:rPr>
          <w:rFonts w:hint="eastAsia"/>
          <w:sz w:val="30"/>
          <w:szCs w:val="30"/>
        </w:rPr>
        <w:t>第三十三条</w:t>
      </w:r>
      <w:r>
        <w:rPr>
          <w:rFonts w:hint="eastAsia"/>
          <w:sz w:val="30"/>
          <w:szCs w:val="30"/>
        </w:rPr>
        <w:t>中国结算上海分公司对当日的上证</w:t>
      </w:r>
      <w:r>
        <w:rPr>
          <w:rFonts w:hint="eastAsia"/>
          <w:sz w:val="30"/>
          <w:szCs w:val="30"/>
        </w:rPr>
        <w:t>LOF</w:t>
      </w:r>
      <w:r>
        <w:rPr>
          <w:rFonts w:hint="eastAsia"/>
          <w:sz w:val="30"/>
          <w:szCs w:val="30"/>
        </w:rPr>
        <w:t>基金交易与股票、封闭式基金等品种统一进行多边净额结算，通过结算业务参与人在中国结算上海分公司开立的证券（</w:t>
      </w:r>
      <w:r>
        <w:rPr>
          <w:rFonts w:hint="eastAsia"/>
          <w:sz w:val="30"/>
          <w:szCs w:val="30"/>
        </w:rPr>
        <w:t>A</w:t>
      </w:r>
      <w:r>
        <w:rPr>
          <w:rFonts w:hint="eastAsia"/>
          <w:sz w:val="30"/>
          <w:szCs w:val="30"/>
        </w:rPr>
        <w:t>股）结算备付金账户完成相关资金交收。上证</w:t>
      </w:r>
      <w:r>
        <w:rPr>
          <w:rFonts w:hint="eastAsia"/>
          <w:sz w:val="30"/>
          <w:szCs w:val="30"/>
        </w:rPr>
        <w:t>LOF</w:t>
      </w:r>
      <w:r>
        <w:rPr>
          <w:rFonts w:hint="eastAsia"/>
          <w:sz w:val="30"/>
          <w:szCs w:val="30"/>
        </w:rPr>
        <w:t>的成交金额纳入结算风险基金和结算保证金的计算基础。</w:t>
      </w:r>
    </w:p>
    <w:p w:rsidR="0001723C" w:rsidRDefault="007535F4">
      <w:pPr>
        <w:pStyle w:val="3"/>
        <w:numPr>
          <w:ilvl w:val="0"/>
          <w:numId w:val="0"/>
        </w:numPr>
        <w:tabs>
          <w:tab w:val="clear" w:pos="1676"/>
          <w:tab w:val="left" w:pos="0"/>
        </w:tabs>
        <w:spacing w:line="560" w:lineRule="exact"/>
        <w:ind w:firstLineChars="200" w:firstLine="600"/>
        <w:rPr>
          <w:sz w:val="30"/>
          <w:szCs w:val="30"/>
        </w:rPr>
      </w:pPr>
      <w:r>
        <w:rPr>
          <w:rFonts w:hint="eastAsia"/>
          <w:sz w:val="30"/>
          <w:szCs w:val="30"/>
        </w:rPr>
        <w:lastRenderedPageBreak/>
        <w:t>第三十四条</w:t>
      </w:r>
      <w:r>
        <w:rPr>
          <w:rFonts w:hint="eastAsia"/>
          <w:sz w:val="30"/>
          <w:szCs w:val="30"/>
        </w:rPr>
        <w:t>投资者买入所得上证</w:t>
      </w:r>
      <w:r>
        <w:rPr>
          <w:rFonts w:hint="eastAsia"/>
          <w:sz w:val="30"/>
          <w:szCs w:val="30"/>
        </w:rPr>
        <w:t>LOF</w:t>
      </w:r>
      <w:r>
        <w:rPr>
          <w:rFonts w:hint="eastAsia"/>
          <w:sz w:val="30"/>
          <w:szCs w:val="30"/>
        </w:rPr>
        <w:t>份额，过户日期记为买入当日。上证</w:t>
      </w:r>
      <w:r>
        <w:rPr>
          <w:rFonts w:hint="eastAsia"/>
          <w:sz w:val="30"/>
          <w:szCs w:val="30"/>
        </w:rPr>
        <w:t>LOF</w:t>
      </w:r>
      <w:r>
        <w:rPr>
          <w:rFonts w:hint="eastAsia"/>
          <w:sz w:val="30"/>
          <w:szCs w:val="30"/>
        </w:rPr>
        <w:t>份额买入当日可以赎回、转托管，不得卖出，相关业务规则另有规定的除外。</w:t>
      </w:r>
    </w:p>
    <w:p w:rsidR="0001723C" w:rsidRDefault="007535F4">
      <w:pPr>
        <w:pStyle w:val="3"/>
        <w:numPr>
          <w:ilvl w:val="0"/>
          <w:numId w:val="0"/>
        </w:numPr>
        <w:tabs>
          <w:tab w:val="clear" w:pos="1676"/>
          <w:tab w:val="left" w:pos="0"/>
        </w:tabs>
        <w:spacing w:line="560" w:lineRule="exact"/>
        <w:ind w:firstLineChars="200" w:firstLine="600"/>
        <w:rPr>
          <w:sz w:val="30"/>
          <w:szCs w:val="30"/>
        </w:rPr>
      </w:pPr>
      <w:r>
        <w:rPr>
          <w:rFonts w:hint="eastAsia"/>
          <w:sz w:val="30"/>
          <w:szCs w:val="30"/>
        </w:rPr>
        <w:t>第三十五条</w:t>
      </w:r>
      <w:r>
        <w:rPr>
          <w:rFonts w:hint="eastAsia"/>
          <w:sz w:val="30"/>
          <w:szCs w:val="30"/>
        </w:rPr>
        <w:t>投资者卖出上证</w:t>
      </w:r>
      <w:r>
        <w:rPr>
          <w:rFonts w:hint="eastAsia"/>
          <w:sz w:val="30"/>
          <w:szCs w:val="30"/>
        </w:rPr>
        <w:t>LOF</w:t>
      </w:r>
      <w:r>
        <w:rPr>
          <w:rFonts w:hint="eastAsia"/>
          <w:sz w:val="30"/>
          <w:szCs w:val="30"/>
        </w:rPr>
        <w:t>份额，按照基金管理人在中国结算总部</w:t>
      </w:r>
      <w:r>
        <w:rPr>
          <w:rFonts w:hint="eastAsia"/>
          <w:sz w:val="30"/>
          <w:szCs w:val="30"/>
        </w:rPr>
        <w:t>TA</w:t>
      </w:r>
      <w:r>
        <w:rPr>
          <w:rFonts w:hint="eastAsia"/>
          <w:sz w:val="30"/>
          <w:szCs w:val="30"/>
        </w:rPr>
        <w:t>系统中为该基金代码设置的赎回明细分配原则，采用“先进先出”或“</w:t>
      </w:r>
      <w:r>
        <w:rPr>
          <w:rFonts w:hint="eastAsia"/>
          <w:sz w:val="30"/>
          <w:szCs w:val="30"/>
        </w:rPr>
        <w:t>后进先出”原则处理。</w:t>
      </w:r>
    </w:p>
    <w:p w:rsidR="0001723C" w:rsidRDefault="007535F4">
      <w:pPr>
        <w:pStyle w:val="af9"/>
        <w:widowControl/>
        <w:spacing w:line="560" w:lineRule="exact"/>
        <w:ind w:firstLineChars="0" w:firstLine="0"/>
        <w:jc w:val="center"/>
        <w:rPr>
          <w:rFonts w:ascii="黑体" w:eastAsia="黑体" w:hAnsi="黑体"/>
          <w:b/>
          <w:sz w:val="30"/>
          <w:szCs w:val="30"/>
        </w:rPr>
      </w:pPr>
      <w:bookmarkStart w:id="4" w:name="_Toc338048953"/>
      <w:r>
        <w:rPr>
          <w:rFonts w:ascii="黑体" w:eastAsia="黑体" w:hAnsi="黑体"/>
          <w:b/>
          <w:sz w:val="30"/>
          <w:szCs w:val="30"/>
        </w:rPr>
        <w:t>第五章</w:t>
      </w:r>
      <w:r>
        <w:rPr>
          <w:rFonts w:ascii="黑体" w:eastAsia="黑体" w:hAnsi="黑体" w:hint="eastAsia"/>
          <w:b/>
          <w:sz w:val="30"/>
          <w:szCs w:val="30"/>
        </w:rPr>
        <w:t>申购、赎回</w:t>
      </w:r>
      <w:bookmarkEnd w:id="4"/>
    </w:p>
    <w:p w:rsidR="0001723C" w:rsidRDefault="007535F4" w:rsidP="007535F4">
      <w:pPr>
        <w:pStyle w:val="26"/>
        <w:spacing w:afterLines="0" w:line="560" w:lineRule="exact"/>
        <w:ind w:firstLineChars="200" w:firstLine="600"/>
        <w:rPr>
          <w:b/>
          <w:sz w:val="30"/>
          <w:szCs w:val="30"/>
        </w:rPr>
      </w:pPr>
      <w:r>
        <w:rPr>
          <w:rFonts w:hint="eastAsia"/>
          <w:b/>
          <w:sz w:val="30"/>
          <w:szCs w:val="30"/>
        </w:rPr>
        <w:t>第一节</w:t>
      </w:r>
      <w:r>
        <w:rPr>
          <w:b/>
          <w:sz w:val="30"/>
          <w:szCs w:val="30"/>
        </w:rPr>
        <w:tab/>
      </w:r>
      <w:r>
        <w:rPr>
          <w:rFonts w:hint="eastAsia"/>
          <w:b/>
          <w:sz w:val="30"/>
          <w:szCs w:val="30"/>
        </w:rPr>
        <w:t xml:space="preserve"> </w:t>
      </w:r>
      <w:r>
        <w:rPr>
          <w:rFonts w:hint="eastAsia"/>
          <w:b/>
          <w:sz w:val="30"/>
          <w:szCs w:val="30"/>
        </w:rPr>
        <w:t>申购、赎回的时间和场所</w:t>
      </w:r>
    </w:p>
    <w:p w:rsidR="0001723C" w:rsidRDefault="007535F4">
      <w:pPr>
        <w:pStyle w:val="3"/>
        <w:numPr>
          <w:ilvl w:val="0"/>
          <w:numId w:val="0"/>
        </w:numPr>
        <w:tabs>
          <w:tab w:val="clear" w:pos="1676"/>
          <w:tab w:val="left" w:pos="0"/>
        </w:tabs>
        <w:spacing w:line="560" w:lineRule="exact"/>
        <w:ind w:firstLineChars="200" w:firstLine="600"/>
        <w:rPr>
          <w:sz w:val="30"/>
          <w:szCs w:val="30"/>
        </w:rPr>
      </w:pPr>
      <w:r>
        <w:rPr>
          <w:rFonts w:hint="eastAsia"/>
          <w:sz w:val="30"/>
          <w:szCs w:val="30"/>
        </w:rPr>
        <w:t>第三十六条</w:t>
      </w:r>
      <w:r>
        <w:rPr>
          <w:rFonts w:hint="eastAsia"/>
          <w:sz w:val="30"/>
          <w:szCs w:val="30"/>
        </w:rPr>
        <w:t>投资者可通过场内证券经营机构申购、赎回上证</w:t>
      </w:r>
      <w:r>
        <w:rPr>
          <w:rFonts w:hint="eastAsia"/>
          <w:sz w:val="30"/>
          <w:szCs w:val="30"/>
        </w:rPr>
        <w:t>LOF</w:t>
      </w:r>
      <w:r>
        <w:rPr>
          <w:rFonts w:hint="eastAsia"/>
          <w:sz w:val="30"/>
          <w:szCs w:val="30"/>
        </w:rPr>
        <w:t>份额，也可通过场外基金销售机构申购、赎回上证</w:t>
      </w:r>
      <w:r>
        <w:rPr>
          <w:rFonts w:hint="eastAsia"/>
          <w:sz w:val="30"/>
          <w:szCs w:val="30"/>
        </w:rPr>
        <w:t>LOF</w:t>
      </w:r>
      <w:r>
        <w:rPr>
          <w:rFonts w:hint="eastAsia"/>
          <w:sz w:val="30"/>
          <w:szCs w:val="30"/>
        </w:rPr>
        <w:t>份额。</w:t>
      </w:r>
    </w:p>
    <w:p w:rsidR="0001723C" w:rsidRDefault="007535F4">
      <w:pPr>
        <w:pStyle w:val="3"/>
        <w:numPr>
          <w:ilvl w:val="0"/>
          <w:numId w:val="0"/>
        </w:numPr>
        <w:tabs>
          <w:tab w:val="clear" w:pos="1676"/>
          <w:tab w:val="left" w:pos="0"/>
        </w:tabs>
        <w:spacing w:line="560" w:lineRule="exact"/>
        <w:ind w:firstLineChars="200" w:firstLine="600"/>
        <w:rPr>
          <w:sz w:val="30"/>
          <w:szCs w:val="30"/>
        </w:rPr>
      </w:pPr>
      <w:r>
        <w:rPr>
          <w:rFonts w:hint="eastAsia"/>
          <w:sz w:val="30"/>
          <w:szCs w:val="30"/>
        </w:rPr>
        <w:t>第三十七条</w:t>
      </w:r>
      <w:r>
        <w:rPr>
          <w:rFonts w:hint="eastAsia"/>
          <w:sz w:val="30"/>
          <w:szCs w:val="30"/>
        </w:rPr>
        <w:t>上交所接受场内证券经营机构申报申购、赎回的时间为开放期内每个交易日的</w:t>
      </w:r>
      <w:r>
        <w:rPr>
          <w:rFonts w:hint="eastAsia"/>
          <w:sz w:val="30"/>
          <w:szCs w:val="30"/>
        </w:rPr>
        <w:t>9</w:t>
      </w:r>
      <w:r>
        <w:rPr>
          <w:rFonts w:hint="eastAsia"/>
          <w:sz w:val="30"/>
          <w:szCs w:val="30"/>
        </w:rPr>
        <w:t>：</w:t>
      </w:r>
      <w:r>
        <w:rPr>
          <w:rFonts w:hint="eastAsia"/>
          <w:sz w:val="30"/>
          <w:szCs w:val="30"/>
        </w:rPr>
        <w:t>15</w:t>
      </w:r>
      <w:r>
        <w:rPr>
          <w:rFonts w:hint="eastAsia"/>
          <w:sz w:val="30"/>
          <w:szCs w:val="30"/>
        </w:rPr>
        <w:t>至</w:t>
      </w:r>
      <w:r>
        <w:rPr>
          <w:rFonts w:hint="eastAsia"/>
          <w:sz w:val="30"/>
          <w:szCs w:val="30"/>
        </w:rPr>
        <w:t>9</w:t>
      </w:r>
      <w:r>
        <w:rPr>
          <w:rFonts w:hint="eastAsia"/>
          <w:sz w:val="30"/>
          <w:szCs w:val="30"/>
        </w:rPr>
        <w:t>：</w:t>
      </w:r>
      <w:r>
        <w:rPr>
          <w:rFonts w:hint="eastAsia"/>
          <w:sz w:val="30"/>
          <w:szCs w:val="30"/>
        </w:rPr>
        <w:t>25</w:t>
      </w:r>
      <w:r>
        <w:rPr>
          <w:rFonts w:hint="eastAsia"/>
          <w:sz w:val="30"/>
          <w:szCs w:val="30"/>
        </w:rPr>
        <w:t>、</w:t>
      </w:r>
      <w:r>
        <w:rPr>
          <w:rFonts w:hint="eastAsia"/>
          <w:sz w:val="30"/>
          <w:szCs w:val="30"/>
        </w:rPr>
        <w:t>9:30</w:t>
      </w:r>
      <w:r>
        <w:rPr>
          <w:rFonts w:hint="eastAsia"/>
          <w:sz w:val="30"/>
          <w:szCs w:val="30"/>
        </w:rPr>
        <w:t>至</w:t>
      </w:r>
      <w:r>
        <w:rPr>
          <w:rFonts w:hint="eastAsia"/>
          <w:sz w:val="30"/>
          <w:szCs w:val="30"/>
        </w:rPr>
        <w:t>11:30</w:t>
      </w:r>
      <w:r>
        <w:rPr>
          <w:rFonts w:hint="eastAsia"/>
          <w:sz w:val="30"/>
          <w:szCs w:val="30"/>
        </w:rPr>
        <w:t>和</w:t>
      </w:r>
      <w:r>
        <w:rPr>
          <w:rFonts w:hint="eastAsia"/>
          <w:sz w:val="30"/>
          <w:szCs w:val="30"/>
        </w:rPr>
        <w:t>13:00</w:t>
      </w:r>
      <w:r>
        <w:rPr>
          <w:rFonts w:hint="eastAsia"/>
          <w:sz w:val="30"/>
          <w:szCs w:val="30"/>
        </w:rPr>
        <w:t>至</w:t>
      </w:r>
      <w:r>
        <w:rPr>
          <w:rFonts w:hint="eastAsia"/>
          <w:sz w:val="30"/>
          <w:szCs w:val="30"/>
        </w:rPr>
        <w:t>15:00</w:t>
      </w:r>
      <w:r>
        <w:rPr>
          <w:rFonts w:hint="eastAsia"/>
          <w:sz w:val="30"/>
          <w:szCs w:val="30"/>
        </w:rPr>
        <w:t>；场外基金销售机构接受投资者申购、赎回的时间按照基金管理人《基金招募说明书》等法律文件中的相关规定执行。</w:t>
      </w:r>
    </w:p>
    <w:p w:rsidR="0001723C" w:rsidRDefault="007535F4" w:rsidP="007535F4">
      <w:pPr>
        <w:pStyle w:val="26"/>
        <w:spacing w:afterLines="0" w:line="560" w:lineRule="exact"/>
        <w:ind w:firstLineChars="200" w:firstLine="600"/>
        <w:rPr>
          <w:b/>
          <w:sz w:val="30"/>
          <w:szCs w:val="30"/>
        </w:rPr>
      </w:pPr>
      <w:r>
        <w:rPr>
          <w:rFonts w:hint="eastAsia"/>
          <w:b/>
          <w:sz w:val="30"/>
          <w:szCs w:val="30"/>
        </w:rPr>
        <w:t>第二节</w:t>
      </w:r>
      <w:r>
        <w:rPr>
          <w:b/>
          <w:sz w:val="30"/>
          <w:szCs w:val="30"/>
        </w:rPr>
        <w:tab/>
      </w:r>
      <w:r>
        <w:rPr>
          <w:rFonts w:hint="eastAsia"/>
          <w:b/>
          <w:sz w:val="30"/>
          <w:szCs w:val="30"/>
        </w:rPr>
        <w:t xml:space="preserve"> </w:t>
      </w:r>
      <w:r>
        <w:rPr>
          <w:rFonts w:hint="eastAsia"/>
          <w:b/>
          <w:sz w:val="30"/>
          <w:szCs w:val="30"/>
        </w:rPr>
        <w:t>申购、赎回的申报</w:t>
      </w:r>
    </w:p>
    <w:p w:rsidR="0001723C" w:rsidRDefault="007535F4">
      <w:pPr>
        <w:pStyle w:val="3"/>
        <w:numPr>
          <w:ilvl w:val="0"/>
          <w:numId w:val="0"/>
        </w:numPr>
        <w:tabs>
          <w:tab w:val="clear" w:pos="1676"/>
          <w:tab w:val="left" w:pos="0"/>
        </w:tabs>
        <w:spacing w:line="560" w:lineRule="exact"/>
        <w:ind w:firstLineChars="200" w:firstLine="600"/>
        <w:rPr>
          <w:sz w:val="30"/>
          <w:szCs w:val="30"/>
        </w:rPr>
      </w:pPr>
      <w:r>
        <w:rPr>
          <w:rFonts w:hint="eastAsia"/>
          <w:sz w:val="30"/>
          <w:szCs w:val="30"/>
        </w:rPr>
        <w:t>第三十八条</w:t>
      </w:r>
      <w:r>
        <w:rPr>
          <w:rFonts w:hint="eastAsia"/>
          <w:sz w:val="30"/>
          <w:szCs w:val="30"/>
        </w:rPr>
        <w:t>上证</w:t>
      </w:r>
      <w:r>
        <w:rPr>
          <w:rFonts w:hint="eastAsia"/>
          <w:sz w:val="30"/>
          <w:szCs w:val="30"/>
        </w:rPr>
        <w:t>LOF</w:t>
      </w:r>
      <w:r>
        <w:rPr>
          <w:rFonts w:hint="eastAsia"/>
          <w:sz w:val="30"/>
          <w:szCs w:val="30"/>
        </w:rPr>
        <w:t>采取</w:t>
      </w:r>
      <w:r>
        <w:rPr>
          <w:rFonts w:hAnsi="宋体" w:hint="eastAsia"/>
          <w:sz w:val="30"/>
          <w:szCs w:val="30"/>
        </w:rPr>
        <w:t>“金额申购、份额赎回”</w:t>
      </w:r>
      <w:r>
        <w:rPr>
          <w:rFonts w:hAnsi="宋体" w:hint="eastAsia"/>
          <w:sz w:val="30"/>
          <w:szCs w:val="30"/>
        </w:rPr>
        <w:t>原则，即申购以金额申报，赎回以份额申报。</w:t>
      </w:r>
    </w:p>
    <w:p w:rsidR="0001723C" w:rsidRDefault="007535F4">
      <w:pPr>
        <w:pStyle w:val="3"/>
        <w:numPr>
          <w:ilvl w:val="0"/>
          <w:numId w:val="0"/>
        </w:numPr>
        <w:tabs>
          <w:tab w:val="clear" w:pos="1676"/>
          <w:tab w:val="left" w:pos="0"/>
        </w:tabs>
        <w:spacing w:line="560" w:lineRule="exact"/>
        <w:ind w:firstLineChars="200" w:firstLine="600"/>
        <w:rPr>
          <w:sz w:val="30"/>
          <w:szCs w:val="30"/>
        </w:rPr>
      </w:pPr>
      <w:r>
        <w:rPr>
          <w:rFonts w:hint="eastAsia"/>
          <w:sz w:val="30"/>
          <w:szCs w:val="30"/>
        </w:rPr>
        <w:t>第三十九条</w:t>
      </w:r>
      <w:r>
        <w:rPr>
          <w:rFonts w:hint="eastAsia"/>
          <w:sz w:val="30"/>
          <w:szCs w:val="30"/>
        </w:rPr>
        <w:t>投资者通过</w:t>
      </w:r>
      <w:r>
        <w:rPr>
          <w:rFonts w:hAnsi="Times New Roman" w:hint="eastAsia"/>
          <w:sz w:val="30"/>
          <w:szCs w:val="30"/>
        </w:rPr>
        <w:t>场内证券经营机构</w:t>
      </w:r>
      <w:r>
        <w:rPr>
          <w:rFonts w:hint="eastAsia"/>
          <w:sz w:val="30"/>
          <w:szCs w:val="30"/>
        </w:rPr>
        <w:t>申购、赎回上证</w:t>
      </w:r>
      <w:r>
        <w:rPr>
          <w:rFonts w:hint="eastAsia"/>
          <w:sz w:val="30"/>
          <w:szCs w:val="30"/>
        </w:rPr>
        <w:t>LOF</w:t>
      </w:r>
      <w:r>
        <w:rPr>
          <w:rFonts w:hint="eastAsia"/>
          <w:sz w:val="30"/>
          <w:szCs w:val="30"/>
        </w:rPr>
        <w:t>份额，应符合以下要求：</w:t>
      </w:r>
    </w:p>
    <w:p w:rsidR="0001723C" w:rsidRDefault="007535F4">
      <w:pPr>
        <w:tabs>
          <w:tab w:val="left" w:pos="2385"/>
        </w:tabs>
        <w:spacing w:line="560" w:lineRule="exact"/>
        <w:ind w:firstLineChars="200" w:firstLine="600"/>
        <w:rPr>
          <w:rFonts w:ascii="仿宋_GB2312" w:eastAsia="仿宋_GB2312"/>
          <w:sz w:val="30"/>
          <w:szCs w:val="30"/>
        </w:rPr>
      </w:pPr>
      <w:r>
        <w:rPr>
          <w:rFonts w:ascii="仿宋_GB2312" w:eastAsia="仿宋_GB2312" w:hint="eastAsia"/>
          <w:sz w:val="30"/>
          <w:szCs w:val="30"/>
        </w:rPr>
        <w:t>（一）申购金额应当为</w:t>
      </w:r>
      <w:r>
        <w:rPr>
          <w:rFonts w:ascii="仿宋_GB2312" w:eastAsia="仿宋_GB2312" w:hint="eastAsia"/>
          <w:sz w:val="30"/>
          <w:szCs w:val="30"/>
        </w:rPr>
        <w:t>1</w:t>
      </w:r>
      <w:r>
        <w:rPr>
          <w:rFonts w:ascii="仿宋_GB2312" w:eastAsia="仿宋_GB2312" w:hint="eastAsia"/>
          <w:sz w:val="30"/>
          <w:szCs w:val="30"/>
        </w:rPr>
        <w:t>元的整倍数，且不低于</w:t>
      </w:r>
      <w:r>
        <w:rPr>
          <w:rFonts w:ascii="仿宋_GB2312" w:eastAsia="仿宋_GB2312" w:hint="eastAsia"/>
          <w:sz w:val="30"/>
          <w:szCs w:val="30"/>
        </w:rPr>
        <w:t>1000</w:t>
      </w:r>
      <w:r>
        <w:rPr>
          <w:rFonts w:ascii="仿宋_GB2312" w:eastAsia="仿宋_GB2312" w:hint="eastAsia"/>
          <w:sz w:val="30"/>
          <w:szCs w:val="30"/>
        </w:rPr>
        <w:t>元；</w:t>
      </w:r>
    </w:p>
    <w:p w:rsidR="0001723C" w:rsidRDefault="007535F4">
      <w:pPr>
        <w:tabs>
          <w:tab w:val="left" w:pos="2385"/>
        </w:tabs>
        <w:spacing w:line="560" w:lineRule="exact"/>
        <w:ind w:firstLineChars="200" w:firstLine="600"/>
        <w:rPr>
          <w:rFonts w:ascii="仿宋_GB2312" w:eastAsia="仿宋_GB2312"/>
          <w:sz w:val="30"/>
          <w:szCs w:val="30"/>
        </w:rPr>
      </w:pPr>
      <w:r>
        <w:rPr>
          <w:rFonts w:ascii="仿宋_GB2312" w:eastAsia="仿宋_GB2312" w:hint="eastAsia"/>
          <w:sz w:val="30"/>
          <w:szCs w:val="30"/>
        </w:rPr>
        <w:t>（二）赎回份额应当为整数份额；</w:t>
      </w:r>
    </w:p>
    <w:p w:rsidR="0001723C" w:rsidRDefault="007535F4">
      <w:pPr>
        <w:tabs>
          <w:tab w:val="left" w:pos="2385"/>
        </w:tabs>
        <w:spacing w:line="560" w:lineRule="exact"/>
        <w:ind w:firstLineChars="200" w:firstLine="600"/>
        <w:rPr>
          <w:rFonts w:ascii="仿宋_GB2312" w:eastAsia="仿宋_GB2312"/>
          <w:sz w:val="30"/>
          <w:szCs w:val="30"/>
        </w:rPr>
      </w:pPr>
      <w:r>
        <w:rPr>
          <w:rFonts w:ascii="仿宋_GB2312" w:eastAsia="仿宋_GB2312" w:hint="eastAsia"/>
          <w:sz w:val="30"/>
          <w:szCs w:val="30"/>
        </w:rPr>
        <w:t>（三）符合基金合同和招募说明书的相关约定；</w:t>
      </w:r>
    </w:p>
    <w:p w:rsidR="0001723C" w:rsidRDefault="007535F4">
      <w:pPr>
        <w:tabs>
          <w:tab w:val="left" w:pos="2385"/>
        </w:tabs>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（四）申购、赎回的成交价格按当日基金份额净值确定。</w:t>
      </w:r>
    </w:p>
    <w:p w:rsidR="0001723C" w:rsidRDefault="007535F4">
      <w:pPr>
        <w:pStyle w:val="3"/>
        <w:numPr>
          <w:ilvl w:val="0"/>
          <w:numId w:val="0"/>
        </w:numPr>
        <w:tabs>
          <w:tab w:val="clear" w:pos="1676"/>
          <w:tab w:val="left" w:pos="0"/>
        </w:tabs>
        <w:spacing w:line="560" w:lineRule="exact"/>
        <w:ind w:firstLineChars="200" w:firstLine="600"/>
        <w:rPr>
          <w:sz w:val="30"/>
          <w:szCs w:val="30"/>
        </w:rPr>
      </w:pPr>
      <w:r>
        <w:rPr>
          <w:rFonts w:hint="eastAsia"/>
          <w:sz w:val="30"/>
          <w:szCs w:val="30"/>
        </w:rPr>
        <w:t>第四十条</w:t>
      </w:r>
      <w:r>
        <w:rPr>
          <w:rFonts w:hint="eastAsia"/>
          <w:sz w:val="30"/>
          <w:szCs w:val="30"/>
        </w:rPr>
        <w:t>投资者通过</w:t>
      </w:r>
      <w:r>
        <w:rPr>
          <w:rFonts w:hAnsi="Times New Roman" w:hint="eastAsia"/>
          <w:sz w:val="30"/>
          <w:szCs w:val="30"/>
        </w:rPr>
        <w:t>场内证券经营机构</w:t>
      </w:r>
      <w:r>
        <w:rPr>
          <w:rFonts w:hint="eastAsia"/>
          <w:sz w:val="30"/>
          <w:szCs w:val="30"/>
        </w:rPr>
        <w:t>申购、赎回上证</w:t>
      </w:r>
      <w:r>
        <w:rPr>
          <w:rFonts w:hint="eastAsia"/>
          <w:sz w:val="30"/>
          <w:szCs w:val="30"/>
        </w:rPr>
        <w:t>LOF</w:t>
      </w:r>
      <w:r>
        <w:rPr>
          <w:rFonts w:hint="eastAsia"/>
          <w:sz w:val="30"/>
          <w:szCs w:val="30"/>
        </w:rPr>
        <w:t>份额，在同一交易日可多次提交申购、赎回申报。当日提交的申购、赎回申报，在当日接受申购、赎回申报的时段内可以撤销。</w:t>
      </w:r>
    </w:p>
    <w:p w:rsidR="0001723C" w:rsidRDefault="007535F4">
      <w:pPr>
        <w:pStyle w:val="3"/>
        <w:numPr>
          <w:ilvl w:val="0"/>
          <w:numId w:val="0"/>
        </w:numPr>
        <w:tabs>
          <w:tab w:val="clear" w:pos="1676"/>
          <w:tab w:val="left" w:pos="0"/>
        </w:tabs>
        <w:spacing w:line="560" w:lineRule="exact"/>
        <w:ind w:firstLineChars="200" w:firstLine="600"/>
        <w:rPr>
          <w:sz w:val="30"/>
          <w:szCs w:val="30"/>
        </w:rPr>
      </w:pPr>
      <w:r>
        <w:rPr>
          <w:rFonts w:hint="eastAsia"/>
          <w:sz w:val="30"/>
          <w:szCs w:val="30"/>
        </w:rPr>
        <w:t>第四十一条</w:t>
      </w:r>
      <w:r>
        <w:rPr>
          <w:rFonts w:hint="eastAsia"/>
          <w:sz w:val="30"/>
          <w:szCs w:val="30"/>
        </w:rPr>
        <w:t>申购所得上证</w:t>
      </w:r>
      <w:r>
        <w:rPr>
          <w:rFonts w:hint="eastAsia"/>
          <w:sz w:val="30"/>
          <w:szCs w:val="30"/>
        </w:rPr>
        <w:t>LOF</w:t>
      </w:r>
      <w:r>
        <w:rPr>
          <w:rFonts w:hint="eastAsia"/>
          <w:sz w:val="30"/>
          <w:szCs w:val="30"/>
        </w:rPr>
        <w:t>份额，过户日期记为申购业务确认日。申购所得上证</w:t>
      </w:r>
      <w:r>
        <w:rPr>
          <w:rFonts w:hint="eastAsia"/>
          <w:sz w:val="30"/>
          <w:szCs w:val="30"/>
        </w:rPr>
        <w:t>LOF</w:t>
      </w:r>
      <w:r>
        <w:rPr>
          <w:rFonts w:hint="eastAsia"/>
          <w:sz w:val="30"/>
          <w:szCs w:val="30"/>
        </w:rPr>
        <w:t>份额在业务确认日当日不可卖出、赎回或转托管。</w:t>
      </w:r>
    </w:p>
    <w:p w:rsidR="0001723C" w:rsidRDefault="007535F4">
      <w:pPr>
        <w:pStyle w:val="3"/>
        <w:numPr>
          <w:ilvl w:val="0"/>
          <w:numId w:val="0"/>
        </w:numPr>
        <w:tabs>
          <w:tab w:val="clear" w:pos="1676"/>
          <w:tab w:val="left" w:pos="0"/>
        </w:tabs>
        <w:spacing w:line="560" w:lineRule="exact"/>
        <w:ind w:firstLineChars="200" w:firstLine="600"/>
        <w:rPr>
          <w:sz w:val="30"/>
          <w:szCs w:val="30"/>
        </w:rPr>
      </w:pPr>
      <w:r>
        <w:rPr>
          <w:rFonts w:hint="eastAsia"/>
          <w:sz w:val="30"/>
          <w:szCs w:val="30"/>
        </w:rPr>
        <w:t>第四十二条</w:t>
      </w:r>
      <w:r>
        <w:rPr>
          <w:rFonts w:hint="eastAsia"/>
          <w:sz w:val="30"/>
          <w:szCs w:val="30"/>
        </w:rPr>
        <w:t>投资者上海开放式基金账户内在某一场外基金销售机构处托管的某一交易账户内的上证</w:t>
      </w:r>
      <w:r>
        <w:rPr>
          <w:rFonts w:hint="eastAsia"/>
          <w:sz w:val="30"/>
          <w:szCs w:val="30"/>
        </w:rPr>
        <w:t>LOF</w:t>
      </w:r>
      <w:r>
        <w:rPr>
          <w:rFonts w:hint="eastAsia"/>
          <w:sz w:val="30"/>
          <w:szCs w:val="30"/>
        </w:rPr>
        <w:t>份额低于基金管理人对该上证</w:t>
      </w:r>
      <w:r>
        <w:rPr>
          <w:rFonts w:hint="eastAsia"/>
          <w:sz w:val="30"/>
          <w:szCs w:val="30"/>
        </w:rPr>
        <w:t>LOF</w:t>
      </w:r>
      <w:r>
        <w:rPr>
          <w:rFonts w:hint="eastAsia"/>
          <w:sz w:val="30"/>
          <w:szCs w:val="30"/>
        </w:rPr>
        <w:t>产品设置的最低持有限额时，中国结算可根据基金管理人的相关设置对投资者托管在该场外基金销售机构处的该交易账户内的上证</w:t>
      </w:r>
      <w:r>
        <w:rPr>
          <w:rFonts w:hint="eastAsia"/>
          <w:sz w:val="30"/>
          <w:szCs w:val="30"/>
        </w:rPr>
        <w:t>LOF</w:t>
      </w:r>
      <w:r>
        <w:rPr>
          <w:rFonts w:hint="eastAsia"/>
          <w:sz w:val="30"/>
          <w:szCs w:val="30"/>
        </w:rPr>
        <w:t>份额进行强制赎回处理。</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投资者上海证券账户内的上证</w:t>
      </w:r>
      <w:r>
        <w:rPr>
          <w:rFonts w:ascii="仿宋_GB2312" w:eastAsia="仿宋_GB2312" w:hint="eastAsia"/>
          <w:sz w:val="30"/>
          <w:szCs w:val="30"/>
        </w:rPr>
        <w:t>LOF</w:t>
      </w:r>
      <w:r>
        <w:rPr>
          <w:rFonts w:ascii="仿宋_GB2312" w:eastAsia="仿宋_GB2312" w:hint="eastAsia"/>
          <w:sz w:val="30"/>
          <w:szCs w:val="30"/>
        </w:rPr>
        <w:t>份额不可进行强制赎回处理。</w:t>
      </w:r>
    </w:p>
    <w:p w:rsidR="0001723C" w:rsidRDefault="007535F4">
      <w:pPr>
        <w:pStyle w:val="26"/>
        <w:spacing w:afterLines="0" w:line="560" w:lineRule="exact"/>
        <w:rPr>
          <w:b/>
          <w:sz w:val="30"/>
          <w:szCs w:val="30"/>
        </w:rPr>
      </w:pPr>
      <w:r>
        <w:rPr>
          <w:rFonts w:hint="eastAsia"/>
          <w:b/>
          <w:sz w:val="30"/>
          <w:szCs w:val="30"/>
        </w:rPr>
        <w:t>第三节</w:t>
      </w:r>
      <w:r>
        <w:rPr>
          <w:b/>
          <w:sz w:val="30"/>
          <w:szCs w:val="30"/>
        </w:rPr>
        <w:t xml:space="preserve">  </w:t>
      </w:r>
      <w:r>
        <w:rPr>
          <w:rFonts w:hint="eastAsia"/>
          <w:b/>
          <w:sz w:val="30"/>
          <w:szCs w:val="30"/>
        </w:rPr>
        <w:t>申购、赎回费率设置及申购份额和赎回金额的计算</w:t>
      </w:r>
    </w:p>
    <w:p w:rsidR="0001723C" w:rsidRDefault="007535F4">
      <w:pPr>
        <w:pStyle w:val="3"/>
        <w:numPr>
          <w:ilvl w:val="0"/>
          <w:numId w:val="0"/>
        </w:numPr>
        <w:tabs>
          <w:tab w:val="clear" w:pos="1676"/>
          <w:tab w:val="left" w:pos="0"/>
        </w:tabs>
        <w:spacing w:line="560" w:lineRule="exact"/>
        <w:ind w:firstLineChars="200" w:firstLine="600"/>
        <w:rPr>
          <w:sz w:val="30"/>
          <w:szCs w:val="30"/>
        </w:rPr>
      </w:pPr>
      <w:r>
        <w:rPr>
          <w:rFonts w:hint="eastAsia"/>
          <w:sz w:val="30"/>
          <w:szCs w:val="30"/>
        </w:rPr>
        <w:t>第四十三条</w:t>
      </w:r>
      <w:r>
        <w:rPr>
          <w:rFonts w:hint="eastAsia"/>
          <w:sz w:val="30"/>
          <w:szCs w:val="30"/>
        </w:rPr>
        <w:t>基金管理人可按申购金额分段设置场内和场外申购费率，可按份额持有时间分段设置场内和场外赎回费率。基金管理人可以对场内上证</w:t>
      </w:r>
      <w:r>
        <w:rPr>
          <w:rFonts w:hint="eastAsia"/>
          <w:sz w:val="30"/>
          <w:szCs w:val="30"/>
        </w:rPr>
        <w:t>LOF</w:t>
      </w:r>
      <w:r>
        <w:rPr>
          <w:rFonts w:hint="eastAsia"/>
          <w:sz w:val="30"/>
          <w:szCs w:val="30"/>
        </w:rPr>
        <w:t>份额申购、赎回设置统一的费率，对场外上证</w:t>
      </w:r>
      <w:r>
        <w:rPr>
          <w:rFonts w:hint="eastAsia"/>
          <w:sz w:val="30"/>
          <w:szCs w:val="30"/>
        </w:rPr>
        <w:t>LOF</w:t>
      </w:r>
      <w:r>
        <w:rPr>
          <w:rFonts w:hint="eastAsia"/>
          <w:sz w:val="30"/>
          <w:szCs w:val="30"/>
        </w:rPr>
        <w:t>份额申购、赎回按照场外基金销售机构分别设置费率和折扣下限。</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申购、赎回费率由基金管理人在《基金招募说明书》中约定。</w:t>
      </w:r>
    </w:p>
    <w:p w:rsidR="0001723C" w:rsidRDefault="007535F4">
      <w:pPr>
        <w:pStyle w:val="3"/>
        <w:numPr>
          <w:ilvl w:val="0"/>
          <w:numId w:val="0"/>
        </w:numPr>
        <w:tabs>
          <w:tab w:val="clear" w:pos="1676"/>
          <w:tab w:val="left" w:pos="0"/>
        </w:tabs>
        <w:spacing w:line="560" w:lineRule="exact"/>
        <w:ind w:firstLineChars="200" w:firstLine="600"/>
        <w:rPr>
          <w:sz w:val="30"/>
          <w:szCs w:val="30"/>
        </w:rPr>
      </w:pPr>
      <w:r>
        <w:rPr>
          <w:rFonts w:hint="eastAsia"/>
          <w:sz w:val="30"/>
          <w:szCs w:val="30"/>
        </w:rPr>
        <w:t>第四十四条</w:t>
      </w:r>
      <w:r>
        <w:rPr>
          <w:rFonts w:hint="eastAsia"/>
          <w:sz w:val="30"/>
          <w:szCs w:val="30"/>
        </w:rPr>
        <w:t>除指定赎回外，赎回份额明细处理按照基金管理人在中国结算总部</w:t>
      </w:r>
      <w:r>
        <w:rPr>
          <w:rFonts w:hint="eastAsia"/>
          <w:sz w:val="30"/>
          <w:szCs w:val="30"/>
        </w:rPr>
        <w:t>TA</w:t>
      </w:r>
      <w:r>
        <w:rPr>
          <w:rFonts w:hint="eastAsia"/>
          <w:sz w:val="30"/>
          <w:szCs w:val="30"/>
        </w:rPr>
        <w:t>系统中为该基金代码设置的赎回明细分配原则，采用“先进先出”或“后进先出”原则处理。</w:t>
      </w:r>
    </w:p>
    <w:p w:rsidR="0001723C" w:rsidRDefault="007535F4">
      <w:pPr>
        <w:pStyle w:val="3"/>
        <w:numPr>
          <w:ilvl w:val="0"/>
          <w:numId w:val="0"/>
        </w:numPr>
        <w:tabs>
          <w:tab w:val="clear" w:pos="1676"/>
          <w:tab w:val="left" w:pos="0"/>
        </w:tabs>
        <w:spacing w:line="560" w:lineRule="exact"/>
        <w:ind w:firstLineChars="200" w:firstLine="600"/>
        <w:rPr>
          <w:sz w:val="30"/>
          <w:szCs w:val="30"/>
        </w:rPr>
      </w:pPr>
      <w:r>
        <w:rPr>
          <w:rFonts w:hint="eastAsia"/>
          <w:sz w:val="30"/>
          <w:szCs w:val="30"/>
        </w:rPr>
        <w:lastRenderedPageBreak/>
        <w:t>第四十五条</w:t>
      </w:r>
      <w:r>
        <w:rPr>
          <w:rFonts w:hint="eastAsia"/>
          <w:sz w:val="30"/>
          <w:szCs w:val="30"/>
        </w:rPr>
        <w:t>中国结算</w:t>
      </w:r>
      <w:r>
        <w:rPr>
          <w:rFonts w:hint="eastAsia"/>
          <w:sz w:val="30"/>
          <w:szCs w:val="30"/>
        </w:rPr>
        <w:t>TA</w:t>
      </w:r>
      <w:r>
        <w:rPr>
          <w:rFonts w:hint="eastAsia"/>
          <w:sz w:val="30"/>
          <w:szCs w:val="30"/>
        </w:rPr>
        <w:t>系统依据基金管理人给定的费率，按照以下公式计算投</w:t>
      </w:r>
      <w:r>
        <w:rPr>
          <w:rFonts w:hint="eastAsia"/>
          <w:sz w:val="30"/>
          <w:szCs w:val="30"/>
        </w:rPr>
        <w:t>资者场内和场外申购所得份额和赎回所得金额。</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（一）申购份额的计算</w:t>
      </w:r>
    </w:p>
    <w:p w:rsidR="0001723C" w:rsidRDefault="007535F4">
      <w:pPr>
        <w:pStyle w:val="a7"/>
        <w:tabs>
          <w:tab w:val="left" w:pos="0"/>
        </w:tabs>
        <w:spacing w:line="560" w:lineRule="exact"/>
        <w:ind w:firstLineChars="200" w:firstLine="600"/>
        <w:rPr>
          <w:rFonts w:ascii="仿宋_GB2312" w:eastAsia="仿宋_GB2312" w:hAnsi="华文中宋"/>
          <w:sz w:val="30"/>
          <w:szCs w:val="30"/>
        </w:rPr>
      </w:pPr>
      <w:r>
        <w:rPr>
          <w:rFonts w:ascii="仿宋_GB2312" w:eastAsia="仿宋_GB2312" w:hAnsi="华文中宋" w:hint="eastAsia"/>
          <w:sz w:val="30"/>
          <w:szCs w:val="30"/>
        </w:rPr>
        <w:t>申购费</w:t>
      </w:r>
      <w:r>
        <w:rPr>
          <w:rFonts w:ascii="仿宋_GB2312" w:eastAsia="仿宋_GB2312" w:hAnsi="华文中宋"/>
          <w:sz w:val="30"/>
          <w:szCs w:val="30"/>
        </w:rPr>
        <w:t>=</w:t>
      </w:r>
      <w:r>
        <w:rPr>
          <w:rFonts w:ascii="仿宋_GB2312" w:eastAsia="仿宋_GB2312" w:hAnsi="华文中宋"/>
          <w:sz w:val="30"/>
          <w:szCs w:val="30"/>
        </w:rPr>
        <w:t>有效申购金额</w:t>
      </w:r>
      <w:r>
        <w:rPr>
          <w:rFonts w:ascii="仿宋_GB2312" w:eastAsia="仿宋_GB2312" w:hAnsi="宋体" w:hint="eastAsia"/>
          <w:sz w:val="30"/>
          <w:szCs w:val="30"/>
        </w:rPr>
        <w:t>×</w:t>
      </w:r>
      <w:r>
        <w:rPr>
          <w:rFonts w:ascii="仿宋_GB2312" w:eastAsia="仿宋_GB2312" w:hAnsi="华文中宋"/>
          <w:sz w:val="30"/>
          <w:szCs w:val="30"/>
        </w:rPr>
        <w:t>（申购费率</w:t>
      </w:r>
      <w:r>
        <w:rPr>
          <w:rFonts w:ascii="仿宋_GB2312" w:eastAsia="仿宋_GB2312" w:hAnsi="宋体" w:hint="eastAsia"/>
          <w:sz w:val="30"/>
          <w:szCs w:val="30"/>
        </w:rPr>
        <w:t>×</w:t>
      </w:r>
      <w:r>
        <w:rPr>
          <w:rFonts w:ascii="仿宋_GB2312" w:eastAsia="仿宋_GB2312" w:hAnsi="华文中宋"/>
          <w:sz w:val="30"/>
          <w:szCs w:val="30"/>
        </w:rPr>
        <w:t>折扣率）</w:t>
      </w:r>
      <w:r>
        <w:rPr>
          <w:rFonts w:ascii="仿宋_GB2312" w:eastAsia="仿宋_GB2312" w:hAnsi="华文中宋"/>
          <w:sz w:val="30"/>
          <w:szCs w:val="30"/>
        </w:rPr>
        <w:t>/</w:t>
      </w:r>
      <w:r>
        <w:rPr>
          <w:rFonts w:ascii="仿宋_GB2312" w:eastAsia="仿宋_GB2312" w:hAnsi="华文中宋"/>
          <w:sz w:val="30"/>
          <w:szCs w:val="30"/>
        </w:rPr>
        <w:t>（</w:t>
      </w:r>
      <w:r>
        <w:rPr>
          <w:rFonts w:ascii="仿宋_GB2312" w:eastAsia="仿宋_GB2312" w:hAnsi="华文中宋"/>
          <w:sz w:val="30"/>
          <w:szCs w:val="30"/>
        </w:rPr>
        <w:t>1+</w:t>
      </w:r>
      <w:r>
        <w:rPr>
          <w:rFonts w:ascii="仿宋_GB2312" w:eastAsia="仿宋_GB2312" w:hAnsi="华文中宋"/>
          <w:sz w:val="30"/>
          <w:szCs w:val="30"/>
        </w:rPr>
        <w:t>申购费率</w:t>
      </w:r>
      <w:r>
        <w:rPr>
          <w:rFonts w:ascii="仿宋_GB2312" w:eastAsia="仿宋_GB2312" w:hAnsi="宋体" w:hint="eastAsia"/>
          <w:sz w:val="30"/>
          <w:szCs w:val="30"/>
        </w:rPr>
        <w:t>×</w:t>
      </w:r>
      <w:r>
        <w:rPr>
          <w:rFonts w:ascii="仿宋_GB2312" w:eastAsia="仿宋_GB2312" w:hAnsi="华文中宋"/>
          <w:sz w:val="30"/>
          <w:szCs w:val="30"/>
        </w:rPr>
        <w:t>折扣率）</w:t>
      </w:r>
    </w:p>
    <w:p w:rsidR="0001723C" w:rsidRDefault="007535F4">
      <w:pPr>
        <w:spacing w:line="560" w:lineRule="exact"/>
        <w:ind w:firstLineChars="200" w:firstLine="600"/>
        <w:rPr>
          <w:rFonts w:ascii="仿宋_GB2312" w:eastAsia="仿宋_GB2312"/>
          <w:sz w:val="30"/>
          <w:szCs w:val="30"/>
        </w:rPr>
      </w:pPr>
      <w:r>
        <w:rPr>
          <w:rFonts w:ascii="仿宋_GB2312" w:eastAsia="仿宋_GB2312" w:hAnsi="华文中宋" w:hint="eastAsia"/>
          <w:sz w:val="30"/>
          <w:szCs w:val="30"/>
        </w:rPr>
        <w:t>申购份额＝（有效申购金额－申购费）</w:t>
      </w:r>
      <w:r>
        <w:rPr>
          <w:rFonts w:ascii="仿宋_GB2312" w:eastAsia="仿宋_GB2312" w:hAnsi="华文中宋"/>
          <w:sz w:val="30"/>
          <w:szCs w:val="30"/>
        </w:rPr>
        <w:t>/</w:t>
      </w:r>
      <w:r>
        <w:rPr>
          <w:rFonts w:ascii="仿宋_GB2312" w:eastAsia="仿宋_GB2312" w:hAnsi="华文中宋"/>
          <w:sz w:val="30"/>
          <w:szCs w:val="30"/>
        </w:rPr>
        <w:t>基金份额净值</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如基金管理人给定了单笔申购费固定金额的，以上申购费按基金管理人给定的固定金额计算。</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投资者申购所得的场内上证</w:t>
      </w:r>
      <w:r>
        <w:rPr>
          <w:rFonts w:ascii="仿宋_GB2312" w:eastAsia="仿宋_GB2312" w:hint="eastAsia"/>
          <w:sz w:val="30"/>
          <w:szCs w:val="30"/>
        </w:rPr>
        <w:t>LOF</w:t>
      </w:r>
      <w:r>
        <w:rPr>
          <w:rFonts w:ascii="仿宋_GB2312" w:eastAsia="仿宋_GB2312" w:hint="eastAsia"/>
          <w:sz w:val="30"/>
          <w:szCs w:val="30"/>
        </w:rPr>
        <w:t>份额先按四舍五入的原则保留到小数点后两位，再按截位法保留到整数位，小数部分对应的金额退还投资者；申购所得的场外上证</w:t>
      </w:r>
      <w:r>
        <w:rPr>
          <w:rFonts w:ascii="仿宋_GB2312" w:eastAsia="仿宋_GB2312" w:hint="eastAsia"/>
          <w:sz w:val="30"/>
          <w:szCs w:val="30"/>
        </w:rPr>
        <w:t>LOF</w:t>
      </w:r>
      <w:r>
        <w:rPr>
          <w:rFonts w:ascii="仿宋_GB2312" w:eastAsia="仿宋_GB2312" w:hint="eastAsia"/>
          <w:sz w:val="30"/>
          <w:szCs w:val="30"/>
        </w:rPr>
        <w:t>份额按四舍五入的原则保留到小数点后两位。</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（二）赎回金额的计算</w:t>
      </w:r>
    </w:p>
    <w:p w:rsidR="0001723C" w:rsidRDefault="007535F4">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赎回确认份额＝赎回申请份额×赎回确认比例</w:t>
      </w:r>
    </w:p>
    <w:p w:rsidR="0001723C" w:rsidRDefault="007535F4">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赎回确认金额＝∑（赎回明细确认金额）</w:t>
      </w:r>
    </w:p>
    <w:p w:rsidR="0001723C" w:rsidRDefault="007535F4">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其中，对于某笔赎回明细：</w:t>
      </w:r>
    </w:p>
    <w:p w:rsidR="0001723C" w:rsidRDefault="007535F4">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赎回明细确认金额＝赎回明细确认份额×基金份额净值－赎回费</w:t>
      </w:r>
    </w:p>
    <w:p w:rsidR="0001723C" w:rsidRDefault="007535F4">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赎回费＝赎回明细确认份额×基金份额净值×赎回费率×折扣率</w:t>
      </w:r>
    </w:p>
    <w:p w:rsidR="0001723C" w:rsidRDefault="007535F4">
      <w:pPr>
        <w:spacing w:line="560" w:lineRule="exact"/>
        <w:ind w:firstLineChars="200" w:firstLine="600"/>
        <w:rPr>
          <w:rFonts w:ascii="仿宋_GB2312" w:eastAsia="仿宋_GB2312"/>
          <w:sz w:val="30"/>
          <w:szCs w:val="30"/>
        </w:rPr>
      </w:pPr>
      <w:r>
        <w:rPr>
          <w:rFonts w:ascii="仿宋_GB2312" w:eastAsia="仿宋_GB2312" w:hAnsi="宋体" w:hint="eastAsia"/>
          <w:sz w:val="30"/>
          <w:szCs w:val="30"/>
        </w:rPr>
        <w:t>赎回费、赎回明细确认金额按四舍五入的原则保留到小数点后两位。场内赎回确认份额先按四舍五入的原则保留到小数点后两位，再按截位法保留到整数位。</w:t>
      </w:r>
    </w:p>
    <w:p w:rsidR="0001723C" w:rsidRDefault="007535F4">
      <w:pPr>
        <w:pStyle w:val="26"/>
        <w:spacing w:afterLines="0" w:line="560" w:lineRule="exact"/>
        <w:rPr>
          <w:b/>
          <w:sz w:val="30"/>
          <w:szCs w:val="30"/>
        </w:rPr>
      </w:pPr>
      <w:r>
        <w:rPr>
          <w:rFonts w:hint="eastAsia"/>
          <w:b/>
          <w:sz w:val="30"/>
          <w:szCs w:val="30"/>
        </w:rPr>
        <w:lastRenderedPageBreak/>
        <w:t>第四节</w:t>
      </w:r>
      <w:r>
        <w:rPr>
          <w:b/>
          <w:sz w:val="30"/>
          <w:szCs w:val="30"/>
        </w:rPr>
        <w:t xml:space="preserve"> </w:t>
      </w:r>
      <w:r>
        <w:rPr>
          <w:rFonts w:hint="eastAsia"/>
          <w:b/>
          <w:sz w:val="30"/>
          <w:szCs w:val="30"/>
        </w:rPr>
        <w:t>业务流程</w:t>
      </w:r>
    </w:p>
    <w:p w:rsidR="0001723C" w:rsidRDefault="007535F4">
      <w:pPr>
        <w:pStyle w:val="3"/>
        <w:numPr>
          <w:ilvl w:val="0"/>
          <w:numId w:val="0"/>
        </w:numPr>
        <w:tabs>
          <w:tab w:val="clear" w:pos="1676"/>
          <w:tab w:val="left" w:pos="0"/>
        </w:tabs>
        <w:spacing w:line="560" w:lineRule="exact"/>
        <w:ind w:firstLineChars="200" w:firstLine="600"/>
        <w:rPr>
          <w:sz w:val="30"/>
          <w:szCs w:val="30"/>
        </w:rPr>
      </w:pPr>
      <w:r>
        <w:rPr>
          <w:rFonts w:hint="eastAsia"/>
          <w:sz w:val="30"/>
          <w:szCs w:val="30"/>
        </w:rPr>
        <w:t>第四十六条</w:t>
      </w:r>
      <w:r>
        <w:rPr>
          <w:rFonts w:hint="eastAsia"/>
          <w:sz w:val="30"/>
          <w:szCs w:val="30"/>
        </w:rPr>
        <w:t>上证</w:t>
      </w:r>
      <w:r>
        <w:rPr>
          <w:rFonts w:hint="eastAsia"/>
          <w:sz w:val="30"/>
          <w:szCs w:val="30"/>
        </w:rPr>
        <w:t>LOF</w:t>
      </w:r>
      <w:r>
        <w:rPr>
          <w:rFonts w:hint="eastAsia"/>
          <w:sz w:val="30"/>
          <w:szCs w:val="30"/>
        </w:rPr>
        <w:t>申购业务按照以下流程办理：</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（一）申购日（</w:t>
      </w:r>
      <w:r>
        <w:rPr>
          <w:rFonts w:ascii="仿宋_GB2312" w:eastAsia="仿宋_GB2312" w:hint="eastAsia"/>
          <w:sz w:val="30"/>
          <w:szCs w:val="30"/>
        </w:rPr>
        <w:t>T</w:t>
      </w:r>
      <w:r>
        <w:rPr>
          <w:rFonts w:ascii="仿宋_GB2312" w:eastAsia="仿宋_GB2312" w:hint="eastAsia"/>
          <w:sz w:val="30"/>
          <w:szCs w:val="30"/>
        </w:rPr>
        <w:t>日）交易时间，投资者通过有资格的场内证券经营机构向上交所提交上证</w:t>
      </w:r>
      <w:r>
        <w:rPr>
          <w:rFonts w:ascii="仿宋_GB2312" w:eastAsia="仿宋_GB2312" w:hint="eastAsia"/>
          <w:sz w:val="30"/>
          <w:szCs w:val="30"/>
        </w:rPr>
        <w:t>LO</w:t>
      </w:r>
      <w:r>
        <w:rPr>
          <w:rFonts w:ascii="仿宋_GB2312" w:eastAsia="仿宋_GB2312" w:hint="eastAsia"/>
          <w:sz w:val="30"/>
          <w:szCs w:val="30"/>
        </w:rPr>
        <w:t>F</w:t>
      </w:r>
      <w:r>
        <w:rPr>
          <w:rFonts w:ascii="仿宋_GB2312" w:eastAsia="仿宋_GB2312" w:hint="eastAsia"/>
          <w:sz w:val="30"/>
          <w:szCs w:val="30"/>
        </w:rPr>
        <w:t>场内申购申请</w:t>
      </w:r>
      <w:r>
        <w:rPr>
          <w:rFonts w:ascii="仿宋_GB2312" w:eastAsia="仿宋_GB2312" w:hint="eastAsia"/>
          <w:sz w:val="30"/>
          <w:szCs w:val="30"/>
        </w:rPr>
        <w:t>;</w:t>
      </w:r>
      <w:r>
        <w:rPr>
          <w:rFonts w:ascii="仿宋_GB2312" w:eastAsia="仿宋_GB2312" w:hint="eastAsia"/>
          <w:sz w:val="30"/>
          <w:szCs w:val="30"/>
        </w:rPr>
        <w:t>或通过场外基金销售机构提交场外申购申请。</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（二）</w:t>
      </w:r>
      <w:r>
        <w:rPr>
          <w:rFonts w:ascii="仿宋_GB2312" w:eastAsia="仿宋_GB2312" w:hint="eastAsia"/>
          <w:sz w:val="30"/>
          <w:szCs w:val="30"/>
        </w:rPr>
        <w:t>T</w:t>
      </w:r>
      <w:r>
        <w:rPr>
          <w:rFonts w:ascii="仿宋_GB2312" w:eastAsia="仿宋_GB2312" w:hint="eastAsia"/>
          <w:sz w:val="30"/>
          <w:szCs w:val="30"/>
        </w:rPr>
        <w:t>日日终，上交所将当日所有申购申请数据发送中国结算上海分公司，中国结算上海分公司证券登记系统进行相关处理后，转发中国结算</w:t>
      </w:r>
      <w:r>
        <w:rPr>
          <w:rFonts w:ascii="仿宋_GB2312" w:eastAsia="仿宋_GB2312" w:hint="eastAsia"/>
          <w:sz w:val="30"/>
          <w:szCs w:val="30"/>
        </w:rPr>
        <w:t>TA</w:t>
      </w:r>
      <w:r>
        <w:rPr>
          <w:rFonts w:ascii="仿宋_GB2312" w:eastAsia="仿宋_GB2312" w:hint="eastAsia"/>
          <w:sz w:val="30"/>
          <w:szCs w:val="30"/>
        </w:rPr>
        <w:t>系统。</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场外基金销售机构将当日所有申购申请数据发送中国结算</w:t>
      </w:r>
      <w:r>
        <w:rPr>
          <w:rFonts w:ascii="仿宋_GB2312" w:eastAsia="仿宋_GB2312" w:hint="eastAsia"/>
          <w:sz w:val="30"/>
          <w:szCs w:val="30"/>
        </w:rPr>
        <w:t>TA</w:t>
      </w:r>
      <w:r>
        <w:rPr>
          <w:rFonts w:ascii="仿宋_GB2312" w:eastAsia="仿宋_GB2312" w:hint="eastAsia"/>
          <w:sz w:val="30"/>
          <w:szCs w:val="30"/>
        </w:rPr>
        <w:t>系统。</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（三）</w:t>
      </w:r>
      <w:r>
        <w:rPr>
          <w:rFonts w:ascii="仿宋_GB2312" w:eastAsia="仿宋_GB2312" w:hint="eastAsia"/>
          <w:sz w:val="30"/>
          <w:szCs w:val="30"/>
        </w:rPr>
        <w:t>T</w:t>
      </w:r>
      <w:r>
        <w:rPr>
          <w:rFonts w:ascii="仿宋_GB2312" w:eastAsia="仿宋_GB2312" w:hint="eastAsia"/>
          <w:sz w:val="30"/>
          <w:szCs w:val="30"/>
        </w:rPr>
        <w:t>日日终至</w:t>
      </w:r>
      <w:r>
        <w:rPr>
          <w:rFonts w:ascii="仿宋_GB2312" w:eastAsia="仿宋_GB2312" w:hint="eastAsia"/>
          <w:sz w:val="30"/>
          <w:szCs w:val="30"/>
        </w:rPr>
        <w:t>T</w:t>
      </w:r>
      <w:r>
        <w:rPr>
          <w:rFonts w:ascii="仿宋_GB2312" w:eastAsia="仿宋_GB2312" w:hint="eastAsia"/>
          <w:sz w:val="30"/>
          <w:szCs w:val="30"/>
        </w:rPr>
        <w:t>＋</w:t>
      </w:r>
      <w:r>
        <w:rPr>
          <w:rFonts w:ascii="仿宋_GB2312" w:eastAsia="仿宋_GB2312" w:hint="eastAsia"/>
          <w:sz w:val="30"/>
          <w:szCs w:val="30"/>
        </w:rPr>
        <w:t>1</w:t>
      </w:r>
      <w:r>
        <w:rPr>
          <w:rFonts w:ascii="仿宋_GB2312" w:eastAsia="仿宋_GB2312" w:hint="eastAsia"/>
          <w:sz w:val="30"/>
          <w:szCs w:val="30"/>
        </w:rPr>
        <w:t>日</w:t>
      </w:r>
      <w:r>
        <w:rPr>
          <w:rFonts w:ascii="仿宋_GB2312" w:eastAsia="仿宋_GB2312" w:hint="eastAsia"/>
          <w:sz w:val="30"/>
          <w:szCs w:val="30"/>
        </w:rPr>
        <w:t>12:00</w:t>
      </w:r>
      <w:r>
        <w:rPr>
          <w:rFonts w:ascii="仿宋_GB2312" w:eastAsia="仿宋_GB2312" w:hint="eastAsia"/>
          <w:sz w:val="30"/>
          <w:szCs w:val="30"/>
        </w:rPr>
        <w:t>，中国结算</w:t>
      </w:r>
      <w:r>
        <w:rPr>
          <w:rFonts w:ascii="仿宋_GB2312" w:eastAsia="仿宋_GB2312" w:hint="eastAsia"/>
          <w:sz w:val="30"/>
          <w:szCs w:val="30"/>
        </w:rPr>
        <w:t>TA</w:t>
      </w:r>
      <w:r>
        <w:rPr>
          <w:rFonts w:ascii="仿宋_GB2312" w:eastAsia="仿宋_GB2312" w:hint="eastAsia"/>
          <w:sz w:val="30"/>
          <w:szCs w:val="30"/>
        </w:rPr>
        <w:t>系统将上证</w:t>
      </w:r>
      <w:r>
        <w:rPr>
          <w:rFonts w:ascii="仿宋_GB2312" w:eastAsia="仿宋_GB2312" w:hint="eastAsia"/>
          <w:sz w:val="30"/>
          <w:szCs w:val="30"/>
        </w:rPr>
        <w:t>LOF</w:t>
      </w:r>
      <w:r>
        <w:rPr>
          <w:rFonts w:ascii="仿宋_GB2312" w:eastAsia="仿宋_GB2312" w:hint="eastAsia"/>
          <w:sz w:val="30"/>
          <w:szCs w:val="30"/>
        </w:rPr>
        <w:t>场内申购申请与场外申购申请一起发送至相关基金管理人处进行确认，并接收基金管理人的确认文件，进行交易处理和资金清算。</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（四）</w:t>
      </w:r>
      <w:r>
        <w:rPr>
          <w:rFonts w:ascii="仿宋_GB2312" w:eastAsia="仿宋_GB2312" w:hint="eastAsia"/>
          <w:sz w:val="30"/>
          <w:szCs w:val="30"/>
        </w:rPr>
        <w:t>T</w:t>
      </w:r>
      <w:r>
        <w:rPr>
          <w:rFonts w:ascii="仿宋_GB2312" w:eastAsia="仿宋_GB2312" w:hint="eastAsia"/>
          <w:sz w:val="30"/>
          <w:szCs w:val="30"/>
        </w:rPr>
        <w:t>＋</w:t>
      </w:r>
      <w:r>
        <w:rPr>
          <w:rFonts w:ascii="仿宋_GB2312" w:eastAsia="仿宋_GB2312" w:hint="eastAsia"/>
          <w:sz w:val="30"/>
          <w:szCs w:val="30"/>
        </w:rPr>
        <w:t>1</w:t>
      </w:r>
      <w:r>
        <w:rPr>
          <w:rFonts w:ascii="仿宋_GB2312" w:eastAsia="仿宋_GB2312" w:hint="eastAsia"/>
          <w:sz w:val="30"/>
          <w:szCs w:val="30"/>
        </w:rPr>
        <w:t>日，中国结算</w:t>
      </w:r>
      <w:r>
        <w:rPr>
          <w:rFonts w:ascii="仿宋_GB2312" w:eastAsia="仿宋_GB2312" w:hint="eastAsia"/>
          <w:sz w:val="30"/>
          <w:szCs w:val="30"/>
        </w:rPr>
        <w:t>TA</w:t>
      </w:r>
      <w:r>
        <w:rPr>
          <w:rFonts w:ascii="仿宋_GB2312" w:eastAsia="仿宋_GB2312" w:hint="eastAsia"/>
          <w:sz w:val="30"/>
          <w:szCs w:val="30"/>
        </w:rPr>
        <w:t>系统将场内申购确认结果发送至中国结算上海分公司</w:t>
      </w:r>
      <w:r>
        <w:rPr>
          <w:rFonts w:ascii="仿宋_GB2312" w:eastAsia="仿宋_GB2312" w:hint="eastAsia"/>
          <w:sz w:val="30"/>
          <w:szCs w:val="30"/>
        </w:rPr>
        <w:t>证券登记系统，由其进行场内上证</w:t>
      </w:r>
      <w:r>
        <w:rPr>
          <w:rFonts w:ascii="仿宋_GB2312" w:eastAsia="仿宋_GB2312" w:hint="eastAsia"/>
          <w:sz w:val="30"/>
          <w:szCs w:val="30"/>
        </w:rPr>
        <w:t>LOF</w:t>
      </w:r>
      <w:r>
        <w:rPr>
          <w:rFonts w:ascii="仿宋_GB2312" w:eastAsia="仿宋_GB2312" w:hint="eastAsia"/>
          <w:sz w:val="30"/>
          <w:szCs w:val="30"/>
        </w:rPr>
        <w:t>份额登记处理。中国结算上海分公司将场内申购交易回报、场内基金份额对账等相关数据发送相关场内证券经营机构。</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中国结算</w:t>
      </w:r>
      <w:r>
        <w:rPr>
          <w:rFonts w:ascii="仿宋_GB2312" w:eastAsia="仿宋_GB2312" w:hint="eastAsia"/>
          <w:sz w:val="30"/>
          <w:szCs w:val="30"/>
        </w:rPr>
        <w:t>TA</w:t>
      </w:r>
      <w:r>
        <w:rPr>
          <w:rFonts w:ascii="仿宋_GB2312" w:eastAsia="仿宋_GB2312" w:hint="eastAsia"/>
          <w:sz w:val="30"/>
          <w:szCs w:val="30"/>
        </w:rPr>
        <w:t>系统根据场外申购确认结果进行场外上证</w:t>
      </w:r>
      <w:r>
        <w:rPr>
          <w:rFonts w:ascii="仿宋_GB2312" w:eastAsia="仿宋_GB2312" w:hint="eastAsia"/>
          <w:sz w:val="30"/>
          <w:szCs w:val="30"/>
        </w:rPr>
        <w:t>LOF</w:t>
      </w:r>
      <w:r>
        <w:rPr>
          <w:rFonts w:ascii="仿宋_GB2312" w:eastAsia="仿宋_GB2312" w:hint="eastAsia"/>
          <w:sz w:val="30"/>
          <w:szCs w:val="30"/>
        </w:rPr>
        <w:t>份额登记处理，并将场外申购交易回报、场外基金份额对账等相关数据发送至相关场外基金销售机构。</w:t>
      </w:r>
    </w:p>
    <w:p w:rsidR="0001723C" w:rsidRDefault="007535F4">
      <w:pPr>
        <w:tabs>
          <w:tab w:val="left" w:pos="0"/>
        </w:tabs>
        <w:spacing w:line="560" w:lineRule="exact"/>
        <w:ind w:firstLineChars="200" w:firstLine="600"/>
        <w:jc w:val="left"/>
        <w:rPr>
          <w:rFonts w:ascii="仿宋_GB2312" w:eastAsia="仿宋_GB2312"/>
          <w:sz w:val="30"/>
          <w:szCs w:val="30"/>
        </w:rPr>
      </w:pPr>
      <w:r>
        <w:rPr>
          <w:rFonts w:ascii="仿宋_GB2312" w:eastAsia="仿宋_GB2312" w:hint="eastAsia"/>
          <w:sz w:val="30"/>
          <w:szCs w:val="30"/>
        </w:rPr>
        <w:t>中国结算</w:t>
      </w:r>
      <w:r>
        <w:rPr>
          <w:rFonts w:ascii="仿宋_GB2312" w:eastAsia="仿宋_GB2312" w:hint="eastAsia"/>
          <w:sz w:val="30"/>
          <w:szCs w:val="30"/>
        </w:rPr>
        <w:t>TA</w:t>
      </w:r>
      <w:r>
        <w:rPr>
          <w:rFonts w:ascii="仿宋_GB2312" w:eastAsia="仿宋_GB2312" w:hint="eastAsia"/>
          <w:sz w:val="30"/>
          <w:szCs w:val="30"/>
        </w:rPr>
        <w:t>系统将场内、场外的交易回报和基金份额对账等相关数据一并发送至基金管理人。</w:t>
      </w:r>
    </w:p>
    <w:p w:rsidR="0001723C" w:rsidRDefault="007535F4">
      <w:pPr>
        <w:tabs>
          <w:tab w:val="left" w:pos="0"/>
        </w:tabs>
        <w:spacing w:line="560" w:lineRule="exact"/>
        <w:ind w:firstLineChars="200" w:firstLine="600"/>
        <w:jc w:val="left"/>
        <w:rPr>
          <w:rFonts w:ascii="仿宋_GB2312" w:eastAsia="仿宋_GB2312"/>
          <w:sz w:val="30"/>
          <w:szCs w:val="30"/>
        </w:rPr>
      </w:pPr>
      <w:r>
        <w:rPr>
          <w:rFonts w:ascii="仿宋_GB2312" w:eastAsia="仿宋_GB2312" w:hint="eastAsia"/>
          <w:sz w:val="30"/>
          <w:szCs w:val="30"/>
        </w:rPr>
        <w:t>中国结算将场内、场外资金清算数据合并后发送相关基金销</w:t>
      </w:r>
      <w:r>
        <w:rPr>
          <w:rFonts w:ascii="仿宋_GB2312" w:eastAsia="仿宋_GB2312" w:hint="eastAsia"/>
          <w:sz w:val="30"/>
          <w:szCs w:val="30"/>
        </w:rPr>
        <w:lastRenderedPageBreak/>
        <w:t>售机构（场内资金清算数据与同一证券经营机构的场外数据合并，通过场外发送）。</w:t>
      </w:r>
    </w:p>
    <w:p w:rsidR="0001723C" w:rsidRDefault="007535F4">
      <w:pPr>
        <w:spacing w:line="560" w:lineRule="exact"/>
        <w:ind w:firstLineChars="200" w:firstLine="600"/>
        <w:rPr>
          <w:rFonts w:ascii="仿宋_GB2312" w:eastAsia="仿宋_GB2312"/>
          <w:strike/>
          <w:sz w:val="30"/>
          <w:szCs w:val="30"/>
        </w:rPr>
      </w:pPr>
      <w:r>
        <w:rPr>
          <w:rFonts w:ascii="仿宋_GB2312" w:eastAsia="仿宋_GB2312" w:hint="eastAsia"/>
          <w:sz w:val="30"/>
          <w:szCs w:val="30"/>
        </w:rPr>
        <w:t>（五）</w:t>
      </w:r>
      <w:r>
        <w:rPr>
          <w:rFonts w:ascii="仿宋_GB2312" w:eastAsia="仿宋_GB2312" w:hint="eastAsia"/>
          <w:sz w:val="30"/>
          <w:szCs w:val="30"/>
        </w:rPr>
        <w:t>T+2</w:t>
      </w:r>
      <w:r>
        <w:rPr>
          <w:rFonts w:ascii="仿宋_GB2312" w:eastAsia="仿宋_GB2312" w:hint="eastAsia"/>
          <w:sz w:val="30"/>
          <w:szCs w:val="30"/>
        </w:rPr>
        <w:t>日，投资者可在场内证券经营机构处查询到场内申购所得上证</w:t>
      </w:r>
      <w:r>
        <w:rPr>
          <w:rFonts w:ascii="仿宋_GB2312" w:eastAsia="仿宋_GB2312" w:hint="eastAsia"/>
          <w:sz w:val="30"/>
          <w:szCs w:val="30"/>
        </w:rPr>
        <w:t>LOF</w:t>
      </w:r>
      <w:r>
        <w:rPr>
          <w:rFonts w:ascii="仿宋_GB2312" w:eastAsia="仿宋_GB2312" w:hint="eastAsia"/>
          <w:sz w:val="30"/>
          <w:szCs w:val="30"/>
        </w:rPr>
        <w:t>份额；在场外基金销售机构处查询到场外申购所得上证</w:t>
      </w:r>
      <w:r>
        <w:rPr>
          <w:rFonts w:ascii="仿宋_GB2312" w:eastAsia="仿宋_GB2312" w:hint="eastAsia"/>
          <w:sz w:val="30"/>
          <w:szCs w:val="30"/>
        </w:rPr>
        <w:t>LOF</w:t>
      </w:r>
      <w:r>
        <w:rPr>
          <w:rFonts w:ascii="仿宋_GB2312" w:eastAsia="仿宋_GB2312" w:hint="eastAsia"/>
          <w:sz w:val="30"/>
          <w:szCs w:val="30"/>
        </w:rPr>
        <w:t>份额。</w:t>
      </w:r>
    </w:p>
    <w:p w:rsidR="0001723C" w:rsidRDefault="007535F4">
      <w:pPr>
        <w:pStyle w:val="3"/>
        <w:numPr>
          <w:ilvl w:val="0"/>
          <w:numId w:val="0"/>
        </w:numPr>
        <w:tabs>
          <w:tab w:val="clear" w:pos="1676"/>
          <w:tab w:val="left" w:pos="0"/>
        </w:tabs>
        <w:spacing w:line="560" w:lineRule="exact"/>
        <w:ind w:firstLineChars="200" w:firstLine="600"/>
        <w:rPr>
          <w:sz w:val="30"/>
          <w:szCs w:val="30"/>
        </w:rPr>
      </w:pPr>
      <w:r>
        <w:rPr>
          <w:rFonts w:hint="eastAsia"/>
          <w:sz w:val="30"/>
          <w:szCs w:val="30"/>
        </w:rPr>
        <w:t>第四十七条</w:t>
      </w:r>
      <w:r>
        <w:rPr>
          <w:rFonts w:hint="eastAsia"/>
          <w:sz w:val="30"/>
          <w:szCs w:val="30"/>
        </w:rPr>
        <w:t>上证</w:t>
      </w:r>
      <w:r>
        <w:rPr>
          <w:rFonts w:hint="eastAsia"/>
          <w:sz w:val="30"/>
          <w:szCs w:val="30"/>
        </w:rPr>
        <w:t>LOF</w:t>
      </w:r>
      <w:r>
        <w:rPr>
          <w:rFonts w:hint="eastAsia"/>
          <w:sz w:val="30"/>
          <w:szCs w:val="30"/>
        </w:rPr>
        <w:t>赎回业务按照以下流程办理：</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（一）赎回日（</w:t>
      </w:r>
      <w:r>
        <w:rPr>
          <w:rFonts w:ascii="仿宋_GB2312" w:eastAsia="仿宋_GB2312" w:hint="eastAsia"/>
          <w:sz w:val="30"/>
          <w:szCs w:val="30"/>
        </w:rPr>
        <w:t>T</w:t>
      </w:r>
      <w:r>
        <w:rPr>
          <w:rFonts w:ascii="仿宋_GB2312" w:eastAsia="仿宋_GB2312" w:hint="eastAsia"/>
          <w:sz w:val="30"/>
          <w:szCs w:val="30"/>
        </w:rPr>
        <w:t>日）交易时间，投资者通过有资格的场内证券经营机构向上交所提交上证</w:t>
      </w:r>
      <w:r>
        <w:rPr>
          <w:rFonts w:ascii="仿宋_GB2312" w:eastAsia="仿宋_GB2312" w:hint="eastAsia"/>
          <w:sz w:val="30"/>
          <w:szCs w:val="30"/>
        </w:rPr>
        <w:t>LOF</w:t>
      </w:r>
      <w:r>
        <w:rPr>
          <w:rFonts w:ascii="仿宋_GB2312" w:eastAsia="仿宋_GB2312" w:hint="eastAsia"/>
          <w:sz w:val="30"/>
          <w:szCs w:val="30"/>
        </w:rPr>
        <w:t>场内份额的赎回申请；或通过场外基金销售机构提交上证</w:t>
      </w:r>
      <w:r>
        <w:rPr>
          <w:rFonts w:ascii="仿宋_GB2312" w:eastAsia="仿宋_GB2312" w:hint="eastAsia"/>
          <w:sz w:val="30"/>
          <w:szCs w:val="30"/>
        </w:rPr>
        <w:t>LOF</w:t>
      </w:r>
      <w:r>
        <w:rPr>
          <w:rFonts w:ascii="仿宋_GB2312" w:eastAsia="仿宋_GB2312" w:hint="eastAsia"/>
          <w:sz w:val="30"/>
          <w:szCs w:val="30"/>
        </w:rPr>
        <w:t>场外份额的赎回申请。</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（二）</w:t>
      </w:r>
      <w:r>
        <w:rPr>
          <w:rFonts w:ascii="仿宋_GB2312" w:eastAsia="仿宋_GB2312" w:hint="eastAsia"/>
          <w:sz w:val="30"/>
          <w:szCs w:val="30"/>
        </w:rPr>
        <w:t>T</w:t>
      </w:r>
      <w:r>
        <w:rPr>
          <w:rFonts w:ascii="仿宋_GB2312" w:eastAsia="仿宋_GB2312" w:hint="eastAsia"/>
          <w:sz w:val="30"/>
          <w:szCs w:val="30"/>
        </w:rPr>
        <w:t>日日终，上交所将当日所有赎回申请数据发送中国结算上海分公司，由中国结算上海分公司证券登记系统进行相关份额锁定处理后，将相关数据发送中国结算</w:t>
      </w:r>
      <w:r>
        <w:rPr>
          <w:rFonts w:ascii="仿宋_GB2312" w:eastAsia="仿宋_GB2312" w:hint="eastAsia"/>
          <w:sz w:val="30"/>
          <w:szCs w:val="30"/>
        </w:rPr>
        <w:t>TA</w:t>
      </w:r>
      <w:r>
        <w:rPr>
          <w:rFonts w:ascii="仿宋_GB2312" w:eastAsia="仿宋_GB2312" w:hint="eastAsia"/>
          <w:sz w:val="30"/>
          <w:szCs w:val="30"/>
        </w:rPr>
        <w:t>系统。</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场外基金</w:t>
      </w:r>
      <w:r>
        <w:rPr>
          <w:rFonts w:ascii="仿宋_GB2312" w:eastAsia="仿宋_GB2312" w:hint="eastAsia"/>
          <w:sz w:val="30"/>
          <w:szCs w:val="30"/>
        </w:rPr>
        <w:t>销售机构将当日所有赎回申请数据发送中国结算</w:t>
      </w:r>
      <w:r>
        <w:rPr>
          <w:rFonts w:ascii="仿宋_GB2312" w:eastAsia="仿宋_GB2312" w:hint="eastAsia"/>
          <w:sz w:val="30"/>
          <w:szCs w:val="30"/>
        </w:rPr>
        <w:t>TA</w:t>
      </w:r>
      <w:r>
        <w:rPr>
          <w:rFonts w:ascii="仿宋_GB2312" w:eastAsia="仿宋_GB2312" w:hint="eastAsia"/>
          <w:sz w:val="30"/>
          <w:szCs w:val="30"/>
        </w:rPr>
        <w:t>系统。</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（三）</w:t>
      </w:r>
      <w:r>
        <w:rPr>
          <w:rFonts w:ascii="仿宋_GB2312" w:eastAsia="仿宋_GB2312" w:hint="eastAsia"/>
          <w:sz w:val="30"/>
          <w:szCs w:val="30"/>
        </w:rPr>
        <w:t>T</w:t>
      </w:r>
      <w:r>
        <w:rPr>
          <w:rFonts w:ascii="仿宋_GB2312" w:eastAsia="仿宋_GB2312" w:hint="eastAsia"/>
          <w:sz w:val="30"/>
          <w:szCs w:val="30"/>
        </w:rPr>
        <w:t>日日终至</w:t>
      </w:r>
      <w:r>
        <w:rPr>
          <w:rFonts w:ascii="仿宋_GB2312" w:eastAsia="仿宋_GB2312" w:hint="eastAsia"/>
          <w:sz w:val="30"/>
          <w:szCs w:val="30"/>
        </w:rPr>
        <w:t>T</w:t>
      </w:r>
      <w:r>
        <w:rPr>
          <w:rFonts w:ascii="仿宋_GB2312" w:eastAsia="仿宋_GB2312" w:hint="eastAsia"/>
          <w:sz w:val="30"/>
          <w:szCs w:val="30"/>
        </w:rPr>
        <w:t>＋</w:t>
      </w:r>
      <w:r>
        <w:rPr>
          <w:rFonts w:ascii="仿宋_GB2312" w:eastAsia="仿宋_GB2312" w:hint="eastAsia"/>
          <w:sz w:val="30"/>
          <w:szCs w:val="30"/>
        </w:rPr>
        <w:t>1</w:t>
      </w:r>
      <w:r>
        <w:rPr>
          <w:rFonts w:ascii="仿宋_GB2312" w:eastAsia="仿宋_GB2312" w:hint="eastAsia"/>
          <w:sz w:val="30"/>
          <w:szCs w:val="30"/>
        </w:rPr>
        <w:t>日</w:t>
      </w:r>
      <w:r>
        <w:rPr>
          <w:rFonts w:ascii="仿宋_GB2312" w:eastAsia="仿宋_GB2312" w:hint="eastAsia"/>
          <w:sz w:val="30"/>
          <w:szCs w:val="30"/>
        </w:rPr>
        <w:t>12:00</w:t>
      </w:r>
      <w:r>
        <w:rPr>
          <w:rFonts w:ascii="仿宋_GB2312" w:eastAsia="仿宋_GB2312" w:hint="eastAsia"/>
          <w:sz w:val="30"/>
          <w:szCs w:val="30"/>
        </w:rPr>
        <w:t>，中国结算</w:t>
      </w:r>
      <w:r>
        <w:rPr>
          <w:rFonts w:ascii="仿宋_GB2312" w:eastAsia="仿宋_GB2312" w:hint="eastAsia"/>
          <w:sz w:val="30"/>
          <w:szCs w:val="30"/>
        </w:rPr>
        <w:t>TA</w:t>
      </w:r>
      <w:r>
        <w:rPr>
          <w:rFonts w:ascii="仿宋_GB2312" w:eastAsia="仿宋_GB2312" w:hint="eastAsia"/>
          <w:sz w:val="30"/>
          <w:szCs w:val="30"/>
        </w:rPr>
        <w:t>系统将上证</w:t>
      </w:r>
      <w:r>
        <w:rPr>
          <w:rFonts w:ascii="仿宋_GB2312" w:eastAsia="仿宋_GB2312" w:hint="eastAsia"/>
          <w:sz w:val="30"/>
          <w:szCs w:val="30"/>
        </w:rPr>
        <w:t>LOF</w:t>
      </w:r>
      <w:r>
        <w:rPr>
          <w:rFonts w:ascii="仿宋_GB2312" w:eastAsia="仿宋_GB2312" w:hint="eastAsia"/>
          <w:sz w:val="30"/>
          <w:szCs w:val="30"/>
        </w:rPr>
        <w:t>场内和场外赎回申请一起发送至相关基金管理人处进行确认，并接收基金管理人的确认文件，进行交易处理和资金清算。</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（四）</w:t>
      </w:r>
      <w:r>
        <w:rPr>
          <w:rFonts w:ascii="仿宋_GB2312" w:eastAsia="仿宋_GB2312" w:hint="eastAsia"/>
          <w:sz w:val="30"/>
          <w:szCs w:val="30"/>
        </w:rPr>
        <w:t>T</w:t>
      </w:r>
      <w:r>
        <w:rPr>
          <w:rFonts w:ascii="仿宋_GB2312" w:eastAsia="仿宋_GB2312" w:hint="eastAsia"/>
          <w:sz w:val="30"/>
          <w:szCs w:val="30"/>
        </w:rPr>
        <w:t>＋</w:t>
      </w:r>
      <w:r>
        <w:rPr>
          <w:rFonts w:ascii="仿宋_GB2312" w:eastAsia="仿宋_GB2312" w:hint="eastAsia"/>
          <w:sz w:val="30"/>
          <w:szCs w:val="30"/>
        </w:rPr>
        <w:t>1</w:t>
      </w:r>
      <w:r>
        <w:rPr>
          <w:rFonts w:ascii="仿宋_GB2312" w:eastAsia="仿宋_GB2312" w:hint="eastAsia"/>
          <w:sz w:val="30"/>
          <w:szCs w:val="30"/>
        </w:rPr>
        <w:t>日，中国结算</w:t>
      </w:r>
      <w:r>
        <w:rPr>
          <w:rFonts w:ascii="仿宋_GB2312" w:eastAsia="仿宋_GB2312" w:hint="eastAsia"/>
          <w:sz w:val="30"/>
          <w:szCs w:val="30"/>
        </w:rPr>
        <w:t>TA</w:t>
      </w:r>
      <w:r>
        <w:rPr>
          <w:rFonts w:ascii="仿宋_GB2312" w:eastAsia="仿宋_GB2312" w:hint="eastAsia"/>
          <w:sz w:val="30"/>
          <w:szCs w:val="30"/>
        </w:rPr>
        <w:t>系统将场内赎回确认结果发送至中国结算上海分公司证券登记系统，由其进行场内上证</w:t>
      </w:r>
      <w:r>
        <w:rPr>
          <w:rFonts w:ascii="仿宋_GB2312" w:eastAsia="仿宋_GB2312" w:hint="eastAsia"/>
          <w:sz w:val="30"/>
          <w:szCs w:val="30"/>
        </w:rPr>
        <w:t>LOF</w:t>
      </w:r>
      <w:r>
        <w:rPr>
          <w:rFonts w:ascii="仿宋_GB2312" w:eastAsia="仿宋_GB2312" w:hint="eastAsia"/>
          <w:sz w:val="30"/>
          <w:szCs w:val="30"/>
        </w:rPr>
        <w:t>份额赎回登记处理，赎回确认失败的，进行相应份额解锁处理。中国结算上海分公司将场内赎回交易回报、场内基金份额对账等相关数据发送相关场内证券经营机构。</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中国结算</w:t>
      </w:r>
      <w:r>
        <w:rPr>
          <w:rFonts w:ascii="仿宋_GB2312" w:eastAsia="仿宋_GB2312" w:hint="eastAsia"/>
          <w:sz w:val="30"/>
          <w:szCs w:val="30"/>
        </w:rPr>
        <w:t>TA</w:t>
      </w:r>
      <w:r>
        <w:rPr>
          <w:rFonts w:ascii="仿宋_GB2312" w:eastAsia="仿宋_GB2312" w:hint="eastAsia"/>
          <w:sz w:val="30"/>
          <w:szCs w:val="30"/>
        </w:rPr>
        <w:t>系统根据场外赎回</w:t>
      </w:r>
      <w:r>
        <w:rPr>
          <w:rFonts w:ascii="仿宋_GB2312" w:eastAsia="仿宋_GB2312" w:hint="eastAsia"/>
          <w:sz w:val="30"/>
          <w:szCs w:val="30"/>
        </w:rPr>
        <w:t>确认结果进行场外上证</w:t>
      </w:r>
      <w:r>
        <w:rPr>
          <w:rFonts w:ascii="仿宋_GB2312" w:eastAsia="仿宋_GB2312" w:hint="eastAsia"/>
          <w:sz w:val="30"/>
          <w:szCs w:val="30"/>
        </w:rPr>
        <w:t>LOF</w:t>
      </w:r>
      <w:r>
        <w:rPr>
          <w:rFonts w:ascii="仿宋_GB2312" w:eastAsia="仿宋_GB2312" w:hint="eastAsia"/>
          <w:sz w:val="30"/>
          <w:szCs w:val="30"/>
        </w:rPr>
        <w:t>份额登记处理，并将场外赎回交易回报、场外基金份额对账等相</w:t>
      </w:r>
      <w:r>
        <w:rPr>
          <w:rFonts w:ascii="仿宋_GB2312" w:eastAsia="仿宋_GB2312" w:hint="eastAsia"/>
          <w:sz w:val="30"/>
          <w:szCs w:val="30"/>
        </w:rPr>
        <w:lastRenderedPageBreak/>
        <w:t>关数据发送至相关场外基金销售机构。</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中国结算</w:t>
      </w:r>
      <w:r>
        <w:rPr>
          <w:rFonts w:ascii="仿宋_GB2312" w:eastAsia="仿宋_GB2312" w:hint="eastAsia"/>
          <w:sz w:val="30"/>
          <w:szCs w:val="30"/>
        </w:rPr>
        <w:t>TA</w:t>
      </w:r>
      <w:r>
        <w:rPr>
          <w:rFonts w:ascii="仿宋_GB2312" w:eastAsia="仿宋_GB2312" w:hint="eastAsia"/>
          <w:sz w:val="30"/>
          <w:szCs w:val="30"/>
        </w:rPr>
        <w:t>系统将场内、场外的交易回报和基金份额对账等相关数据一并发送至基金管理人。</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中国结算将场内、场外资金清算数据合并后发送相关基金销售机构（场内资金清算数据与同一证券经营机构的场外数据合并，通过场外发送）。</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（五）</w:t>
      </w:r>
      <w:r>
        <w:rPr>
          <w:rFonts w:ascii="仿宋_GB2312" w:eastAsia="仿宋_GB2312" w:hint="eastAsia"/>
          <w:sz w:val="30"/>
          <w:szCs w:val="30"/>
        </w:rPr>
        <w:t>T+2</w:t>
      </w:r>
      <w:r>
        <w:rPr>
          <w:rFonts w:ascii="仿宋_GB2312" w:eastAsia="仿宋_GB2312" w:hint="eastAsia"/>
          <w:sz w:val="30"/>
          <w:szCs w:val="30"/>
        </w:rPr>
        <w:t>日，投资者可在场内证券经营机构处查询到场内上证</w:t>
      </w:r>
      <w:r>
        <w:rPr>
          <w:rFonts w:ascii="仿宋_GB2312" w:eastAsia="仿宋_GB2312" w:hint="eastAsia"/>
          <w:sz w:val="30"/>
          <w:szCs w:val="30"/>
        </w:rPr>
        <w:t>LOF</w:t>
      </w:r>
      <w:r>
        <w:rPr>
          <w:rFonts w:ascii="仿宋_GB2312" w:eastAsia="仿宋_GB2312" w:hint="eastAsia"/>
          <w:sz w:val="30"/>
          <w:szCs w:val="30"/>
        </w:rPr>
        <w:t>份额赎回处理结果；在场外基金销售机构处查询到场外上证</w:t>
      </w:r>
      <w:r>
        <w:rPr>
          <w:rFonts w:ascii="仿宋_GB2312" w:eastAsia="仿宋_GB2312" w:hint="eastAsia"/>
          <w:sz w:val="30"/>
          <w:szCs w:val="30"/>
        </w:rPr>
        <w:t>LOF</w:t>
      </w:r>
      <w:r>
        <w:rPr>
          <w:rFonts w:ascii="仿宋_GB2312" w:eastAsia="仿宋_GB2312" w:hint="eastAsia"/>
          <w:sz w:val="30"/>
          <w:szCs w:val="30"/>
        </w:rPr>
        <w:t>份额赎回处理结果。</w:t>
      </w:r>
    </w:p>
    <w:p w:rsidR="0001723C" w:rsidRDefault="007535F4">
      <w:pPr>
        <w:pStyle w:val="3"/>
        <w:numPr>
          <w:ilvl w:val="0"/>
          <w:numId w:val="0"/>
        </w:numPr>
        <w:tabs>
          <w:tab w:val="clear" w:pos="1676"/>
          <w:tab w:val="left" w:pos="0"/>
        </w:tabs>
        <w:spacing w:line="560" w:lineRule="exact"/>
        <w:ind w:firstLineChars="200" w:firstLine="600"/>
        <w:rPr>
          <w:sz w:val="30"/>
          <w:szCs w:val="30"/>
        </w:rPr>
      </w:pPr>
      <w:r>
        <w:rPr>
          <w:rFonts w:hint="eastAsia"/>
          <w:sz w:val="30"/>
          <w:szCs w:val="30"/>
        </w:rPr>
        <w:t>第四十八条</w:t>
      </w:r>
      <w:r>
        <w:rPr>
          <w:rFonts w:hint="eastAsia"/>
          <w:sz w:val="30"/>
          <w:szCs w:val="30"/>
        </w:rPr>
        <w:t>中国结算对上证</w:t>
      </w:r>
      <w:r>
        <w:rPr>
          <w:rFonts w:hint="eastAsia"/>
          <w:sz w:val="30"/>
          <w:szCs w:val="30"/>
        </w:rPr>
        <w:t>LOF</w:t>
      </w:r>
      <w:r>
        <w:rPr>
          <w:rFonts w:hint="eastAsia"/>
          <w:sz w:val="30"/>
          <w:szCs w:val="30"/>
        </w:rPr>
        <w:t>的申购、</w:t>
      </w:r>
      <w:r>
        <w:rPr>
          <w:rFonts w:hint="eastAsia"/>
          <w:sz w:val="30"/>
          <w:szCs w:val="30"/>
        </w:rPr>
        <w:t>赎回业务提供多边净额结算或全额非担保结算服务。对于场内申购、赎回，在清算日和交收日，中国结算按申请当日交易单元与结算业务参与人的对应关系确定资金清算路径，据此进行相关资金的清算和交收。</w:t>
      </w:r>
    </w:p>
    <w:p w:rsidR="0001723C" w:rsidRDefault="007535F4">
      <w:pPr>
        <w:pStyle w:val="3"/>
        <w:numPr>
          <w:ilvl w:val="0"/>
          <w:numId w:val="0"/>
        </w:numPr>
        <w:tabs>
          <w:tab w:val="clear" w:pos="1676"/>
          <w:tab w:val="left" w:pos="0"/>
        </w:tabs>
        <w:spacing w:line="560" w:lineRule="exact"/>
        <w:ind w:firstLineChars="200" w:firstLine="600"/>
        <w:rPr>
          <w:bCs/>
          <w:sz w:val="30"/>
          <w:szCs w:val="30"/>
        </w:rPr>
      </w:pPr>
      <w:r>
        <w:rPr>
          <w:rFonts w:hint="eastAsia"/>
          <w:bCs/>
          <w:sz w:val="30"/>
          <w:szCs w:val="30"/>
        </w:rPr>
        <w:t>第四十九条</w:t>
      </w:r>
      <w:r>
        <w:rPr>
          <w:rFonts w:hint="eastAsia"/>
          <w:sz w:val="30"/>
          <w:szCs w:val="30"/>
        </w:rPr>
        <w:t>上证</w:t>
      </w:r>
      <w:r>
        <w:rPr>
          <w:rFonts w:hint="eastAsia"/>
          <w:sz w:val="30"/>
          <w:szCs w:val="30"/>
        </w:rPr>
        <w:t>LOF</w:t>
      </w:r>
      <w:r>
        <w:rPr>
          <w:rFonts w:hint="eastAsia"/>
          <w:sz w:val="30"/>
          <w:szCs w:val="30"/>
        </w:rPr>
        <w:t>申购、赎回</w:t>
      </w:r>
      <w:r>
        <w:rPr>
          <w:rFonts w:hint="eastAsia"/>
          <w:bCs/>
          <w:sz w:val="30"/>
          <w:szCs w:val="30"/>
        </w:rPr>
        <w:t>资金交收按照以下流程办理：</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（一）资金交收日（</w:t>
      </w:r>
      <w:r>
        <w:rPr>
          <w:rFonts w:ascii="仿宋_GB2312" w:eastAsia="仿宋_GB2312" w:hint="eastAsia"/>
          <w:sz w:val="30"/>
          <w:szCs w:val="30"/>
        </w:rPr>
        <w:t>S</w:t>
      </w:r>
      <w:r>
        <w:rPr>
          <w:rFonts w:ascii="仿宋_GB2312" w:eastAsia="仿宋_GB2312" w:hint="eastAsia"/>
          <w:sz w:val="30"/>
          <w:szCs w:val="30"/>
        </w:rPr>
        <w:t>日）前一日，对于适用多边净额结算的结算业务参与人，中国结算对</w:t>
      </w:r>
      <w:r>
        <w:rPr>
          <w:rFonts w:ascii="仿宋_GB2312" w:eastAsia="仿宋_GB2312" w:hint="eastAsia"/>
          <w:sz w:val="30"/>
          <w:szCs w:val="30"/>
        </w:rPr>
        <w:t>S-2</w:t>
      </w:r>
      <w:r>
        <w:rPr>
          <w:rFonts w:ascii="仿宋_GB2312" w:eastAsia="仿宋_GB2312" w:hint="eastAsia"/>
          <w:sz w:val="30"/>
          <w:szCs w:val="30"/>
        </w:rPr>
        <w:t>日申报的场内和场外申购业务资金、</w:t>
      </w:r>
      <w:r>
        <w:rPr>
          <w:rFonts w:ascii="仿宋_GB2312" w:eastAsia="仿宋_GB2312" w:hint="eastAsia"/>
          <w:sz w:val="30"/>
          <w:szCs w:val="30"/>
        </w:rPr>
        <w:t>S-N</w:t>
      </w:r>
      <w:r>
        <w:rPr>
          <w:rFonts w:ascii="仿宋_GB2312" w:eastAsia="仿宋_GB2312" w:hint="eastAsia"/>
          <w:sz w:val="30"/>
          <w:szCs w:val="30"/>
        </w:rPr>
        <w:t>日申报的场内和场外赎回业务资金（</w:t>
      </w:r>
      <w:r>
        <w:rPr>
          <w:rFonts w:ascii="仿宋_GB2312" w:eastAsia="仿宋_GB2312" w:hint="eastAsia"/>
          <w:sz w:val="30"/>
          <w:szCs w:val="30"/>
        </w:rPr>
        <w:t>N</w:t>
      </w:r>
      <w:r>
        <w:rPr>
          <w:rFonts w:ascii="仿宋_GB2312" w:eastAsia="仿宋_GB2312" w:hint="eastAsia"/>
          <w:sz w:val="30"/>
          <w:szCs w:val="30"/>
        </w:rPr>
        <w:t>为基金管理人事先约定的赎回资金交收周期）进行轧差，计算出各结算业务参与人在</w:t>
      </w:r>
      <w:r>
        <w:rPr>
          <w:rFonts w:ascii="仿宋_GB2312" w:eastAsia="仿宋_GB2312" w:hint="eastAsia"/>
          <w:sz w:val="30"/>
          <w:szCs w:val="30"/>
        </w:rPr>
        <w:t>S</w:t>
      </w:r>
      <w:r>
        <w:rPr>
          <w:rFonts w:ascii="仿宋_GB2312" w:eastAsia="仿宋_GB2312" w:hint="eastAsia"/>
          <w:sz w:val="30"/>
          <w:szCs w:val="30"/>
        </w:rPr>
        <w:t>日的应收或应付资金净额，生成资金交</w:t>
      </w:r>
      <w:r>
        <w:rPr>
          <w:rFonts w:ascii="仿宋_GB2312" w:eastAsia="仿宋_GB2312" w:hint="eastAsia"/>
          <w:sz w:val="30"/>
          <w:szCs w:val="30"/>
        </w:rPr>
        <w:t>收数据。对于适用全额非担保结算的结算业务参与人，中国结算计算出各结算业务参与人在</w:t>
      </w:r>
      <w:r>
        <w:rPr>
          <w:rFonts w:ascii="仿宋_GB2312" w:eastAsia="仿宋_GB2312" w:hint="eastAsia"/>
          <w:sz w:val="30"/>
          <w:szCs w:val="30"/>
        </w:rPr>
        <w:t>S</w:t>
      </w:r>
      <w:r>
        <w:rPr>
          <w:rFonts w:ascii="仿宋_GB2312" w:eastAsia="仿宋_GB2312" w:hint="eastAsia"/>
          <w:sz w:val="30"/>
          <w:szCs w:val="30"/>
        </w:rPr>
        <w:t>日的应收或应付资金全额，生成资金交收数据。</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（二）对于适用多边净额结算的结算业务参与人，</w:t>
      </w:r>
      <w:r>
        <w:rPr>
          <w:rFonts w:ascii="仿宋_GB2312" w:eastAsia="仿宋_GB2312" w:hint="eastAsia"/>
          <w:sz w:val="30"/>
          <w:szCs w:val="30"/>
        </w:rPr>
        <w:t>S-1</w:t>
      </w:r>
      <w:r>
        <w:rPr>
          <w:rFonts w:ascii="仿宋_GB2312" w:eastAsia="仿宋_GB2312" w:hint="eastAsia"/>
          <w:sz w:val="30"/>
          <w:szCs w:val="30"/>
        </w:rPr>
        <w:t>日日终，中国结算将资金交收数据发送至各结算业务参与人。</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对于适用全额非担保结算的结算业务参与人，</w:t>
      </w:r>
      <w:r>
        <w:rPr>
          <w:rFonts w:ascii="仿宋_GB2312" w:eastAsia="仿宋_GB2312" w:hint="eastAsia"/>
          <w:sz w:val="30"/>
          <w:szCs w:val="30"/>
        </w:rPr>
        <w:t>S</w:t>
      </w:r>
      <w:r>
        <w:rPr>
          <w:rFonts w:ascii="仿宋_GB2312" w:eastAsia="仿宋_GB2312" w:hint="eastAsia"/>
          <w:sz w:val="30"/>
          <w:szCs w:val="30"/>
        </w:rPr>
        <w:t>日</w:t>
      </w:r>
      <w:r>
        <w:rPr>
          <w:rFonts w:ascii="仿宋_GB2312" w:eastAsia="仿宋_GB2312" w:hint="eastAsia"/>
          <w:sz w:val="30"/>
          <w:szCs w:val="30"/>
        </w:rPr>
        <w:t>9:00</w:t>
      </w:r>
      <w:r>
        <w:rPr>
          <w:rFonts w:ascii="仿宋_GB2312" w:eastAsia="仿宋_GB2312" w:hint="eastAsia"/>
          <w:sz w:val="30"/>
          <w:szCs w:val="30"/>
        </w:rPr>
        <w:t>之前，中国结算将资金交收数据发送至各结算业务参与人。</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（三）</w:t>
      </w:r>
      <w:r>
        <w:rPr>
          <w:rFonts w:ascii="仿宋_GB2312" w:eastAsia="仿宋_GB2312" w:hint="eastAsia"/>
          <w:sz w:val="30"/>
          <w:szCs w:val="30"/>
        </w:rPr>
        <w:t>S</w:t>
      </w:r>
      <w:r>
        <w:rPr>
          <w:rFonts w:ascii="仿宋_GB2312" w:eastAsia="仿宋_GB2312" w:hint="eastAsia"/>
          <w:sz w:val="30"/>
          <w:szCs w:val="30"/>
        </w:rPr>
        <w:t>日，结算业务参与人根据资金交收数据，通过在中国结算公司开立的开放式基金结算备付金账户完成相关资金交收。</w:t>
      </w:r>
    </w:p>
    <w:p w:rsidR="0001723C" w:rsidRDefault="007535F4">
      <w:pPr>
        <w:pStyle w:val="af9"/>
        <w:widowControl/>
        <w:spacing w:line="560" w:lineRule="exact"/>
        <w:ind w:firstLineChars="0" w:firstLine="0"/>
        <w:jc w:val="center"/>
        <w:rPr>
          <w:rFonts w:ascii="黑体" w:eastAsia="黑体" w:hAnsi="黑体"/>
          <w:b/>
          <w:sz w:val="30"/>
          <w:szCs w:val="30"/>
        </w:rPr>
      </w:pPr>
      <w:r>
        <w:rPr>
          <w:rFonts w:ascii="黑体" w:eastAsia="黑体" w:hAnsi="黑体"/>
          <w:b/>
          <w:sz w:val="30"/>
          <w:szCs w:val="30"/>
        </w:rPr>
        <w:t>第六章</w:t>
      </w:r>
      <w:r>
        <w:rPr>
          <w:rFonts w:ascii="黑体" w:eastAsia="黑体" w:hAnsi="黑体" w:hint="eastAsia"/>
          <w:b/>
          <w:sz w:val="30"/>
          <w:szCs w:val="30"/>
        </w:rPr>
        <w:t>分级基金相关业务</w:t>
      </w:r>
    </w:p>
    <w:p w:rsidR="0001723C" w:rsidRDefault="007535F4">
      <w:pPr>
        <w:pStyle w:val="3"/>
        <w:numPr>
          <w:ilvl w:val="0"/>
          <w:numId w:val="0"/>
        </w:numPr>
        <w:tabs>
          <w:tab w:val="clear" w:pos="1676"/>
          <w:tab w:val="left" w:pos="0"/>
        </w:tabs>
        <w:spacing w:line="560" w:lineRule="exact"/>
        <w:ind w:firstLineChars="200" w:firstLine="600"/>
        <w:rPr>
          <w:sz w:val="30"/>
          <w:szCs w:val="30"/>
        </w:rPr>
      </w:pPr>
      <w:r>
        <w:rPr>
          <w:rFonts w:hint="eastAsia"/>
          <w:sz w:val="30"/>
          <w:szCs w:val="30"/>
        </w:rPr>
        <w:t>第五十条</w:t>
      </w:r>
      <w:r>
        <w:rPr>
          <w:rFonts w:hint="eastAsia"/>
          <w:sz w:val="30"/>
          <w:szCs w:val="30"/>
        </w:rPr>
        <w:t>分级基金投资者参与分级基金相关业务的，应当满足上交所关于投资者适当性管理的相关要求，具体要求由上交所另行规定。</w:t>
      </w:r>
    </w:p>
    <w:p w:rsidR="0001723C" w:rsidRDefault="007535F4">
      <w:pPr>
        <w:pStyle w:val="3"/>
        <w:numPr>
          <w:ilvl w:val="0"/>
          <w:numId w:val="0"/>
        </w:numPr>
        <w:tabs>
          <w:tab w:val="clear" w:pos="1676"/>
          <w:tab w:val="left" w:pos="0"/>
        </w:tabs>
        <w:spacing w:line="560" w:lineRule="exact"/>
        <w:ind w:firstLineChars="200" w:firstLine="600"/>
        <w:rPr>
          <w:sz w:val="30"/>
          <w:szCs w:val="30"/>
        </w:rPr>
      </w:pPr>
      <w:r>
        <w:rPr>
          <w:rFonts w:hint="eastAsia"/>
          <w:sz w:val="30"/>
          <w:szCs w:val="30"/>
        </w:rPr>
        <w:t>第五十一条</w:t>
      </w:r>
      <w:r>
        <w:rPr>
          <w:rFonts w:hint="eastAsia"/>
          <w:sz w:val="30"/>
          <w:szCs w:val="30"/>
        </w:rPr>
        <w:t>上交所接受分拆、合并申报的时间为开放期内每个交易日的交易时间。投资者通过母基金代码，以份额填报分拆、合并数量申请。分拆、合并申报不得更改或撤销。分拆、合并申报数量应当为</w:t>
      </w:r>
      <w:r>
        <w:rPr>
          <w:rFonts w:hint="eastAsia"/>
          <w:sz w:val="30"/>
          <w:szCs w:val="30"/>
        </w:rPr>
        <w:t>100</w:t>
      </w:r>
      <w:r>
        <w:rPr>
          <w:rFonts w:hint="eastAsia"/>
          <w:sz w:val="30"/>
          <w:szCs w:val="30"/>
        </w:rPr>
        <w:t>份的整数倍，且不低于</w:t>
      </w:r>
      <w:r>
        <w:rPr>
          <w:rFonts w:hint="eastAsia"/>
          <w:sz w:val="30"/>
          <w:szCs w:val="30"/>
        </w:rPr>
        <w:t>50000</w:t>
      </w:r>
      <w:r>
        <w:rPr>
          <w:rFonts w:hint="eastAsia"/>
          <w:sz w:val="30"/>
          <w:szCs w:val="30"/>
        </w:rPr>
        <w:t>份（以母基金份额计）。上交所可视市场情况，调整分拆、合并申报的数量要求。</w:t>
      </w:r>
    </w:p>
    <w:p w:rsidR="0001723C" w:rsidRDefault="007535F4">
      <w:pPr>
        <w:pStyle w:val="3"/>
        <w:numPr>
          <w:ilvl w:val="0"/>
          <w:numId w:val="0"/>
        </w:numPr>
        <w:tabs>
          <w:tab w:val="clear" w:pos="1676"/>
          <w:tab w:val="left" w:pos="0"/>
        </w:tabs>
        <w:spacing w:line="560" w:lineRule="exact"/>
        <w:ind w:firstLineChars="200" w:firstLine="600"/>
        <w:rPr>
          <w:sz w:val="30"/>
          <w:szCs w:val="30"/>
        </w:rPr>
      </w:pPr>
      <w:r>
        <w:rPr>
          <w:rFonts w:hint="eastAsia"/>
          <w:sz w:val="30"/>
          <w:szCs w:val="30"/>
        </w:rPr>
        <w:t>第五十二条</w:t>
      </w:r>
      <w:r>
        <w:rPr>
          <w:rFonts w:hint="eastAsia"/>
          <w:sz w:val="30"/>
          <w:szCs w:val="30"/>
        </w:rPr>
        <w:t>分级基金进行分拆、合并的，应当符合下列要求：</w:t>
      </w:r>
    </w:p>
    <w:p w:rsidR="0001723C" w:rsidRDefault="007535F4">
      <w:pPr>
        <w:pStyle w:val="af"/>
        <w:widowControl w:val="0"/>
        <w:tabs>
          <w:tab w:val="left" w:pos="0"/>
        </w:tabs>
        <w:spacing w:before="0" w:beforeAutospacing="0" w:after="0" w:afterAutospacing="0" w:line="560" w:lineRule="exact"/>
        <w:ind w:firstLineChars="200" w:firstLine="600"/>
        <w:rPr>
          <w:rFonts w:ascii="仿宋_GB2312" w:eastAsia="仿宋_GB2312"/>
          <w:sz w:val="30"/>
          <w:szCs w:val="30"/>
        </w:rPr>
      </w:pPr>
      <w:r>
        <w:rPr>
          <w:rFonts w:ascii="仿宋_GB2312" w:eastAsia="仿宋_GB2312" w:hint="eastAsia"/>
          <w:sz w:val="30"/>
          <w:szCs w:val="30"/>
        </w:rPr>
        <w:t>（一）当日买入的母基金份额，同日可以分拆；</w:t>
      </w:r>
    </w:p>
    <w:p w:rsidR="0001723C" w:rsidRDefault="007535F4">
      <w:pPr>
        <w:pStyle w:val="af"/>
        <w:widowControl w:val="0"/>
        <w:tabs>
          <w:tab w:val="left" w:pos="0"/>
        </w:tabs>
        <w:spacing w:before="0" w:beforeAutospacing="0" w:after="0" w:afterAutospacing="0" w:line="560" w:lineRule="exact"/>
        <w:ind w:firstLineChars="200" w:firstLine="600"/>
        <w:rPr>
          <w:rFonts w:ascii="仿宋_GB2312" w:eastAsia="仿宋_GB2312"/>
          <w:sz w:val="30"/>
          <w:szCs w:val="30"/>
        </w:rPr>
      </w:pPr>
      <w:r>
        <w:rPr>
          <w:rFonts w:ascii="仿宋_GB2312" w:eastAsia="仿宋_GB2312" w:hint="eastAsia"/>
          <w:sz w:val="30"/>
          <w:szCs w:val="30"/>
        </w:rPr>
        <w:t>（二）当日申购或通过转托管转入的母基金份额，清算交收完成后可以分拆；</w:t>
      </w:r>
    </w:p>
    <w:p w:rsidR="0001723C" w:rsidRDefault="007535F4">
      <w:pPr>
        <w:pStyle w:val="af"/>
        <w:widowControl w:val="0"/>
        <w:tabs>
          <w:tab w:val="left" w:pos="0"/>
        </w:tabs>
        <w:spacing w:before="0" w:beforeAutospacing="0" w:after="0" w:afterAutospacing="0" w:line="560" w:lineRule="exact"/>
        <w:ind w:firstLineChars="200" w:firstLine="600"/>
        <w:rPr>
          <w:rFonts w:ascii="仿宋_GB2312" w:eastAsia="仿宋_GB2312"/>
          <w:sz w:val="30"/>
          <w:szCs w:val="30"/>
        </w:rPr>
      </w:pPr>
      <w:r>
        <w:rPr>
          <w:rFonts w:ascii="仿宋_GB2312" w:eastAsia="仿宋_GB2312" w:hint="eastAsia"/>
          <w:sz w:val="30"/>
          <w:szCs w:val="30"/>
        </w:rPr>
        <w:t>（三）当日合并所得的母基金份额，同日可以卖出、赎回或者转托管，但不能分拆；</w:t>
      </w:r>
    </w:p>
    <w:p w:rsidR="0001723C" w:rsidRDefault="007535F4">
      <w:pPr>
        <w:pStyle w:val="af"/>
        <w:widowControl w:val="0"/>
        <w:tabs>
          <w:tab w:val="left" w:pos="0"/>
        </w:tabs>
        <w:spacing w:before="0" w:beforeAutospacing="0" w:after="0" w:afterAutospacing="0" w:line="560" w:lineRule="exact"/>
        <w:ind w:firstLineChars="200" w:firstLine="600"/>
        <w:rPr>
          <w:rFonts w:ascii="仿宋_GB2312" w:eastAsia="仿宋_GB2312"/>
          <w:sz w:val="30"/>
          <w:szCs w:val="30"/>
        </w:rPr>
      </w:pPr>
      <w:r>
        <w:rPr>
          <w:rFonts w:ascii="仿宋_GB2312" w:eastAsia="仿宋_GB2312" w:hint="eastAsia"/>
          <w:sz w:val="30"/>
          <w:szCs w:val="30"/>
        </w:rPr>
        <w:t>（四）当日分拆所得的子份额，同日可以卖出，但不能合并；</w:t>
      </w:r>
    </w:p>
    <w:p w:rsidR="0001723C" w:rsidRDefault="007535F4">
      <w:pPr>
        <w:pStyle w:val="af"/>
        <w:widowControl w:val="0"/>
        <w:tabs>
          <w:tab w:val="left" w:pos="0"/>
        </w:tabs>
        <w:spacing w:before="0" w:beforeAutospacing="0" w:after="0" w:afterAutospacing="0" w:line="560" w:lineRule="exact"/>
        <w:ind w:firstLineChars="200" w:firstLine="600"/>
        <w:rPr>
          <w:rFonts w:ascii="仿宋_GB2312" w:eastAsia="仿宋_GB2312"/>
          <w:sz w:val="30"/>
          <w:szCs w:val="30"/>
        </w:rPr>
      </w:pPr>
      <w:r>
        <w:rPr>
          <w:rFonts w:ascii="仿宋_GB2312" w:eastAsia="仿宋_GB2312" w:hint="eastAsia"/>
          <w:sz w:val="30"/>
          <w:szCs w:val="30"/>
        </w:rPr>
        <w:t>（五）当日买入的子份额，同日可以合并；</w:t>
      </w:r>
    </w:p>
    <w:p w:rsidR="0001723C" w:rsidRDefault="007535F4">
      <w:pPr>
        <w:pStyle w:val="af"/>
        <w:widowControl w:val="0"/>
        <w:tabs>
          <w:tab w:val="left" w:pos="0"/>
        </w:tabs>
        <w:spacing w:before="0" w:beforeAutospacing="0" w:after="0" w:afterAutospacing="0" w:line="560" w:lineRule="exact"/>
        <w:ind w:firstLineChars="200" w:firstLine="600"/>
        <w:rPr>
          <w:rFonts w:ascii="仿宋_GB2312" w:eastAsia="仿宋_GB2312"/>
          <w:sz w:val="30"/>
          <w:szCs w:val="30"/>
        </w:rPr>
      </w:pPr>
      <w:r>
        <w:rPr>
          <w:rFonts w:ascii="仿宋_GB2312" w:eastAsia="仿宋_GB2312" w:hint="eastAsia"/>
          <w:sz w:val="30"/>
          <w:szCs w:val="30"/>
        </w:rPr>
        <w:t>（六）上交所规定的其他要求。</w:t>
      </w:r>
    </w:p>
    <w:p w:rsidR="0001723C" w:rsidRDefault="007535F4">
      <w:pPr>
        <w:pStyle w:val="11"/>
        <w:spacing w:line="560" w:lineRule="exact"/>
        <w:ind w:firstLine="600"/>
        <w:rPr>
          <w:rFonts w:ascii="仿宋_GB2312" w:eastAsia="仿宋_GB2312" w:hAnsi="宋体" w:cs="宋体"/>
          <w:kern w:val="0"/>
          <w:sz w:val="30"/>
          <w:szCs w:val="30"/>
        </w:rPr>
      </w:pPr>
      <w:r>
        <w:rPr>
          <w:rFonts w:ascii="仿宋_GB2312" w:eastAsia="仿宋_GB2312" w:hAnsi="宋体" w:cs="宋体" w:hint="eastAsia"/>
          <w:kern w:val="0"/>
          <w:sz w:val="30"/>
          <w:szCs w:val="30"/>
        </w:rPr>
        <w:lastRenderedPageBreak/>
        <w:t>分级基金母基金份额的交易、申赎、转托管和分拆：</w:t>
      </w:r>
    </w:p>
    <w:tbl>
      <w:tblPr>
        <w:tblW w:w="42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9"/>
        <w:gridCol w:w="755"/>
        <w:gridCol w:w="851"/>
        <w:gridCol w:w="709"/>
        <w:gridCol w:w="993"/>
      </w:tblGrid>
      <w:tr w:rsidR="0001723C">
        <w:trPr>
          <w:trHeight w:val="170"/>
          <w:jc w:val="center"/>
        </w:trPr>
        <w:tc>
          <w:tcPr>
            <w:tcW w:w="2718" w:type="pct"/>
          </w:tcPr>
          <w:p w:rsidR="0001723C" w:rsidRDefault="007535F4">
            <w:pPr>
              <w:rPr>
                <w:rFonts w:ascii="仿宋_GB2312" w:eastAsia="仿宋_GB2312" w:hAnsi="宋体"/>
                <w:b/>
              </w:rPr>
            </w:pPr>
            <w:r>
              <w:rPr>
                <w:rFonts w:ascii="仿宋_GB2312" w:eastAsia="仿宋_GB2312" w:hAnsi="宋体" w:hint="eastAsia"/>
                <w:b/>
              </w:rPr>
              <w:t>母基金份额来源</w:t>
            </w:r>
          </w:p>
        </w:tc>
        <w:tc>
          <w:tcPr>
            <w:tcW w:w="521" w:type="pct"/>
            <w:vAlign w:val="center"/>
          </w:tcPr>
          <w:p w:rsidR="0001723C" w:rsidRDefault="007535F4">
            <w:pPr>
              <w:jc w:val="center"/>
              <w:rPr>
                <w:rFonts w:ascii="仿宋_GB2312" w:eastAsia="仿宋_GB2312" w:hAnsi="宋体"/>
                <w:b/>
              </w:rPr>
            </w:pPr>
            <w:r>
              <w:rPr>
                <w:rFonts w:ascii="仿宋_GB2312" w:eastAsia="仿宋_GB2312" w:hAnsi="宋体" w:hint="eastAsia"/>
                <w:b/>
              </w:rPr>
              <w:t>卖出</w:t>
            </w:r>
          </w:p>
        </w:tc>
        <w:tc>
          <w:tcPr>
            <w:tcW w:w="587" w:type="pct"/>
            <w:vAlign w:val="center"/>
          </w:tcPr>
          <w:p w:rsidR="0001723C" w:rsidRDefault="007535F4">
            <w:pPr>
              <w:jc w:val="center"/>
              <w:rPr>
                <w:rFonts w:ascii="仿宋_GB2312" w:eastAsia="仿宋_GB2312" w:hAnsi="宋体"/>
                <w:b/>
              </w:rPr>
            </w:pPr>
            <w:r>
              <w:rPr>
                <w:rFonts w:ascii="仿宋_GB2312" w:eastAsia="仿宋_GB2312" w:hAnsi="宋体" w:hint="eastAsia"/>
                <w:b/>
              </w:rPr>
              <w:t>赎回</w:t>
            </w:r>
          </w:p>
        </w:tc>
        <w:tc>
          <w:tcPr>
            <w:tcW w:w="489" w:type="pct"/>
            <w:vAlign w:val="center"/>
          </w:tcPr>
          <w:p w:rsidR="0001723C" w:rsidRDefault="007535F4">
            <w:pPr>
              <w:jc w:val="center"/>
              <w:rPr>
                <w:rFonts w:ascii="仿宋_GB2312" w:eastAsia="仿宋_GB2312" w:hAnsi="宋体"/>
                <w:b/>
              </w:rPr>
            </w:pPr>
            <w:r>
              <w:rPr>
                <w:rFonts w:ascii="仿宋_GB2312" w:eastAsia="仿宋_GB2312" w:hAnsi="宋体" w:hint="eastAsia"/>
                <w:b/>
              </w:rPr>
              <w:t>转出</w:t>
            </w:r>
          </w:p>
        </w:tc>
        <w:tc>
          <w:tcPr>
            <w:tcW w:w="686" w:type="pct"/>
            <w:vAlign w:val="center"/>
          </w:tcPr>
          <w:p w:rsidR="0001723C" w:rsidRDefault="007535F4">
            <w:pPr>
              <w:jc w:val="center"/>
              <w:rPr>
                <w:rFonts w:ascii="仿宋_GB2312" w:eastAsia="仿宋_GB2312" w:hAnsi="宋体"/>
                <w:b/>
              </w:rPr>
            </w:pPr>
            <w:r>
              <w:rPr>
                <w:rFonts w:ascii="仿宋_GB2312" w:eastAsia="仿宋_GB2312" w:hAnsi="宋体" w:hint="eastAsia"/>
                <w:b/>
              </w:rPr>
              <w:t>分拆</w:t>
            </w:r>
          </w:p>
        </w:tc>
      </w:tr>
      <w:tr w:rsidR="0001723C">
        <w:trPr>
          <w:trHeight w:val="170"/>
          <w:jc w:val="center"/>
        </w:trPr>
        <w:tc>
          <w:tcPr>
            <w:tcW w:w="2718" w:type="pct"/>
          </w:tcPr>
          <w:p w:rsidR="0001723C" w:rsidRDefault="007535F4">
            <w:pPr>
              <w:rPr>
                <w:rFonts w:ascii="仿宋_GB2312" w:eastAsia="仿宋_GB2312" w:hAnsi="宋体"/>
              </w:rPr>
            </w:pPr>
            <w:r>
              <w:rPr>
                <w:rFonts w:ascii="仿宋_GB2312" w:eastAsia="仿宋_GB2312" w:hAnsi="宋体" w:hint="eastAsia"/>
              </w:rPr>
              <w:t>T</w:t>
            </w:r>
            <w:r>
              <w:rPr>
                <w:rFonts w:ascii="仿宋_GB2312" w:eastAsia="仿宋_GB2312" w:hAnsi="宋体" w:hint="eastAsia"/>
              </w:rPr>
              <w:t>日初持有的母基金份额</w:t>
            </w:r>
          </w:p>
        </w:tc>
        <w:tc>
          <w:tcPr>
            <w:tcW w:w="521" w:type="pct"/>
            <w:vAlign w:val="center"/>
          </w:tcPr>
          <w:p w:rsidR="0001723C" w:rsidRDefault="007535F4">
            <w:pPr>
              <w:jc w:val="center"/>
              <w:rPr>
                <w:rFonts w:ascii="仿宋_GB2312" w:eastAsia="仿宋_GB2312" w:hAnsi="宋体"/>
              </w:rPr>
            </w:pPr>
            <w:r>
              <w:rPr>
                <w:rFonts w:ascii="仿宋_GB2312" w:eastAsia="仿宋_GB2312" w:hAnsi="宋体" w:hint="eastAsia"/>
              </w:rPr>
              <w:t>T</w:t>
            </w:r>
          </w:p>
        </w:tc>
        <w:tc>
          <w:tcPr>
            <w:tcW w:w="587" w:type="pct"/>
            <w:vAlign w:val="center"/>
          </w:tcPr>
          <w:p w:rsidR="0001723C" w:rsidRDefault="007535F4">
            <w:pPr>
              <w:jc w:val="center"/>
              <w:rPr>
                <w:rFonts w:ascii="仿宋_GB2312" w:eastAsia="仿宋_GB2312" w:hAnsi="宋体"/>
              </w:rPr>
            </w:pPr>
            <w:r>
              <w:rPr>
                <w:rFonts w:ascii="仿宋_GB2312" w:eastAsia="仿宋_GB2312" w:hAnsi="宋体" w:hint="eastAsia"/>
              </w:rPr>
              <w:t>T</w:t>
            </w:r>
          </w:p>
        </w:tc>
        <w:tc>
          <w:tcPr>
            <w:tcW w:w="489" w:type="pct"/>
            <w:vAlign w:val="center"/>
          </w:tcPr>
          <w:p w:rsidR="0001723C" w:rsidRDefault="007535F4">
            <w:pPr>
              <w:jc w:val="center"/>
              <w:rPr>
                <w:rFonts w:ascii="仿宋_GB2312" w:eastAsia="仿宋_GB2312" w:hAnsi="宋体"/>
              </w:rPr>
            </w:pPr>
            <w:r>
              <w:rPr>
                <w:rFonts w:ascii="仿宋_GB2312" w:eastAsia="仿宋_GB2312" w:hAnsi="宋体" w:hint="eastAsia"/>
              </w:rPr>
              <w:t>T</w:t>
            </w:r>
          </w:p>
        </w:tc>
        <w:tc>
          <w:tcPr>
            <w:tcW w:w="686" w:type="pct"/>
            <w:vAlign w:val="center"/>
          </w:tcPr>
          <w:p w:rsidR="0001723C" w:rsidRDefault="007535F4">
            <w:pPr>
              <w:jc w:val="center"/>
              <w:rPr>
                <w:rFonts w:ascii="仿宋_GB2312" w:eastAsia="仿宋_GB2312" w:hAnsi="宋体"/>
              </w:rPr>
            </w:pPr>
            <w:r>
              <w:rPr>
                <w:rFonts w:ascii="仿宋_GB2312" w:eastAsia="仿宋_GB2312" w:hAnsi="宋体" w:hint="eastAsia"/>
              </w:rPr>
              <w:t>T</w:t>
            </w:r>
          </w:p>
        </w:tc>
      </w:tr>
      <w:tr w:rsidR="0001723C">
        <w:trPr>
          <w:trHeight w:val="170"/>
          <w:jc w:val="center"/>
        </w:trPr>
        <w:tc>
          <w:tcPr>
            <w:tcW w:w="2718" w:type="pct"/>
          </w:tcPr>
          <w:p w:rsidR="0001723C" w:rsidRDefault="007535F4">
            <w:pPr>
              <w:rPr>
                <w:rFonts w:ascii="仿宋_GB2312" w:eastAsia="仿宋_GB2312" w:hAnsi="宋体"/>
              </w:rPr>
            </w:pPr>
            <w:r>
              <w:rPr>
                <w:rFonts w:ascii="仿宋_GB2312" w:eastAsia="仿宋_GB2312" w:hAnsi="宋体" w:hint="eastAsia"/>
              </w:rPr>
              <w:t>T</w:t>
            </w:r>
            <w:r>
              <w:rPr>
                <w:rFonts w:ascii="仿宋_GB2312" w:eastAsia="仿宋_GB2312" w:hAnsi="宋体" w:hint="eastAsia"/>
              </w:rPr>
              <w:t>日买入的母基金份额</w:t>
            </w:r>
          </w:p>
        </w:tc>
        <w:tc>
          <w:tcPr>
            <w:tcW w:w="521" w:type="pct"/>
            <w:vAlign w:val="center"/>
          </w:tcPr>
          <w:p w:rsidR="0001723C" w:rsidRDefault="007535F4">
            <w:pPr>
              <w:jc w:val="center"/>
              <w:rPr>
                <w:rFonts w:ascii="仿宋_GB2312" w:eastAsia="仿宋_GB2312" w:hAnsi="宋体"/>
              </w:rPr>
            </w:pPr>
            <w:r>
              <w:rPr>
                <w:rFonts w:ascii="仿宋_GB2312" w:eastAsia="仿宋_GB2312" w:hAnsi="宋体" w:hint="eastAsia"/>
              </w:rPr>
              <w:t>T+1</w:t>
            </w:r>
          </w:p>
        </w:tc>
        <w:tc>
          <w:tcPr>
            <w:tcW w:w="587" w:type="pct"/>
            <w:vAlign w:val="center"/>
          </w:tcPr>
          <w:p w:rsidR="0001723C" w:rsidRDefault="007535F4">
            <w:pPr>
              <w:jc w:val="center"/>
              <w:rPr>
                <w:rFonts w:ascii="仿宋_GB2312" w:eastAsia="仿宋_GB2312" w:hAnsi="宋体"/>
              </w:rPr>
            </w:pPr>
            <w:r>
              <w:rPr>
                <w:rFonts w:ascii="仿宋_GB2312" w:eastAsia="仿宋_GB2312" w:hAnsi="宋体" w:hint="eastAsia"/>
              </w:rPr>
              <w:t>T</w:t>
            </w:r>
          </w:p>
        </w:tc>
        <w:tc>
          <w:tcPr>
            <w:tcW w:w="489" w:type="pct"/>
            <w:vAlign w:val="center"/>
          </w:tcPr>
          <w:p w:rsidR="0001723C" w:rsidRDefault="007535F4">
            <w:pPr>
              <w:jc w:val="center"/>
              <w:rPr>
                <w:rFonts w:ascii="仿宋_GB2312" w:eastAsia="仿宋_GB2312" w:hAnsi="宋体"/>
              </w:rPr>
            </w:pPr>
            <w:r>
              <w:rPr>
                <w:rFonts w:ascii="仿宋_GB2312" w:eastAsia="仿宋_GB2312" w:hAnsi="宋体" w:hint="eastAsia"/>
              </w:rPr>
              <w:t>T</w:t>
            </w:r>
          </w:p>
        </w:tc>
        <w:tc>
          <w:tcPr>
            <w:tcW w:w="686" w:type="pct"/>
            <w:vAlign w:val="center"/>
          </w:tcPr>
          <w:p w:rsidR="0001723C" w:rsidRDefault="007535F4">
            <w:pPr>
              <w:jc w:val="center"/>
              <w:rPr>
                <w:rFonts w:ascii="仿宋_GB2312" w:eastAsia="仿宋_GB2312" w:hAnsi="宋体"/>
              </w:rPr>
            </w:pPr>
            <w:r>
              <w:rPr>
                <w:rFonts w:ascii="仿宋_GB2312" w:eastAsia="仿宋_GB2312" w:hAnsi="宋体" w:hint="eastAsia"/>
              </w:rPr>
              <w:t>T</w:t>
            </w:r>
          </w:p>
        </w:tc>
      </w:tr>
      <w:tr w:rsidR="0001723C">
        <w:trPr>
          <w:trHeight w:val="170"/>
          <w:jc w:val="center"/>
        </w:trPr>
        <w:tc>
          <w:tcPr>
            <w:tcW w:w="2718" w:type="pct"/>
          </w:tcPr>
          <w:p w:rsidR="0001723C" w:rsidRDefault="007535F4">
            <w:pPr>
              <w:rPr>
                <w:rFonts w:ascii="仿宋_GB2312" w:eastAsia="仿宋_GB2312" w:hAnsi="宋体"/>
              </w:rPr>
            </w:pPr>
            <w:r>
              <w:rPr>
                <w:rFonts w:ascii="仿宋_GB2312" w:eastAsia="仿宋_GB2312" w:hAnsi="宋体" w:hint="eastAsia"/>
              </w:rPr>
              <w:t>T</w:t>
            </w:r>
            <w:r>
              <w:rPr>
                <w:rFonts w:ascii="仿宋_GB2312" w:eastAsia="仿宋_GB2312" w:hAnsi="宋体" w:hint="eastAsia"/>
              </w:rPr>
              <w:t>日申购的母基金份额</w:t>
            </w:r>
          </w:p>
        </w:tc>
        <w:tc>
          <w:tcPr>
            <w:tcW w:w="521" w:type="pct"/>
            <w:vAlign w:val="center"/>
          </w:tcPr>
          <w:p w:rsidR="0001723C" w:rsidRDefault="007535F4">
            <w:pPr>
              <w:jc w:val="center"/>
              <w:rPr>
                <w:rFonts w:ascii="仿宋_GB2312" w:eastAsia="仿宋_GB2312" w:hAnsi="宋体"/>
              </w:rPr>
            </w:pPr>
            <w:r>
              <w:rPr>
                <w:rFonts w:ascii="仿宋_GB2312" w:eastAsia="仿宋_GB2312" w:hAnsi="宋体" w:hint="eastAsia"/>
              </w:rPr>
              <w:t>T+2</w:t>
            </w:r>
          </w:p>
        </w:tc>
        <w:tc>
          <w:tcPr>
            <w:tcW w:w="587" w:type="pct"/>
            <w:vAlign w:val="center"/>
          </w:tcPr>
          <w:p w:rsidR="0001723C" w:rsidRDefault="007535F4">
            <w:pPr>
              <w:jc w:val="center"/>
              <w:rPr>
                <w:rFonts w:ascii="仿宋_GB2312" w:eastAsia="仿宋_GB2312" w:hAnsi="宋体"/>
              </w:rPr>
            </w:pPr>
            <w:r>
              <w:rPr>
                <w:rFonts w:ascii="仿宋_GB2312" w:eastAsia="仿宋_GB2312" w:hAnsi="宋体" w:hint="eastAsia"/>
              </w:rPr>
              <w:t>T+2</w:t>
            </w:r>
          </w:p>
        </w:tc>
        <w:tc>
          <w:tcPr>
            <w:tcW w:w="489" w:type="pct"/>
            <w:vAlign w:val="center"/>
          </w:tcPr>
          <w:p w:rsidR="0001723C" w:rsidRDefault="007535F4">
            <w:pPr>
              <w:jc w:val="center"/>
              <w:rPr>
                <w:rFonts w:ascii="仿宋_GB2312" w:eastAsia="仿宋_GB2312" w:hAnsi="宋体"/>
              </w:rPr>
            </w:pPr>
            <w:r>
              <w:rPr>
                <w:rFonts w:ascii="仿宋_GB2312" w:eastAsia="仿宋_GB2312" w:hAnsi="宋体" w:hint="eastAsia"/>
              </w:rPr>
              <w:t>T+2</w:t>
            </w:r>
          </w:p>
        </w:tc>
        <w:tc>
          <w:tcPr>
            <w:tcW w:w="686" w:type="pct"/>
            <w:vAlign w:val="center"/>
          </w:tcPr>
          <w:p w:rsidR="0001723C" w:rsidRDefault="007535F4">
            <w:pPr>
              <w:jc w:val="center"/>
              <w:rPr>
                <w:rFonts w:ascii="仿宋_GB2312" w:eastAsia="仿宋_GB2312" w:hAnsi="宋体"/>
              </w:rPr>
            </w:pPr>
            <w:r>
              <w:rPr>
                <w:rFonts w:ascii="仿宋_GB2312" w:eastAsia="仿宋_GB2312" w:hAnsi="宋体" w:hint="eastAsia"/>
              </w:rPr>
              <w:t>T+2</w:t>
            </w:r>
          </w:p>
        </w:tc>
      </w:tr>
      <w:tr w:rsidR="0001723C">
        <w:trPr>
          <w:trHeight w:val="170"/>
          <w:jc w:val="center"/>
        </w:trPr>
        <w:tc>
          <w:tcPr>
            <w:tcW w:w="2718" w:type="pct"/>
          </w:tcPr>
          <w:p w:rsidR="0001723C" w:rsidRDefault="007535F4">
            <w:pPr>
              <w:rPr>
                <w:rFonts w:ascii="仿宋_GB2312" w:eastAsia="仿宋_GB2312" w:hAnsi="宋体"/>
              </w:rPr>
            </w:pPr>
            <w:r>
              <w:rPr>
                <w:rFonts w:ascii="仿宋_GB2312" w:eastAsia="仿宋_GB2312" w:hAnsi="宋体" w:hint="eastAsia"/>
              </w:rPr>
              <w:t>T</w:t>
            </w:r>
            <w:r>
              <w:rPr>
                <w:rFonts w:ascii="仿宋_GB2312" w:eastAsia="仿宋_GB2312" w:hAnsi="宋体" w:hint="eastAsia"/>
              </w:rPr>
              <w:t>日转托管转入（场外转场内）的份额</w:t>
            </w:r>
          </w:p>
        </w:tc>
        <w:tc>
          <w:tcPr>
            <w:tcW w:w="521" w:type="pct"/>
            <w:vAlign w:val="center"/>
          </w:tcPr>
          <w:p w:rsidR="0001723C" w:rsidRDefault="007535F4">
            <w:pPr>
              <w:jc w:val="center"/>
              <w:rPr>
                <w:rFonts w:ascii="仿宋_GB2312" w:eastAsia="仿宋_GB2312" w:hAnsi="宋体"/>
              </w:rPr>
            </w:pPr>
            <w:r>
              <w:rPr>
                <w:rFonts w:ascii="仿宋_GB2312" w:eastAsia="仿宋_GB2312" w:hAnsi="宋体" w:hint="eastAsia"/>
              </w:rPr>
              <w:t>T+2</w:t>
            </w:r>
          </w:p>
        </w:tc>
        <w:tc>
          <w:tcPr>
            <w:tcW w:w="587" w:type="pct"/>
            <w:vAlign w:val="center"/>
          </w:tcPr>
          <w:p w:rsidR="0001723C" w:rsidRDefault="007535F4">
            <w:pPr>
              <w:jc w:val="center"/>
              <w:rPr>
                <w:rFonts w:ascii="仿宋_GB2312" w:eastAsia="仿宋_GB2312" w:hAnsi="宋体"/>
              </w:rPr>
            </w:pPr>
            <w:r>
              <w:rPr>
                <w:rFonts w:ascii="仿宋_GB2312" w:eastAsia="仿宋_GB2312" w:hAnsi="宋体" w:hint="eastAsia"/>
              </w:rPr>
              <w:t>T+2</w:t>
            </w:r>
          </w:p>
        </w:tc>
        <w:tc>
          <w:tcPr>
            <w:tcW w:w="489" w:type="pct"/>
            <w:vAlign w:val="center"/>
          </w:tcPr>
          <w:p w:rsidR="0001723C" w:rsidRDefault="007535F4">
            <w:pPr>
              <w:jc w:val="center"/>
              <w:rPr>
                <w:rFonts w:ascii="仿宋_GB2312" w:eastAsia="仿宋_GB2312" w:hAnsi="宋体"/>
              </w:rPr>
            </w:pPr>
            <w:r>
              <w:rPr>
                <w:rFonts w:ascii="仿宋_GB2312" w:eastAsia="仿宋_GB2312" w:hAnsi="宋体" w:hint="eastAsia"/>
              </w:rPr>
              <w:t>T+2</w:t>
            </w:r>
          </w:p>
        </w:tc>
        <w:tc>
          <w:tcPr>
            <w:tcW w:w="686" w:type="pct"/>
            <w:vAlign w:val="center"/>
          </w:tcPr>
          <w:p w:rsidR="0001723C" w:rsidRDefault="007535F4">
            <w:pPr>
              <w:jc w:val="center"/>
              <w:rPr>
                <w:rFonts w:ascii="仿宋_GB2312" w:eastAsia="仿宋_GB2312" w:hAnsi="宋体"/>
              </w:rPr>
            </w:pPr>
            <w:r>
              <w:rPr>
                <w:rFonts w:ascii="仿宋_GB2312" w:eastAsia="仿宋_GB2312" w:hAnsi="宋体" w:hint="eastAsia"/>
              </w:rPr>
              <w:t>T+2</w:t>
            </w:r>
          </w:p>
        </w:tc>
      </w:tr>
      <w:tr w:rsidR="0001723C">
        <w:trPr>
          <w:trHeight w:val="170"/>
          <w:jc w:val="center"/>
        </w:trPr>
        <w:tc>
          <w:tcPr>
            <w:tcW w:w="2718" w:type="pct"/>
            <w:vAlign w:val="center"/>
          </w:tcPr>
          <w:p w:rsidR="0001723C" w:rsidRDefault="007535F4">
            <w:pPr>
              <w:rPr>
                <w:rFonts w:ascii="仿宋_GB2312" w:eastAsia="仿宋_GB2312" w:hAnsi="宋体"/>
              </w:rPr>
            </w:pPr>
            <w:r>
              <w:rPr>
                <w:rFonts w:ascii="仿宋_GB2312" w:eastAsia="仿宋_GB2312" w:hAnsi="宋体" w:hint="eastAsia"/>
              </w:rPr>
              <w:t>T</w:t>
            </w:r>
            <w:r>
              <w:rPr>
                <w:rFonts w:ascii="仿宋_GB2312" w:eastAsia="仿宋_GB2312" w:hAnsi="宋体" w:hint="eastAsia"/>
              </w:rPr>
              <w:t>日子份额合并成的母基金份额</w:t>
            </w:r>
          </w:p>
        </w:tc>
        <w:tc>
          <w:tcPr>
            <w:tcW w:w="521" w:type="pct"/>
            <w:vAlign w:val="center"/>
          </w:tcPr>
          <w:p w:rsidR="0001723C" w:rsidRDefault="007535F4">
            <w:pPr>
              <w:jc w:val="center"/>
              <w:rPr>
                <w:rFonts w:ascii="仿宋_GB2312" w:eastAsia="仿宋_GB2312" w:hAnsi="宋体"/>
              </w:rPr>
            </w:pPr>
            <w:r>
              <w:rPr>
                <w:rFonts w:ascii="仿宋_GB2312" w:eastAsia="仿宋_GB2312" w:hAnsi="宋体" w:hint="eastAsia"/>
              </w:rPr>
              <w:t>T</w:t>
            </w:r>
          </w:p>
        </w:tc>
        <w:tc>
          <w:tcPr>
            <w:tcW w:w="587" w:type="pct"/>
            <w:vAlign w:val="center"/>
          </w:tcPr>
          <w:p w:rsidR="0001723C" w:rsidRDefault="007535F4">
            <w:pPr>
              <w:jc w:val="center"/>
              <w:rPr>
                <w:rFonts w:ascii="仿宋_GB2312" w:eastAsia="仿宋_GB2312" w:hAnsi="宋体"/>
              </w:rPr>
            </w:pPr>
            <w:r>
              <w:rPr>
                <w:rFonts w:ascii="仿宋_GB2312" w:eastAsia="仿宋_GB2312" w:hAnsi="宋体" w:hint="eastAsia"/>
              </w:rPr>
              <w:t>T</w:t>
            </w:r>
          </w:p>
        </w:tc>
        <w:tc>
          <w:tcPr>
            <w:tcW w:w="489" w:type="pct"/>
            <w:vAlign w:val="center"/>
          </w:tcPr>
          <w:p w:rsidR="0001723C" w:rsidRDefault="007535F4">
            <w:pPr>
              <w:jc w:val="center"/>
              <w:rPr>
                <w:rFonts w:ascii="仿宋_GB2312" w:eastAsia="仿宋_GB2312" w:hAnsi="宋体"/>
              </w:rPr>
            </w:pPr>
            <w:r>
              <w:rPr>
                <w:rFonts w:ascii="仿宋_GB2312" w:eastAsia="仿宋_GB2312" w:hAnsi="宋体" w:hint="eastAsia"/>
              </w:rPr>
              <w:t>T</w:t>
            </w:r>
          </w:p>
        </w:tc>
        <w:tc>
          <w:tcPr>
            <w:tcW w:w="686" w:type="pct"/>
            <w:vAlign w:val="center"/>
          </w:tcPr>
          <w:p w:rsidR="0001723C" w:rsidRDefault="007535F4">
            <w:pPr>
              <w:jc w:val="center"/>
              <w:rPr>
                <w:rFonts w:ascii="仿宋_GB2312" w:eastAsia="仿宋_GB2312" w:hAnsi="宋体"/>
              </w:rPr>
            </w:pPr>
            <w:r>
              <w:rPr>
                <w:rFonts w:ascii="仿宋_GB2312" w:eastAsia="仿宋_GB2312" w:hAnsi="宋体" w:hint="eastAsia"/>
              </w:rPr>
              <w:t>T+1</w:t>
            </w:r>
          </w:p>
        </w:tc>
      </w:tr>
    </w:tbl>
    <w:p w:rsidR="0001723C" w:rsidRDefault="007535F4">
      <w:pPr>
        <w:pStyle w:val="af"/>
        <w:widowControl w:val="0"/>
        <w:tabs>
          <w:tab w:val="left" w:pos="0"/>
        </w:tabs>
        <w:spacing w:before="0" w:beforeAutospacing="0" w:after="0" w:afterAutospacing="0" w:line="560" w:lineRule="exact"/>
        <w:ind w:firstLineChars="200" w:firstLine="600"/>
        <w:rPr>
          <w:rFonts w:ascii="仿宋_GB2312" w:eastAsia="仿宋_GB2312"/>
          <w:sz w:val="30"/>
          <w:szCs w:val="30"/>
        </w:rPr>
      </w:pPr>
      <w:r>
        <w:rPr>
          <w:rFonts w:ascii="仿宋_GB2312" w:eastAsia="仿宋_GB2312" w:hint="eastAsia"/>
          <w:sz w:val="30"/>
          <w:szCs w:val="30"/>
        </w:rPr>
        <w:t>分级基金子份额的交易和合并：</w:t>
      </w:r>
    </w:p>
    <w:tbl>
      <w:tblPr>
        <w:tblW w:w="5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7"/>
        <w:gridCol w:w="709"/>
        <w:gridCol w:w="850"/>
      </w:tblGrid>
      <w:tr w:rsidR="0001723C">
        <w:trPr>
          <w:trHeight w:val="170"/>
          <w:jc w:val="center"/>
        </w:trPr>
        <w:tc>
          <w:tcPr>
            <w:tcW w:w="3687" w:type="dxa"/>
            <w:vAlign w:val="center"/>
          </w:tcPr>
          <w:p w:rsidR="0001723C" w:rsidRDefault="007535F4">
            <w:pPr>
              <w:pStyle w:val="11"/>
              <w:ind w:firstLineChars="0" w:firstLine="0"/>
              <w:rPr>
                <w:rFonts w:ascii="仿宋_GB2312" w:eastAsia="仿宋_GB2312" w:hAnsi="宋体" w:cs="仿宋_GB2312"/>
                <w:b/>
                <w:szCs w:val="21"/>
              </w:rPr>
            </w:pPr>
            <w:r>
              <w:rPr>
                <w:rFonts w:ascii="仿宋_GB2312" w:eastAsia="仿宋_GB2312" w:hAnsi="宋体" w:cs="仿宋_GB2312" w:hint="eastAsia"/>
                <w:b/>
                <w:szCs w:val="21"/>
              </w:rPr>
              <w:t>子份额来源</w:t>
            </w:r>
          </w:p>
        </w:tc>
        <w:tc>
          <w:tcPr>
            <w:tcW w:w="709" w:type="dxa"/>
            <w:vAlign w:val="center"/>
          </w:tcPr>
          <w:p w:rsidR="0001723C" w:rsidRDefault="007535F4">
            <w:pPr>
              <w:pStyle w:val="11"/>
              <w:ind w:firstLineChars="0" w:firstLine="0"/>
              <w:rPr>
                <w:rFonts w:ascii="仿宋_GB2312" w:eastAsia="仿宋_GB2312" w:hAnsi="宋体" w:cs="仿宋_GB2312"/>
                <w:b/>
                <w:szCs w:val="21"/>
              </w:rPr>
            </w:pPr>
            <w:r>
              <w:rPr>
                <w:rFonts w:ascii="仿宋_GB2312" w:eastAsia="仿宋_GB2312" w:hAnsi="宋体" w:cs="仿宋_GB2312" w:hint="eastAsia"/>
                <w:b/>
                <w:szCs w:val="21"/>
              </w:rPr>
              <w:t>卖出</w:t>
            </w:r>
          </w:p>
        </w:tc>
        <w:tc>
          <w:tcPr>
            <w:tcW w:w="850" w:type="dxa"/>
            <w:vAlign w:val="center"/>
          </w:tcPr>
          <w:p w:rsidR="0001723C" w:rsidRDefault="007535F4">
            <w:pPr>
              <w:pStyle w:val="11"/>
              <w:ind w:firstLineChars="0" w:firstLine="0"/>
              <w:jc w:val="center"/>
              <w:rPr>
                <w:rFonts w:ascii="仿宋_GB2312" w:eastAsia="仿宋_GB2312" w:hAnsi="宋体" w:cs="仿宋_GB2312"/>
                <w:b/>
                <w:szCs w:val="21"/>
              </w:rPr>
            </w:pPr>
            <w:r>
              <w:rPr>
                <w:rFonts w:ascii="仿宋_GB2312" w:eastAsia="仿宋_GB2312" w:hAnsi="宋体" w:cs="仿宋_GB2312" w:hint="eastAsia"/>
                <w:b/>
                <w:szCs w:val="21"/>
              </w:rPr>
              <w:t>合并</w:t>
            </w:r>
          </w:p>
        </w:tc>
      </w:tr>
      <w:tr w:rsidR="0001723C">
        <w:trPr>
          <w:trHeight w:val="170"/>
          <w:jc w:val="center"/>
        </w:trPr>
        <w:tc>
          <w:tcPr>
            <w:tcW w:w="3687" w:type="dxa"/>
          </w:tcPr>
          <w:p w:rsidR="0001723C" w:rsidRDefault="007535F4">
            <w:pPr>
              <w:pStyle w:val="11"/>
              <w:ind w:firstLineChars="0" w:firstLine="0"/>
              <w:rPr>
                <w:rFonts w:ascii="仿宋_GB2312" w:eastAsia="仿宋_GB2312" w:hAnsi="宋体" w:cs="仿宋_GB2312"/>
                <w:szCs w:val="21"/>
              </w:rPr>
            </w:pPr>
            <w:r>
              <w:rPr>
                <w:rFonts w:ascii="仿宋_GB2312" w:eastAsia="仿宋_GB2312" w:hAnsi="宋体" w:hint="eastAsia"/>
                <w:szCs w:val="21"/>
              </w:rPr>
              <w:t>T</w:t>
            </w:r>
            <w:r>
              <w:rPr>
                <w:rFonts w:ascii="仿宋_GB2312" w:eastAsia="仿宋_GB2312" w:hAnsi="宋体" w:hint="eastAsia"/>
                <w:szCs w:val="21"/>
              </w:rPr>
              <w:t>日初持有的子份额</w:t>
            </w:r>
          </w:p>
        </w:tc>
        <w:tc>
          <w:tcPr>
            <w:tcW w:w="709" w:type="dxa"/>
            <w:vAlign w:val="center"/>
          </w:tcPr>
          <w:p w:rsidR="0001723C" w:rsidRDefault="007535F4">
            <w:pPr>
              <w:jc w:val="center"/>
              <w:rPr>
                <w:rFonts w:ascii="仿宋_GB2312" w:eastAsia="仿宋_GB2312" w:hAnsi="宋体"/>
              </w:rPr>
            </w:pPr>
            <w:r>
              <w:rPr>
                <w:rFonts w:ascii="仿宋_GB2312" w:eastAsia="仿宋_GB2312" w:hAnsi="宋体" w:hint="eastAsia"/>
              </w:rPr>
              <w:t>T</w:t>
            </w:r>
          </w:p>
        </w:tc>
        <w:tc>
          <w:tcPr>
            <w:tcW w:w="850" w:type="dxa"/>
            <w:vAlign w:val="center"/>
          </w:tcPr>
          <w:p w:rsidR="0001723C" w:rsidRDefault="007535F4">
            <w:pPr>
              <w:jc w:val="center"/>
              <w:rPr>
                <w:rFonts w:ascii="仿宋_GB2312" w:eastAsia="仿宋_GB2312" w:hAnsi="宋体"/>
              </w:rPr>
            </w:pPr>
            <w:r>
              <w:rPr>
                <w:rFonts w:ascii="仿宋_GB2312" w:eastAsia="仿宋_GB2312" w:hAnsi="宋体" w:hint="eastAsia"/>
              </w:rPr>
              <w:t>T</w:t>
            </w:r>
          </w:p>
        </w:tc>
      </w:tr>
      <w:tr w:rsidR="0001723C">
        <w:trPr>
          <w:trHeight w:val="170"/>
          <w:jc w:val="center"/>
        </w:trPr>
        <w:tc>
          <w:tcPr>
            <w:tcW w:w="3687" w:type="dxa"/>
          </w:tcPr>
          <w:p w:rsidR="0001723C" w:rsidRDefault="007535F4">
            <w:pPr>
              <w:pStyle w:val="11"/>
              <w:ind w:firstLineChars="0" w:firstLine="0"/>
              <w:rPr>
                <w:rFonts w:ascii="仿宋_GB2312" w:eastAsia="仿宋_GB2312" w:hAnsi="宋体" w:cs="仿宋_GB2312"/>
                <w:szCs w:val="21"/>
              </w:rPr>
            </w:pPr>
            <w:r>
              <w:rPr>
                <w:rFonts w:ascii="仿宋_GB2312" w:eastAsia="仿宋_GB2312" w:hAnsi="宋体" w:hint="eastAsia"/>
                <w:szCs w:val="21"/>
              </w:rPr>
              <w:t>T</w:t>
            </w:r>
            <w:r>
              <w:rPr>
                <w:rFonts w:ascii="仿宋_GB2312" w:eastAsia="仿宋_GB2312" w:hAnsi="宋体" w:hint="eastAsia"/>
                <w:szCs w:val="21"/>
              </w:rPr>
              <w:t>日</w:t>
            </w:r>
            <w:r>
              <w:rPr>
                <w:rFonts w:ascii="仿宋_GB2312" w:eastAsia="仿宋_GB2312" w:hAnsi="宋体" w:cs="仿宋_GB2312" w:hint="eastAsia"/>
                <w:szCs w:val="21"/>
              </w:rPr>
              <w:t>买入的子份额</w:t>
            </w:r>
          </w:p>
        </w:tc>
        <w:tc>
          <w:tcPr>
            <w:tcW w:w="709" w:type="dxa"/>
            <w:vAlign w:val="center"/>
          </w:tcPr>
          <w:p w:rsidR="0001723C" w:rsidRDefault="007535F4">
            <w:pPr>
              <w:pStyle w:val="11"/>
              <w:ind w:firstLineChars="0" w:firstLine="0"/>
              <w:jc w:val="center"/>
              <w:rPr>
                <w:rFonts w:ascii="仿宋_GB2312" w:eastAsia="仿宋_GB2312" w:hAnsi="宋体" w:cs="仿宋_GB2312"/>
                <w:szCs w:val="21"/>
              </w:rPr>
            </w:pPr>
            <w:r>
              <w:rPr>
                <w:rFonts w:ascii="仿宋_GB2312" w:eastAsia="仿宋_GB2312" w:hAnsi="宋体" w:hint="eastAsia"/>
                <w:szCs w:val="21"/>
              </w:rPr>
              <w:t>T+1</w:t>
            </w:r>
          </w:p>
        </w:tc>
        <w:tc>
          <w:tcPr>
            <w:tcW w:w="850" w:type="dxa"/>
            <w:vAlign w:val="center"/>
          </w:tcPr>
          <w:p w:rsidR="0001723C" w:rsidRDefault="007535F4">
            <w:pPr>
              <w:pStyle w:val="11"/>
              <w:ind w:firstLineChars="0" w:firstLine="0"/>
              <w:jc w:val="center"/>
              <w:rPr>
                <w:rFonts w:ascii="仿宋_GB2312" w:eastAsia="仿宋_GB2312" w:hAnsi="宋体" w:cs="仿宋_GB2312"/>
                <w:szCs w:val="21"/>
              </w:rPr>
            </w:pPr>
            <w:r>
              <w:rPr>
                <w:rFonts w:ascii="仿宋_GB2312" w:eastAsia="仿宋_GB2312" w:hAnsi="宋体" w:hint="eastAsia"/>
                <w:szCs w:val="21"/>
              </w:rPr>
              <w:t>T</w:t>
            </w:r>
          </w:p>
        </w:tc>
      </w:tr>
      <w:tr w:rsidR="0001723C">
        <w:trPr>
          <w:trHeight w:val="170"/>
          <w:jc w:val="center"/>
        </w:trPr>
        <w:tc>
          <w:tcPr>
            <w:tcW w:w="3687" w:type="dxa"/>
          </w:tcPr>
          <w:p w:rsidR="0001723C" w:rsidRDefault="007535F4">
            <w:pPr>
              <w:pStyle w:val="11"/>
              <w:ind w:firstLineChars="0" w:firstLine="0"/>
              <w:rPr>
                <w:rFonts w:ascii="仿宋_GB2312" w:eastAsia="仿宋_GB2312" w:hAnsi="宋体" w:cs="仿宋_GB2312"/>
                <w:szCs w:val="21"/>
              </w:rPr>
            </w:pPr>
            <w:r>
              <w:rPr>
                <w:rFonts w:ascii="仿宋_GB2312" w:eastAsia="仿宋_GB2312" w:hAnsi="宋体" w:hint="eastAsia"/>
                <w:szCs w:val="21"/>
              </w:rPr>
              <w:t>T</w:t>
            </w:r>
            <w:r>
              <w:rPr>
                <w:rFonts w:ascii="仿宋_GB2312" w:eastAsia="仿宋_GB2312" w:hAnsi="宋体" w:hint="eastAsia"/>
                <w:szCs w:val="21"/>
              </w:rPr>
              <w:t>日</w:t>
            </w:r>
            <w:r>
              <w:rPr>
                <w:rFonts w:ascii="仿宋_GB2312" w:eastAsia="仿宋_GB2312" w:hAnsi="宋体" w:cs="仿宋_GB2312" w:hint="eastAsia"/>
                <w:szCs w:val="21"/>
              </w:rPr>
              <w:t>由母基金份额分拆出来的子份额</w:t>
            </w:r>
          </w:p>
        </w:tc>
        <w:tc>
          <w:tcPr>
            <w:tcW w:w="709" w:type="dxa"/>
            <w:vAlign w:val="center"/>
          </w:tcPr>
          <w:p w:rsidR="0001723C" w:rsidRDefault="007535F4">
            <w:pPr>
              <w:pStyle w:val="11"/>
              <w:ind w:firstLineChars="0" w:firstLine="0"/>
              <w:jc w:val="center"/>
              <w:rPr>
                <w:rFonts w:ascii="仿宋_GB2312" w:eastAsia="仿宋_GB2312" w:hAnsi="宋体" w:cs="仿宋_GB2312"/>
                <w:szCs w:val="21"/>
              </w:rPr>
            </w:pPr>
            <w:r>
              <w:rPr>
                <w:rFonts w:ascii="仿宋_GB2312" w:eastAsia="仿宋_GB2312" w:hAnsi="宋体" w:hint="eastAsia"/>
                <w:szCs w:val="21"/>
              </w:rPr>
              <w:t>T</w:t>
            </w:r>
          </w:p>
        </w:tc>
        <w:tc>
          <w:tcPr>
            <w:tcW w:w="850" w:type="dxa"/>
            <w:vAlign w:val="center"/>
          </w:tcPr>
          <w:p w:rsidR="0001723C" w:rsidRDefault="007535F4">
            <w:pPr>
              <w:pStyle w:val="11"/>
              <w:ind w:firstLineChars="0" w:firstLine="0"/>
              <w:jc w:val="center"/>
              <w:rPr>
                <w:rFonts w:ascii="仿宋_GB2312" w:eastAsia="仿宋_GB2312" w:hAnsi="宋体" w:cs="仿宋_GB2312"/>
                <w:szCs w:val="21"/>
              </w:rPr>
            </w:pPr>
            <w:r>
              <w:rPr>
                <w:rFonts w:ascii="仿宋_GB2312" w:eastAsia="仿宋_GB2312" w:hAnsi="宋体" w:hint="eastAsia"/>
                <w:szCs w:val="21"/>
              </w:rPr>
              <w:t>T+1</w:t>
            </w:r>
          </w:p>
        </w:tc>
      </w:tr>
    </w:tbl>
    <w:p w:rsidR="0001723C" w:rsidRDefault="007535F4">
      <w:pPr>
        <w:pStyle w:val="3"/>
        <w:numPr>
          <w:ilvl w:val="0"/>
          <w:numId w:val="0"/>
        </w:numPr>
        <w:tabs>
          <w:tab w:val="clear" w:pos="1676"/>
          <w:tab w:val="left" w:pos="0"/>
        </w:tabs>
        <w:spacing w:line="560" w:lineRule="exact"/>
        <w:ind w:firstLineChars="200" w:firstLine="600"/>
        <w:rPr>
          <w:sz w:val="30"/>
          <w:szCs w:val="30"/>
        </w:rPr>
      </w:pPr>
      <w:r>
        <w:rPr>
          <w:rFonts w:hint="eastAsia"/>
          <w:sz w:val="30"/>
          <w:szCs w:val="30"/>
        </w:rPr>
        <w:t>第五十三条</w:t>
      </w:r>
      <w:r>
        <w:rPr>
          <w:rFonts w:hint="eastAsia"/>
          <w:sz w:val="30"/>
          <w:szCs w:val="30"/>
        </w:rPr>
        <w:t>T</w:t>
      </w:r>
      <w:r>
        <w:rPr>
          <w:rFonts w:hint="eastAsia"/>
          <w:sz w:val="30"/>
          <w:szCs w:val="30"/>
        </w:rPr>
        <w:t>日闭市后，中国结算上海分公司根据日内分级基金分拆、合并成交数据，对投资者的证券账户余额进行相应的记增或记减处理，完成分级基金份额的登记处理。</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分拆、合并所得份额不继承原过户日期，过户日期记为分拆、合并业务处理日。</w:t>
      </w:r>
    </w:p>
    <w:p w:rsidR="0001723C" w:rsidRDefault="007535F4">
      <w:pPr>
        <w:pStyle w:val="af9"/>
        <w:spacing w:line="560" w:lineRule="exact"/>
        <w:ind w:firstLineChars="0" w:firstLine="0"/>
        <w:jc w:val="center"/>
        <w:rPr>
          <w:rFonts w:ascii="黑体" w:eastAsia="黑体" w:hAnsi="黑体"/>
          <w:b/>
          <w:sz w:val="30"/>
          <w:szCs w:val="30"/>
        </w:rPr>
      </w:pPr>
      <w:r>
        <w:rPr>
          <w:rFonts w:ascii="黑体" w:eastAsia="黑体" w:hAnsi="黑体"/>
          <w:b/>
          <w:sz w:val="30"/>
          <w:szCs w:val="30"/>
        </w:rPr>
        <w:t>第七章</w:t>
      </w:r>
      <w:r>
        <w:rPr>
          <w:rFonts w:ascii="黑体" w:eastAsia="黑体" w:hAnsi="黑体" w:hint="eastAsia"/>
          <w:b/>
          <w:sz w:val="30"/>
          <w:szCs w:val="30"/>
        </w:rPr>
        <w:t>份额折算业务</w:t>
      </w:r>
    </w:p>
    <w:p w:rsidR="0001723C" w:rsidRDefault="007535F4">
      <w:pPr>
        <w:pStyle w:val="3"/>
        <w:numPr>
          <w:ilvl w:val="0"/>
          <w:numId w:val="0"/>
        </w:numPr>
        <w:tabs>
          <w:tab w:val="clear" w:pos="1676"/>
          <w:tab w:val="left" w:pos="0"/>
        </w:tabs>
        <w:spacing w:line="560" w:lineRule="exact"/>
        <w:ind w:firstLineChars="200" w:firstLine="600"/>
        <w:rPr>
          <w:sz w:val="30"/>
          <w:szCs w:val="30"/>
        </w:rPr>
      </w:pPr>
      <w:r>
        <w:rPr>
          <w:rFonts w:hint="eastAsia"/>
          <w:sz w:val="30"/>
          <w:szCs w:val="30"/>
        </w:rPr>
        <w:t>第五十四条</w:t>
      </w:r>
      <w:r>
        <w:rPr>
          <w:rFonts w:hint="eastAsia"/>
          <w:sz w:val="30"/>
          <w:szCs w:val="30"/>
        </w:rPr>
        <w:t>上证</w:t>
      </w:r>
      <w:r>
        <w:rPr>
          <w:rFonts w:hint="eastAsia"/>
          <w:sz w:val="30"/>
          <w:szCs w:val="30"/>
        </w:rPr>
        <w:t>LOF</w:t>
      </w:r>
      <w:r>
        <w:rPr>
          <w:rFonts w:hint="eastAsia"/>
          <w:sz w:val="30"/>
          <w:szCs w:val="30"/>
        </w:rPr>
        <w:t>的份额折算由基金管理人在《基金合同》《基金招募说明书》中约定。基金份额折算期间应暂停申购、赎回、转托管等相关业务，基金管理人须自行办理公告等手续，并及时按照相关数据接口规范通知上交所和中国结算总部。</w:t>
      </w:r>
    </w:p>
    <w:p w:rsidR="0001723C" w:rsidRDefault="007535F4">
      <w:pPr>
        <w:pStyle w:val="3"/>
        <w:numPr>
          <w:ilvl w:val="0"/>
          <w:numId w:val="0"/>
        </w:numPr>
        <w:tabs>
          <w:tab w:val="clear" w:pos="1676"/>
          <w:tab w:val="left" w:pos="0"/>
        </w:tabs>
        <w:spacing w:line="560" w:lineRule="exact"/>
        <w:ind w:firstLineChars="200" w:firstLine="600"/>
        <w:rPr>
          <w:sz w:val="30"/>
          <w:szCs w:val="30"/>
        </w:rPr>
      </w:pPr>
      <w:r>
        <w:rPr>
          <w:rFonts w:hint="eastAsia"/>
          <w:sz w:val="30"/>
          <w:szCs w:val="30"/>
        </w:rPr>
        <w:t>第五十五条</w:t>
      </w:r>
      <w:r>
        <w:rPr>
          <w:rFonts w:hint="eastAsia"/>
          <w:sz w:val="30"/>
          <w:szCs w:val="30"/>
        </w:rPr>
        <w:t>基金管理人办理上证</w:t>
      </w:r>
      <w:r>
        <w:rPr>
          <w:rFonts w:hint="eastAsia"/>
          <w:sz w:val="30"/>
          <w:szCs w:val="30"/>
        </w:rPr>
        <w:t>LOF</w:t>
      </w:r>
      <w:r>
        <w:rPr>
          <w:rFonts w:hint="eastAsia"/>
          <w:sz w:val="30"/>
          <w:szCs w:val="30"/>
        </w:rPr>
        <w:t>场外份额折算业务，</w:t>
      </w:r>
      <w:r>
        <w:rPr>
          <w:rFonts w:hint="eastAsia"/>
          <w:sz w:val="30"/>
          <w:szCs w:val="30"/>
        </w:rPr>
        <w:lastRenderedPageBreak/>
        <w:t>应通过相关数据接口将折算导致的各上海开放式基金账户母份额持有数量变动发送至中国结算</w:t>
      </w:r>
      <w:r>
        <w:rPr>
          <w:rFonts w:hint="eastAsia"/>
          <w:sz w:val="30"/>
          <w:szCs w:val="30"/>
        </w:rPr>
        <w:t>TA</w:t>
      </w:r>
      <w:r>
        <w:rPr>
          <w:rFonts w:hint="eastAsia"/>
          <w:sz w:val="30"/>
          <w:szCs w:val="30"/>
        </w:rPr>
        <w:t>系统，中国结算</w:t>
      </w:r>
      <w:r>
        <w:rPr>
          <w:rFonts w:hint="eastAsia"/>
          <w:sz w:val="30"/>
          <w:szCs w:val="30"/>
        </w:rPr>
        <w:t>TA</w:t>
      </w:r>
      <w:r>
        <w:rPr>
          <w:rFonts w:hint="eastAsia"/>
          <w:sz w:val="30"/>
          <w:szCs w:val="30"/>
        </w:rPr>
        <w:t>系统据此完成相关折算登记处理。</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基金管理人在调减数据中指定过户日期或原确认流水号的，中国结算</w:t>
      </w:r>
      <w:r>
        <w:rPr>
          <w:rFonts w:ascii="仿宋_GB2312" w:eastAsia="仿宋_GB2312" w:hint="eastAsia"/>
          <w:sz w:val="30"/>
          <w:szCs w:val="30"/>
        </w:rPr>
        <w:t>TA</w:t>
      </w:r>
      <w:r>
        <w:rPr>
          <w:rFonts w:ascii="仿宋_GB2312" w:eastAsia="仿宋_GB2312" w:hint="eastAsia"/>
          <w:sz w:val="30"/>
          <w:szCs w:val="30"/>
        </w:rPr>
        <w:t>系统根据指定的过户日期或原确认流水号完成份额记减；未指定过户日期或原确认流水号的，中国结算</w:t>
      </w:r>
      <w:r>
        <w:rPr>
          <w:rFonts w:ascii="仿宋_GB2312" w:eastAsia="仿宋_GB2312" w:hint="eastAsia"/>
          <w:sz w:val="30"/>
          <w:szCs w:val="30"/>
        </w:rPr>
        <w:t>TA</w:t>
      </w:r>
      <w:r>
        <w:rPr>
          <w:rFonts w:ascii="仿宋_GB2312" w:eastAsia="仿宋_GB2312" w:hint="eastAsia"/>
          <w:sz w:val="30"/>
          <w:szCs w:val="30"/>
        </w:rPr>
        <w:t>系统根据基金管理人为该基金代码设置的赎回明细分配原则，对相应份额进行记减。基金管理人在调增数据中指定过户日期的，中国结算</w:t>
      </w:r>
      <w:r>
        <w:rPr>
          <w:rFonts w:ascii="仿宋_GB2312" w:eastAsia="仿宋_GB2312" w:hint="eastAsia"/>
          <w:sz w:val="30"/>
          <w:szCs w:val="30"/>
        </w:rPr>
        <w:t>TA</w:t>
      </w:r>
      <w:r>
        <w:rPr>
          <w:rFonts w:ascii="仿宋_GB2312" w:eastAsia="仿宋_GB2312" w:hint="eastAsia"/>
          <w:sz w:val="30"/>
          <w:szCs w:val="30"/>
        </w:rPr>
        <w:t>系统根据指定的过户日期完成份额记增；未指定过户日期的，新增份额过户日期记为调增确认日。</w:t>
      </w:r>
    </w:p>
    <w:p w:rsidR="0001723C" w:rsidRDefault="007535F4">
      <w:pPr>
        <w:pStyle w:val="3"/>
        <w:numPr>
          <w:ilvl w:val="0"/>
          <w:numId w:val="0"/>
        </w:numPr>
        <w:tabs>
          <w:tab w:val="clear" w:pos="1676"/>
          <w:tab w:val="left" w:pos="0"/>
        </w:tabs>
        <w:spacing w:line="560" w:lineRule="exact"/>
        <w:ind w:firstLineChars="200" w:firstLine="600"/>
        <w:rPr>
          <w:sz w:val="30"/>
          <w:szCs w:val="30"/>
        </w:rPr>
      </w:pPr>
      <w:r>
        <w:rPr>
          <w:rFonts w:hint="eastAsia"/>
          <w:sz w:val="30"/>
          <w:szCs w:val="30"/>
        </w:rPr>
        <w:t>第五十六条</w:t>
      </w:r>
      <w:r>
        <w:rPr>
          <w:rFonts w:hint="eastAsia"/>
          <w:sz w:val="30"/>
          <w:szCs w:val="30"/>
        </w:rPr>
        <w:t>基金管理人办理上证</w:t>
      </w:r>
      <w:r>
        <w:rPr>
          <w:rFonts w:hint="eastAsia"/>
          <w:sz w:val="30"/>
          <w:szCs w:val="30"/>
        </w:rPr>
        <w:t>LOF</w:t>
      </w:r>
      <w:r>
        <w:rPr>
          <w:rFonts w:hint="eastAsia"/>
          <w:sz w:val="30"/>
          <w:szCs w:val="30"/>
        </w:rPr>
        <w:t>场内份额折算业务，应按要求向上交所和中国结算上海分公司提交相关办理材料。</w:t>
      </w:r>
    </w:p>
    <w:p w:rsidR="0001723C" w:rsidRDefault="007535F4">
      <w:pPr>
        <w:pStyle w:val="3"/>
        <w:numPr>
          <w:ilvl w:val="0"/>
          <w:numId w:val="0"/>
        </w:numPr>
        <w:tabs>
          <w:tab w:val="clear" w:pos="1676"/>
          <w:tab w:val="left" w:pos="0"/>
        </w:tabs>
        <w:spacing w:line="560" w:lineRule="exact"/>
        <w:ind w:firstLineChars="200" w:firstLine="600"/>
        <w:rPr>
          <w:sz w:val="30"/>
          <w:szCs w:val="30"/>
        </w:rPr>
      </w:pPr>
      <w:r>
        <w:rPr>
          <w:rFonts w:hint="eastAsia"/>
          <w:sz w:val="30"/>
          <w:szCs w:val="30"/>
        </w:rPr>
        <w:t>第五十七条</w:t>
      </w:r>
      <w:r>
        <w:rPr>
          <w:rFonts w:hint="eastAsia"/>
          <w:sz w:val="30"/>
          <w:szCs w:val="30"/>
        </w:rPr>
        <w:t>场内份额折算处理的基本原</w:t>
      </w:r>
      <w:r>
        <w:rPr>
          <w:rFonts w:hint="eastAsia"/>
          <w:sz w:val="30"/>
          <w:szCs w:val="30"/>
        </w:rPr>
        <w:t>则：</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（一）折算类别和折算比例：折算分为“放缩”和“派送”两种。</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放缩是指基金份额以自身为基数折算为自身，可增加可减少，如果变更后增加</w:t>
      </w:r>
      <w:r>
        <w:rPr>
          <w:rFonts w:ascii="仿宋_GB2312" w:eastAsia="仿宋_GB2312" w:hint="eastAsia"/>
          <w:sz w:val="30"/>
          <w:szCs w:val="30"/>
        </w:rPr>
        <w:t>30%</w:t>
      </w:r>
      <w:r>
        <w:rPr>
          <w:rFonts w:ascii="仿宋_GB2312" w:eastAsia="仿宋_GB2312" w:hint="eastAsia"/>
          <w:sz w:val="30"/>
          <w:szCs w:val="30"/>
        </w:rPr>
        <w:t>，折算比例确定为</w:t>
      </w:r>
      <w:r>
        <w:rPr>
          <w:rFonts w:ascii="仿宋_GB2312" w:eastAsia="仿宋_GB2312" w:hint="eastAsia"/>
          <w:sz w:val="30"/>
          <w:szCs w:val="30"/>
        </w:rPr>
        <w:t>1.3</w:t>
      </w:r>
      <w:r>
        <w:rPr>
          <w:rFonts w:ascii="仿宋_GB2312" w:eastAsia="仿宋_GB2312" w:hint="eastAsia"/>
          <w:sz w:val="30"/>
          <w:szCs w:val="30"/>
        </w:rPr>
        <w:t>；变更后减少</w:t>
      </w:r>
      <w:r>
        <w:rPr>
          <w:rFonts w:ascii="仿宋_GB2312" w:eastAsia="仿宋_GB2312" w:hint="eastAsia"/>
          <w:sz w:val="30"/>
          <w:szCs w:val="30"/>
        </w:rPr>
        <w:t>20%</w:t>
      </w:r>
      <w:r>
        <w:rPr>
          <w:rFonts w:ascii="仿宋_GB2312" w:eastAsia="仿宋_GB2312" w:hint="eastAsia"/>
          <w:sz w:val="30"/>
          <w:szCs w:val="30"/>
        </w:rPr>
        <w:t>，折算比例确定为</w:t>
      </w:r>
      <w:r>
        <w:rPr>
          <w:rFonts w:ascii="仿宋_GB2312" w:eastAsia="仿宋_GB2312" w:hint="eastAsia"/>
          <w:sz w:val="30"/>
          <w:szCs w:val="30"/>
        </w:rPr>
        <w:t>0.8</w:t>
      </w:r>
      <w:r>
        <w:rPr>
          <w:rFonts w:ascii="仿宋_GB2312" w:eastAsia="仿宋_GB2312" w:hint="eastAsia"/>
          <w:sz w:val="30"/>
          <w:szCs w:val="30"/>
        </w:rPr>
        <w:t>。</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派送是指基金份额以自身为基数，折算为其他基金（子基金或母基金），如果每份变更前基金份额派生</w:t>
      </w:r>
      <w:r>
        <w:rPr>
          <w:rFonts w:ascii="仿宋_GB2312" w:eastAsia="仿宋_GB2312" w:hint="eastAsia"/>
          <w:sz w:val="30"/>
          <w:szCs w:val="30"/>
        </w:rPr>
        <w:t>0.2</w:t>
      </w:r>
      <w:r>
        <w:rPr>
          <w:rFonts w:ascii="仿宋_GB2312" w:eastAsia="仿宋_GB2312" w:hint="eastAsia"/>
          <w:sz w:val="30"/>
          <w:szCs w:val="30"/>
        </w:rPr>
        <w:t>份变更后基金份额，折算比例确定为</w:t>
      </w:r>
      <w:r>
        <w:rPr>
          <w:rFonts w:ascii="仿宋_GB2312" w:eastAsia="仿宋_GB2312" w:hint="eastAsia"/>
          <w:sz w:val="30"/>
          <w:szCs w:val="30"/>
        </w:rPr>
        <w:t>0.2</w:t>
      </w:r>
      <w:r>
        <w:rPr>
          <w:rFonts w:ascii="仿宋_GB2312" w:eastAsia="仿宋_GB2312" w:hint="eastAsia"/>
          <w:sz w:val="30"/>
          <w:szCs w:val="30"/>
        </w:rPr>
        <w:t>；如果每份变更前基金份额派生</w:t>
      </w:r>
      <w:r>
        <w:rPr>
          <w:rFonts w:ascii="仿宋_GB2312" w:eastAsia="仿宋_GB2312" w:hint="eastAsia"/>
          <w:sz w:val="30"/>
          <w:szCs w:val="30"/>
        </w:rPr>
        <w:t>1.1</w:t>
      </w:r>
      <w:r>
        <w:rPr>
          <w:rFonts w:ascii="仿宋_GB2312" w:eastAsia="仿宋_GB2312" w:hint="eastAsia"/>
          <w:sz w:val="30"/>
          <w:szCs w:val="30"/>
        </w:rPr>
        <w:t>份变更后基金份额，折算比例确定为</w:t>
      </w:r>
      <w:r>
        <w:rPr>
          <w:rFonts w:ascii="仿宋_GB2312" w:eastAsia="仿宋_GB2312" w:hint="eastAsia"/>
          <w:sz w:val="30"/>
          <w:szCs w:val="30"/>
        </w:rPr>
        <w:t>1.1</w:t>
      </w:r>
      <w:r>
        <w:rPr>
          <w:rFonts w:ascii="仿宋_GB2312" w:eastAsia="仿宋_GB2312" w:hint="eastAsia"/>
          <w:sz w:val="30"/>
          <w:szCs w:val="30"/>
        </w:rPr>
        <w:t>。</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（二）折算处理过程：中国结算上海分公司证券登记系统根据基金管理人申报的折算要素，按折算执行日日终</w:t>
      </w:r>
      <w:r>
        <w:rPr>
          <w:rFonts w:ascii="仿宋_GB2312" w:eastAsia="仿宋_GB2312" w:hint="eastAsia"/>
          <w:sz w:val="30"/>
          <w:szCs w:val="30"/>
        </w:rPr>
        <w:t>的基金总份数完成折算，最后由基金管理人确认中国结算上海分公司登记结算</w:t>
      </w:r>
      <w:r>
        <w:rPr>
          <w:rFonts w:ascii="仿宋_GB2312" w:eastAsia="仿宋_GB2312" w:hint="eastAsia"/>
          <w:sz w:val="30"/>
          <w:szCs w:val="30"/>
        </w:rPr>
        <w:lastRenderedPageBreak/>
        <w:t>数据结果。</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（三）零碎份额处理原则：折算过程中产生的不足</w:t>
      </w:r>
      <w:r>
        <w:rPr>
          <w:rFonts w:ascii="仿宋_GB2312" w:eastAsia="仿宋_GB2312" w:hint="eastAsia"/>
          <w:sz w:val="30"/>
          <w:szCs w:val="30"/>
        </w:rPr>
        <w:t>1</w:t>
      </w:r>
      <w:r>
        <w:rPr>
          <w:rFonts w:ascii="仿宋_GB2312" w:eastAsia="仿宋_GB2312" w:hint="eastAsia"/>
          <w:sz w:val="30"/>
          <w:szCs w:val="30"/>
        </w:rPr>
        <w:t>份的零碎份额，按照投资者零碎份额数量大小顺序排列，零碎份额数量相同的，由中国结算上海分公司证券登记系统随机排列。中国结算上海分公司证券登记系统按照排列顺序，依次均登记为</w:t>
      </w:r>
      <w:r>
        <w:rPr>
          <w:rFonts w:ascii="仿宋_GB2312" w:eastAsia="仿宋_GB2312" w:hint="eastAsia"/>
          <w:sz w:val="30"/>
          <w:szCs w:val="30"/>
        </w:rPr>
        <w:t>1</w:t>
      </w:r>
      <w:r>
        <w:rPr>
          <w:rFonts w:ascii="仿宋_GB2312" w:eastAsia="仿宋_GB2312" w:hint="eastAsia"/>
          <w:sz w:val="30"/>
          <w:szCs w:val="30"/>
        </w:rPr>
        <w:t>份，直至完成全部折算。</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（四）折算份额过户日期处理原则：折算业务按基金代码处理，因折算业务导致投资者相关基金代码份额减少的，按照基金管理人在中国结算</w:t>
      </w:r>
      <w:r>
        <w:rPr>
          <w:rFonts w:ascii="仿宋_GB2312" w:eastAsia="仿宋_GB2312" w:hint="eastAsia"/>
          <w:sz w:val="30"/>
          <w:szCs w:val="30"/>
        </w:rPr>
        <w:t>TA</w:t>
      </w:r>
      <w:r>
        <w:rPr>
          <w:rFonts w:ascii="仿宋_GB2312" w:eastAsia="仿宋_GB2312" w:hint="eastAsia"/>
          <w:sz w:val="30"/>
          <w:szCs w:val="30"/>
        </w:rPr>
        <w:t>系统中为该基金代码设置的赎回明细分配原则，对相应份额进行记减</w:t>
      </w:r>
      <w:r>
        <w:rPr>
          <w:rFonts w:ascii="仿宋_GB2312" w:eastAsia="仿宋_GB2312" w:hint="eastAsia"/>
          <w:sz w:val="30"/>
          <w:szCs w:val="30"/>
        </w:rPr>
        <w:t>;</w:t>
      </w:r>
      <w:r>
        <w:rPr>
          <w:rFonts w:ascii="仿宋_GB2312" w:eastAsia="仿宋_GB2312" w:hint="eastAsia"/>
          <w:sz w:val="30"/>
          <w:szCs w:val="30"/>
        </w:rPr>
        <w:t>相</w:t>
      </w:r>
      <w:r>
        <w:rPr>
          <w:rFonts w:ascii="仿宋_GB2312" w:eastAsia="仿宋_GB2312" w:hint="eastAsia"/>
          <w:sz w:val="30"/>
          <w:szCs w:val="30"/>
        </w:rPr>
        <w:t>关基金代码份额增加的，新增份额过户日期记为折算处理日。</w:t>
      </w:r>
    </w:p>
    <w:p w:rsidR="0001723C" w:rsidRDefault="007535F4">
      <w:pPr>
        <w:pStyle w:val="3"/>
        <w:numPr>
          <w:ilvl w:val="0"/>
          <w:numId w:val="0"/>
        </w:numPr>
        <w:tabs>
          <w:tab w:val="clear" w:pos="1676"/>
          <w:tab w:val="left" w:pos="0"/>
        </w:tabs>
        <w:spacing w:line="560" w:lineRule="exact"/>
        <w:ind w:firstLineChars="200" w:firstLine="600"/>
        <w:rPr>
          <w:sz w:val="30"/>
          <w:szCs w:val="30"/>
        </w:rPr>
      </w:pPr>
      <w:r>
        <w:rPr>
          <w:rFonts w:hint="eastAsia"/>
          <w:sz w:val="30"/>
          <w:szCs w:val="30"/>
        </w:rPr>
        <w:t>第五十八条</w:t>
      </w:r>
      <w:r>
        <w:rPr>
          <w:rFonts w:hint="eastAsia"/>
          <w:sz w:val="30"/>
          <w:szCs w:val="30"/>
        </w:rPr>
        <w:t>基金管理人办理场内份额折算业务需向中国结算上海分公司提交的办理材料：</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（一）基金份额折算申请表；</w:t>
      </w:r>
    </w:p>
    <w:p w:rsidR="0001723C" w:rsidRDefault="007535F4">
      <w:pPr>
        <w:autoSpaceDE w:val="0"/>
        <w:autoSpaceDN w:val="0"/>
        <w:adjustRightInd w:val="0"/>
        <w:spacing w:line="560" w:lineRule="exact"/>
        <w:ind w:firstLineChars="200" w:firstLine="600"/>
        <w:rPr>
          <w:rFonts w:ascii="仿宋_GB2312" w:eastAsia="仿宋_GB2312"/>
          <w:sz w:val="30"/>
          <w:szCs w:val="30"/>
        </w:rPr>
      </w:pPr>
      <w:r>
        <w:rPr>
          <w:rFonts w:ascii="仿宋_GB2312" w:eastAsia="仿宋_GB2312" w:hint="eastAsia"/>
          <w:sz w:val="30"/>
          <w:szCs w:val="30"/>
        </w:rPr>
        <w:t>（二）证券变更登记表（见中国结算网站</w:t>
      </w:r>
      <w:r>
        <w:rPr>
          <w:rFonts w:ascii="仿宋_GB2312" w:eastAsia="仿宋_GB2312" w:hint="eastAsia"/>
          <w:sz w:val="30"/>
          <w:szCs w:val="30"/>
        </w:rPr>
        <w:t>www.chinaclear.cn-</w:t>
      </w:r>
      <w:r>
        <w:rPr>
          <w:rFonts w:ascii="仿宋_GB2312" w:eastAsia="仿宋_GB2312" w:hint="eastAsia"/>
          <w:sz w:val="30"/>
          <w:szCs w:val="30"/>
        </w:rPr>
        <w:t>服务支持</w:t>
      </w:r>
      <w:r>
        <w:rPr>
          <w:rFonts w:ascii="仿宋_GB2312" w:eastAsia="仿宋_GB2312" w:hint="eastAsia"/>
          <w:sz w:val="30"/>
          <w:szCs w:val="30"/>
        </w:rPr>
        <w:t>-</w:t>
      </w:r>
      <w:r>
        <w:rPr>
          <w:rFonts w:ascii="仿宋_GB2312" w:eastAsia="仿宋_GB2312" w:hint="eastAsia"/>
          <w:sz w:val="30"/>
          <w:szCs w:val="30"/>
        </w:rPr>
        <w:t>业务表格</w:t>
      </w:r>
      <w:r>
        <w:rPr>
          <w:rFonts w:ascii="仿宋_GB2312" w:eastAsia="仿宋_GB2312" w:hint="eastAsia"/>
          <w:sz w:val="30"/>
          <w:szCs w:val="30"/>
        </w:rPr>
        <w:t>-</w:t>
      </w:r>
      <w:r>
        <w:rPr>
          <w:rFonts w:ascii="仿宋_GB2312" w:eastAsia="仿宋_GB2312" w:hint="eastAsia"/>
          <w:sz w:val="30"/>
          <w:szCs w:val="30"/>
        </w:rPr>
        <w:t>上海市场栏目中的《中国结算上海分公司发行业务部业务申请表格》）；</w:t>
      </w:r>
    </w:p>
    <w:p w:rsidR="0001723C" w:rsidRDefault="007535F4">
      <w:pPr>
        <w:autoSpaceDE w:val="0"/>
        <w:autoSpaceDN w:val="0"/>
        <w:adjustRightInd w:val="0"/>
        <w:spacing w:line="560" w:lineRule="exact"/>
        <w:ind w:firstLineChars="200" w:firstLine="600"/>
        <w:rPr>
          <w:rFonts w:ascii="仿宋_GB2312" w:eastAsia="仿宋_GB2312"/>
          <w:sz w:val="30"/>
          <w:szCs w:val="30"/>
        </w:rPr>
      </w:pPr>
      <w:r>
        <w:rPr>
          <w:rFonts w:ascii="仿宋_GB2312" w:eastAsia="仿宋_GB2312" w:hint="eastAsia"/>
          <w:sz w:val="30"/>
          <w:szCs w:val="30"/>
        </w:rPr>
        <w:t>（三）最新年检的基金管理人法人营业执照副本复印件；</w:t>
      </w:r>
    </w:p>
    <w:p w:rsidR="0001723C" w:rsidRDefault="007535F4">
      <w:pPr>
        <w:autoSpaceDE w:val="0"/>
        <w:autoSpaceDN w:val="0"/>
        <w:adjustRightInd w:val="0"/>
        <w:spacing w:line="560" w:lineRule="exact"/>
        <w:ind w:firstLineChars="200" w:firstLine="600"/>
        <w:rPr>
          <w:rFonts w:ascii="仿宋_GB2312" w:eastAsia="仿宋_GB2312"/>
          <w:sz w:val="30"/>
          <w:szCs w:val="30"/>
        </w:rPr>
      </w:pPr>
      <w:r>
        <w:rPr>
          <w:rFonts w:ascii="仿宋_GB2312" w:eastAsia="仿宋_GB2312" w:hint="eastAsia"/>
          <w:sz w:val="30"/>
          <w:szCs w:val="30"/>
        </w:rPr>
        <w:t>（四）基金管理人发布的折算提示性公告；</w:t>
      </w:r>
    </w:p>
    <w:p w:rsidR="0001723C" w:rsidRDefault="007535F4">
      <w:pPr>
        <w:autoSpaceDE w:val="0"/>
        <w:autoSpaceDN w:val="0"/>
        <w:adjustRightInd w:val="0"/>
        <w:spacing w:line="560" w:lineRule="exact"/>
        <w:ind w:firstLineChars="200" w:firstLine="600"/>
        <w:rPr>
          <w:rFonts w:ascii="仿宋_GB2312" w:eastAsia="仿宋_GB2312"/>
          <w:sz w:val="30"/>
          <w:szCs w:val="30"/>
        </w:rPr>
      </w:pPr>
      <w:r>
        <w:rPr>
          <w:rFonts w:ascii="仿宋_GB2312" w:eastAsia="仿宋_GB2312" w:hint="eastAsia"/>
          <w:sz w:val="30"/>
          <w:szCs w:val="30"/>
        </w:rPr>
        <w:t>（五）授权委托书；</w:t>
      </w:r>
    </w:p>
    <w:p w:rsidR="0001723C" w:rsidRDefault="007535F4">
      <w:pPr>
        <w:autoSpaceDE w:val="0"/>
        <w:autoSpaceDN w:val="0"/>
        <w:adjustRightInd w:val="0"/>
        <w:spacing w:line="560" w:lineRule="exact"/>
        <w:ind w:firstLineChars="200" w:firstLine="600"/>
        <w:rPr>
          <w:rFonts w:ascii="仿宋_GB2312" w:eastAsia="仿宋_GB2312"/>
          <w:sz w:val="30"/>
          <w:szCs w:val="30"/>
        </w:rPr>
      </w:pPr>
      <w:r>
        <w:rPr>
          <w:rFonts w:ascii="仿宋_GB2312" w:eastAsia="仿宋_GB2312" w:hint="eastAsia"/>
          <w:sz w:val="30"/>
          <w:szCs w:val="30"/>
        </w:rPr>
        <w:t>（六）指定联络人身份证复印件；</w:t>
      </w:r>
    </w:p>
    <w:p w:rsidR="0001723C" w:rsidRDefault="007535F4">
      <w:pPr>
        <w:autoSpaceDE w:val="0"/>
        <w:autoSpaceDN w:val="0"/>
        <w:adjustRightInd w:val="0"/>
        <w:spacing w:line="560" w:lineRule="exact"/>
        <w:ind w:firstLineChars="200" w:firstLine="600"/>
        <w:rPr>
          <w:rFonts w:ascii="仿宋_GB2312" w:eastAsia="仿宋_GB2312"/>
          <w:sz w:val="30"/>
          <w:szCs w:val="30"/>
        </w:rPr>
      </w:pPr>
      <w:r>
        <w:rPr>
          <w:rFonts w:ascii="仿宋_GB2312" w:eastAsia="仿宋_GB2312" w:hint="eastAsia"/>
          <w:sz w:val="30"/>
          <w:szCs w:val="30"/>
        </w:rPr>
        <w:t>（七）中国结算要求提交的其他材料。</w:t>
      </w:r>
    </w:p>
    <w:p w:rsidR="0001723C" w:rsidRDefault="007535F4">
      <w:pPr>
        <w:pStyle w:val="3"/>
        <w:numPr>
          <w:ilvl w:val="0"/>
          <w:numId w:val="0"/>
        </w:numPr>
        <w:tabs>
          <w:tab w:val="clear" w:pos="1676"/>
          <w:tab w:val="left" w:pos="0"/>
        </w:tabs>
        <w:spacing w:line="560" w:lineRule="exact"/>
        <w:ind w:firstLineChars="200" w:firstLine="600"/>
        <w:rPr>
          <w:sz w:val="30"/>
          <w:szCs w:val="30"/>
        </w:rPr>
      </w:pPr>
      <w:r>
        <w:rPr>
          <w:rFonts w:hint="eastAsia"/>
          <w:sz w:val="30"/>
          <w:szCs w:val="30"/>
        </w:rPr>
        <w:t>第五十九条</w:t>
      </w:r>
      <w:r>
        <w:rPr>
          <w:rFonts w:hint="eastAsia"/>
          <w:sz w:val="30"/>
          <w:szCs w:val="30"/>
        </w:rPr>
        <w:t>场内份额折算按照以下流程办理：</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基金折算分为定期折算和不定期折算，基金折算需基金管理</w:t>
      </w:r>
      <w:r>
        <w:rPr>
          <w:rFonts w:ascii="仿宋_GB2312" w:eastAsia="仿宋_GB2312" w:hint="eastAsia"/>
          <w:sz w:val="30"/>
          <w:szCs w:val="30"/>
        </w:rPr>
        <w:lastRenderedPageBreak/>
        <w:t>人首先自行确定份额折算基准日（</w:t>
      </w:r>
      <w:r>
        <w:rPr>
          <w:rFonts w:ascii="仿宋_GB2312" w:eastAsia="仿宋_GB2312" w:hint="eastAsia"/>
          <w:sz w:val="30"/>
          <w:szCs w:val="30"/>
        </w:rPr>
        <w:t>T</w:t>
      </w:r>
      <w:r>
        <w:rPr>
          <w:rFonts w:ascii="仿宋_GB2312" w:eastAsia="仿宋_GB2312" w:hint="eastAsia"/>
          <w:sz w:val="30"/>
          <w:szCs w:val="30"/>
        </w:rPr>
        <w:t>日）并按以下步骤办理：</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（一）</w:t>
      </w:r>
      <w:r>
        <w:rPr>
          <w:rFonts w:ascii="仿宋_GB2312" w:eastAsia="仿宋_GB2312" w:hint="eastAsia"/>
          <w:sz w:val="30"/>
          <w:szCs w:val="30"/>
        </w:rPr>
        <w:t>T-3</w:t>
      </w:r>
      <w:r>
        <w:rPr>
          <w:rFonts w:ascii="仿宋_GB2312" w:eastAsia="仿宋_GB2312" w:hint="eastAsia"/>
          <w:sz w:val="30"/>
          <w:szCs w:val="30"/>
        </w:rPr>
        <w:t>日前向中国结算上海分公司提交第五十八条规定的（三）（四）（五）（六）材料；</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（二）基金折算处理日（</w:t>
      </w:r>
      <w:r>
        <w:rPr>
          <w:rFonts w:ascii="仿宋_GB2312" w:eastAsia="仿宋_GB2312" w:hint="eastAsia"/>
          <w:sz w:val="30"/>
          <w:szCs w:val="30"/>
        </w:rPr>
        <w:t>T+1</w:t>
      </w:r>
      <w:r>
        <w:rPr>
          <w:rFonts w:ascii="仿宋_GB2312" w:eastAsia="仿宋_GB2312" w:hint="eastAsia"/>
          <w:sz w:val="30"/>
          <w:szCs w:val="30"/>
        </w:rPr>
        <w:t>日）</w:t>
      </w:r>
      <w:r>
        <w:rPr>
          <w:rFonts w:ascii="仿宋_GB2312" w:eastAsia="仿宋_GB2312" w:hint="eastAsia"/>
          <w:sz w:val="30"/>
          <w:szCs w:val="30"/>
        </w:rPr>
        <w:t>10</w:t>
      </w:r>
      <w:r>
        <w:rPr>
          <w:rFonts w:ascii="仿宋_GB2312" w:eastAsia="仿宋_GB2312" w:hint="eastAsia"/>
          <w:sz w:val="30"/>
          <w:szCs w:val="30"/>
        </w:rPr>
        <w:t>：</w:t>
      </w:r>
      <w:r>
        <w:rPr>
          <w:rFonts w:ascii="仿宋_GB2312" w:eastAsia="仿宋_GB2312" w:hint="eastAsia"/>
          <w:sz w:val="30"/>
          <w:szCs w:val="30"/>
        </w:rPr>
        <w:t>30</w:t>
      </w:r>
      <w:r>
        <w:rPr>
          <w:rFonts w:ascii="仿宋_GB2312" w:eastAsia="仿宋_GB2312" w:hint="eastAsia"/>
          <w:sz w:val="30"/>
          <w:szCs w:val="30"/>
        </w:rPr>
        <w:t>前，基金管理人向中国结算上海分公司提交第五十八条规定的（一）（二）材料；</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（三）</w:t>
      </w:r>
      <w:r>
        <w:rPr>
          <w:rFonts w:ascii="仿宋_GB2312" w:eastAsia="仿宋_GB2312" w:hint="eastAsia"/>
          <w:sz w:val="30"/>
          <w:szCs w:val="30"/>
        </w:rPr>
        <w:t>T+2</w:t>
      </w:r>
      <w:r>
        <w:rPr>
          <w:rFonts w:ascii="仿宋_GB2312" w:eastAsia="仿宋_GB2312" w:hint="eastAsia"/>
          <w:sz w:val="30"/>
          <w:szCs w:val="30"/>
        </w:rPr>
        <w:t>日，确认基金折算结果，领取《证券变更登记证明》。</w:t>
      </w:r>
    </w:p>
    <w:p w:rsidR="0001723C" w:rsidRDefault="007535F4">
      <w:pPr>
        <w:pStyle w:val="af9"/>
        <w:spacing w:line="560" w:lineRule="exact"/>
        <w:ind w:firstLineChars="0" w:firstLine="0"/>
        <w:jc w:val="center"/>
        <w:rPr>
          <w:rFonts w:ascii="黑体" w:eastAsia="黑体" w:hAnsi="黑体"/>
          <w:b/>
          <w:sz w:val="30"/>
          <w:szCs w:val="30"/>
        </w:rPr>
      </w:pPr>
      <w:r>
        <w:rPr>
          <w:rFonts w:ascii="黑体" w:eastAsia="黑体" w:hAnsi="黑体"/>
          <w:b/>
          <w:sz w:val="30"/>
          <w:szCs w:val="30"/>
        </w:rPr>
        <w:t>第八章</w:t>
      </w:r>
      <w:r>
        <w:rPr>
          <w:rFonts w:ascii="黑体" w:eastAsia="黑体" w:hAnsi="黑体" w:hint="eastAsia"/>
          <w:b/>
          <w:sz w:val="30"/>
          <w:szCs w:val="30"/>
        </w:rPr>
        <w:t>转托管</w:t>
      </w:r>
    </w:p>
    <w:p w:rsidR="0001723C" w:rsidRDefault="007535F4">
      <w:pPr>
        <w:pStyle w:val="3"/>
        <w:numPr>
          <w:ilvl w:val="0"/>
          <w:numId w:val="0"/>
        </w:numPr>
        <w:tabs>
          <w:tab w:val="clear" w:pos="1676"/>
          <w:tab w:val="left" w:pos="0"/>
        </w:tabs>
        <w:spacing w:line="560" w:lineRule="exact"/>
        <w:ind w:firstLineChars="200" w:firstLine="600"/>
        <w:rPr>
          <w:sz w:val="30"/>
          <w:szCs w:val="30"/>
        </w:rPr>
      </w:pPr>
      <w:r>
        <w:rPr>
          <w:rFonts w:hint="eastAsia"/>
          <w:sz w:val="30"/>
          <w:szCs w:val="30"/>
        </w:rPr>
        <w:t>第六十条</w:t>
      </w:r>
      <w:r>
        <w:rPr>
          <w:rFonts w:hint="eastAsia"/>
          <w:sz w:val="30"/>
          <w:szCs w:val="30"/>
        </w:rPr>
        <w:t>投资者将其持有的上证</w:t>
      </w:r>
      <w:r>
        <w:rPr>
          <w:rFonts w:hint="eastAsia"/>
          <w:sz w:val="30"/>
          <w:szCs w:val="30"/>
        </w:rPr>
        <w:t>LOF</w:t>
      </w:r>
      <w:r>
        <w:rPr>
          <w:rFonts w:hint="eastAsia"/>
          <w:sz w:val="30"/>
          <w:szCs w:val="30"/>
        </w:rPr>
        <w:t>场内份额在上交所场内不同场内证券经营机构之间进行指定关系变更的，应按照上交所的相关规定办理。</w:t>
      </w:r>
    </w:p>
    <w:p w:rsidR="0001723C" w:rsidRDefault="007535F4">
      <w:pPr>
        <w:pStyle w:val="3"/>
        <w:numPr>
          <w:ilvl w:val="0"/>
          <w:numId w:val="0"/>
        </w:numPr>
        <w:tabs>
          <w:tab w:val="clear" w:pos="1676"/>
          <w:tab w:val="left" w:pos="0"/>
        </w:tabs>
        <w:spacing w:line="560" w:lineRule="exact"/>
        <w:ind w:firstLineChars="200" w:firstLine="600"/>
        <w:rPr>
          <w:sz w:val="30"/>
          <w:szCs w:val="30"/>
        </w:rPr>
      </w:pPr>
      <w:r>
        <w:rPr>
          <w:rFonts w:hint="eastAsia"/>
          <w:sz w:val="30"/>
          <w:szCs w:val="30"/>
        </w:rPr>
        <w:t>第六十一条</w:t>
      </w:r>
      <w:r>
        <w:rPr>
          <w:rFonts w:hint="eastAsia"/>
          <w:sz w:val="30"/>
          <w:szCs w:val="30"/>
        </w:rPr>
        <w:t>投资者将其持有的上证</w:t>
      </w:r>
      <w:r>
        <w:rPr>
          <w:rFonts w:hint="eastAsia"/>
          <w:sz w:val="30"/>
          <w:szCs w:val="30"/>
        </w:rPr>
        <w:t>LOF</w:t>
      </w:r>
      <w:r>
        <w:rPr>
          <w:rFonts w:hint="eastAsia"/>
          <w:sz w:val="30"/>
          <w:szCs w:val="30"/>
        </w:rPr>
        <w:t>场外份额在不同场外基金销售机构进行场外系统内转托管的，应按照《中国结算开放式证券投资基金及证券公司集合资产管理计划登记结算业务指南》的相关规定办理。</w:t>
      </w:r>
    </w:p>
    <w:p w:rsidR="0001723C" w:rsidRDefault="007535F4">
      <w:pPr>
        <w:pStyle w:val="3"/>
        <w:numPr>
          <w:ilvl w:val="0"/>
          <w:numId w:val="0"/>
        </w:numPr>
        <w:tabs>
          <w:tab w:val="clear" w:pos="1676"/>
          <w:tab w:val="left" w:pos="0"/>
        </w:tabs>
        <w:spacing w:line="560" w:lineRule="exact"/>
        <w:ind w:firstLineChars="200" w:firstLine="600"/>
        <w:rPr>
          <w:sz w:val="30"/>
          <w:szCs w:val="30"/>
        </w:rPr>
      </w:pPr>
      <w:r>
        <w:rPr>
          <w:rFonts w:hint="eastAsia"/>
          <w:sz w:val="30"/>
          <w:szCs w:val="30"/>
        </w:rPr>
        <w:t>第六十二条</w:t>
      </w:r>
      <w:r>
        <w:rPr>
          <w:rFonts w:hint="eastAsia"/>
          <w:sz w:val="30"/>
          <w:szCs w:val="30"/>
        </w:rPr>
        <w:t>投资者将其持有的上证</w:t>
      </w:r>
      <w:r>
        <w:rPr>
          <w:rFonts w:hint="eastAsia"/>
          <w:sz w:val="30"/>
          <w:szCs w:val="30"/>
        </w:rPr>
        <w:t>LOF</w:t>
      </w:r>
      <w:r>
        <w:rPr>
          <w:rFonts w:hint="eastAsia"/>
          <w:sz w:val="30"/>
          <w:szCs w:val="30"/>
        </w:rPr>
        <w:t>场内份额转托管至场外基金销售机构（场内转场外），或将其持有的上证</w:t>
      </w:r>
      <w:r>
        <w:rPr>
          <w:rFonts w:hint="eastAsia"/>
          <w:sz w:val="30"/>
          <w:szCs w:val="30"/>
        </w:rPr>
        <w:t>LOF</w:t>
      </w:r>
      <w:r>
        <w:rPr>
          <w:rFonts w:hint="eastAsia"/>
          <w:sz w:val="30"/>
          <w:szCs w:val="30"/>
        </w:rPr>
        <w:t>场外份额转托管至场内证券经营机构（场外转场内），应办理跨系统转托管业务。</w:t>
      </w:r>
    </w:p>
    <w:p w:rsidR="0001723C" w:rsidRDefault="007535F4">
      <w:pPr>
        <w:tabs>
          <w:tab w:val="left" w:pos="0"/>
        </w:tabs>
        <w:spacing w:line="560" w:lineRule="exact"/>
        <w:ind w:firstLineChars="200" w:firstLine="600"/>
        <w:rPr>
          <w:rFonts w:ascii="仿宋_GB2312" w:eastAsia="仿宋_GB2312"/>
          <w:sz w:val="30"/>
          <w:szCs w:val="30"/>
        </w:rPr>
      </w:pPr>
      <w:r>
        <w:rPr>
          <w:rFonts w:ascii="仿宋_GB2312" w:eastAsia="仿宋_GB2312" w:hint="eastAsia"/>
          <w:sz w:val="30"/>
          <w:szCs w:val="30"/>
        </w:rPr>
        <w:t>第六十三条</w:t>
      </w:r>
      <w:r>
        <w:rPr>
          <w:rFonts w:ascii="仿宋_GB2312" w:eastAsia="仿宋_GB2312" w:hint="eastAsia"/>
          <w:sz w:val="30"/>
          <w:szCs w:val="30"/>
        </w:rPr>
        <w:t>上证</w:t>
      </w:r>
      <w:r>
        <w:rPr>
          <w:rFonts w:ascii="仿宋_GB2312" w:eastAsia="仿宋_GB2312" w:hint="eastAsia"/>
          <w:sz w:val="30"/>
          <w:szCs w:val="30"/>
        </w:rPr>
        <w:t>LOF</w:t>
      </w:r>
      <w:r>
        <w:rPr>
          <w:rFonts w:ascii="仿宋_GB2312" w:eastAsia="仿宋_GB2312" w:hint="eastAsia"/>
          <w:sz w:val="30"/>
          <w:szCs w:val="30"/>
        </w:rPr>
        <w:t>跨系统</w:t>
      </w:r>
      <w:r>
        <w:rPr>
          <w:rFonts w:ascii="仿宋_GB2312" w:eastAsia="仿宋_GB2312" w:hint="eastAsia"/>
          <w:sz w:val="30"/>
          <w:szCs w:val="30"/>
        </w:rPr>
        <w:t>转托管只限于</w:t>
      </w:r>
      <w:r>
        <w:rPr>
          <w:rFonts w:ascii="仿宋_GB2312" w:eastAsia="仿宋_GB2312" w:hAnsi="宋体" w:hint="eastAsia"/>
          <w:bCs/>
          <w:sz w:val="30"/>
          <w:szCs w:val="30"/>
        </w:rPr>
        <w:t>在上海证券</w:t>
      </w:r>
      <w:r>
        <w:rPr>
          <w:rFonts w:ascii="仿宋_GB2312" w:eastAsia="仿宋_GB2312" w:hint="eastAsia"/>
          <w:sz w:val="30"/>
          <w:szCs w:val="30"/>
        </w:rPr>
        <w:t>账户和与其对应的上海开放式</w:t>
      </w:r>
      <w:r>
        <w:rPr>
          <w:rFonts w:ascii="仿宋_GB2312" w:eastAsia="仿宋_GB2312" w:hAnsi="宋体" w:hint="eastAsia"/>
          <w:bCs/>
          <w:sz w:val="30"/>
          <w:szCs w:val="30"/>
        </w:rPr>
        <w:t>基金账户之</w:t>
      </w:r>
      <w:r>
        <w:rPr>
          <w:rFonts w:ascii="仿宋_GB2312" w:eastAsia="仿宋_GB2312" w:hint="eastAsia"/>
          <w:sz w:val="30"/>
          <w:szCs w:val="30"/>
        </w:rPr>
        <w:t>间进行。</w:t>
      </w:r>
    </w:p>
    <w:p w:rsidR="0001723C" w:rsidRDefault="007535F4">
      <w:pPr>
        <w:tabs>
          <w:tab w:val="left" w:pos="0"/>
        </w:tabs>
        <w:spacing w:line="560" w:lineRule="exact"/>
        <w:ind w:firstLineChars="200" w:firstLine="600"/>
        <w:rPr>
          <w:rFonts w:ascii="仿宋_GB2312" w:eastAsia="仿宋_GB2312"/>
          <w:sz w:val="30"/>
          <w:szCs w:val="30"/>
        </w:rPr>
      </w:pPr>
      <w:r>
        <w:rPr>
          <w:rFonts w:ascii="仿宋_GB2312" w:eastAsia="仿宋_GB2312" w:hint="eastAsia"/>
          <w:sz w:val="30"/>
          <w:szCs w:val="30"/>
        </w:rPr>
        <w:t>第六十四条</w:t>
      </w:r>
      <w:r>
        <w:rPr>
          <w:rFonts w:ascii="仿宋_GB2312" w:eastAsia="仿宋_GB2312" w:hint="eastAsia"/>
          <w:sz w:val="30"/>
          <w:szCs w:val="30"/>
        </w:rPr>
        <w:t>下列情形不允许跨系统转托管：</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（一）分红期间（权益登记日的前两个交易日至权益登记日）。</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（二）处于质押、冻结等状态的上证</w:t>
      </w:r>
      <w:r>
        <w:rPr>
          <w:rFonts w:ascii="仿宋_GB2312" w:eastAsia="仿宋_GB2312" w:hint="eastAsia"/>
          <w:sz w:val="30"/>
          <w:szCs w:val="30"/>
        </w:rPr>
        <w:t>LOF</w:t>
      </w:r>
      <w:r>
        <w:rPr>
          <w:rFonts w:ascii="仿宋_GB2312" w:eastAsia="仿宋_GB2312" w:hint="eastAsia"/>
          <w:sz w:val="30"/>
          <w:szCs w:val="30"/>
        </w:rPr>
        <w:t>份额。</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（三）基金份额折算基准日至折算处理日。</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（四）上交所及中国结算规定的其他情形。</w:t>
      </w:r>
    </w:p>
    <w:p w:rsidR="0001723C" w:rsidRDefault="007535F4">
      <w:pPr>
        <w:tabs>
          <w:tab w:val="left" w:pos="0"/>
        </w:tabs>
        <w:spacing w:line="560" w:lineRule="exact"/>
        <w:ind w:firstLineChars="200" w:firstLine="600"/>
        <w:rPr>
          <w:rFonts w:ascii="仿宋_GB2312" w:eastAsia="仿宋_GB2312"/>
          <w:sz w:val="30"/>
          <w:szCs w:val="30"/>
        </w:rPr>
      </w:pPr>
      <w:r>
        <w:rPr>
          <w:rFonts w:ascii="仿宋_GB2312" w:eastAsia="仿宋_GB2312" w:hint="eastAsia"/>
          <w:sz w:val="30"/>
          <w:szCs w:val="30"/>
        </w:rPr>
        <w:t>第六十五条</w:t>
      </w:r>
      <w:r>
        <w:rPr>
          <w:rFonts w:ascii="仿宋_GB2312" w:eastAsia="仿宋_GB2312" w:hint="eastAsia"/>
          <w:sz w:val="30"/>
          <w:szCs w:val="30"/>
        </w:rPr>
        <w:t>场内转场外转托管业务按照以下流程办理：</w:t>
      </w:r>
    </w:p>
    <w:p w:rsidR="0001723C" w:rsidRDefault="007535F4">
      <w:pPr>
        <w:tabs>
          <w:tab w:val="left" w:pos="0"/>
        </w:tabs>
        <w:spacing w:line="560" w:lineRule="exact"/>
        <w:ind w:firstLineChars="200" w:firstLine="600"/>
        <w:rPr>
          <w:rFonts w:ascii="仿宋_GB2312" w:eastAsia="仿宋_GB2312"/>
          <w:sz w:val="30"/>
          <w:szCs w:val="30"/>
        </w:rPr>
      </w:pPr>
      <w:r>
        <w:rPr>
          <w:rFonts w:ascii="仿宋_GB2312" w:eastAsia="仿宋_GB2312" w:hint="eastAsia"/>
          <w:sz w:val="30"/>
          <w:szCs w:val="30"/>
        </w:rPr>
        <w:t>（一）投资者在正式申请办理转托管手续前，应确保已在拟转入的场外基金销售机构（转入方）处成功办理开放式基金账户开立或登记，并获知该场外基金销售机构代码。</w:t>
      </w:r>
    </w:p>
    <w:p w:rsidR="0001723C" w:rsidRDefault="007535F4">
      <w:pPr>
        <w:tabs>
          <w:tab w:val="left" w:pos="0"/>
        </w:tabs>
        <w:spacing w:line="560" w:lineRule="exact"/>
        <w:ind w:firstLineChars="200" w:firstLine="600"/>
        <w:rPr>
          <w:rFonts w:ascii="仿宋_GB2312" w:eastAsia="仿宋_GB2312"/>
          <w:sz w:val="30"/>
          <w:szCs w:val="30"/>
        </w:rPr>
      </w:pPr>
      <w:r>
        <w:rPr>
          <w:rFonts w:ascii="仿宋_GB2312" w:eastAsia="仿宋_GB2312" w:hint="eastAsia"/>
          <w:sz w:val="30"/>
          <w:szCs w:val="30"/>
        </w:rPr>
        <w:t>（二）转托管申请日</w:t>
      </w:r>
      <w:r>
        <w:rPr>
          <w:rFonts w:ascii="仿宋_GB2312" w:eastAsia="仿宋_GB2312" w:hint="eastAsia"/>
          <w:sz w:val="30"/>
          <w:szCs w:val="30"/>
        </w:rPr>
        <w:t>（</w:t>
      </w:r>
      <w:r>
        <w:rPr>
          <w:rFonts w:ascii="仿宋_GB2312" w:eastAsia="仿宋_GB2312" w:hint="eastAsia"/>
          <w:sz w:val="30"/>
          <w:szCs w:val="30"/>
        </w:rPr>
        <w:t>T</w:t>
      </w:r>
      <w:r>
        <w:rPr>
          <w:rFonts w:ascii="仿宋_GB2312" w:eastAsia="仿宋_GB2312" w:hint="eastAsia"/>
          <w:sz w:val="30"/>
          <w:szCs w:val="30"/>
        </w:rPr>
        <w:t>日）交易时间，投资者通过拟转出的场内证券经营机构（转出方）向上交所提交上证</w:t>
      </w:r>
      <w:r>
        <w:rPr>
          <w:rFonts w:ascii="仿宋_GB2312" w:eastAsia="仿宋_GB2312" w:hint="eastAsia"/>
          <w:sz w:val="30"/>
          <w:szCs w:val="30"/>
        </w:rPr>
        <w:t>LOF</w:t>
      </w:r>
      <w:r>
        <w:rPr>
          <w:rFonts w:ascii="仿宋_GB2312" w:eastAsia="仿宋_GB2312" w:hint="eastAsia"/>
          <w:sz w:val="30"/>
          <w:szCs w:val="30"/>
        </w:rPr>
        <w:t>场内转场外转托管业务申请。场内证券经营机构（转出方）按照相关数据接口规范申报转托管，必须注明证券账户号码、基金代码、场外基金销售机构（转入方）代码和转托管数量。其中，转托管数量须为大于</w:t>
      </w:r>
      <w:r>
        <w:rPr>
          <w:rFonts w:ascii="仿宋_GB2312" w:eastAsia="仿宋_GB2312" w:hint="eastAsia"/>
          <w:sz w:val="30"/>
          <w:szCs w:val="30"/>
        </w:rPr>
        <w:t>0</w:t>
      </w:r>
      <w:r>
        <w:rPr>
          <w:rFonts w:ascii="仿宋_GB2312" w:eastAsia="仿宋_GB2312" w:hint="eastAsia"/>
          <w:sz w:val="30"/>
          <w:szCs w:val="30"/>
        </w:rPr>
        <w:t>的整数份。</w:t>
      </w:r>
    </w:p>
    <w:p w:rsidR="0001723C" w:rsidRDefault="007535F4">
      <w:pPr>
        <w:tabs>
          <w:tab w:val="left" w:pos="0"/>
        </w:tabs>
        <w:spacing w:line="560" w:lineRule="exact"/>
        <w:ind w:firstLineChars="200" w:firstLine="600"/>
        <w:rPr>
          <w:rFonts w:ascii="仿宋_GB2312" w:eastAsia="仿宋_GB2312"/>
          <w:sz w:val="30"/>
          <w:szCs w:val="30"/>
        </w:rPr>
      </w:pPr>
      <w:r>
        <w:rPr>
          <w:rFonts w:ascii="仿宋_GB2312" w:eastAsia="仿宋_GB2312" w:hint="eastAsia"/>
          <w:sz w:val="30"/>
          <w:szCs w:val="30"/>
        </w:rPr>
        <w:t>（三）</w:t>
      </w:r>
      <w:r>
        <w:rPr>
          <w:rFonts w:ascii="仿宋_GB2312" w:eastAsia="仿宋_GB2312" w:hint="eastAsia"/>
          <w:sz w:val="30"/>
          <w:szCs w:val="30"/>
        </w:rPr>
        <w:t>T</w:t>
      </w:r>
      <w:r>
        <w:rPr>
          <w:rFonts w:ascii="仿宋_GB2312" w:eastAsia="仿宋_GB2312" w:hint="eastAsia"/>
          <w:sz w:val="30"/>
          <w:szCs w:val="30"/>
        </w:rPr>
        <w:t>日日终，上交所将当日所有场内转场外转托管申请数据发送中国结算上海分公司。中国结算上海分公司证券登记系统对申请数据进行检查，对有效申请进行相关份额锁定处理，并将相关数据发送中国结算</w:t>
      </w:r>
      <w:r>
        <w:rPr>
          <w:rFonts w:ascii="仿宋_GB2312" w:eastAsia="仿宋_GB2312" w:hint="eastAsia"/>
          <w:sz w:val="30"/>
          <w:szCs w:val="30"/>
        </w:rPr>
        <w:t>TA</w:t>
      </w:r>
      <w:r>
        <w:rPr>
          <w:rFonts w:ascii="仿宋_GB2312" w:eastAsia="仿宋_GB2312" w:hint="eastAsia"/>
          <w:sz w:val="30"/>
          <w:szCs w:val="30"/>
        </w:rPr>
        <w:t>系统。</w:t>
      </w:r>
    </w:p>
    <w:p w:rsidR="0001723C" w:rsidRDefault="007535F4">
      <w:pPr>
        <w:tabs>
          <w:tab w:val="left" w:pos="0"/>
        </w:tabs>
        <w:spacing w:line="560" w:lineRule="exact"/>
        <w:ind w:firstLineChars="200" w:firstLine="600"/>
        <w:rPr>
          <w:rFonts w:ascii="仿宋_GB2312" w:eastAsia="仿宋_GB2312"/>
          <w:sz w:val="30"/>
          <w:szCs w:val="30"/>
        </w:rPr>
      </w:pPr>
      <w:r>
        <w:rPr>
          <w:rFonts w:ascii="仿宋_GB2312" w:eastAsia="仿宋_GB2312" w:hint="eastAsia"/>
          <w:sz w:val="30"/>
          <w:szCs w:val="30"/>
        </w:rPr>
        <w:t>中国结算</w:t>
      </w:r>
      <w:r>
        <w:rPr>
          <w:rFonts w:ascii="仿宋_GB2312" w:eastAsia="仿宋_GB2312" w:hint="eastAsia"/>
          <w:sz w:val="30"/>
          <w:szCs w:val="30"/>
        </w:rPr>
        <w:t>TA</w:t>
      </w:r>
      <w:r>
        <w:rPr>
          <w:rFonts w:ascii="仿宋_GB2312" w:eastAsia="仿宋_GB2312" w:hint="eastAsia"/>
          <w:sz w:val="30"/>
          <w:szCs w:val="30"/>
        </w:rPr>
        <w:t>系统对场内转场外转托</w:t>
      </w:r>
      <w:r>
        <w:rPr>
          <w:rFonts w:ascii="仿宋_GB2312" w:eastAsia="仿宋_GB2312" w:hint="eastAsia"/>
          <w:sz w:val="30"/>
          <w:szCs w:val="30"/>
        </w:rPr>
        <w:t>管进行检查，对于合格的场内转场外转托管申请，中国结算</w:t>
      </w:r>
      <w:r>
        <w:rPr>
          <w:rFonts w:ascii="仿宋_GB2312" w:eastAsia="仿宋_GB2312" w:hint="eastAsia"/>
          <w:sz w:val="30"/>
          <w:szCs w:val="30"/>
        </w:rPr>
        <w:t>TA</w:t>
      </w:r>
      <w:r>
        <w:rPr>
          <w:rFonts w:ascii="仿宋_GB2312" w:eastAsia="仿宋_GB2312" w:hint="eastAsia"/>
          <w:sz w:val="30"/>
          <w:szCs w:val="30"/>
        </w:rPr>
        <w:t>系统根据中国结算上海分公司证券登记系统最新场内份额数据，将转入的上证</w:t>
      </w:r>
      <w:r>
        <w:rPr>
          <w:rFonts w:ascii="仿宋_GB2312" w:eastAsia="仿宋_GB2312" w:hint="eastAsia"/>
          <w:sz w:val="30"/>
          <w:szCs w:val="30"/>
        </w:rPr>
        <w:t>LOF</w:t>
      </w:r>
      <w:r>
        <w:rPr>
          <w:rFonts w:ascii="仿宋_GB2312" w:eastAsia="仿宋_GB2312" w:hint="eastAsia"/>
          <w:sz w:val="30"/>
          <w:szCs w:val="30"/>
        </w:rPr>
        <w:t>份额记入投资者上海开放式基金账户中；对于不合格的场内转场外转托管申请，中国结算</w:t>
      </w:r>
      <w:r>
        <w:rPr>
          <w:rFonts w:ascii="仿宋_GB2312" w:eastAsia="仿宋_GB2312" w:hint="eastAsia"/>
          <w:sz w:val="30"/>
          <w:szCs w:val="30"/>
        </w:rPr>
        <w:t>TA</w:t>
      </w:r>
      <w:r>
        <w:rPr>
          <w:rFonts w:ascii="仿宋_GB2312" w:eastAsia="仿宋_GB2312" w:hint="eastAsia"/>
          <w:sz w:val="30"/>
          <w:szCs w:val="30"/>
        </w:rPr>
        <w:t>系统将对该申请做失败处理。</w:t>
      </w:r>
    </w:p>
    <w:p w:rsidR="0001723C" w:rsidRDefault="007535F4">
      <w:pPr>
        <w:tabs>
          <w:tab w:val="left" w:pos="0"/>
        </w:tabs>
        <w:spacing w:line="560" w:lineRule="exact"/>
        <w:ind w:firstLineChars="200" w:firstLine="600"/>
        <w:rPr>
          <w:rFonts w:ascii="仿宋_GB2312" w:eastAsia="仿宋_GB2312"/>
          <w:sz w:val="30"/>
          <w:szCs w:val="30"/>
        </w:rPr>
      </w:pPr>
      <w:r>
        <w:rPr>
          <w:rFonts w:ascii="仿宋_GB2312" w:eastAsia="仿宋_GB2312" w:hint="eastAsia"/>
          <w:sz w:val="30"/>
          <w:szCs w:val="30"/>
        </w:rPr>
        <w:t>（四）</w:t>
      </w:r>
      <w:r>
        <w:rPr>
          <w:rFonts w:ascii="仿宋_GB2312" w:eastAsia="仿宋_GB2312" w:hint="eastAsia"/>
          <w:sz w:val="30"/>
          <w:szCs w:val="30"/>
        </w:rPr>
        <w:t>T</w:t>
      </w:r>
      <w:r>
        <w:rPr>
          <w:rFonts w:ascii="仿宋_GB2312" w:eastAsia="仿宋_GB2312" w:hint="eastAsia"/>
          <w:sz w:val="30"/>
          <w:szCs w:val="30"/>
        </w:rPr>
        <w:t>＋</w:t>
      </w:r>
      <w:r>
        <w:rPr>
          <w:rFonts w:ascii="仿宋_GB2312" w:eastAsia="仿宋_GB2312" w:hint="eastAsia"/>
          <w:sz w:val="30"/>
          <w:szCs w:val="30"/>
        </w:rPr>
        <w:t>1</w:t>
      </w:r>
      <w:r>
        <w:rPr>
          <w:rFonts w:ascii="仿宋_GB2312" w:eastAsia="仿宋_GB2312" w:hint="eastAsia"/>
          <w:sz w:val="30"/>
          <w:szCs w:val="30"/>
        </w:rPr>
        <w:t>日，中国结算</w:t>
      </w:r>
      <w:r>
        <w:rPr>
          <w:rFonts w:ascii="仿宋_GB2312" w:eastAsia="仿宋_GB2312" w:hint="eastAsia"/>
          <w:sz w:val="30"/>
          <w:szCs w:val="30"/>
        </w:rPr>
        <w:t>TA</w:t>
      </w:r>
      <w:r>
        <w:rPr>
          <w:rFonts w:ascii="仿宋_GB2312" w:eastAsia="仿宋_GB2312" w:hint="eastAsia"/>
          <w:sz w:val="30"/>
          <w:szCs w:val="30"/>
        </w:rPr>
        <w:t>系统将场内转场外转托管业务回报发送中国结算上海分公司。对于转托管成功的，由中国结算上海分公司证券登记系统正式进行场内份额变更登记处理；对于</w:t>
      </w:r>
      <w:r>
        <w:rPr>
          <w:rFonts w:ascii="仿宋_GB2312" w:eastAsia="仿宋_GB2312" w:hint="eastAsia"/>
          <w:sz w:val="30"/>
          <w:szCs w:val="30"/>
        </w:rPr>
        <w:lastRenderedPageBreak/>
        <w:t>转托管失败的，由其进行相应场内份额解锁处理。</w:t>
      </w:r>
    </w:p>
    <w:p w:rsidR="0001723C" w:rsidRDefault="007535F4">
      <w:pPr>
        <w:tabs>
          <w:tab w:val="left" w:pos="0"/>
        </w:tabs>
        <w:spacing w:line="560" w:lineRule="exact"/>
        <w:ind w:firstLineChars="200" w:firstLine="600"/>
        <w:rPr>
          <w:rFonts w:ascii="仿宋_GB2312" w:eastAsia="仿宋_GB2312"/>
          <w:sz w:val="30"/>
          <w:szCs w:val="30"/>
        </w:rPr>
      </w:pPr>
      <w:r>
        <w:rPr>
          <w:rFonts w:ascii="仿宋_GB2312" w:eastAsia="仿宋_GB2312" w:hint="eastAsia"/>
          <w:sz w:val="30"/>
          <w:szCs w:val="30"/>
        </w:rPr>
        <w:t>中国结算上海分公司将场内转场外转托管业务回报、场内基金份额对</w:t>
      </w:r>
      <w:r>
        <w:rPr>
          <w:rFonts w:ascii="仿宋_GB2312" w:eastAsia="仿宋_GB2312" w:hint="eastAsia"/>
          <w:sz w:val="30"/>
          <w:szCs w:val="30"/>
        </w:rPr>
        <w:t>账等相关数据发送相关场内证券经营机构。</w:t>
      </w:r>
    </w:p>
    <w:p w:rsidR="0001723C" w:rsidRDefault="007535F4">
      <w:pPr>
        <w:tabs>
          <w:tab w:val="left" w:pos="0"/>
        </w:tabs>
        <w:spacing w:line="560" w:lineRule="exact"/>
        <w:ind w:firstLineChars="200" w:firstLine="600"/>
        <w:rPr>
          <w:rFonts w:ascii="仿宋_GB2312" w:eastAsia="仿宋_GB2312"/>
          <w:sz w:val="30"/>
          <w:szCs w:val="30"/>
        </w:rPr>
      </w:pPr>
      <w:r>
        <w:rPr>
          <w:rFonts w:ascii="仿宋_GB2312" w:eastAsia="仿宋_GB2312" w:hint="eastAsia"/>
          <w:sz w:val="30"/>
          <w:szCs w:val="30"/>
        </w:rPr>
        <w:t>中国结算</w:t>
      </w:r>
      <w:r>
        <w:rPr>
          <w:rFonts w:ascii="仿宋_GB2312" w:eastAsia="仿宋_GB2312" w:hint="eastAsia"/>
          <w:sz w:val="30"/>
          <w:szCs w:val="30"/>
        </w:rPr>
        <w:t>TA</w:t>
      </w:r>
      <w:r>
        <w:rPr>
          <w:rFonts w:ascii="仿宋_GB2312" w:eastAsia="仿宋_GB2312" w:hint="eastAsia"/>
          <w:sz w:val="30"/>
          <w:szCs w:val="30"/>
        </w:rPr>
        <w:t>系统将场内转场外转托管业务回报、场外基金份额对账等相关数据发送相关场外基金销售机构。</w:t>
      </w:r>
    </w:p>
    <w:p w:rsidR="0001723C" w:rsidRDefault="007535F4">
      <w:pPr>
        <w:tabs>
          <w:tab w:val="left" w:pos="0"/>
        </w:tabs>
        <w:spacing w:line="560" w:lineRule="exact"/>
        <w:ind w:firstLineChars="200" w:firstLine="600"/>
        <w:rPr>
          <w:rFonts w:ascii="仿宋_GB2312" w:eastAsia="仿宋_GB2312"/>
          <w:sz w:val="30"/>
          <w:szCs w:val="30"/>
        </w:rPr>
      </w:pPr>
      <w:r>
        <w:rPr>
          <w:rFonts w:ascii="仿宋_GB2312" w:eastAsia="仿宋_GB2312" w:hint="eastAsia"/>
          <w:sz w:val="30"/>
          <w:szCs w:val="30"/>
        </w:rPr>
        <w:t>中国结算</w:t>
      </w:r>
      <w:r>
        <w:rPr>
          <w:rFonts w:ascii="仿宋_GB2312" w:eastAsia="仿宋_GB2312" w:hint="eastAsia"/>
          <w:sz w:val="30"/>
          <w:szCs w:val="30"/>
        </w:rPr>
        <w:t>TA</w:t>
      </w:r>
      <w:r>
        <w:rPr>
          <w:rFonts w:ascii="仿宋_GB2312" w:eastAsia="仿宋_GB2312" w:hint="eastAsia"/>
          <w:sz w:val="30"/>
          <w:szCs w:val="30"/>
        </w:rPr>
        <w:t>系统将场内转场外转托管交易回报数据和场内、场外基金份额对账等相关数据一并发送至基金管理人。</w:t>
      </w:r>
    </w:p>
    <w:p w:rsidR="0001723C" w:rsidRDefault="007535F4">
      <w:pPr>
        <w:tabs>
          <w:tab w:val="left" w:pos="-720"/>
          <w:tab w:val="left" w:pos="0"/>
          <w:tab w:val="left" w:pos="720"/>
          <w:tab w:val="left" w:pos="1440"/>
          <w:tab w:val="left" w:pos="2160"/>
          <w:tab w:val="left" w:pos="2880"/>
          <w:tab w:val="left" w:pos="3600"/>
          <w:tab w:val="left" w:pos="4320"/>
        </w:tabs>
        <w:autoSpaceDE w:val="0"/>
        <w:autoSpaceDN w:val="0"/>
        <w:adjustRightInd w:val="0"/>
        <w:spacing w:line="560" w:lineRule="exact"/>
        <w:ind w:firstLineChars="200" w:firstLine="600"/>
        <w:rPr>
          <w:rFonts w:ascii="仿宋_GB2312" w:eastAsia="仿宋_GB2312"/>
          <w:sz w:val="30"/>
          <w:szCs w:val="30"/>
        </w:rPr>
      </w:pPr>
      <w:r>
        <w:rPr>
          <w:rFonts w:ascii="仿宋_GB2312" w:eastAsia="仿宋_GB2312" w:hint="eastAsia"/>
          <w:sz w:val="30"/>
          <w:szCs w:val="30"/>
        </w:rPr>
        <w:t>（五）</w:t>
      </w:r>
      <w:r>
        <w:rPr>
          <w:rFonts w:ascii="仿宋_GB2312" w:eastAsia="仿宋_GB2312" w:hint="eastAsia"/>
          <w:sz w:val="30"/>
          <w:szCs w:val="30"/>
        </w:rPr>
        <w:t>T</w:t>
      </w:r>
      <w:r>
        <w:rPr>
          <w:rFonts w:ascii="仿宋_GB2312" w:eastAsia="仿宋_GB2312" w:hint="eastAsia"/>
          <w:sz w:val="30"/>
          <w:szCs w:val="30"/>
        </w:rPr>
        <w:t>＋</w:t>
      </w:r>
      <w:r>
        <w:rPr>
          <w:rFonts w:ascii="仿宋_GB2312" w:eastAsia="仿宋_GB2312" w:hint="eastAsia"/>
          <w:sz w:val="30"/>
          <w:szCs w:val="30"/>
        </w:rPr>
        <w:t>2</w:t>
      </w:r>
      <w:r>
        <w:rPr>
          <w:rFonts w:ascii="仿宋_GB2312" w:eastAsia="仿宋_GB2312" w:hint="eastAsia"/>
          <w:sz w:val="30"/>
          <w:szCs w:val="30"/>
        </w:rPr>
        <w:t>日，投资者可以在场外基金销售机构（转入方）处查询转托管转入的上证</w:t>
      </w:r>
      <w:r>
        <w:rPr>
          <w:rFonts w:ascii="仿宋_GB2312" w:eastAsia="仿宋_GB2312" w:hint="eastAsia"/>
          <w:sz w:val="30"/>
          <w:szCs w:val="30"/>
        </w:rPr>
        <w:t>LOF</w:t>
      </w:r>
      <w:r>
        <w:rPr>
          <w:rFonts w:ascii="仿宋_GB2312" w:eastAsia="仿宋_GB2312" w:hint="eastAsia"/>
          <w:sz w:val="30"/>
          <w:szCs w:val="30"/>
        </w:rPr>
        <w:t>份额。</w:t>
      </w:r>
    </w:p>
    <w:p w:rsidR="0001723C" w:rsidRDefault="007535F4">
      <w:pPr>
        <w:tabs>
          <w:tab w:val="left" w:pos="0"/>
        </w:tabs>
        <w:spacing w:line="560" w:lineRule="exact"/>
        <w:ind w:firstLineChars="200" w:firstLine="600"/>
        <w:rPr>
          <w:rFonts w:ascii="仿宋_GB2312" w:eastAsia="仿宋_GB2312"/>
          <w:sz w:val="30"/>
          <w:szCs w:val="30"/>
        </w:rPr>
      </w:pPr>
      <w:r>
        <w:rPr>
          <w:rFonts w:ascii="仿宋_GB2312" w:eastAsia="仿宋_GB2312" w:hint="eastAsia"/>
          <w:sz w:val="30"/>
          <w:szCs w:val="30"/>
        </w:rPr>
        <w:t>第六十六条</w:t>
      </w:r>
      <w:r>
        <w:rPr>
          <w:rFonts w:ascii="仿宋_GB2312" w:eastAsia="仿宋_GB2312" w:hint="eastAsia"/>
          <w:sz w:val="30"/>
          <w:szCs w:val="30"/>
        </w:rPr>
        <w:t>场外转场内转托管业务流程：</w:t>
      </w:r>
    </w:p>
    <w:p w:rsidR="0001723C" w:rsidRDefault="007535F4">
      <w:pPr>
        <w:tabs>
          <w:tab w:val="left" w:pos="-720"/>
          <w:tab w:val="left" w:pos="0"/>
          <w:tab w:val="left" w:pos="720"/>
          <w:tab w:val="left" w:pos="1440"/>
          <w:tab w:val="left" w:pos="2160"/>
          <w:tab w:val="left" w:pos="2880"/>
          <w:tab w:val="left" w:pos="3600"/>
          <w:tab w:val="left" w:pos="4320"/>
        </w:tabs>
        <w:autoSpaceDE w:val="0"/>
        <w:autoSpaceDN w:val="0"/>
        <w:adjustRightInd w:val="0"/>
        <w:spacing w:line="560" w:lineRule="exact"/>
        <w:ind w:firstLineChars="200" w:firstLine="600"/>
        <w:rPr>
          <w:rFonts w:ascii="仿宋_GB2312" w:eastAsia="仿宋_GB2312"/>
          <w:sz w:val="30"/>
          <w:szCs w:val="30"/>
        </w:rPr>
      </w:pPr>
      <w:r>
        <w:rPr>
          <w:rFonts w:ascii="仿宋_GB2312" w:eastAsia="仿宋_GB2312" w:hint="eastAsia"/>
          <w:sz w:val="30"/>
          <w:szCs w:val="30"/>
        </w:rPr>
        <w:t>（一）在正式申请办理场外转场内转托管之前，投资者须确定其上证</w:t>
      </w:r>
      <w:r>
        <w:rPr>
          <w:rFonts w:ascii="仿宋_GB2312" w:eastAsia="仿宋_GB2312" w:hint="eastAsia"/>
          <w:sz w:val="30"/>
          <w:szCs w:val="30"/>
        </w:rPr>
        <w:t>LOF</w:t>
      </w:r>
      <w:r>
        <w:rPr>
          <w:rFonts w:ascii="仿宋_GB2312" w:eastAsia="仿宋_GB2312" w:hint="eastAsia"/>
          <w:sz w:val="30"/>
          <w:szCs w:val="30"/>
        </w:rPr>
        <w:t>份额拟转入方的场内证券经营机构（转入方）的交易单元。</w:t>
      </w:r>
    </w:p>
    <w:p w:rsidR="0001723C" w:rsidRDefault="007535F4">
      <w:pPr>
        <w:tabs>
          <w:tab w:val="left" w:pos="-720"/>
          <w:tab w:val="left" w:pos="0"/>
          <w:tab w:val="left" w:pos="720"/>
          <w:tab w:val="left" w:pos="1440"/>
          <w:tab w:val="left" w:pos="2160"/>
          <w:tab w:val="left" w:pos="2880"/>
          <w:tab w:val="left" w:pos="3600"/>
          <w:tab w:val="left" w:pos="4320"/>
        </w:tabs>
        <w:autoSpaceDE w:val="0"/>
        <w:autoSpaceDN w:val="0"/>
        <w:adjustRightInd w:val="0"/>
        <w:spacing w:line="560" w:lineRule="exact"/>
        <w:ind w:firstLineChars="200" w:firstLine="600"/>
        <w:rPr>
          <w:rFonts w:ascii="仿宋_GB2312" w:eastAsia="仿宋_GB2312"/>
          <w:sz w:val="30"/>
          <w:szCs w:val="30"/>
        </w:rPr>
      </w:pPr>
      <w:r>
        <w:rPr>
          <w:rFonts w:ascii="仿宋_GB2312" w:eastAsia="仿宋_GB2312" w:hint="eastAsia"/>
          <w:sz w:val="30"/>
          <w:szCs w:val="30"/>
        </w:rPr>
        <w:t>（二）</w:t>
      </w:r>
      <w:r>
        <w:rPr>
          <w:rFonts w:ascii="仿宋_GB2312" w:eastAsia="仿宋_GB2312" w:hint="eastAsia"/>
          <w:sz w:val="30"/>
          <w:szCs w:val="30"/>
        </w:rPr>
        <w:t>T</w:t>
      </w:r>
      <w:r>
        <w:rPr>
          <w:rFonts w:ascii="仿宋_GB2312" w:eastAsia="仿宋_GB2312" w:hint="eastAsia"/>
          <w:sz w:val="30"/>
          <w:szCs w:val="30"/>
        </w:rPr>
        <w:t>日交易时间，投资者通过拟转出的场外基金销售机构（转出方）向中国结算</w:t>
      </w:r>
      <w:r>
        <w:rPr>
          <w:rFonts w:ascii="仿宋_GB2312" w:eastAsia="仿宋_GB2312" w:hint="eastAsia"/>
          <w:sz w:val="30"/>
          <w:szCs w:val="30"/>
        </w:rPr>
        <w:t>TA</w:t>
      </w:r>
      <w:r>
        <w:rPr>
          <w:rFonts w:ascii="仿宋_GB2312" w:eastAsia="仿宋_GB2312" w:hint="eastAsia"/>
          <w:sz w:val="30"/>
          <w:szCs w:val="30"/>
        </w:rPr>
        <w:t>系统提交场外转场内转托管业务申请，注明开放式基金账户号码、基金代码、场内证券经营机构（转入方）交易单元和转托管数量；其中，转托管数量须为大于</w:t>
      </w:r>
      <w:r>
        <w:rPr>
          <w:rFonts w:ascii="仿宋_GB2312" w:eastAsia="仿宋_GB2312" w:hint="eastAsia"/>
          <w:sz w:val="30"/>
          <w:szCs w:val="30"/>
        </w:rPr>
        <w:t>0</w:t>
      </w:r>
      <w:r>
        <w:rPr>
          <w:rFonts w:ascii="仿宋_GB2312" w:eastAsia="仿宋_GB2312" w:hint="eastAsia"/>
          <w:sz w:val="30"/>
          <w:szCs w:val="30"/>
        </w:rPr>
        <w:t>的整数份。</w:t>
      </w:r>
    </w:p>
    <w:p w:rsidR="0001723C" w:rsidRDefault="007535F4">
      <w:pPr>
        <w:tabs>
          <w:tab w:val="left" w:pos="-720"/>
          <w:tab w:val="left" w:pos="0"/>
          <w:tab w:val="left" w:pos="720"/>
          <w:tab w:val="left" w:pos="1440"/>
          <w:tab w:val="left" w:pos="2160"/>
          <w:tab w:val="left" w:pos="2880"/>
          <w:tab w:val="left" w:pos="3600"/>
          <w:tab w:val="left" w:pos="4320"/>
        </w:tabs>
        <w:autoSpaceDE w:val="0"/>
        <w:autoSpaceDN w:val="0"/>
        <w:adjustRightInd w:val="0"/>
        <w:spacing w:line="560" w:lineRule="exact"/>
        <w:ind w:firstLineChars="200" w:firstLine="600"/>
        <w:rPr>
          <w:rFonts w:ascii="仿宋_GB2312" w:eastAsia="仿宋_GB2312"/>
          <w:sz w:val="30"/>
          <w:szCs w:val="30"/>
        </w:rPr>
      </w:pPr>
      <w:r>
        <w:rPr>
          <w:rFonts w:ascii="仿宋_GB2312" w:eastAsia="仿宋_GB2312" w:hint="eastAsia"/>
          <w:sz w:val="30"/>
          <w:szCs w:val="30"/>
        </w:rPr>
        <w:t>（三）</w:t>
      </w:r>
      <w:r>
        <w:rPr>
          <w:rFonts w:ascii="仿宋_GB2312" w:eastAsia="仿宋_GB2312" w:hint="eastAsia"/>
          <w:sz w:val="30"/>
          <w:szCs w:val="30"/>
        </w:rPr>
        <w:t>T</w:t>
      </w:r>
      <w:r>
        <w:rPr>
          <w:rFonts w:ascii="仿宋_GB2312" w:eastAsia="仿宋_GB2312" w:hint="eastAsia"/>
          <w:sz w:val="30"/>
          <w:szCs w:val="30"/>
        </w:rPr>
        <w:t>日日终，场外基金销售机构将当日全部场外转场内转托管申请数据发送至中国结算</w:t>
      </w:r>
      <w:r>
        <w:rPr>
          <w:rFonts w:ascii="仿宋_GB2312" w:eastAsia="仿宋_GB2312" w:hint="eastAsia"/>
          <w:sz w:val="30"/>
          <w:szCs w:val="30"/>
        </w:rPr>
        <w:t>TA</w:t>
      </w:r>
      <w:r>
        <w:rPr>
          <w:rFonts w:ascii="仿宋_GB2312" w:eastAsia="仿宋_GB2312" w:hint="eastAsia"/>
          <w:sz w:val="30"/>
          <w:szCs w:val="30"/>
        </w:rPr>
        <w:t>系统。中国结算</w:t>
      </w:r>
      <w:r>
        <w:rPr>
          <w:rFonts w:ascii="仿宋_GB2312" w:eastAsia="仿宋_GB2312" w:hint="eastAsia"/>
          <w:sz w:val="30"/>
          <w:szCs w:val="30"/>
        </w:rPr>
        <w:t>TA</w:t>
      </w:r>
      <w:r>
        <w:rPr>
          <w:rFonts w:ascii="仿宋_GB2312" w:eastAsia="仿宋_GB2312" w:hint="eastAsia"/>
          <w:sz w:val="30"/>
          <w:szCs w:val="30"/>
        </w:rPr>
        <w:t>系统对申请数据进行检查，对检查有效的申请记减投资者上海开放式基金账户中的上证</w:t>
      </w:r>
      <w:r>
        <w:rPr>
          <w:rFonts w:ascii="仿宋_GB2312" w:eastAsia="仿宋_GB2312" w:hint="eastAsia"/>
          <w:sz w:val="30"/>
          <w:szCs w:val="30"/>
        </w:rPr>
        <w:t>LOF</w:t>
      </w:r>
      <w:r>
        <w:rPr>
          <w:rFonts w:ascii="仿宋_GB2312" w:eastAsia="仿宋_GB2312" w:hint="eastAsia"/>
          <w:sz w:val="30"/>
          <w:szCs w:val="30"/>
        </w:rPr>
        <w:t>份额。</w:t>
      </w:r>
    </w:p>
    <w:p w:rsidR="0001723C" w:rsidRDefault="007535F4">
      <w:pPr>
        <w:tabs>
          <w:tab w:val="left" w:pos="-720"/>
          <w:tab w:val="left" w:pos="0"/>
          <w:tab w:val="left" w:pos="720"/>
          <w:tab w:val="left" w:pos="1440"/>
          <w:tab w:val="left" w:pos="2160"/>
          <w:tab w:val="left" w:pos="2880"/>
          <w:tab w:val="left" w:pos="3600"/>
          <w:tab w:val="left" w:pos="4320"/>
        </w:tabs>
        <w:autoSpaceDE w:val="0"/>
        <w:autoSpaceDN w:val="0"/>
        <w:adjustRightInd w:val="0"/>
        <w:spacing w:line="560" w:lineRule="exact"/>
        <w:ind w:firstLineChars="200" w:firstLine="600"/>
        <w:rPr>
          <w:rFonts w:ascii="仿宋_GB2312" w:eastAsia="仿宋_GB2312"/>
          <w:sz w:val="30"/>
          <w:szCs w:val="30"/>
        </w:rPr>
      </w:pPr>
      <w:r>
        <w:rPr>
          <w:rFonts w:ascii="仿宋_GB2312" w:eastAsia="仿宋_GB2312" w:hint="eastAsia"/>
          <w:sz w:val="30"/>
          <w:szCs w:val="30"/>
        </w:rPr>
        <w:t>（四）</w:t>
      </w:r>
      <w:r>
        <w:rPr>
          <w:rFonts w:ascii="仿宋_GB2312" w:eastAsia="仿宋_GB2312" w:hint="eastAsia"/>
          <w:sz w:val="30"/>
          <w:szCs w:val="30"/>
        </w:rPr>
        <w:t>T</w:t>
      </w:r>
      <w:r>
        <w:rPr>
          <w:rFonts w:ascii="仿宋_GB2312" w:eastAsia="仿宋_GB2312" w:hint="eastAsia"/>
          <w:sz w:val="30"/>
          <w:szCs w:val="30"/>
        </w:rPr>
        <w:t>＋</w:t>
      </w:r>
      <w:r>
        <w:rPr>
          <w:rFonts w:ascii="仿宋_GB2312" w:eastAsia="仿宋_GB2312" w:hint="eastAsia"/>
          <w:sz w:val="30"/>
          <w:szCs w:val="30"/>
        </w:rPr>
        <w:t>1</w:t>
      </w:r>
      <w:r>
        <w:rPr>
          <w:rFonts w:ascii="仿宋_GB2312" w:eastAsia="仿宋_GB2312" w:hint="eastAsia"/>
          <w:sz w:val="30"/>
          <w:szCs w:val="30"/>
        </w:rPr>
        <w:t>日，中国结算</w:t>
      </w:r>
      <w:r>
        <w:rPr>
          <w:rFonts w:ascii="仿宋_GB2312" w:eastAsia="仿宋_GB2312" w:hint="eastAsia"/>
          <w:sz w:val="30"/>
          <w:szCs w:val="30"/>
        </w:rPr>
        <w:t>TA</w:t>
      </w:r>
      <w:r>
        <w:rPr>
          <w:rFonts w:ascii="仿宋_GB2312" w:eastAsia="仿宋_GB2312" w:hint="eastAsia"/>
          <w:sz w:val="30"/>
          <w:szCs w:val="30"/>
        </w:rPr>
        <w:t>系统将场外转场内转托管业务回报发送至中国结算上海分公司。中国</w:t>
      </w:r>
      <w:r>
        <w:rPr>
          <w:rFonts w:ascii="仿宋_GB2312" w:eastAsia="仿宋_GB2312" w:hint="eastAsia"/>
          <w:sz w:val="30"/>
          <w:szCs w:val="30"/>
        </w:rPr>
        <w:t>结算上海分公司证券登记</w:t>
      </w:r>
      <w:r>
        <w:rPr>
          <w:rFonts w:ascii="仿宋_GB2312" w:eastAsia="仿宋_GB2312" w:hint="eastAsia"/>
          <w:sz w:val="30"/>
          <w:szCs w:val="30"/>
        </w:rPr>
        <w:lastRenderedPageBreak/>
        <w:t>系统对申请数据进行检查，对于合格的申请，中国结算上海分公司证券登记系统将转入的上证</w:t>
      </w:r>
      <w:r>
        <w:rPr>
          <w:rFonts w:ascii="仿宋_GB2312" w:eastAsia="仿宋_GB2312" w:hint="eastAsia"/>
          <w:sz w:val="30"/>
          <w:szCs w:val="30"/>
        </w:rPr>
        <w:t>LOF</w:t>
      </w:r>
      <w:r>
        <w:rPr>
          <w:rFonts w:ascii="仿宋_GB2312" w:eastAsia="仿宋_GB2312" w:hint="eastAsia"/>
          <w:sz w:val="30"/>
          <w:szCs w:val="30"/>
        </w:rPr>
        <w:t>份额记入投资者上海证券账户中。</w:t>
      </w:r>
    </w:p>
    <w:p w:rsidR="0001723C" w:rsidRDefault="007535F4">
      <w:pPr>
        <w:tabs>
          <w:tab w:val="left" w:pos="0"/>
        </w:tabs>
        <w:spacing w:line="560" w:lineRule="exact"/>
        <w:ind w:firstLineChars="200" w:firstLine="600"/>
        <w:rPr>
          <w:rFonts w:ascii="仿宋_GB2312" w:eastAsia="仿宋_GB2312"/>
          <w:sz w:val="30"/>
          <w:szCs w:val="30"/>
        </w:rPr>
      </w:pPr>
      <w:r>
        <w:rPr>
          <w:rFonts w:ascii="仿宋_GB2312" w:eastAsia="仿宋_GB2312" w:hint="eastAsia"/>
          <w:sz w:val="30"/>
          <w:szCs w:val="30"/>
        </w:rPr>
        <w:t>中国结算上海分公司将场外转场内转托管业务回报、场内基金份额对账等相关数据发送相关场内证券经营机构。</w:t>
      </w:r>
    </w:p>
    <w:p w:rsidR="0001723C" w:rsidRDefault="007535F4">
      <w:pPr>
        <w:tabs>
          <w:tab w:val="left" w:pos="0"/>
        </w:tabs>
        <w:spacing w:line="560" w:lineRule="exact"/>
        <w:ind w:firstLineChars="200" w:firstLine="600"/>
        <w:rPr>
          <w:rFonts w:ascii="仿宋_GB2312" w:eastAsia="仿宋_GB2312"/>
          <w:sz w:val="30"/>
          <w:szCs w:val="30"/>
        </w:rPr>
      </w:pPr>
      <w:r>
        <w:rPr>
          <w:rFonts w:ascii="仿宋_GB2312" w:eastAsia="仿宋_GB2312" w:hint="eastAsia"/>
          <w:sz w:val="30"/>
          <w:szCs w:val="30"/>
        </w:rPr>
        <w:t>中国结算</w:t>
      </w:r>
      <w:r>
        <w:rPr>
          <w:rFonts w:ascii="仿宋_GB2312" w:eastAsia="仿宋_GB2312" w:hint="eastAsia"/>
          <w:sz w:val="30"/>
          <w:szCs w:val="30"/>
        </w:rPr>
        <w:t>TA</w:t>
      </w:r>
      <w:r>
        <w:rPr>
          <w:rFonts w:ascii="仿宋_GB2312" w:eastAsia="仿宋_GB2312" w:hint="eastAsia"/>
          <w:sz w:val="30"/>
          <w:szCs w:val="30"/>
        </w:rPr>
        <w:t>系统将场外转场内转托管业务回报、场外基金份额对账等相关数据发送相关场外基金销售机构。</w:t>
      </w:r>
    </w:p>
    <w:p w:rsidR="0001723C" w:rsidRDefault="007535F4">
      <w:pPr>
        <w:tabs>
          <w:tab w:val="left" w:pos="0"/>
        </w:tabs>
        <w:spacing w:line="560" w:lineRule="exact"/>
        <w:ind w:firstLineChars="200" w:firstLine="600"/>
        <w:rPr>
          <w:rFonts w:ascii="仿宋_GB2312" w:eastAsia="仿宋_GB2312"/>
          <w:sz w:val="30"/>
          <w:szCs w:val="30"/>
        </w:rPr>
      </w:pPr>
      <w:r>
        <w:rPr>
          <w:rFonts w:ascii="仿宋_GB2312" w:eastAsia="仿宋_GB2312" w:hint="eastAsia"/>
          <w:sz w:val="30"/>
          <w:szCs w:val="30"/>
        </w:rPr>
        <w:t>中国结算</w:t>
      </w:r>
      <w:r>
        <w:rPr>
          <w:rFonts w:ascii="仿宋_GB2312" w:eastAsia="仿宋_GB2312" w:hint="eastAsia"/>
          <w:sz w:val="30"/>
          <w:szCs w:val="30"/>
        </w:rPr>
        <w:t>TA</w:t>
      </w:r>
      <w:r>
        <w:rPr>
          <w:rFonts w:ascii="仿宋_GB2312" w:eastAsia="仿宋_GB2312" w:hint="eastAsia"/>
          <w:sz w:val="30"/>
          <w:szCs w:val="30"/>
        </w:rPr>
        <w:t>系统将场外转场内转托管交易回报数据和场内、场外基金份额对账等相关数据一并发送至基金管理人。</w:t>
      </w:r>
    </w:p>
    <w:p w:rsidR="0001723C" w:rsidRDefault="007535F4">
      <w:pPr>
        <w:tabs>
          <w:tab w:val="left" w:pos="0"/>
        </w:tabs>
        <w:spacing w:line="560" w:lineRule="exact"/>
        <w:ind w:firstLineChars="200" w:firstLine="600"/>
        <w:rPr>
          <w:rFonts w:ascii="仿宋_GB2312" w:eastAsia="仿宋_GB2312"/>
          <w:sz w:val="30"/>
          <w:szCs w:val="30"/>
        </w:rPr>
      </w:pPr>
      <w:r>
        <w:rPr>
          <w:rFonts w:ascii="仿宋_GB2312" w:eastAsia="仿宋_GB2312" w:hint="eastAsia"/>
          <w:sz w:val="30"/>
          <w:szCs w:val="30"/>
        </w:rPr>
        <w:t>（五）</w:t>
      </w:r>
      <w:r>
        <w:rPr>
          <w:rFonts w:ascii="仿宋_GB2312" w:eastAsia="仿宋_GB2312" w:hint="eastAsia"/>
          <w:sz w:val="30"/>
          <w:szCs w:val="30"/>
        </w:rPr>
        <w:t>T</w:t>
      </w:r>
      <w:r>
        <w:rPr>
          <w:rFonts w:ascii="仿宋_GB2312" w:eastAsia="仿宋_GB2312" w:hint="eastAsia"/>
          <w:sz w:val="30"/>
          <w:szCs w:val="30"/>
        </w:rPr>
        <w:t>＋</w:t>
      </w:r>
      <w:r>
        <w:rPr>
          <w:rFonts w:ascii="仿宋_GB2312" w:eastAsia="仿宋_GB2312" w:hint="eastAsia"/>
          <w:sz w:val="30"/>
          <w:szCs w:val="30"/>
        </w:rPr>
        <w:t>2</w:t>
      </w:r>
      <w:r>
        <w:rPr>
          <w:rFonts w:ascii="仿宋_GB2312" w:eastAsia="仿宋_GB2312" w:hint="eastAsia"/>
          <w:sz w:val="30"/>
          <w:szCs w:val="30"/>
        </w:rPr>
        <w:t>日，投资者可以通过场内证券经营机构（转入方）查询转托管转</w:t>
      </w:r>
      <w:r>
        <w:rPr>
          <w:rFonts w:ascii="仿宋_GB2312" w:eastAsia="仿宋_GB2312" w:hint="eastAsia"/>
          <w:sz w:val="30"/>
          <w:szCs w:val="30"/>
        </w:rPr>
        <w:t>入的上证</w:t>
      </w:r>
      <w:r>
        <w:rPr>
          <w:rFonts w:ascii="仿宋_GB2312" w:eastAsia="仿宋_GB2312" w:hint="eastAsia"/>
          <w:sz w:val="30"/>
          <w:szCs w:val="30"/>
        </w:rPr>
        <w:t>LOF</w:t>
      </w:r>
      <w:r>
        <w:rPr>
          <w:rFonts w:ascii="仿宋_GB2312" w:eastAsia="仿宋_GB2312" w:hint="eastAsia"/>
          <w:sz w:val="30"/>
          <w:szCs w:val="30"/>
        </w:rPr>
        <w:t>份额。</w:t>
      </w:r>
    </w:p>
    <w:p w:rsidR="0001723C" w:rsidRDefault="007535F4">
      <w:pPr>
        <w:tabs>
          <w:tab w:val="left" w:pos="0"/>
        </w:tabs>
        <w:spacing w:line="560" w:lineRule="exact"/>
        <w:ind w:firstLineChars="200" w:firstLine="600"/>
        <w:rPr>
          <w:rFonts w:ascii="仿宋_GB2312" w:eastAsia="仿宋_GB2312"/>
          <w:sz w:val="30"/>
          <w:szCs w:val="30"/>
        </w:rPr>
      </w:pPr>
      <w:r>
        <w:rPr>
          <w:rFonts w:ascii="仿宋_GB2312" w:eastAsia="仿宋_GB2312" w:hint="eastAsia"/>
          <w:sz w:val="30"/>
          <w:szCs w:val="30"/>
        </w:rPr>
        <w:t>第六十七条</w:t>
      </w:r>
      <w:r>
        <w:rPr>
          <w:rFonts w:ascii="仿宋_GB2312" w:eastAsia="仿宋_GB2312" w:hint="eastAsia"/>
          <w:sz w:val="30"/>
          <w:szCs w:val="30"/>
        </w:rPr>
        <w:t>上证</w:t>
      </w:r>
      <w:r>
        <w:rPr>
          <w:rFonts w:ascii="仿宋_GB2312" w:eastAsia="仿宋_GB2312" w:hint="eastAsia"/>
          <w:sz w:val="30"/>
          <w:szCs w:val="30"/>
        </w:rPr>
        <w:t>LOF</w:t>
      </w:r>
      <w:r>
        <w:rPr>
          <w:rFonts w:ascii="仿宋_GB2312" w:eastAsia="仿宋_GB2312" w:hint="eastAsia"/>
          <w:sz w:val="30"/>
          <w:szCs w:val="30"/>
        </w:rPr>
        <w:t>份额转托管业务，转入份额继承原过户日期，由中国结算</w:t>
      </w:r>
      <w:r>
        <w:rPr>
          <w:rFonts w:ascii="仿宋_GB2312" w:eastAsia="仿宋_GB2312" w:hint="eastAsia"/>
          <w:sz w:val="30"/>
          <w:szCs w:val="30"/>
        </w:rPr>
        <w:t>TA</w:t>
      </w:r>
      <w:r>
        <w:rPr>
          <w:rFonts w:ascii="仿宋_GB2312" w:eastAsia="仿宋_GB2312" w:hint="eastAsia"/>
          <w:sz w:val="30"/>
          <w:szCs w:val="30"/>
        </w:rPr>
        <w:t>系统记录投资者场内、场外基金份额过户日期。</w:t>
      </w:r>
    </w:p>
    <w:p w:rsidR="0001723C" w:rsidRDefault="007535F4">
      <w:pPr>
        <w:pStyle w:val="af9"/>
        <w:spacing w:line="560" w:lineRule="exact"/>
        <w:ind w:firstLineChars="0" w:firstLine="0"/>
        <w:jc w:val="center"/>
        <w:rPr>
          <w:rFonts w:ascii="黑体" w:eastAsia="黑体" w:hAnsi="黑体"/>
          <w:b/>
          <w:sz w:val="30"/>
          <w:szCs w:val="30"/>
        </w:rPr>
      </w:pPr>
      <w:bookmarkStart w:id="5" w:name="_Toc338048956"/>
      <w:r>
        <w:rPr>
          <w:rFonts w:ascii="黑体" w:eastAsia="黑体" w:hAnsi="黑体"/>
          <w:b/>
          <w:sz w:val="30"/>
          <w:szCs w:val="30"/>
        </w:rPr>
        <w:t>第九章</w:t>
      </w:r>
      <w:r>
        <w:rPr>
          <w:rFonts w:ascii="黑体" w:eastAsia="黑体" w:hAnsi="黑体" w:hint="eastAsia"/>
          <w:b/>
          <w:sz w:val="30"/>
          <w:szCs w:val="30"/>
        </w:rPr>
        <w:t>权益分派</w:t>
      </w:r>
      <w:bookmarkEnd w:id="5"/>
    </w:p>
    <w:p w:rsidR="0001723C" w:rsidRDefault="007535F4">
      <w:pPr>
        <w:tabs>
          <w:tab w:val="left" w:pos="0"/>
        </w:tabs>
        <w:spacing w:line="560" w:lineRule="exact"/>
        <w:ind w:firstLineChars="200" w:firstLine="600"/>
        <w:rPr>
          <w:rFonts w:ascii="仿宋_GB2312" w:eastAsia="仿宋_GB2312"/>
          <w:sz w:val="30"/>
          <w:szCs w:val="30"/>
        </w:rPr>
      </w:pPr>
      <w:r>
        <w:rPr>
          <w:rFonts w:ascii="仿宋_GB2312" w:eastAsia="仿宋_GB2312" w:hint="eastAsia"/>
          <w:sz w:val="30"/>
          <w:szCs w:val="30"/>
        </w:rPr>
        <w:t>第六十八条</w:t>
      </w:r>
      <w:r>
        <w:rPr>
          <w:rFonts w:ascii="仿宋_GB2312" w:eastAsia="仿宋_GB2312" w:hint="eastAsia"/>
          <w:sz w:val="30"/>
          <w:szCs w:val="30"/>
        </w:rPr>
        <w:t>上证</w:t>
      </w:r>
      <w:r>
        <w:rPr>
          <w:rFonts w:ascii="仿宋_GB2312" w:eastAsia="仿宋_GB2312" w:hint="eastAsia"/>
          <w:sz w:val="30"/>
          <w:szCs w:val="30"/>
        </w:rPr>
        <w:t>LOF</w:t>
      </w:r>
      <w:r>
        <w:rPr>
          <w:rFonts w:ascii="仿宋_GB2312" w:eastAsia="仿宋_GB2312" w:hint="eastAsia"/>
          <w:sz w:val="30"/>
          <w:szCs w:val="30"/>
        </w:rPr>
        <w:t>的权益分派由中国结算上海分公司证券登记系统和中国结算</w:t>
      </w:r>
      <w:r>
        <w:rPr>
          <w:rFonts w:ascii="仿宋_GB2312" w:eastAsia="仿宋_GB2312" w:hint="eastAsia"/>
          <w:sz w:val="30"/>
          <w:szCs w:val="30"/>
        </w:rPr>
        <w:t>TA</w:t>
      </w:r>
      <w:r>
        <w:rPr>
          <w:rFonts w:ascii="仿宋_GB2312" w:eastAsia="仿宋_GB2312" w:hint="eastAsia"/>
          <w:sz w:val="30"/>
          <w:szCs w:val="30"/>
        </w:rPr>
        <w:t>系统依据权益登记日（</w:t>
      </w:r>
      <w:r>
        <w:rPr>
          <w:rFonts w:ascii="仿宋_GB2312" w:eastAsia="仿宋_GB2312" w:hint="eastAsia"/>
          <w:sz w:val="30"/>
          <w:szCs w:val="30"/>
        </w:rPr>
        <w:t>R</w:t>
      </w:r>
      <w:r>
        <w:rPr>
          <w:rFonts w:ascii="仿宋_GB2312" w:eastAsia="仿宋_GB2312" w:hint="eastAsia"/>
          <w:sz w:val="30"/>
          <w:szCs w:val="30"/>
        </w:rPr>
        <w:t>日）各自的基金份额持有人名册数据分别处理。</w:t>
      </w:r>
    </w:p>
    <w:p w:rsidR="0001723C" w:rsidRDefault="007535F4">
      <w:pPr>
        <w:pStyle w:val="3"/>
        <w:numPr>
          <w:ilvl w:val="0"/>
          <w:numId w:val="0"/>
        </w:numPr>
        <w:tabs>
          <w:tab w:val="clear" w:pos="1676"/>
          <w:tab w:val="left" w:pos="-142"/>
        </w:tabs>
        <w:spacing w:line="560" w:lineRule="exact"/>
        <w:ind w:firstLine="709"/>
        <w:rPr>
          <w:sz w:val="30"/>
          <w:szCs w:val="30"/>
        </w:rPr>
      </w:pPr>
      <w:r>
        <w:rPr>
          <w:rFonts w:hint="eastAsia"/>
          <w:sz w:val="30"/>
          <w:szCs w:val="30"/>
        </w:rPr>
        <w:t>第六十九条</w:t>
      </w:r>
      <w:r>
        <w:rPr>
          <w:rFonts w:hint="eastAsia"/>
          <w:sz w:val="30"/>
          <w:szCs w:val="30"/>
        </w:rPr>
        <w:t>中国结算上海分公司证券登记系统只进行现金红利分派，中国结算</w:t>
      </w:r>
      <w:r>
        <w:rPr>
          <w:rFonts w:hint="eastAsia"/>
          <w:sz w:val="30"/>
          <w:szCs w:val="30"/>
        </w:rPr>
        <w:t>TA</w:t>
      </w:r>
      <w:r>
        <w:rPr>
          <w:rFonts w:hint="eastAsia"/>
          <w:sz w:val="30"/>
          <w:szCs w:val="30"/>
        </w:rPr>
        <w:t>系统可按投资者选择进行现金红利或红利再投资分派。</w:t>
      </w:r>
    </w:p>
    <w:p w:rsidR="0001723C" w:rsidRDefault="007535F4">
      <w:pPr>
        <w:pStyle w:val="3"/>
        <w:numPr>
          <w:ilvl w:val="0"/>
          <w:numId w:val="0"/>
        </w:numPr>
        <w:tabs>
          <w:tab w:val="clear" w:pos="1676"/>
          <w:tab w:val="left" w:pos="-142"/>
        </w:tabs>
        <w:spacing w:line="560" w:lineRule="exact"/>
        <w:ind w:firstLine="709"/>
        <w:rPr>
          <w:sz w:val="30"/>
          <w:szCs w:val="30"/>
        </w:rPr>
      </w:pPr>
      <w:r>
        <w:rPr>
          <w:rFonts w:hint="eastAsia"/>
          <w:sz w:val="30"/>
          <w:szCs w:val="30"/>
        </w:rPr>
        <w:t>第七十条</w:t>
      </w:r>
      <w:r>
        <w:rPr>
          <w:rFonts w:hint="eastAsia"/>
          <w:sz w:val="30"/>
          <w:szCs w:val="30"/>
        </w:rPr>
        <w:t>登记在中国结算上海分公司证券登记系统的份额权益分派业务按照《中国证券登记结算有限责任</w:t>
      </w:r>
      <w:r>
        <w:rPr>
          <w:rFonts w:hint="eastAsia"/>
          <w:sz w:val="30"/>
          <w:szCs w:val="30"/>
        </w:rPr>
        <w:t>公司上海分公司证券发行人业务指南》等相关规定办理。</w:t>
      </w:r>
    </w:p>
    <w:p w:rsidR="0001723C" w:rsidRDefault="007535F4">
      <w:pPr>
        <w:pStyle w:val="3"/>
        <w:numPr>
          <w:ilvl w:val="0"/>
          <w:numId w:val="0"/>
        </w:numPr>
        <w:tabs>
          <w:tab w:val="clear" w:pos="1676"/>
          <w:tab w:val="left" w:pos="-142"/>
        </w:tabs>
        <w:spacing w:line="560" w:lineRule="exact"/>
        <w:ind w:firstLine="709"/>
        <w:rPr>
          <w:sz w:val="30"/>
          <w:szCs w:val="30"/>
        </w:rPr>
      </w:pPr>
      <w:r>
        <w:rPr>
          <w:rFonts w:hint="eastAsia"/>
          <w:sz w:val="30"/>
          <w:szCs w:val="30"/>
        </w:rPr>
        <w:lastRenderedPageBreak/>
        <w:t>第七十一条</w:t>
      </w:r>
      <w:r>
        <w:rPr>
          <w:rFonts w:hint="eastAsia"/>
          <w:sz w:val="30"/>
          <w:szCs w:val="30"/>
        </w:rPr>
        <w:t>登记在中国结算</w:t>
      </w:r>
      <w:r>
        <w:rPr>
          <w:rFonts w:hint="eastAsia"/>
          <w:sz w:val="30"/>
          <w:szCs w:val="30"/>
        </w:rPr>
        <w:t>TA</w:t>
      </w:r>
      <w:r>
        <w:rPr>
          <w:rFonts w:hint="eastAsia"/>
          <w:sz w:val="30"/>
          <w:szCs w:val="30"/>
        </w:rPr>
        <w:t>系统的份额权益分派业务按照《开放式证券投资基金及证券公司集合资产管理计划登记结算业务指南》等相关规定办理。</w:t>
      </w:r>
    </w:p>
    <w:p w:rsidR="0001723C" w:rsidRDefault="007535F4">
      <w:pPr>
        <w:pStyle w:val="3"/>
        <w:numPr>
          <w:ilvl w:val="0"/>
          <w:numId w:val="0"/>
        </w:numPr>
        <w:tabs>
          <w:tab w:val="clear" w:pos="1676"/>
          <w:tab w:val="left" w:pos="-142"/>
        </w:tabs>
        <w:spacing w:line="560" w:lineRule="exact"/>
        <w:ind w:firstLine="709"/>
        <w:rPr>
          <w:sz w:val="30"/>
          <w:szCs w:val="30"/>
        </w:rPr>
      </w:pPr>
      <w:r>
        <w:rPr>
          <w:rFonts w:hint="eastAsia"/>
          <w:sz w:val="30"/>
          <w:szCs w:val="30"/>
        </w:rPr>
        <w:t>第七十二条</w:t>
      </w:r>
      <w:r>
        <w:rPr>
          <w:rFonts w:hint="eastAsia"/>
          <w:sz w:val="30"/>
          <w:szCs w:val="30"/>
        </w:rPr>
        <w:t>基金管理人在进行场内基金份额现金红利分派业务时，应根据确认的金额及时办理汇款，确保资金最迟在发放日前第二个交易日划入中国结算上海分公司指定的收款银行账户（中国结算上海公司指定的银行账户信息参见中国结算网站公布的“中国证券登记结算有限责任公司上海分公司</w:t>
      </w:r>
      <w:r>
        <w:rPr>
          <w:rFonts w:hint="eastAsia"/>
          <w:sz w:val="30"/>
          <w:szCs w:val="30"/>
        </w:rPr>
        <w:t>A</w:t>
      </w:r>
      <w:r>
        <w:rPr>
          <w:rFonts w:hint="eastAsia"/>
          <w:sz w:val="30"/>
          <w:szCs w:val="30"/>
        </w:rPr>
        <w:t>股结算银行结算备付金专用存款账户一览表”）。</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中国结算上海分公</w:t>
      </w:r>
      <w:r>
        <w:rPr>
          <w:rFonts w:ascii="仿宋_GB2312" w:eastAsia="仿宋_GB2312" w:hint="eastAsia"/>
          <w:sz w:val="30"/>
          <w:szCs w:val="30"/>
        </w:rPr>
        <w:t>司在确认资金足额到账后于发放日的前一交易日完成对结算业务参与人的资金清算。投资者于发放日在其指定交易的结算参与人处领取红利。未办理指定交易的上证</w:t>
      </w:r>
      <w:r>
        <w:rPr>
          <w:rFonts w:ascii="仿宋_GB2312" w:eastAsia="仿宋_GB2312" w:hint="eastAsia"/>
          <w:sz w:val="30"/>
          <w:szCs w:val="30"/>
        </w:rPr>
        <w:t>LOF</w:t>
      </w:r>
      <w:r>
        <w:rPr>
          <w:rFonts w:ascii="仿宋_GB2312" w:eastAsia="仿宋_GB2312" w:hint="eastAsia"/>
          <w:sz w:val="30"/>
          <w:szCs w:val="30"/>
        </w:rPr>
        <w:t>投资者，其持有的现金红利暂由中国结算上海分公司保管，不计息。一旦投资者办理指定交易，中国结算上海分公司自动将尚未领取的现金红利划付给指定的结算业务参与人。</w:t>
      </w:r>
    </w:p>
    <w:p w:rsidR="0001723C" w:rsidRDefault="007535F4">
      <w:pPr>
        <w:tabs>
          <w:tab w:val="left" w:pos="0"/>
        </w:tabs>
        <w:spacing w:line="560" w:lineRule="exact"/>
        <w:ind w:firstLineChars="200" w:firstLine="600"/>
        <w:jc w:val="left"/>
        <w:rPr>
          <w:rFonts w:ascii="仿宋_GB2312" w:eastAsia="仿宋_GB2312"/>
          <w:sz w:val="30"/>
          <w:szCs w:val="30"/>
        </w:rPr>
      </w:pPr>
      <w:r>
        <w:rPr>
          <w:rFonts w:ascii="仿宋_GB2312" w:eastAsia="仿宋_GB2312" w:hint="eastAsia"/>
          <w:sz w:val="30"/>
          <w:szCs w:val="30"/>
        </w:rPr>
        <w:t>基金管理人在进行场外基金份额现金红利分派业务时，应当按照中国结算《开放式基金全额非担保结算业务指引》相关规定办理。基金管理人应在规定时点前将现金红利划入该基金产品的开放式基金结算备付金账户（或基金管理人以法人名义为其管理的不同资管产品统一开立的开放式基金结算备付金账户），通过中国结算完成向相关场外基金销售机构的开放基金结算备付金账户的划付。</w:t>
      </w:r>
    </w:p>
    <w:p w:rsidR="0001723C" w:rsidRDefault="007535F4">
      <w:pPr>
        <w:pStyle w:val="af9"/>
        <w:spacing w:line="560" w:lineRule="exact"/>
        <w:ind w:firstLineChars="0" w:firstLine="0"/>
        <w:jc w:val="center"/>
        <w:rPr>
          <w:rFonts w:ascii="黑体" w:eastAsia="黑体" w:hAnsi="黑体"/>
          <w:b/>
          <w:sz w:val="30"/>
          <w:szCs w:val="30"/>
        </w:rPr>
      </w:pPr>
      <w:bookmarkStart w:id="6" w:name="_Toc338410906"/>
      <w:bookmarkStart w:id="7" w:name="_Toc347163311"/>
      <w:bookmarkStart w:id="8" w:name="_Toc332274169"/>
      <w:r>
        <w:rPr>
          <w:rFonts w:ascii="黑体" w:eastAsia="黑体" w:hAnsi="黑体"/>
          <w:b/>
          <w:sz w:val="30"/>
          <w:szCs w:val="30"/>
        </w:rPr>
        <w:t>第十章</w:t>
      </w:r>
      <w:r>
        <w:rPr>
          <w:rFonts w:ascii="黑体" w:eastAsia="黑体" w:hAnsi="黑体" w:hint="eastAsia"/>
          <w:b/>
          <w:sz w:val="30"/>
          <w:szCs w:val="30"/>
        </w:rPr>
        <w:t>非交易过户和其他变更登记</w:t>
      </w:r>
    </w:p>
    <w:p w:rsidR="0001723C" w:rsidRDefault="007535F4">
      <w:pPr>
        <w:tabs>
          <w:tab w:val="left" w:pos="0"/>
        </w:tabs>
        <w:spacing w:line="560" w:lineRule="exact"/>
        <w:ind w:firstLineChars="200" w:firstLine="600"/>
        <w:rPr>
          <w:rFonts w:ascii="仿宋_GB2312" w:eastAsia="仿宋_GB2312"/>
          <w:sz w:val="30"/>
          <w:szCs w:val="30"/>
        </w:rPr>
      </w:pPr>
      <w:r>
        <w:rPr>
          <w:rFonts w:ascii="仿宋_GB2312" w:eastAsia="仿宋_GB2312" w:hint="eastAsia"/>
          <w:sz w:val="30"/>
          <w:szCs w:val="30"/>
        </w:rPr>
        <w:t>第七十三条</w:t>
      </w:r>
      <w:r>
        <w:rPr>
          <w:rFonts w:ascii="仿宋_GB2312" w:eastAsia="仿宋_GB2312" w:hint="eastAsia"/>
          <w:sz w:val="30"/>
          <w:szCs w:val="30"/>
        </w:rPr>
        <w:t>投资者上海证券账户内上证</w:t>
      </w:r>
      <w:r>
        <w:rPr>
          <w:rFonts w:ascii="仿宋_GB2312" w:eastAsia="仿宋_GB2312" w:hint="eastAsia"/>
          <w:sz w:val="30"/>
          <w:szCs w:val="30"/>
        </w:rPr>
        <w:t>LOF</w:t>
      </w:r>
      <w:r>
        <w:rPr>
          <w:rFonts w:ascii="仿宋_GB2312" w:eastAsia="仿宋_GB2312" w:hint="eastAsia"/>
          <w:sz w:val="30"/>
          <w:szCs w:val="30"/>
        </w:rPr>
        <w:t>份额的非交易</w:t>
      </w:r>
      <w:r>
        <w:rPr>
          <w:rFonts w:ascii="仿宋_GB2312" w:eastAsia="仿宋_GB2312" w:hint="eastAsia"/>
          <w:sz w:val="30"/>
          <w:szCs w:val="30"/>
        </w:rPr>
        <w:lastRenderedPageBreak/>
        <w:t>过户、司法协助、质押、冻结等业务由中国结算上海分公司按照中国结算证券业务的相关规定办理。</w:t>
      </w:r>
    </w:p>
    <w:p w:rsidR="0001723C" w:rsidRDefault="007535F4">
      <w:pPr>
        <w:tabs>
          <w:tab w:val="left" w:pos="0"/>
        </w:tabs>
        <w:spacing w:line="560" w:lineRule="exact"/>
        <w:ind w:firstLineChars="200" w:firstLine="600"/>
        <w:rPr>
          <w:rFonts w:ascii="仿宋_GB2312" w:eastAsia="仿宋_GB2312"/>
          <w:sz w:val="30"/>
          <w:szCs w:val="30"/>
        </w:rPr>
      </w:pPr>
      <w:r>
        <w:rPr>
          <w:rFonts w:ascii="仿宋_GB2312" w:eastAsia="仿宋_GB2312" w:hint="eastAsia"/>
          <w:sz w:val="30"/>
          <w:szCs w:val="30"/>
        </w:rPr>
        <w:t>第七十四条</w:t>
      </w:r>
      <w:r>
        <w:rPr>
          <w:rFonts w:ascii="仿宋_GB2312" w:eastAsia="仿宋_GB2312" w:hint="eastAsia"/>
          <w:sz w:val="30"/>
          <w:szCs w:val="30"/>
        </w:rPr>
        <w:t>投资者开放式基金账户内上证</w:t>
      </w:r>
      <w:r>
        <w:rPr>
          <w:rFonts w:ascii="仿宋_GB2312" w:eastAsia="仿宋_GB2312" w:hint="eastAsia"/>
          <w:sz w:val="30"/>
          <w:szCs w:val="30"/>
        </w:rPr>
        <w:t>LOF</w:t>
      </w:r>
      <w:r>
        <w:rPr>
          <w:rFonts w:ascii="仿宋_GB2312" w:eastAsia="仿宋_GB2312" w:hint="eastAsia"/>
          <w:sz w:val="30"/>
          <w:szCs w:val="30"/>
        </w:rPr>
        <w:t>份额的非交易过户、司法协助、冻结等业务由中国结算总部按照相关法律法规、司法解释、部门规章及《开放式证券投资基金及证券公司集合资产管理计划份额登记及资金结算业务指南》等相关规定办理。</w:t>
      </w:r>
    </w:p>
    <w:p w:rsidR="0001723C" w:rsidRDefault="007535F4">
      <w:pPr>
        <w:tabs>
          <w:tab w:val="left" w:pos="0"/>
        </w:tabs>
        <w:spacing w:line="560" w:lineRule="exact"/>
        <w:ind w:firstLineChars="200" w:firstLine="600"/>
        <w:rPr>
          <w:rFonts w:ascii="仿宋_GB2312" w:eastAsia="仿宋_GB2312"/>
          <w:sz w:val="30"/>
          <w:szCs w:val="30"/>
        </w:rPr>
      </w:pPr>
      <w:r>
        <w:rPr>
          <w:rFonts w:ascii="仿宋_GB2312" w:eastAsia="仿宋_GB2312" w:hint="eastAsia"/>
          <w:sz w:val="30"/>
          <w:szCs w:val="30"/>
        </w:rPr>
        <w:t>第七十五条</w:t>
      </w:r>
      <w:r>
        <w:rPr>
          <w:rFonts w:ascii="仿宋_GB2312" w:eastAsia="仿宋_GB2312" w:hAnsi="宋体" w:hint="eastAsia"/>
          <w:bCs/>
          <w:sz w:val="30"/>
          <w:szCs w:val="30"/>
        </w:rPr>
        <w:t>投资者上海证券账户内上证</w:t>
      </w:r>
      <w:r>
        <w:rPr>
          <w:rFonts w:ascii="仿宋_GB2312" w:eastAsia="仿宋_GB2312" w:hAnsi="宋体"/>
          <w:bCs/>
          <w:sz w:val="30"/>
          <w:szCs w:val="30"/>
        </w:rPr>
        <w:t>LOF</w:t>
      </w:r>
      <w:r>
        <w:rPr>
          <w:rFonts w:ascii="仿宋_GB2312" w:eastAsia="仿宋_GB2312" w:hAnsi="宋体"/>
          <w:bCs/>
          <w:sz w:val="30"/>
          <w:szCs w:val="30"/>
        </w:rPr>
        <w:t>份额办理</w:t>
      </w:r>
      <w:r>
        <w:rPr>
          <w:rFonts w:ascii="仿宋_GB2312" w:eastAsia="仿宋_GB2312" w:hAnsi="宋体" w:hint="eastAsia"/>
          <w:bCs/>
          <w:sz w:val="30"/>
          <w:szCs w:val="30"/>
        </w:rPr>
        <w:t>非交易过户业务，过入基金份额的过户日期记为非交易过户业务确认日期。</w:t>
      </w:r>
    </w:p>
    <w:p w:rsidR="0001723C" w:rsidRDefault="007535F4">
      <w:pPr>
        <w:spacing w:line="560" w:lineRule="exact"/>
        <w:ind w:firstLineChars="200" w:firstLine="600"/>
        <w:rPr>
          <w:rFonts w:ascii="仿宋_GB2312" w:eastAsia="仿宋_GB2312" w:hAnsi="宋体"/>
          <w:bCs/>
          <w:sz w:val="30"/>
          <w:szCs w:val="30"/>
        </w:rPr>
      </w:pPr>
      <w:r>
        <w:rPr>
          <w:rFonts w:ascii="仿宋_GB2312" w:eastAsia="仿宋_GB2312" w:hAnsi="宋体" w:hint="eastAsia"/>
          <w:bCs/>
          <w:sz w:val="30"/>
          <w:szCs w:val="30"/>
        </w:rPr>
        <w:t>投资者开放式基金账户内上证</w:t>
      </w:r>
      <w:r>
        <w:rPr>
          <w:rFonts w:ascii="仿宋_GB2312" w:eastAsia="仿宋_GB2312" w:hAnsi="宋体"/>
          <w:bCs/>
          <w:sz w:val="30"/>
          <w:szCs w:val="30"/>
        </w:rPr>
        <w:t>LOF</w:t>
      </w:r>
      <w:r>
        <w:rPr>
          <w:rFonts w:ascii="仿宋_GB2312" w:eastAsia="仿宋_GB2312" w:hAnsi="宋体"/>
          <w:bCs/>
          <w:sz w:val="30"/>
          <w:szCs w:val="30"/>
        </w:rPr>
        <w:t>份额办理</w:t>
      </w:r>
      <w:r>
        <w:rPr>
          <w:rFonts w:ascii="仿宋_GB2312" w:eastAsia="仿宋_GB2312" w:hAnsi="宋体" w:hint="eastAsia"/>
          <w:bCs/>
          <w:sz w:val="30"/>
          <w:szCs w:val="30"/>
        </w:rPr>
        <w:t>非交易过户业务，过入基金份额的过户日期按基金管理人在中国结算总部</w:t>
      </w:r>
      <w:r>
        <w:rPr>
          <w:rFonts w:ascii="仿宋_GB2312" w:eastAsia="仿宋_GB2312" w:hAnsi="宋体"/>
          <w:bCs/>
          <w:sz w:val="30"/>
          <w:szCs w:val="30"/>
        </w:rPr>
        <w:t>TA</w:t>
      </w:r>
      <w:r>
        <w:rPr>
          <w:rFonts w:ascii="仿宋_GB2312" w:eastAsia="仿宋_GB2312" w:hAnsi="宋体"/>
          <w:bCs/>
          <w:sz w:val="30"/>
          <w:szCs w:val="30"/>
        </w:rPr>
        <w:t>系统中为该基金代码设定的</w:t>
      </w:r>
      <w:r>
        <w:rPr>
          <w:rFonts w:ascii="仿宋_GB2312" w:eastAsia="仿宋_GB2312" w:hAnsi="宋体" w:hint="eastAsia"/>
          <w:bCs/>
          <w:sz w:val="30"/>
          <w:szCs w:val="30"/>
        </w:rPr>
        <w:t>非交易过户过入份额过户日期确定方式处理。</w:t>
      </w:r>
    </w:p>
    <w:p w:rsidR="0001723C" w:rsidRDefault="007535F4">
      <w:pPr>
        <w:pStyle w:val="af9"/>
        <w:spacing w:line="560" w:lineRule="exact"/>
        <w:ind w:firstLineChars="0" w:firstLine="0"/>
        <w:jc w:val="center"/>
        <w:rPr>
          <w:rFonts w:ascii="黑体" w:eastAsia="黑体" w:hAnsi="黑体"/>
          <w:b/>
          <w:sz w:val="30"/>
          <w:szCs w:val="30"/>
        </w:rPr>
      </w:pPr>
      <w:r>
        <w:rPr>
          <w:rFonts w:ascii="黑体" w:eastAsia="黑体" w:hAnsi="黑体"/>
          <w:b/>
          <w:sz w:val="30"/>
          <w:szCs w:val="30"/>
        </w:rPr>
        <w:t>第十一章</w:t>
      </w:r>
      <w:r>
        <w:rPr>
          <w:rFonts w:ascii="黑体" w:eastAsia="黑体" w:hAnsi="黑体" w:hint="eastAsia"/>
          <w:b/>
          <w:sz w:val="30"/>
          <w:szCs w:val="30"/>
        </w:rPr>
        <w:t xml:space="preserve"> </w:t>
      </w:r>
      <w:r>
        <w:rPr>
          <w:rFonts w:ascii="黑体" w:eastAsia="黑体" w:hAnsi="黑体" w:hint="eastAsia"/>
          <w:b/>
          <w:sz w:val="30"/>
          <w:szCs w:val="30"/>
        </w:rPr>
        <w:t>交收风险管理</w:t>
      </w:r>
    </w:p>
    <w:p w:rsidR="0001723C" w:rsidRDefault="007535F4">
      <w:pPr>
        <w:tabs>
          <w:tab w:val="left" w:pos="0"/>
        </w:tabs>
        <w:spacing w:line="560" w:lineRule="exact"/>
        <w:ind w:firstLineChars="200" w:firstLine="600"/>
        <w:rPr>
          <w:rFonts w:ascii="仿宋_GB2312" w:eastAsia="仿宋_GB2312" w:hAnsi="宋体"/>
          <w:bCs/>
          <w:sz w:val="30"/>
          <w:szCs w:val="30"/>
        </w:rPr>
      </w:pPr>
      <w:r>
        <w:rPr>
          <w:rFonts w:ascii="仿宋_GB2312" w:eastAsia="仿宋_GB2312" w:hAnsi="宋体" w:hint="eastAsia"/>
          <w:bCs/>
          <w:sz w:val="30"/>
          <w:szCs w:val="30"/>
        </w:rPr>
        <w:t>第七十六条</w:t>
      </w:r>
      <w:r>
        <w:rPr>
          <w:rFonts w:ascii="仿宋_GB2312" w:eastAsia="仿宋_GB2312" w:hAnsi="宋体" w:hint="eastAsia"/>
          <w:bCs/>
          <w:sz w:val="30"/>
          <w:szCs w:val="30"/>
        </w:rPr>
        <w:t>为防范参与人申购上证</w:t>
      </w:r>
      <w:r>
        <w:rPr>
          <w:rFonts w:ascii="仿宋_GB2312" w:eastAsia="仿宋_GB2312" w:hAnsi="宋体"/>
          <w:bCs/>
          <w:sz w:val="30"/>
          <w:szCs w:val="30"/>
        </w:rPr>
        <w:t>LOF</w:t>
      </w:r>
      <w:r>
        <w:rPr>
          <w:rFonts w:ascii="仿宋_GB2312" w:eastAsia="仿宋_GB2312" w:hAnsi="宋体"/>
          <w:bCs/>
          <w:sz w:val="30"/>
          <w:szCs w:val="30"/>
        </w:rPr>
        <w:t>后通过场内卖出，但开放式基金结算备付金账户出现资金交收违约的情形，中国结算可提请上交所对相关证券账户进行限制转指定管理。</w:t>
      </w:r>
    </w:p>
    <w:p w:rsidR="0001723C" w:rsidRDefault="007535F4">
      <w:pPr>
        <w:tabs>
          <w:tab w:val="left" w:pos="0"/>
        </w:tabs>
        <w:spacing w:line="560" w:lineRule="exact"/>
        <w:ind w:firstLineChars="200" w:firstLine="600"/>
        <w:rPr>
          <w:rFonts w:ascii="仿宋_GB2312" w:eastAsia="仿宋_GB2312"/>
          <w:sz w:val="30"/>
          <w:szCs w:val="30"/>
        </w:rPr>
      </w:pPr>
      <w:r>
        <w:rPr>
          <w:rFonts w:ascii="仿宋_GB2312" w:eastAsia="仿宋_GB2312" w:hint="eastAsia"/>
          <w:sz w:val="30"/>
          <w:szCs w:val="30"/>
        </w:rPr>
        <w:t>第七十七条</w:t>
      </w:r>
      <w:r>
        <w:rPr>
          <w:rFonts w:ascii="仿宋_GB2312" w:eastAsia="仿宋_GB2312" w:hAnsi="宋体" w:hint="eastAsia"/>
          <w:bCs/>
          <w:sz w:val="30"/>
          <w:szCs w:val="30"/>
        </w:rPr>
        <w:t>上证</w:t>
      </w:r>
      <w:r>
        <w:rPr>
          <w:rFonts w:ascii="仿宋_GB2312" w:eastAsia="仿宋_GB2312" w:hAnsi="宋体"/>
          <w:bCs/>
          <w:sz w:val="30"/>
          <w:szCs w:val="30"/>
        </w:rPr>
        <w:t>LOF</w:t>
      </w:r>
      <w:r>
        <w:rPr>
          <w:rFonts w:ascii="仿宋_GB2312" w:eastAsia="仿宋_GB2312" w:hAnsi="宋体"/>
          <w:bCs/>
          <w:sz w:val="30"/>
          <w:szCs w:val="30"/>
        </w:rPr>
        <w:t>不纳入场内待交收品种。针对参与人买入上证</w:t>
      </w:r>
      <w:r>
        <w:rPr>
          <w:rFonts w:ascii="仿宋_GB2312" w:eastAsia="仿宋_GB2312" w:hAnsi="宋体"/>
          <w:bCs/>
          <w:sz w:val="30"/>
          <w:szCs w:val="30"/>
        </w:rPr>
        <w:t>LOF</w:t>
      </w:r>
      <w:r>
        <w:rPr>
          <w:rFonts w:ascii="仿宋_GB2312" w:eastAsia="仿宋_GB2312" w:hAnsi="宋体"/>
          <w:bCs/>
          <w:sz w:val="30"/>
          <w:szCs w:val="30"/>
        </w:rPr>
        <w:t>后，证券（</w:t>
      </w:r>
      <w:r>
        <w:rPr>
          <w:rFonts w:ascii="仿宋_GB2312" w:eastAsia="仿宋_GB2312" w:hAnsi="宋体"/>
          <w:bCs/>
          <w:sz w:val="30"/>
          <w:szCs w:val="30"/>
        </w:rPr>
        <w:t>A</w:t>
      </w:r>
      <w:r>
        <w:rPr>
          <w:rFonts w:ascii="仿宋_GB2312" w:eastAsia="仿宋_GB2312" w:hAnsi="宋体"/>
          <w:bCs/>
          <w:sz w:val="30"/>
          <w:szCs w:val="30"/>
        </w:rPr>
        <w:t>股）结算备付金账户出现交收日（</w:t>
      </w:r>
      <w:r>
        <w:rPr>
          <w:rFonts w:ascii="仿宋_GB2312" w:eastAsia="仿宋_GB2312" w:hAnsi="宋体"/>
          <w:bCs/>
          <w:sz w:val="30"/>
          <w:szCs w:val="30"/>
        </w:rPr>
        <w:t>T+1</w:t>
      </w:r>
      <w:r>
        <w:rPr>
          <w:rFonts w:ascii="仿宋_GB2312" w:eastAsia="仿宋_GB2312" w:hAnsi="宋体"/>
          <w:bCs/>
          <w:sz w:val="30"/>
          <w:szCs w:val="30"/>
        </w:rPr>
        <w:t>日）资金交收违约的情况，中国结算上海分公司将根据集中交收违约处理的相关规定，进行待</w:t>
      </w:r>
      <w:r>
        <w:rPr>
          <w:rFonts w:ascii="仿宋_GB2312" w:eastAsia="仿宋_GB2312" w:hAnsi="宋体"/>
          <w:bCs/>
          <w:sz w:val="30"/>
          <w:szCs w:val="30"/>
        </w:rPr>
        <w:t>处分证券的扣划、处置等后续处理。</w:t>
      </w:r>
    </w:p>
    <w:bookmarkEnd w:id="6"/>
    <w:bookmarkEnd w:id="7"/>
    <w:bookmarkEnd w:id="8"/>
    <w:p w:rsidR="0001723C" w:rsidRDefault="007535F4">
      <w:pPr>
        <w:pStyle w:val="af9"/>
        <w:spacing w:line="560" w:lineRule="exact"/>
        <w:ind w:firstLineChars="0" w:firstLine="0"/>
        <w:jc w:val="center"/>
        <w:rPr>
          <w:rFonts w:ascii="黑体" w:eastAsia="黑体" w:hAnsi="黑体"/>
          <w:b/>
          <w:sz w:val="30"/>
          <w:szCs w:val="30"/>
        </w:rPr>
      </w:pPr>
      <w:r>
        <w:rPr>
          <w:rFonts w:ascii="黑体" w:eastAsia="黑体" w:hAnsi="黑体"/>
          <w:b/>
          <w:sz w:val="30"/>
          <w:szCs w:val="30"/>
        </w:rPr>
        <w:t>第十二章</w:t>
      </w:r>
      <w:r>
        <w:rPr>
          <w:rFonts w:ascii="黑体" w:eastAsia="黑体" w:hAnsi="黑体" w:hint="eastAsia"/>
          <w:b/>
          <w:sz w:val="30"/>
          <w:szCs w:val="30"/>
        </w:rPr>
        <w:t xml:space="preserve">  </w:t>
      </w:r>
      <w:r>
        <w:rPr>
          <w:rFonts w:ascii="黑体" w:eastAsia="黑体" w:hAnsi="黑体" w:hint="eastAsia"/>
          <w:b/>
          <w:sz w:val="30"/>
          <w:szCs w:val="30"/>
        </w:rPr>
        <w:t>净值揭示及信息披露</w:t>
      </w:r>
    </w:p>
    <w:p w:rsidR="0001723C" w:rsidRDefault="007535F4">
      <w:pPr>
        <w:tabs>
          <w:tab w:val="left" w:pos="0"/>
        </w:tabs>
        <w:spacing w:line="560" w:lineRule="exact"/>
        <w:ind w:firstLineChars="200" w:firstLine="600"/>
        <w:rPr>
          <w:rFonts w:ascii="仿宋_GB2312" w:eastAsia="仿宋_GB2312"/>
          <w:sz w:val="30"/>
          <w:szCs w:val="30"/>
        </w:rPr>
      </w:pPr>
      <w:r>
        <w:rPr>
          <w:rFonts w:ascii="仿宋_GB2312" w:eastAsia="仿宋_GB2312" w:hint="eastAsia"/>
          <w:sz w:val="30"/>
          <w:szCs w:val="30"/>
        </w:rPr>
        <w:t>第七十八条</w:t>
      </w:r>
      <w:r>
        <w:rPr>
          <w:rFonts w:ascii="仿宋_GB2312" w:eastAsia="仿宋_GB2312" w:hint="eastAsia"/>
          <w:sz w:val="30"/>
          <w:szCs w:val="30"/>
        </w:rPr>
        <w:t>基金管理人在与中国结算约定的每一交易日规定时点前，将当日的基金份额净值文件传送到中国结算</w:t>
      </w:r>
      <w:r>
        <w:rPr>
          <w:rFonts w:ascii="仿宋_GB2312" w:eastAsia="仿宋_GB2312" w:hint="eastAsia"/>
          <w:sz w:val="30"/>
          <w:szCs w:val="30"/>
        </w:rPr>
        <w:t>TA</w:t>
      </w:r>
      <w:r>
        <w:rPr>
          <w:rFonts w:ascii="仿宋_GB2312" w:eastAsia="仿宋_GB2312" w:hint="eastAsia"/>
          <w:sz w:val="30"/>
          <w:szCs w:val="30"/>
        </w:rPr>
        <w:t>系统，</w:t>
      </w:r>
      <w:r>
        <w:rPr>
          <w:rFonts w:ascii="仿宋_GB2312" w:eastAsia="仿宋_GB2312" w:hint="eastAsia"/>
          <w:sz w:val="30"/>
          <w:szCs w:val="30"/>
        </w:rPr>
        <w:lastRenderedPageBreak/>
        <w:t>中国结算</w:t>
      </w:r>
      <w:r>
        <w:rPr>
          <w:rFonts w:ascii="仿宋_GB2312" w:eastAsia="仿宋_GB2312" w:hint="eastAsia"/>
          <w:sz w:val="30"/>
          <w:szCs w:val="30"/>
        </w:rPr>
        <w:t>TA</w:t>
      </w:r>
      <w:r>
        <w:rPr>
          <w:rFonts w:ascii="仿宋_GB2312" w:eastAsia="仿宋_GB2312" w:hint="eastAsia"/>
          <w:sz w:val="30"/>
          <w:szCs w:val="30"/>
        </w:rPr>
        <w:t>系统转发给上交所。</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上交所于交易日通过行情发布系统和官方网站揭示上证</w:t>
      </w:r>
      <w:r>
        <w:rPr>
          <w:rFonts w:ascii="仿宋_GB2312" w:eastAsia="仿宋_GB2312" w:hint="eastAsia"/>
          <w:sz w:val="30"/>
          <w:szCs w:val="30"/>
        </w:rPr>
        <w:t>LOF</w:t>
      </w:r>
      <w:r>
        <w:rPr>
          <w:rFonts w:ascii="仿宋_GB2312" w:eastAsia="仿宋_GB2312" w:hint="eastAsia"/>
          <w:sz w:val="30"/>
          <w:szCs w:val="30"/>
        </w:rPr>
        <w:t>前一交易日基金份额净值。</w:t>
      </w:r>
    </w:p>
    <w:p w:rsidR="0001723C" w:rsidRDefault="007535F4">
      <w:pPr>
        <w:tabs>
          <w:tab w:val="left" w:pos="0"/>
        </w:tabs>
        <w:spacing w:line="560" w:lineRule="exact"/>
        <w:ind w:firstLineChars="200" w:firstLine="600"/>
        <w:rPr>
          <w:rFonts w:ascii="仿宋_GB2312" w:eastAsia="仿宋_GB2312"/>
          <w:sz w:val="30"/>
          <w:szCs w:val="30"/>
        </w:rPr>
      </w:pPr>
      <w:r>
        <w:rPr>
          <w:rFonts w:ascii="仿宋_GB2312" w:eastAsia="仿宋_GB2312" w:hint="eastAsia"/>
          <w:sz w:val="30"/>
          <w:szCs w:val="30"/>
        </w:rPr>
        <w:t>第七十九条</w:t>
      </w:r>
      <w:r>
        <w:rPr>
          <w:rFonts w:ascii="仿宋_GB2312" w:eastAsia="仿宋_GB2312" w:hint="eastAsia"/>
          <w:sz w:val="30"/>
          <w:szCs w:val="30"/>
        </w:rPr>
        <w:t>基金管理人和场外基金销售机构应在其营业场所及官方网站揭示上证</w:t>
      </w:r>
      <w:r>
        <w:rPr>
          <w:rFonts w:ascii="仿宋_GB2312" w:eastAsia="仿宋_GB2312" w:hint="eastAsia"/>
          <w:sz w:val="30"/>
          <w:szCs w:val="30"/>
        </w:rPr>
        <w:t>LOF</w:t>
      </w:r>
      <w:r>
        <w:rPr>
          <w:rFonts w:ascii="仿宋_GB2312" w:eastAsia="仿宋_GB2312" w:hint="eastAsia"/>
          <w:sz w:val="30"/>
          <w:szCs w:val="30"/>
        </w:rPr>
        <w:t>前一交易日基金份额净值，具体流程如下：</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（一）基金管理人在与中国结算约定的每一交易日规定时点前，将当日的基金份额净值文件传送到中国结算</w:t>
      </w:r>
      <w:r>
        <w:rPr>
          <w:rFonts w:ascii="仿宋_GB2312" w:eastAsia="仿宋_GB2312" w:hint="eastAsia"/>
          <w:sz w:val="30"/>
          <w:szCs w:val="30"/>
        </w:rPr>
        <w:t>TA</w:t>
      </w:r>
      <w:r>
        <w:rPr>
          <w:rFonts w:ascii="仿宋_GB2312" w:eastAsia="仿宋_GB2312" w:hint="eastAsia"/>
          <w:sz w:val="30"/>
          <w:szCs w:val="30"/>
        </w:rPr>
        <w:t>系统。</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（二）中国结算</w:t>
      </w:r>
      <w:r>
        <w:rPr>
          <w:rFonts w:ascii="仿宋_GB2312" w:eastAsia="仿宋_GB2312" w:hint="eastAsia"/>
          <w:sz w:val="30"/>
          <w:szCs w:val="30"/>
        </w:rPr>
        <w:t>TA</w:t>
      </w:r>
      <w:r>
        <w:rPr>
          <w:rFonts w:ascii="仿宋_GB2312" w:eastAsia="仿宋_GB2312" w:hint="eastAsia"/>
          <w:sz w:val="30"/>
          <w:szCs w:val="30"/>
        </w:rPr>
        <w:t>系统于每个交易日</w:t>
      </w:r>
      <w:r>
        <w:rPr>
          <w:rFonts w:ascii="仿宋_GB2312" w:eastAsia="仿宋_GB2312" w:hint="eastAsia"/>
          <w:sz w:val="30"/>
          <w:szCs w:val="30"/>
        </w:rPr>
        <w:t>8:00</w:t>
      </w:r>
      <w:r>
        <w:rPr>
          <w:rFonts w:ascii="仿宋_GB2312" w:eastAsia="仿宋_GB2312" w:hint="eastAsia"/>
          <w:sz w:val="30"/>
          <w:szCs w:val="30"/>
        </w:rPr>
        <w:t>前将前一交易日基金份额净值信息以及该交易日的基金状态信息发送场外基金销售机构。</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（三）投资者可在基金管理人及其场外基金销售机构网点营业场所或官方网站上查询前一交易日基金份额净值。</w:t>
      </w:r>
    </w:p>
    <w:p w:rsidR="0001723C" w:rsidRDefault="007535F4">
      <w:pPr>
        <w:tabs>
          <w:tab w:val="left" w:pos="0"/>
        </w:tabs>
        <w:spacing w:line="560" w:lineRule="exact"/>
        <w:ind w:firstLineChars="200" w:firstLine="600"/>
        <w:rPr>
          <w:rFonts w:ascii="仿宋_GB2312" w:eastAsia="仿宋_GB2312"/>
          <w:sz w:val="30"/>
          <w:szCs w:val="30"/>
        </w:rPr>
      </w:pPr>
      <w:r>
        <w:rPr>
          <w:rFonts w:ascii="仿宋_GB2312" w:eastAsia="仿宋_GB2312" w:hint="eastAsia"/>
          <w:sz w:val="30"/>
          <w:szCs w:val="30"/>
        </w:rPr>
        <w:t>第八十条</w:t>
      </w:r>
      <w:r>
        <w:rPr>
          <w:rFonts w:ascii="仿宋_GB2312" w:eastAsia="仿宋_GB2312" w:hint="eastAsia"/>
          <w:sz w:val="30"/>
          <w:szCs w:val="30"/>
        </w:rPr>
        <w:t>基金管理人应按照《证券投资基金法》及《证券投资基金上市规则》的相关要求披露上证</w:t>
      </w:r>
      <w:r>
        <w:rPr>
          <w:rFonts w:ascii="仿宋_GB2312" w:eastAsia="仿宋_GB2312" w:hint="eastAsia"/>
          <w:sz w:val="30"/>
          <w:szCs w:val="30"/>
        </w:rPr>
        <w:t>LOF</w:t>
      </w:r>
      <w:r>
        <w:rPr>
          <w:rFonts w:ascii="仿宋_GB2312" w:eastAsia="仿宋_GB2312" w:hint="eastAsia"/>
          <w:sz w:val="30"/>
          <w:szCs w:val="30"/>
        </w:rPr>
        <w:t>的相关信息。</w:t>
      </w:r>
    </w:p>
    <w:p w:rsidR="0001723C" w:rsidRDefault="007535F4">
      <w:pPr>
        <w:tabs>
          <w:tab w:val="left" w:pos="0"/>
        </w:tabs>
        <w:spacing w:line="560" w:lineRule="exact"/>
        <w:ind w:firstLineChars="200" w:firstLine="600"/>
        <w:rPr>
          <w:rFonts w:ascii="仿宋_GB2312" w:eastAsia="仿宋_GB2312"/>
          <w:sz w:val="30"/>
          <w:szCs w:val="30"/>
        </w:rPr>
      </w:pPr>
      <w:r>
        <w:rPr>
          <w:rFonts w:ascii="仿宋_GB2312" w:eastAsia="仿宋_GB2312" w:hint="eastAsia"/>
          <w:sz w:val="30"/>
          <w:szCs w:val="30"/>
        </w:rPr>
        <w:t>第八十一条</w:t>
      </w:r>
      <w:r>
        <w:rPr>
          <w:rFonts w:ascii="仿宋_GB2312" w:eastAsia="仿宋_GB2312" w:hint="eastAsia"/>
          <w:sz w:val="30"/>
          <w:szCs w:val="30"/>
        </w:rPr>
        <w:t>基金管理人应按照有关业务规则及本指引的规定，及时公开披露基金资产净值、基金份额净值以及基金份额折算参数等相关信息，并对其准确性、及时性负责。</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基金管理人披露的上述数据发生错误</w:t>
      </w:r>
      <w:r>
        <w:rPr>
          <w:rFonts w:ascii="仿宋_GB2312" w:eastAsia="仿宋_GB2312" w:hint="eastAsia"/>
          <w:sz w:val="30"/>
          <w:szCs w:val="30"/>
        </w:rPr>
        <w:t>或者遗漏的，应当及时予以公告，并采取有效措施予以妥善解决。</w:t>
      </w:r>
    </w:p>
    <w:p w:rsidR="0001723C" w:rsidRDefault="007535F4">
      <w:pPr>
        <w:pStyle w:val="af9"/>
        <w:spacing w:line="560" w:lineRule="exact"/>
        <w:ind w:firstLineChars="0" w:firstLine="0"/>
        <w:jc w:val="center"/>
        <w:rPr>
          <w:rFonts w:ascii="黑体" w:eastAsia="黑体" w:hAnsi="黑体"/>
          <w:b/>
          <w:sz w:val="30"/>
          <w:szCs w:val="30"/>
        </w:rPr>
      </w:pPr>
      <w:bookmarkStart w:id="9" w:name="_Toc338048959"/>
      <w:r>
        <w:rPr>
          <w:rFonts w:ascii="黑体" w:eastAsia="黑体" w:hAnsi="黑体"/>
          <w:b/>
          <w:sz w:val="30"/>
          <w:szCs w:val="30"/>
        </w:rPr>
        <w:t>第十三章</w:t>
      </w:r>
      <w:r>
        <w:rPr>
          <w:rFonts w:ascii="黑体" w:eastAsia="黑体" w:hAnsi="黑体" w:hint="eastAsia"/>
          <w:b/>
          <w:sz w:val="30"/>
          <w:szCs w:val="30"/>
        </w:rPr>
        <w:t xml:space="preserve">  </w:t>
      </w:r>
      <w:r>
        <w:rPr>
          <w:rFonts w:ascii="黑体" w:eastAsia="黑体" w:hAnsi="黑体" w:hint="eastAsia"/>
          <w:b/>
          <w:sz w:val="30"/>
          <w:szCs w:val="30"/>
        </w:rPr>
        <w:t>针对基金管理人的数据服务</w:t>
      </w:r>
    </w:p>
    <w:p w:rsidR="0001723C" w:rsidRDefault="007535F4">
      <w:pPr>
        <w:tabs>
          <w:tab w:val="left" w:pos="0"/>
        </w:tabs>
        <w:spacing w:line="560" w:lineRule="exact"/>
        <w:ind w:firstLineChars="200" w:firstLine="600"/>
        <w:rPr>
          <w:rFonts w:ascii="仿宋_GB2312" w:eastAsia="仿宋_GB2312"/>
          <w:sz w:val="30"/>
          <w:szCs w:val="30"/>
        </w:rPr>
      </w:pPr>
      <w:r>
        <w:rPr>
          <w:rFonts w:ascii="仿宋_GB2312" w:eastAsia="仿宋_GB2312" w:hint="eastAsia"/>
          <w:sz w:val="30"/>
          <w:szCs w:val="30"/>
        </w:rPr>
        <w:t>第八十二条</w:t>
      </w:r>
      <w:r>
        <w:rPr>
          <w:rFonts w:ascii="仿宋_GB2312" w:eastAsia="仿宋_GB2312" w:hint="eastAsia"/>
          <w:sz w:val="30"/>
          <w:szCs w:val="30"/>
        </w:rPr>
        <w:t>上证</w:t>
      </w:r>
      <w:r>
        <w:rPr>
          <w:rFonts w:ascii="仿宋_GB2312" w:eastAsia="仿宋_GB2312" w:hint="eastAsia"/>
          <w:sz w:val="30"/>
          <w:szCs w:val="30"/>
        </w:rPr>
        <w:t>LOF</w:t>
      </w:r>
      <w:r>
        <w:rPr>
          <w:rFonts w:ascii="仿宋_GB2312" w:eastAsia="仿宋_GB2312" w:hint="eastAsia"/>
          <w:sz w:val="30"/>
          <w:szCs w:val="30"/>
        </w:rPr>
        <w:t>相关投资者账户资料数据由中国结算</w:t>
      </w:r>
      <w:r>
        <w:rPr>
          <w:rFonts w:ascii="仿宋_GB2312" w:eastAsia="仿宋_GB2312" w:hint="eastAsia"/>
          <w:sz w:val="30"/>
          <w:szCs w:val="30"/>
        </w:rPr>
        <w:t>TA</w:t>
      </w:r>
      <w:r>
        <w:rPr>
          <w:rFonts w:ascii="仿宋_GB2312" w:eastAsia="仿宋_GB2312" w:hint="eastAsia"/>
          <w:sz w:val="30"/>
          <w:szCs w:val="30"/>
        </w:rPr>
        <w:t>系统于每个交易日（</w:t>
      </w:r>
      <w:r>
        <w:rPr>
          <w:rFonts w:ascii="仿宋_GB2312" w:eastAsia="仿宋_GB2312" w:hint="eastAsia"/>
          <w:sz w:val="30"/>
          <w:szCs w:val="30"/>
        </w:rPr>
        <w:t>T</w:t>
      </w:r>
      <w:r>
        <w:rPr>
          <w:rFonts w:ascii="仿宋_GB2312" w:eastAsia="仿宋_GB2312" w:hint="eastAsia"/>
          <w:sz w:val="30"/>
          <w:szCs w:val="30"/>
        </w:rPr>
        <w:t>日）晚上统一向基金管理人发送，包括：</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（一）</w:t>
      </w:r>
      <w:r>
        <w:rPr>
          <w:rFonts w:ascii="仿宋_GB2312" w:eastAsia="仿宋_GB2312" w:hint="eastAsia"/>
          <w:sz w:val="30"/>
          <w:szCs w:val="30"/>
        </w:rPr>
        <w:t>T</w:t>
      </w:r>
      <w:r>
        <w:rPr>
          <w:rFonts w:ascii="仿宋_GB2312" w:eastAsia="仿宋_GB2312" w:hint="eastAsia"/>
          <w:sz w:val="30"/>
          <w:szCs w:val="30"/>
        </w:rPr>
        <w:t>日与上证</w:t>
      </w:r>
      <w:r>
        <w:rPr>
          <w:rFonts w:ascii="仿宋_GB2312" w:eastAsia="仿宋_GB2312" w:hint="eastAsia"/>
          <w:sz w:val="30"/>
          <w:szCs w:val="30"/>
        </w:rPr>
        <w:t>LOF</w:t>
      </w:r>
      <w:r>
        <w:rPr>
          <w:rFonts w:ascii="仿宋_GB2312" w:eastAsia="仿宋_GB2312" w:hint="eastAsia"/>
          <w:sz w:val="30"/>
          <w:szCs w:val="30"/>
        </w:rPr>
        <w:t>相关的上海证券账户资料；</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（二）</w:t>
      </w:r>
      <w:r>
        <w:rPr>
          <w:rFonts w:ascii="仿宋_GB2312" w:eastAsia="仿宋_GB2312" w:hint="eastAsia"/>
          <w:sz w:val="30"/>
          <w:szCs w:val="30"/>
        </w:rPr>
        <w:t>T</w:t>
      </w:r>
      <w:r>
        <w:rPr>
          <w:rFonts w:ascii="仿宋_GB2312" w:eastAsia="仿宋_GB2312" w:hint="eastAsia"/>
          <w:sz w:val="30"/>
          <w:szCs w:val="30"/>
        </w:rPr>
        <w:t>日与上证</w:t>
      </w:r>
      <w:r>
        <w:rPr>
          <w:rFonts w:ascii="仿宋_GB2312" w:eastAsia="仿宋_GB2312" w:hint="eastAsia"/>
          <w:sz w:val="30"/>
          <w:szCs w:val="30"/>
        </w:rPr>
        <w:t>LOF</w:t>
      </w:r>
      <w:r>
        <w:rPr>
          <w:rFonts w:ascii="仿宋_GB2312" w:eastAsia="仿宋_GB2312" w:hint="eastAsia"/>
          <w:sz w:val="30"/>
          <w:szCs w:val="30"/>
        </w:rPr>
        <w:t>相关的上海开放式基金账户资料。</w:t>
      </w:r>
    </w:p>
    <w:p w:rsidR="0001723C" w:rsidRDefault="007535F4">
      <w:pPr>
        <w:tabs>
          <w:tab w:val="left" w:pos="0"/>
        </w:tabs>
        <w:spacing w:line="560" w:lineRule="exact"/>
        <w:ind w:firstLineChars="200" w:firstLine="600"/>
        <w:rPr>
          <w:rFonts w:ascii="仿宋_GB2312" w:eastAsia="仿宋_GB2312"/>
          <w:sz w:val="30"/>
          <w:szCs w:val="30"/>
        </w:rPr>
      </w:pPr>
      <w:r>
        <w:rPr>
          <w:rFonts w:ascii="仿宋_GB2312" w:eastAsia="仿宋_GB2312" w:hint="eastAsia"/>
          <w:sz w:val="30"/>
          <w:szCs w:val="30"/>
        </w:rPr>
        <w:t>第八十三条</w:t>
      </w:r>
      <w:r>
        <w:rPr>
          <w:rFonts w:ascii="仿宋_GB2312" w:eastAsia="仿宋_GB2312" w:hint="eastAsia"/>
          <w:sz w:val="30"/>
          <w:szCs w:val="30"/>
        </w:rPr>
        <w:t>上证</w:t>
      </w:r>
      <w:r>
        <w:rPr>
          <w:rFonts w:ascii="仿宋_GB2312" w:eastAsia="仿宋_GB2312" w:hint="eastAsia"/>
          <w:sz w:val="30"/>
          <w:szCs w:val="30"/>
        </w:rPr>
        <w:t>LOF</w:t>
      </w:r>
      <w:r>
        <w:rPr>
          <w:rFonts w:ascii="仿宋_GB2312" w:eastAsia="仿宋_GB2312" w:hint="eastAsia"/>
          <w:sz w:val="30"/>
          <w:szCs w:val="30"/>
        </w:rPr>
        <w:t>相关交易数据由中国结算</w:t>
      </w:r>
      <w:r>
        <w:rPr>
          <w:rFonts w:ascii="仿宋_GB2312" w:eastAsia="仿宋_GB2312" w:hint="eastAsia"/>
          <w:sz w:val="30"/>
          <w:szCs w:val="30"/>
        </w:rPr>
        <w:t>TA</w:t>
      </w:r>
      <w:r>
        <w:rPr>
          <w:rFonts w:ascii="仿宋_GB2312" w:eastAsia="仿宋_GB2312" w:hint="eastAsia"/>
          <w:sz w:val="30"/>
          <w:szCs w:val="30"/>
        </w:rPr>
        <w:t>系统于每个交易日晚上及次一交易日下午统一向基金管理人发送，包括：</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（一）</w:t>
      </w:r>
      <w:r>
        <w:rPr>
          <w:rFonts w:ascii="仿宋_GB2312" w:eastAsia="仿宋_GB2312" w:hint="eastAsia"/>
          <w:sz w:val="30"/>
          <w:szCs w:val="30"/>
        </w:rPr>
        <w:t>T</w:t>
      </w:r>
      <w:r>
        <w:rPr>
          <w:rFonts w:ascii="仿宋_GB2312" w:eastAsia="仿宋_GB2312" w:hint="eastAsia"/>
          <w:sz w:val="30"/>
          <w:szCs w:val="30"/>
        </w:rPr>
        <w:t>日与上证</w:t>
      </w:r>
      <w:r>
        <w:rPr>
          <w:rFonts w:ascii="仿宋_GB2312" w:eastAsia="仿宋_GB2312" w:hint="eastAsia"/>
          <w:sz w:val="30"/>
          <w:szCs w:val="30"/>
        </w:rPr>
        <w:t>LOF</w:t>
      </w:r>
      <w:r>
        <w:rPr>
          <w:rFonts w:ascii="仿宋_GB2312" w:eastAsia="仿宋_GB2312" w:hint="eastAsia"/>
          <w:sz w:val="30"/>
          <w:szCs w:val="30"/>
        </w:rPr>
        <w:t>相关的场内撤指定、指定、分拆、合并等业务数据；</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（二）</w:t>
      </w:r>
      <w:r>
        <w:rPr>
          <w:rFonts w:ascii="仿宋_GB2312" w:eastAsia="仿宋_GB2312" w:hint="eastAsia"/>
          <w:sz w:val="30"/>
          <w:szCs w:val="30"/>
        </w:rPr>
        <w:t>T</w:t>
      </w:r>
      <w:r>
        <w:rPr>
          <w:rFonts w:ascii="仿宋_GB2312" w:eastAsia="仿宋_GB2312" w:hint="eastAsia"/>
          <w:sz w:val="30"/>
          <w:szCs w:val="30"/>
        </w:rPr>
        <w:t>日与上证</w:t>
      </w:r>
      <w:r>
        <w:rPr>
          <w:rFonts w:ascii="仿宋_GB2312" w:eastAsia="仿宋_GB2312" w:hint="eastAsia"/>
          <w:sz w:val="30"/>
          <w:szCs w:val="30"/>
        </w:rPr>
        <w:t>LOF</w:t>
      </w:r>
      <w:r>
        <w:rPr>
          <w:rFonts w:ascii="仿宋_GB2312" w:eastAsia="仿宋_GB2312" w:hint="eastAsia"/>
          <w:sz w:val="30"/>
          <w:szCs w:val="30"/>
        </w:rPr>
        <w:t>相关的场内认购、申购、赎回、跨系统转托管等业务数据；</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（三）</w:t>
      </w:r>
      <w:r>
        <w:rPr>
          <w:rFonts w:ascii="仿宋_GB2312" w:eastAsia="仿宋_GB2312" w:hint="eastAsia"/>
          <w:sz w:val="30"/>
          <w:szCs w:val="30"/>
        </w:rPr>
        <w:t>T</w:t>
      </w:r>
      <w:r>
        <w:rPr>
          <w:rFonts w:ascii="仿宋_GB2312" w:eastAsia="仿宋_GB2312" w:hint="eastAsia"/>
          <w:sz w:val="30"/>
          <w:szCs w:val="30"/>
        </w:rPr>
        <w:t>日与上证</w:t>
      </w:r>
      <w:r>
        <w:rPr>
          <w:rFonts w:ascii="仿宋_GB2312" w:eastAsia="仿宋_GB2312" w:hint="eastAsia"/>
          <w:sz w:val="30"/>
          <w:szCs w:val="30"/>
        </w:rPr>
        <w:t>LOF</w:t>
      </w:r>
      <w:r>
        <w:rPr>
          <w:rFonts w:ascii="仿宋_GB2312" w:eastAsia="仿宋_GB2312" w:hint="eastAsia"/>
          <w:sz w:val="30"/>
          <w:szCs w:val="30"/>
        </w:rPr>
        <w:t>相关的冻结、解冻及非交易过户等业务数据；</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（四）</w:t>
      </w:r>
      <w:r>
        <w:rPr>
          <w:rFonts w:ascii="仿宋_GB2312" w:eastAsia="仿宋_GB2312" w:hint="eastAsia"/>
          <w:sz w:val="30"/>
          <w:szCs w:val="30"/>
        </w:rPr>
        <w:t>T</w:t>
      </w:r>
      <w:r>
        <w:rPr>
          <w:rFonts w:ascii="仿宋_GB2312" w:eastAsia="仿宋_GB2312" w:hint="eastAsia"/>
          <w:sz w:val="30"/>
          <w:szCs w:val="30"/>
        </w:rPr>
        <w:t>日与上证</w:t>
      </w:r>
      <w:r>
        <w:rPr>
          <w:rFonts w:ascii="仿宋_GB2312" w:eastAsia="仿宋_GB2312" w:hint="eastAsia"/>
          <w:sz w:val="30"/>
          <w:szCs w:val="30"/>
        </w:rPr>
        <w:t>LOF</w:t>
      </w:r>
      <w:r>
        <w:rPr>
          <w:rFonts w:ascii="仿宋_GB2312" w:eastAsia="仿宋_GB2312" w:hint="eastAsia"/>
          <w:sz w:val="30"/>
          <w:szCs w:val="30"/>
        </w:rPr>
        <w:t>相关的场外认购、申购、赎回、转托管等业务数据。</w:t>
      </w:r>
    </w:p>
    <w:p w:rsidR="0001723C" w:rsidRDefault="007535F4">
      <w:pPr>
        <w:tabs>
          <w:tab w:val="left" w:pos="0"/>
        </w:tabs>
        <w:spacing w:line="560" w:lineRule="exact"/>
        <w:ind w:firstLineChars="200" w:firstLine="600"/>
        <w:rPr>
          <w:rFonts w:ascii="仿宋_GB2312" w:eastAsia="仿宋_GB2312"/>
          <w:sz w:val="30"/>
          <w:szCs w:val="30"/>
        </w:rPr>
      </w:pPr>
      <w:r>
        <w:rPr>
          <w:rFonts w:ascii="仿宋_GB2312" w:eastAsia="仿宋_GB2312" w:hint="eastAsia"/>
          <w:sz w:val="30"/>
          <w:szCs w:val="30"/>
        </w:rPr>
        <w:t>第八十四条</w:t>
      </w:r>
      <w:r>
        <w:rPr>
          <w:rFonts w:ascii="仿宋_GB2312" w:eastAsia="仿宋_GB2312" w:hint="eastAsia"/>
          <w:sz w:val="30"/>
          <w:szCs w:val="30"/>
        </w:rPr>
        <w:t>上证</w:t>
      </w:r>
      <w:r>
        <w:rPr>
          <w:rFonts w:ascii="仿宋_GB2312" w:eastAsia="仿宋_GB2312" w:hint="eastAsia"/>
          <w:sz w:val="30"/>
          <w:szCs w:val="30"/>
        </w:rPr>
        <w:t>LOF</w:t>
      </w:r>
      <w:r>
        <w:rPr>
          <w:rFonts w:ascii="仿宋_GB2312" w:eastAsia="仿宋_GB2312" w:hint="eastAsia"/>
          <w:sz w:val="30"/>
          <w:szCs w:val="30"/>
        </w:rPr>
        <w:t>相关基金份额对账数据由中国结算</w:t>
      </w:r>
      <w:r>
        <w:rPr>
          <w:rFonts w:ascii="仿宋_GB2312" w:eastAsia="仿宋_GB2312" w:hint="eastAsia"/>
          <w:sz w:val="30"/>
          <w:szCs w:val="30"/>
        </w:rPr>
        <w:t>TA</w:t>
      </w:r>
      <w:r>
        <w:rPr>
          <w:rFonts w:ascii="仿宋_GB2312" w:eastAsia="仿宋_GB2312" w:hint="eastAsia"/>
          <w:sz w:val="30"/>
          <w:szCs w:val="30"/>
        </w:rPr>
        <w:t>系统于交易日次一交易日下午统一向基金管理人发送，包括：</w:t>
      </w:r>
    </w:p>
    <w:p w:rsidR="0001723C" w:rsidRDefault="007535F4">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（一）</w:t>
      </w:r>
      <w:r>
        <w:rPr>
          <w:rFonts w:ascii="仿宋_GB2312" w:eastAsia="仿宋_GB2312" w:hint="eastAsia"/>
          <w:sz w:val="30"/>
          <w:szCs w:val="30"/>
        </w:rPr>
        <w:t>T</w:t>
      </w:r>
      <w:r>
        <w:rPr>
          <w:rFonts w:ascii="仿宋_GB2312" w:eastAsia="仿宋_GB2312" w:hint="eastAsia"/>
          <w:sz w:val="30"/>
          <w:szCs w:val="30"/>
        </w:rPr>
        <w:t>日与上证</w:t>
      </w:r>
      <w:r>
        <w:rPr>
          <w:rFonts w:ascii="仿宋_GB2312" w:eastAsia="仿宋_GB2312" w:hint="eastAsia"/>
          <w:sz w:val="30"/>
          <w:szCs w:val="30"/>
        </w:rPr>
        <w:t>LOF</w:t>
      </w:r>
      <w:r>
        <w:rPr>
          <w:rFonts w:ascii="仿宋_GB2312" w:eastAsia="仿宋_GB2312" w:hint="eastAsia"/>
          <w:sz w:val="30"/>
          <w:szCs w:val="30"/>
        </w:rPr>
        <w:t>相关的上海证券账户份额持有数据；</w:t>
      </w:r>
    </w:p>
    <w:p w:rsidR="0001723C" w:rsidRDefault="007535F4">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（二）</w:t>
      </w:r>
      <w:r>
        <w:rPr>
          <w:rFonts w:ascii="仿宋_GB2312" w:eastAsia="仿宋_GB2312" w:hint="eastAsia"/>
          <w:sz w:val="30"/>
          <w:szCs w:val="30"/>
        </w:rPr>
        <w:t>T</w:t>
      </w:r>
      <w:r>
        <w:rPr>
          <w:rFonts w:ascii="仿宋_GB2312" w:eastAsia="仿宋_GB2312" w:hint="eastAsia"/>
          <w:sz w:val="30"/>
          <w:szCs w:val="30"/>
        </w:rPr>
        <w:t>日与上证</w:t>
      </w:r>
      <w:r>
        <w:rPr>
          <w:rFonts w:ascii="仿宋_GB2312" w:eastAsia="仿宋_GB2312" w:hint="eastAsia"/>
          <w:sz w:val="30"/>
          <w:szCs w:val="30"/>
        </w:rPr>
        <w:t>LOF</w:t>
      </w:r>
      <w:r>
        <w:rPr>
          <w:rFonts w:ascii="仿宋_GB2312" w:eastAsia="仿宋_GB2312" w:hint="eastAsia"/>
          <w:sz w:val="30"/>
          <w:szCs w:val="30"/>
        </w:rPr>
        <w:t>相关的上海开放式基金账户份额持有数据。</w:t>
      </w:r>
    </w:p>
    <w:p w:rsidR="0001723C" w:rsidRDefault="007535F4">
      <w:pPr>
        <w:pStyle w:val="af9"/>
        <w:spacing w:line="560" w:lineRule="exact"/>
        <w:ind w:firstLineChars="0" w:firstLine="0"/>
        <w:jc w:val="center"/>
        <w:rPr>
          <w:rFonts w:ascii="黑体" w:eastAsia="黑体" w:hAnsi="黑体"/>
          <w:b/>
          <w:sz w:val="30"/>
          <w:szCs w:val="30"/>
        </w:rPr>
      </w:pPr>
      <w:r>
        <w:rPr>
          <w:rFonts w:ascii="黑体" w:eastAsia="黑体" w:hAnsi="黑体"/>
          <w:b/>
          <w:sz w:val="30"/>
          <w:szCs w:val="30"/>
        </w:rPr>
        <w:t>第十四章</w:t>
      </w:r>
      <w:r>
        <w:rPr>
          <w:rFonts w:ascii="黑体" w:eastAsia="黑体" w:hAnsi="黑体" w:hint="eastAsia"/>
          <w:b/>
          <w:sz w:val="30"/>
          <w:szCs w:val="30"/>
        </w:rPr>
        <w:t xml:space="preserve">  </w:t>
      </w:r>
      <w:r>
        <w:rPr>
          <w:rFonts w:ascii="黑体" w:eastAsia="黑体" w:hAnsi="黑体" w:hint="eastAsia"/>
          <w:b/>
          <w:sz w:val="30"/>
          <w:szCs w:val="30"/>
        </w:rPr>
        <w:t>附则</w:t>
      </w:r>
      <w:bookmarkEnd w:id="9"/>
    </w:p>
    <w:p w:rsidR="0001723C" w:rsidRDefault="007535F4">
      <w:pPr>
        <w:tabs>
          <w:tab w:val="left" w:pos="0"/>
        </w:tabs>
        <w:spacing w:line="560" w:lineRule="exact"/>
        <w:ind w:firstLineChars="200" w:firstLine="600"/>
        <w:rPr>
          <w:rFonts w:ascii="仿宋_GB2312" w:eastAsia="仿宋_GB2312"/>
          <w:sz w:val="30"/>
          <w:szCs w:val="30"/>
        </w:rPr>
      </w:pPr>
      <w:r>
        <w:rPr>
          <w:rFonts w:ascii="仿宋_GB2312" w:eastAsia="仿宋_GB2312" w:hint="eastAsia"/>
          <w:sz w:val="30"/>
          <w:szCs w:val="30"/>
        </w:rPr>
        <w:t>第八十五条</w:t>
      </w:r>
      <w:r>
        <w:rPr>
          <w:rFonts w:ascii="仿宋_GB2312" w:eastAsia="仿宋_GB2312" w:hint="eastAsia"/>
          <w:sz w:val="30"/>
          <w:szCs w:val="30"/>
        </w:rPr>
        <w:t>出现下列情形的，上交所、中国结算可以暂停或终止</w:t>
      </w:r>
      <w:r>
        <w:rPr>
          <w:rFonts w:ascii="仿宋_GB2312" w:eastAsia="仿宋_GB2312" w:hint="eastAsia"/>
          <w:sz w:val="30"/>
          <w:szCs w:val="30"/>
        </w:rPr>
        <w:t>办理上证</w:t>
      </w:r>
      <w:r>
        <w:rPr>
          <w:rFonts w:ascii="仿宋_GB2312" w:eastAsia="仿宋_GB2312" w:hint="eastAsia"/>
          <w:sz w:val="30"/>
          <w:szCs w:val="30"/>
        </w:rPr>
        <w:t>LOF</w:t>
      </w:r>
      <w:r>
        <w:rPr>
          <w:rFonts w:ascii="仿宋_GB2312" w:eastAsia="仿宋_GB2312" w:hint="eastAsia"/>
          <w:sz w:val="30"/>
          <w:szCs w:val="30"/>
        </w:rPr>
        <w:t>相关业务：</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（一）基金管理人申请暂停或终止相关业务；</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（二）出现不可抗力、意外事件、技术故障或者其他异常情况；</w:t>
      </w:r>
    </w:p>
    <w:p w:rsidR="0001723C" w:rsidRDefault="007535F4">
      <w:pPr>
        <w:spacing w:line="560" w:lineRule="exact"/>
        <w:ind w:firstLineChars="200" w:firstLine="600"/>
        <w:rPr>
          <w:rFonts w:ascii="仿宋_GB2312" w:eastAsia="仿宋_GB2312"/>
          <w:sz w:val="30"/>
          <w:szCs w:val="30"/>
        </w:rPr>
      </w:pPr>
      <w:r>
        <w:rPr>
          <w:rFonts w:ascii="仿宋_GB2312" w:eastAsia="仿宋_GB2312" w:hint="eastAsia"/>
          <w:sz w:val="30"/>
          <w:szCs w:val="30"/>
        </w:rPr>
        <w:t>（三</w:t>
      </w:r>
      <w:bookmarkStart w:id="10" w:name="_GoBack"/>
      <w:bookmarkEnd w:id="10"/>
      <w:r>
        <w:rPr>
          <w:rFonts w:ascii="仿宋_GB2312" w:eastAsia="仿宋_GB2312" w:hint="eastAsia"/>
          <w:sz w:val="30"/>
          <w:szCs w:val="30"/>
        </w:rPr>
        <w:t>）法律法规规定或上交所、中国结算认定的其他情形。</w:t>
      </w:r>
    </w:p>
    <w:p w:rsidR="0001723C" w:rsidRDefault="007535F4">
      <w:pPr>
        <w:tabs>
          <w:tab w:val="left" w:pos="0"/>
        </w:tabs>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第八十六条</w:t>
      </w:r>
      <w:r>
        <w:rPr>
          <w:rFonts w:ascii="仿宋_GB2312" w:eastAsia="仿宋_GB2312" w:hint="eastAsia"/>
          <w:sz w:val="30"/>
          <w:szCs w:val="30"/>
        </w:rPr>
        <w:t>上证基金通业务的具体事宜按照上交所和中国结算于</w:t>
      </w:r>
      <w:r>
        <w:rPr>
          <w:rFonts w:ascii="仿宋_GB2312" w:eastAsia="仿宋_GB2312" w:hint="eastAsia"/>
          <w:sz w:val="30"/>
          <w:szCs w:val="30"/>
        </w:rPr>
        <w:t>2005</w:t>
      </w:r>
      <w:r>
        <w:rPr>
          <w:rFonts w:ascii="仿宋_GB2312" w:eastAsia="仿宋_GB2312" w:hint="eastAsia"/>
          <w:sz w:val="30"/>
          <w:szCs w:val="30"/>
        </w:rPr>
        <w:t>年</w:t>
      </w:r>
      <w:r>
        <w:rPr>
          <w:rFonts w:ascii="仿宋_GB2312" w:eastAsia="仿宋_GB2312" w:hint="eastAsia"/>
          <w:sz w:val="30"/>
          <w:szCs w:val="30"/>
        </w:rPr>
        <w:t>7</w:t>
      </w:r>
      <w:r>
        <w:rPr>
          <w:rFonts w:ascii="仿宋_GB2312" w:eastAsia="仿宋_GB2312" w:hint="eastAsia"/>
          <w:sz w:val="30"/>
          <w:szCs w:val="30"/>
        </w:rPr>
        <w:t>月</w:t>
      </w:r>
      <w:r>
        <w:rPr>
          <w:rFonts w:ascii="仿宋_GB2312" w:eastAsia="仿宋_GB2312" w:hint="eastAsia"/>
          <w:sz w:val="30"/>
          <w:szCs w:val="30"/>
        </w:rPr>
        <w:t>27</w:t>
      </w:r>
      <w:r>
        <w:rPr>
          <w:rFonts w:ascii="仿宋_GB2312" w:eastAsia="仿宋_GB2312" w:hint="eastAsia"/>
          <w:sz w:val="30"/>
          <w:szCs w:val="30"/>
        </w:rPr>
        <w:t>日联合发布的《通过上海证券交易所办理开放式基金相关业务操作指引》办理。交易型开放式指数基金业务、交易型货币市场基金业务、场内货币市场基金实时申购、赎回业务不适用本指引。</w:t>
      </w:r>
    </w:p>
    <w:p w:rsidR="0001723C" w:rsidRDefault="007535F4">
      <w:pPr>
        <w:tabs>
          <w:tab w:val="left" w:pos="0"/>
        </w:tabs>
        <w:spacing w:line="560" w:lineRule="exact"/>
        <w:ind w:firstLineChars="200" w:firstLine="600"/>
        <w:rPr>
          <w:rFonts w:ascii="仿宋_GB2312" w:eastAsia="仿宋_GB2312"/>
          <w:sz w:val="30"/>
          <w:szCs w:val="30"/>
        </w:rPr>
      </w:pPr>
      <w:r>
        <w:rPr>
          <w:rFonts w:ascii="仿宋_GB2312" w:eastAsia="仿宋_GB2312" w:hint="eastAsia"/>
          <w:sz w:val="30"/>
          <w:szCs w:val="30"/>
        </w:rPr>
        <w:t>第八十七条</w:t>
      </w:r>
      <w:r>
        <w:rPr>
          <w:rFonts w:ascii="仿宋_GB2312" w:eastAsia="仿宋_GB2312" w:hint="eastAsia"/>
          <w:sz w:val="30"/>
          <w:szCs w:val="30"/>
        </w:rPr>
        <w:t>对于采用</w:t>
      </w:r>
      <w:r>
        <w:rPr>
          <w:rFonts w:ascii="仿宋_GB2312" w:eastAsia="仿宋_GB2312" w:hint="eastAsia"/>
          <w:sz w:val="30"/>
          <w:szCs w:val="30"/>
        </w:rPr>
        <w:t>QDII</w:t>
      </w:r>
      <w:r>
        <w:rPr>
          <w:rFonts w:ascii="仿宋_GB2312" w:eastAsia="仿宋_GB2312" w:hint="eastAsia"/>
          <w:sz w:val="30"/>
          <w:szCs w:val="30"/>
        </w:rPr>
        <w:t>模式的上证</w:t>
      </w:r>
      <w:r>
        <w:rPr>
          <w:rFonts w:ascii="仿宋_GB2312" w:eastAsia="仿宋_GB2312" w:hint="eastAsia"/>
          <w:sz w:val="30"/>
          <w:szCs w:val="30"/>
        </w:rPr>
        <w:t>LOF</w:t>
      </w:r>
      <w:r>
        <w:rPr>
          <w:rFonts w:ascii="仿宋_GB2312" w:eastAsia="仿宋_GB2312" w:hint="eastAsia"/>
          <w:sz w:val="30"/>
          <w:szCs w:val="30"/>
        </w:rPr>
        <w:t>相关业务，《开放式证券投资基金及证券公司集合资产管理计划份额登记及资金结算业务指南》等相关业务规则中另有规定的，从其规定。</w:t>
      </w:r>
    </w:p>
    <w:p w:rsidR="0001723C" w:rsidRDefault="007535F4">
      <w:pPr>
        <w:pStyle w:val="3"/>
        <w:numPr>
          <w:ilvl w:val="0"/>
          <w:numId w:val="0"/>
        </w:numPr>
        <w:tabs>
          <w:tab w:val="clear" w:pos="1676"/>
          <w:tab w:val="left" w:pos="0"/>
        </w:tabs>
        <w:spacing w:line="560" w:lineRule="exact"/>
        <w:ind w:firstLineChars="200" w:firstLine="600"/>
        <w:rPr>
          <w:sz w:val="30"/>
          <w:szCs w:val="30"/>
        </w:rPr>
      </w:pPr>
      <w:r>
        <w:rPr>
          <w:rFonts w:hint="eastAsia"/>
          <w:sz w:val="30"/>
          <w:szCs w:val="30"/>
        </w:rPr>
        <w:t>第八十八条</w:t>
      </w:r>
      <w:r>
        <w:rPr>
          <w:rFonts w:hAnsi="Times New Roman" w:hint="eastAsia"/>
          <w:sz w:val="30"/>
          <w:szCs w:val="30"/>
        </w:rPr>
        <w:t>上交所</w:t>
      </w:r>
      <w:r>
        <w:rPr>
          <w:rFonts w:hint="eastAsia"/>
          <w:sz w:val="30"/>
          <w:szCs w:val="30"/>
        </w:rPr>
        <w:t>、</w:t>
      </w:r>
      <w:r>
        <w:rPr>
          <w:rFonts w:hAnsi="Times New Roman" w:hint="eastAsia"/>
          <w:sz w:val="30"/>
          <w:szCs w:val="30"/>
        </w:rPr>
        <w:t>中国结算及中国结算上海分公司按照有关规定收取相关费用。</w:t>
      </w:r>
    </w:p>
    <w:p w:rsidR="0001723C" w:rsidRDefault="007535F4">
      <w:pPr>
        <w:tabs>
          <w:tab w:val="left" w:pos="0"/>
        </w:tabs>
        <w:spacing w:line="560" w:lineRule="exact"/>
        <w:ind w:firstLineChars="200" w:firstLine="600"/>
        <w:rPr>
          <w:rFonts w:ascii="仿宋_GB2312" w:eastAsia="仿宋_GB2312"/>
          <w:sz w:val="30"/>
          <w:szCs w:val="30"/>
        </w:rPr>
      </w:pPr>
      <w:r>
        <w:rPr>
          <w:rFonts w:ascii="仿宋_GB2312" w:eastAsia="仿宋_GB2312" w:hint="eastAsia"/>
          <w:sz w:val="30"/>
          <w:szCs w:val="30"/>
        </w:rPr>
        <w:t>第八十九条</w:t>
      </w:r>
      <w:r>
        <w:rPr>
          <w:rFonts w:ascii="仿宋_GB2312" w:eastAsia="仿宋_GB2312" w:hint="eastAsia"/>
          <w:sz w:val="30"/>
          <w:szCs w:val="30"/>
        </w:rPr>
        <w:t>本指引由上交所与中国结算负责解释。</w:t>
      </w:r>
    </w:p>
    <w:p w:rsidR="0001723C" w:rsidRDefault="007535F4">
      <w:pPr>
        <w:tabs>
          <w:tab w:val="left" w:pos="0"/>
        </w:tabs>
        <w:spacing w:line="560" w:lineRule="exact"/>
        <w:ind w:firstLineChars="200" w:firstLine="600"/>
        <w:rPr>
          <w:rFonts w:ascii="仿宋_GB2312" w:eastAsia="仿宋_GB2312"/>
          <w:sz w:val="30"/>
          <w:szCs w:val="30"/>
        </w:rPr>
      </w:pPr>
      <w:r>
        <w:rPr>
          <w:rFonts w:ascii="仿宋_GB2312" w:eastAsia="仿宋_GB2312" w:hint="eastAsia"/>
          <w:sz w:val="30"/>
          <w:szCs w:val="30"/>
        </w:rPr>
        <w:t>第九十条</w:t>
      </w:r>
      <w:r>
        <w:rPr>
          <w:rFonts w:ascii="仿宋_GB2312" w:eastAsia="仿宋_GB2312" w:hint="eastAsia"/>
          <w:sz w:val="30"/>
          <w:szCs w:val="30"/>
        </w:rPr>
        <w:t>本指引自发布之日起施行。上交所与中国结算于</w:t>
      </w:r>
      <w:r>
        <w:rPr>
          <w:rFonts w:ascii="仿宋_GB2312" w:eastAsia="仿宋_GB2312" w:hint="eastAsia"/>
          <w:sz w:val="30"/>
          <w:szCs w:val="30"/>
        </w:rPr>
        <w:t>2014</w:t>
      </w:r>
      <w:r>
        <w:rPr>
          <w:rFonts w:ascii="仿宋_GB2312" w:eastAsia="仿宋_GB2312" w:hint="eastAsia"/>
          <w:sz w:val="30"/>
          <w:szCs w:val="30"/>
        </w:rPr>
        <w:t>年</w:t>
      </w:r>
      <w:r>
        <w:rPr>
          <w:rFonts w:ascii="仿宋_GB2312" w:eastAsia="仿宋_GB2312" w:hint="eastAsia"/>
          <w:sz w:val="30"/>
          <w:szCs w:val="30"/>
        </w:rPr>
        <w:t>12</w:t>
      </w:r>
      <w:r>
        <w:rPr>
          <w:rFonts w:ascii="仿宋_GB2312" w:eastAsia="仿宋_GB2312" w:hint="eastAsia"/>
          <w:sz w:val="30"/>
          <w:szCs w:val="30"/>
        </w:rPr>
        <w:t>月</w:t>
      </w:r>
      <w:r>
        <w:rPr>
          <w:rFonts w:ascii="仿宋_GB2312" w:eastAsia="仿宋_GB2312" w:hint="eastAsia"/>
          <w:sz w:val="30"/>
          <w:szCs w:val="30"/>
        </w:rPr>
        <w:t>10</w:t>
      </w:r>
      <w:r>
        <w:rPr>
          <w:rFonts w:ascii="仿宋_GB2312" w:eastAsia="仿宋_GB2312" w:hint="eastAsia"/>
          <w:sz w:val="30"/>
          <w:szCs w:val="30"/>
        </w:rPr>
        <w:t>日联合发布的《上海证券交易所上市开放式基金业务指引》（上证发〔</w:t>
      </w:r>
      <w:r>
        <w:rPr>
          <w:rFonts w:ascii="仿宋_GB2312" w:eastAsia="仿宋_GB2312" w:hint="eastAsia"/>
          <w:sz w:val="30"/>
          <w:szCs w:val="30"/>
        </w:rPr>
        <w:t>2014</w:t>
      </w:r>
      <w:r>
        <w:rPr>
          <w:rFonts w:ascii="仿宋_GB2312" w:eastAsia="仿宋_GB2312" w:hint="eastAsia"/>
          <w:sz w:val="30"/>
          <w:szCs w:val="30"/>
        </w:rPr>
        <w:t>〕</w:t>
      </w:r>
      <w:r>
        <w:rPr>
          <w:rFonts w:ascii="仿宋_GB2312" w:eastAsia="仿宋_GB2312" w:hint="eastAsia"/>
          <w:sz w:val="30"/>
          <w:szCs w:val="30"/>
        </w:rPr>
        <w:t>83</w:t>
      </w:r>
      <w:r>
        <w:rPr>
          <w:rFonts w:ascii="仿宋_GB2312" w:eastAsia="仿宋_GB2312" w:hint="eastAsia"/>
          <w:sz w:val="30"/>
          <w:szCs w:val="30"/>
        </w:rPr>
        <w:t>号）同时废止。</w:t>
      </w:r>
    </w:p>
    <w:p w:rsidR="0001723C" w:rsidRDefault="0001723C">
      <w:pPr>
        <w:spacing w:line="560" w:lineRule="exact"/>
        <w:rPr>
          <w:rFonts w:ascii="仿宋_GB2312" w:eastAsia="仿宋_GB2312"/>
          <w:bCs/>
          <w:color w:val="000000"/>
          <w:sz w:val="28"/>
          <w:szCs w:val="28"/>
        </w:rPr>
      </w:pPr>
    </w:p>
    <w:sectPr w:rsidR="0001723C" w:rsidSect="0001723C">
      <w:footerReference w:type="even" r:id="rId8"/>
      <w:footerReference w:type="default" r:id="rId9"/>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23C" w:rsidRDefault="0001723C" w:rsidP="0001723C">
      <w:r>
        <w:separator/>
      </w:r>
    </w:p>
  </w:endnote>
  <w:endnote w:type="continuationSeparator" w:id="0">
    <w:p w:rsidR="0001723C" w:rsidRDefault="0001723C" w:rsidP="000172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仿宋_GB2312">
    <w:altName w:val="Arial Unicode MS"/>
    <w:charset w:val="86"/>
    <w:family w:val="modern"/>
    <w:pitch w:val="default"/>
    <w:sig w:usb0="00000000"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方正大标宋简体">
    <w:panose1 w:val="03000509000000000000"/>
    <w:charset w:val="86"/>
    <w:family w:val="script"/>
    <w:pitch w:val="fixed"/>
    <w:sig w:usb0="00000003" w:usb1="080E0000" w:usb2="00000010" w:usb3="00000000" w:csb0="00040001" w:csb1="00000000"/>
  </w:font>
  <w:font w:name="Courier New">
    <w:panose1 w:val="02070309020205020404"/>
    <w:charset w:val="00"/>
    <w:family w:val="modern"/>
    <w:pitch w:val="fixed"/>
    <w:sig w:usb0="E0002AFF" w:usb1="C0007843" w:usb2="00000009" w:usb3="00000000" w:csb0="000001FF" w:csb1="00000000"/>
  </w:font>
  <w:font w:name="楷体_GB2312">
    <w:charset w:val="86"/>
    <w:family w:val="modern"/>
    <w:pitch w:val="default"/>
    <w:sig w:usb0="00000001" w:usb1="080E0000" w:usb2="00000000" w:usb3="00000000" w:csb0="00040000" w:csb1="00000000"/>
  </w:font>
  <w:font w:name="ClassGarmnd BT">
    <w:altName w:val="Times New Roman"/>
    <w:charset w:val="00"/>
    <w:family w:val="roman"/>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汉仪中等线简">
    <w:altName w:val="微软雅黑"/>
    <w:charset w:val="86"/>
    <w:family w:val="modern"/>
    <w:pitch w:val="default"/>
    <w:sig w:usb0="00000000" w:usb1="00000000" w:usb2="00000012" w:usb3="00000000" w:csb0="00040000"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Frutiger 45 Light">
    <w:altName w:val="Arial"/>
    <w:charset w:val="01"/>
    <w:family w:val="auto"/>
    <w:pitch w:val="default"/>
    <w:sig w:usb0="00000000" w:usb1="00000000" w:usb2="00000000" w:usb3="00000000" w:csb0="00000193"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23C" w:rsidRDefault="0001723C">
    <w:pPr>
      <w:pStyle w:val="ab"/>
      <w:framePr w:wrap="around" w:vAnchor="text" w:hAnchor="margin" w:xAlign="center" w:y="1"/>
      <w:rPr>
        <w:rStyle w:val="af4"/>
      </w:rPr>
    </w:pPr>
  </w:p>
  <w:p w:rsidR="0001723C" w:rsidRDefault="007535F4">
    <w:pPr>
      <w:pStyle w:val="ab"/>
    </w:pPr>
    <w:r>
      <w:rPr>
        <w:rFonts w:ascii="仿宋_GB2312" w:eastAsia="仿宋_GB2312" w:hint="eastAsia"/>
        <w:bCs/>
        <w:sz w:val="28"/>
      </w:rPr>
      <w:t>－</w:t>
    </w:r>
    <w:r w:rsidR="0001723C">
      <w:rPr>
        <w:sz w:val="28"/>
      </w:rPr>
      <w:fldChar w:fldCharType="begin"/>
    </w:r>
    <w:r>
      <w:rPr>
        <w:sz w:val="28"/>
      </w:rPr>
      <w:instrText xml:space="preserve"> PAGE </w:instrText>
    </w:r>
    <w:r w:rsidR="0001723C">
      <w:rPr>
        <w:sz w:val="28"/>
      </w:rPr>
      <w:fldChar w:fldCharType="separate"/>
    </w:r>
    <w:r>
      <w:rPr>
        <w:noProof/>
        <w:sz w:val="28"/>
      </w:rPr>
      <w:t>2</w:t>
    </w:r>
    <w:r w:rsidR="0001723C">
      <w:rPr>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23C" w:rsidRDefault="0001723C">
    <w:pPr>
      <w:pStyle w:val="ab"/>
      <w:framePr w:wrap="around" w:vAnchor="text" w:hAnchor="margin" w:xAlign="center" w:y="1"/>
      <w:jc w:val="center"/>
      <w:rPr>
        <w:rStyle w:val="af4"/>
      </w:rPr>
    </w:pPr>
  </w:p>
  <w:p w:rsidR="0001723C" w:rsidRDefault="007535F4">
    <w:pPr>
      <w:pStyle w:val="ab"/>
      <w:jc w:val="right"/>
    </w:pPr>
    <w:r>
      <w:rPr>
        <w:rFonts w:ascii="仿宋_GB2312" w:eastAsia="仿宋_GB2312" w:hint="eastAsia"/>
        <w:bCs/>
        <w:sz w:val="28"/>
      </w:rPr>
      <w:t>－</w:t>
    </w:r>
    <w:r w:rsidR="0001723C">
      <w:rPr>
        <w:sz w:val="28"/>
      </w:rPr>
      <w:fldChar w:fldCharType="begin"/>
    </w:r>
    <w:r>
      <w:rPr>
        <w:sz w:val="28"/>
      </w:rPr>
      <w:instrText xml:space="preserve"> PAGE </w:instrText>
    </w:r>
    <w:r w:rsidR="0001723C">
      <w:rPr>
        <w:sz w:val="28"/>
      </w:rPr>
      <w:fldChar w:fldCharType="separate"/>
    </w:r>
    <w:r>
      <w:rPr>
        <w:noProof/>
        <w:sz w:val="28"/>
      </w:rPr>
      <w:t>1</w:t>
    </w:r>
    <w:r w:rsidR="0001723C">
      <w:rPr>
        <w:sz w:val="28"/>
      </w:rPr>
      <w:fldChar w:fldCharType="end"/>
    </w:r>
    <w:r>
      <w:rPr>
        <w:rFonts w:ascii="仿宋_GB2312" w:eastAsia="仿宋_GB2312" w:hint="eastAsia"/>
        <w:bCs/>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23C" w:rsidRDefault="0001723C" w:rsidP="0001723C">
      <w:r>
        <w:separator/>
      </w:r>
    </w:p>
  </w:footnote>
  <w:footnote w:type="continuationSeparator" w:id="0">
    <w:p w:rsidR="0001723C" w:rsidRDefault="0001723C" w:rsidP="000172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pStyle w:val="Style1"/>
      <w:lvlText w:val="%1."/>
      <w:lvlJc w:val="left"/>
      <w:pPr>
        <w:tabs>
          <w:tab w:val="left" w:pos="567"/>
        </w:tabs>
        <w:ind w:left="567" w:hanging="567"/>
      </w:pPr>
      <w:rPr>
        <w:rFonts w:ascii="Times New Roman" w:hAnsi="Times New Roman" w:cs="Times New Roman"/>
        <w:color w:val="000000"/>
        <w:sz w:val="24"/>
        <w:szCs w:val="24"/>
      </w:rPr>
    </w:lvl>
    <w:lvl w:ilvl="1">
      <w:start w:val="1"/>
      <w:numFmt w:val="decimal"/>
      <w:lvlText w:val="%1.%2."/>
      <w:lvlJc w:val="left"/>
      <w:pPr>
        <w:tabs>
          <w:tab w:val="left" w:pos="851"/>
        </w:tabs>
        <w:ind w:left="851" w:hanging="851"/>
      </w:pPr>
      <w:rPr>
        <w:rFonts w:ascii="Times New Roman" w:hAnsi="Times New Roman" w:cs="Times New Roman"/>
        <w:color w:val="000000"/>
        <w:sz w:val="24"/>
        <w:szCs w:val="24"/>
      </w:rPr>
    </w:lvl>
    <w:lvl w:ilvl="2">
      <w:start w:val="1"/>
      <w:numFmt w:val="decimal"/>
      <w:lvlText w:val="%1.%2.%3."/>
      <w:lvlJc w:val="left"/>
      <w:pPr>
        <w:tabs>
          <w:tab w:val="left" w:pos="1134"/>
        </w:tabs>
        <w:ind w:left="1134" w:hanging="1134"/>
      </w:pPr>
      <w:rPr>
        <w:rFonts w:ascii="Times New Roman" w:hAnsi="Times New Roman" w:cs="Times New Roman"/>
        <w:color w:val="000000"/>
        <w:sz w:val="24"/>
        <w:szCs w:val="24"/>
      </w:rPr>
    </w:lvl>
    <w:lvl w:ilvl="3">
      <w:start w:val="1"/>
      <w:numFmt w:val="decimal"/>
      <w:lvlText w:val="%1.%2.%3.%4."/>
      <w:lvlJc w:val="left"/>
      <w:pPr>
        <w:tabs>
          <w:tab w:val="left" w:pos="1418"/>
        </w:tabs>
        <w:ind w:left="1418" w:hanging="1418"/>
      </w:pPr>
      <w:rPr>
        <w:rFonts w:ascii="Times New Roman" w:hAnsi="Times New Roman" w:cs="Times New Roman"/>
        <w:color w:val="000000"/>
        <w:sz w:val="24"/>
        <w:szCs w:val="24"/>
      </w:rPr>
    </w:lvl>
    <w:lvl w:ilvl="4">
      <w:start w:val="1"/>
      <w:numFmt w:val="decimal"/>
      <w:lvlText w:val="%1.%2.%3.%4.%5."/>
      <w:lvlJc w:val="left"/>
      <w:pPr>
        <w:tabs>
          <w:tab w:val="left" w:pos="1701"/>
        </w:tabs>
        <w:ind w:left="1701" w:hanging="1701"/>
      </w:pPr>
      <w:rPr>
        <w:rFonts w:ascii="Times New Roman" w:hAnsi="Times New Roman" w:cs="Times New Roman"/>
        <w:color w:val="000000"/>
        <w:sz w:val="24"/>
        <w:szCs w:val="24"/>
      </w:rPr>
    </w:lvl>
    <w:lvl w:ilvl="5">
      <w:start w:val="1"/>
      <w:numFmt w:val="decimal"/>
      <w:lvlText w:val="%1.%2.%3.%4.%5.%6."/>
      <w:lvlJc w:val="left"/>
      <w:pPr>
        <w:tabs>
          <w:tab w:val="left" w:pos="1985"/>
        </w:tabs>
        <w:ind w:left="1985" w:hanging="1985"/>
      </w:pPr>
      <w:rPr>
        <w:rFonts w:ascii="Times New Roman" w:hAnsi="Times New Roman" w:cs="Times New Roman"/>
        <w:color w:val="000000"/>
        <w:sz w:val="24"/>
        <w:szCs w:val="24"/>
      </w:rPr>
    </w:lvl>
    <w:lvl w:ilvl="6">
      <w:start w:val="1"/>
      <w:numFmt w:val="decimal"/>
      <w:lvlText w:val="%1.%2.%3.%4.%5.%6.%7."/>
      <w:lvlJc w:val="left"/>
      <w:pPr>
        <w:tabs>
          <w:tab w:val="left" w:pos="2268"/>
        </w:tabs>
        <w:ind w:left="2268" w:hanging="2268"/>
      </w:pPr>
      <w:rPr>
        <w:rFonts w:ascii="Times New Roman" w:hAnsi="Times New Roman" w:cs="Times New Roman"/>
        <w:color w:val="000000"/>
        <w:sz w:val="24"/>
        <w:szCs w:val="24"/>
      </w:rPr>
    </w:lvl>
    <w:lvl w:ilvl="7">
      <w:start w:val="1"/>
      <w:numFmt w:val="decimal"/>
      <w:lvlText w:val="%1.%2.%3.%4.%5.%6.%7.%8."/>
      <w:lvlJc w:val="left"/>
      <w:pPr>
        <w:tabs>
          <w:tab w:val="left" w:pos="2552"/>
        </w:tabs>
        <w:ind w:left="2552" w:hanging="2552"/>
      </w:pPr>
      <w:rPr>
        <w:rFonts w:ascii="Times New Roman" w:hAnsi="Times New Roman" w:cs="Times New Roman"/>
        <w:color w:val="000000"/>
        <w:sz w:val="24"/>
        <w:szCs w:val="24"/>
      </w:rPr>
    </w:lvl>
    <w:lvl w:ilvl="8">
      <w:start w:val="1"/>
      <w:numFmt w:val="decimal"/>
      <w:lvlText w:val="%1.%2.%3.%4.%5.%6.%7.%8.%9."/>
      <w:lvlJc w:val="left"/>
      <w:pPr>
        <w:tabs>
          <w:tab w:val="left" w:pos="2835"/>
        </w:tabs>
        <w:ind w:left="2835" w:hanging="2835"/>
      </w:pPr>
      <w:rPr>
        <w:rFonts w:ascii="Univers" w:hAnsi="Univers" w:cs="Times New Roman" w:hint="default"/>
        <w:sz w:val="24"/>
      </w:rPr>
    </w:lvl>
  </w:abstractNum>
  <w:abstractNum w:abstractNumId="1">
    <w:nsid w:val="3D703797"/>
    <w:multiLevelType w:val="multilevel"/>
    <w:tmpl w:val="3D703797"/>
    <w:lvl w:ilvl="0">
      <w:start w:val="1"/>
      <w:numFmt w:val="japaneseCounting"/>
      <w:pStyle w:val="3"/>
      <w:lvlText w:val="第%1条"/>
      <w:lvlJc w:val="left"/>
      <w:pPr>
        <w:tabs>
          <w:tab w:val="left" w:pos="1676"/>
        </w:tabs>
        <w:ind w:left="1676" w:hanging="1392"/>
      </w:pPr>
      <w:rPr>
        <w:rFonts w:ascii="仿宋_GB2312" w:eastAsia="仿宋_GB2312" w:hint="eastAsia"/>
        <w:b w:val="0"/>
        <w:color w:val="auto"/>
        <w:lang w:val="en-US"/>
      </w:rPr>
    </w:lvl>
    <w:lvl w:ilvl="1">
      <w:start w:val="1"/>
      <w:numFmt w:val="lowerLetter"/>
      <w:lvlText w:val="%2)"/>
      <w:lvlJc w:val="left"/>
      <w:pPr>
        <w:tabs>
          <w:tab w:val="left" w:pos="1275"/>
        </w:tabs>
        <w:ind w:left="1275" w:hanging="420"/>
      </w:pPr>
    </w:lvl>
    <w:lvl w:ilvl="2">
      <w:start w:val="1"/>
      <w:numFmt w:val="lowerRoman"/>
      <w:lvlText w:val="%3."/>
      <w:lvlJc w:val="right"/>
      <w:pPr>
        <w:tabs>
          <w:tab w:val="left" w:pos="1695"/>
        </w:tabs>
        <w:ind w:left="1695" w:hanging="420"/>
      </w:pPr>
    </w:lvl>
    <w:lvl w:ilvl="3">
      <w:start w:val="1"/>
      <w:numFmt w:val="decimal"/>
      <w:lvlText w:val="%4."/>
      <w:lvlJc w:val="left"/>
      <w:pPr>
        <w:tabs>
          <w:tab w:val="left" w:pos="2115"/>
        </w:tabs>
        <w:ind w:left="2115" w:hanging="420"/>
      </w:pPr>
    </w:lvl>
    <w:lvl w:ilvl="4">
      <w:start w:val="1"/>
      <w:numFmt w:val="lowerLetter"/>
      <w:lvlText w:val="%5)"/>
      <w:lvlJc w:val="left"/>
      <w:pPr>
        <w:tabs>
          <w:tab w:val="left" w:pos="2535"/>
        </w:tabs>
        <w:ind w:left="2535" w:hanging="420"/>
      </w:pPr>
    </w:lvl>
    <w:lvl w:ilvl="5">
      <w:start w:val="1"/>
      <w:numFmt w:val="lowerRoman"/>
      <w:lvlText w:val="%6."/>
      <w:lvlJc w:val="right"/>
      <w:pPr>
        <w:tabs>
          <w:tab w:val="left" w:pos="2955"/>
        </w:tabs>
        <w:ind w:left="2955" w:hanging="420"/>
      </w:pPr>
    </w:lvl>
    <w:lvl w:ilvl="6">
      <w:start w:val="1"/>
      <w:numFmt w:val="decimal"/>
      <w:lvlText w:val="%7."/>
      <w:lvlJc w:val="left"/>
      <w:pPr>
        <w:tabs>
          <w:tab w:val="left" w:pos="3375"/>
        </w:tabs>
        <w:ind w:left="3375" w:hanging="420"/>
      </w:pPr>
    </w:lvl>
    <w:lvl w:ilvl="7">
      <w:start w:val="1"/>
      <w:numFmt w:val="lowerLetter"/>
      <w:lvlText w:val="%8)"/>
      <w:lvlJc w:val="left"/>
      <w:pPr>
        <w:tabs>
          <w:tab w:val="left" w:pos="3795"/>
        </w:tabs>
        <w:ind w:left="3795" w:hanging="420"/>
      </w:pPr>
    </w:lvl>
    <w:lvl w:ilvl="8">
      <w:start w:val="1"/>
      <w:numFmt w:val="lowerRoman"/>
      <w:lvlText w:val="%9."/>
      <w:lvlJc w:val="right"/>
      <w:pPr>
        <w:tabs>
          <w:tab w:val="left" w:pos="4215"/>
        </w:tabs>
        <w:ind w:left="4215" w:hanging="420"/>
      </w:pPr>
    </w:lvl>
  </w:abstractNum>
  <w:abstractNum w:abstractNumId="2">
    <w:nsid w:val="5EA656DE"/>
    <w:multiLevelType w:val="multilevel"/>
    <w:tmpl w:val="5EA656DE"/>
    <w:lvl w:ilvl="0">
      <w:start w:val="1"/>
      <w:numFmt w:val="japaneseCounting"/>
      <w:pStyle w:val="1"/>
      <w:lvlText w:val="第%1条"/>
      <w:lvlJc w:val="left"/>
      <w:pPr>
        <w:ind w:left="3045" w:hanging="420"/>
      </w:pPr>
      <w:rPr>
        <w:rFonts w:ascii="仿宋_GB2312" w:eastAsia="仿宋_GB2312" w:cs="Times New Roman" w:hint="eastAsia"/>
        <w:b/>
        <w:sz w:val="30"/>
        <w:szCs w:val="30"/>
      </w:rPr>
    </w:lvl>
    <w:lvl w:ilvl="1">
      <w:start w:val="1"/>
      <w:numFmt w:val="chineseCountingThousand"/>
      <w:lvlText w:val="第%2条"/>
      <w:lvlJc w:val="left"/>
      <w:pPr>
        <w:tabs>
          <w:tab w:val="left" w:pos="3856"/>
        </w:tabs>
        <w:ind w:left="1928" w:firstLine="567"/>
      </w:pPr>
      <w:rPr>
        <w:rFonts w:ascii="仿宋_GB2312" w:eastAsia="仿宋_GB2312" w:cs="Times New Roman" w:hint="eastAsia"/>
        <w:b w:val="0"/>
        <w:i w:val="0"/>
        <w:strike w:val="0"/>
        <w:dstrike w:val="0"/>
        <w:spacing w:val="0"/>
        <w:w w:val="100"/>
        <w:kern w:val="0"/>
        <w:position w:val="0"/>
        <w:sz w:val="32"/>
        <w:szCs w:val="32"/>
        <w:u w:val="none"/>
      </w:rPr>
    </w:lvl>
    <w:lvl w:ilvl="2">
      <w:start w:val="1"/>
      <w:numFmt w:val="decimal"/>
      <w:lvlText w:val="%3."/>
      <w:lvlJc w:val="left"/>
      <w:pPr>
        <w:tabs>
          <w:tab w:val="left" w:pos="3595"/>
        </w:tabs>
        <w:ind w:left="3595" w:hanging="360"/>
      </w:pPr>
      <w:rPr>
        <w:rFonts w:cs="Times New Roman"/>
      </w:rPr>
    </w:lvl>
    <w:lvl w:ilvl="3">
      <w:start w:val="1"/>
      <w:numFmt w:val="decimal"/>
      <w:lvlText w:val="%4."/>
      <w:lvlJc w:val="left"/>
      <w:pPr>
        <w:tabs>
          <w:tab w:val="left" w:pos="4315"/>
        </w:tabs>
        <w:ind w:left="4315" w:hanging="360"/>
      </w:pPr>
      <w:rPr>
        <w:rFonts w:cs="Times New Roman"/>
      </w:rPr>
    </w:lvl>
    <w:lvl w:ilvl="4">
      <w:start w:val="1"/>
      <w:numFmt w:val="decimal"/>
      <w:lvlText w:val="%5."/>
      <w:lvlJc w:val="left"/>
      <w:pPr>
        <w:tabs>
          <w:tab w:val="left" w:pos="5035"/>
        </w:tabs>
        <w:ind w:left="5035" w:hanging="360"/>
      </w:pPr>
      <w:rPr>
        <w:rFonts w:cs="Times New Roman"/>
      </w:rPr>
    </w:lvl>
    <w:lvl w:ilvl="5">
      <w:start w:val="1"/>
      <w:numFmt w:val="decimal"/>
      <w:lvlText w:val="%6."/>
      <w:lvlJc w:val="left"/>
      <w:pPr>
        <w:tabs>
          <w:tab w:val="left" w:pos="5755"/>
        </w:tabs>
        <w:ind w:left="5755" w:hanging="360"/>
      </w:pPr>
      <w:rPr>
        <w:rFonts w:cs="Times New Roman"/>
      </w:rPr>
    </w:lvl>
    <w:lvl w:ilvl="6">
      <w:start w:val="1"/>
      <w:numFmt w:val="decimal"/>
      <w:lvlText w:val="%7."/>
      <w:lvlJc w:val="left"/>
      <w:pPr>
        <w:tabs>
          <w:tab w:val="left" w:pos="6475"/>
        </w:tabs>
        <w:ind w:left="6475" w:hanging="360"/>
      </w:pPr>
      <w:rPr>
        <w:rFonts w:cs="Times New Roman"/>
      </w:rPr>
    </w:lvl>
    <w:lvl w:ilvl="7">
      <w:start w:val="1"/>
      <w:numFmt w:val="decimal"/>
      <w:lvlText w:val="%8."/>
      <w:lvlJc w:val="left"/>
      <w:pPr>
        <w:tabs>
          <w:tab w:val="left" w:pos="7195"/>
        </w:tabs>
        <w:ind w:left="7195" w:hanging="360"/>
      </w:pPr>
      <w:rPr>
        <w:rFonts w:cs="Times New Roman"/>
      </w:rPr>
    </w:lvl>
    <w:lvl w:ilvl="8">
      <w:start w:val="1"/>
      <w:numFmt w:val="decimal"/>
      <w:lvlText w:val="%9."/>
      <w:lvlJc w:val="left"/>
      <w:pPr>
        <w:tabs>
          <w:tab w:val="left" w:pos="7915"/>
        </w:tabs>
        <w:ind w:left="7915" w:hanging="36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32EF"/>
    <w:rsid w:val="00001C7D"/>
    <w:rsid w:val="00004247"/>
    <w:rsid w:val="00007153"/>
    <w:rsid w:val="000123C7"/>
    <w:rsid w:val="00015CF8"/>
    <w:rsid w:val="0001723C"/>
    <w:rsid w:val="00023D06"/>
    <w:rsid w:val="00025A12"/>
    <w:rsid w:val="00025D14"/>
    <w:rsid w:val="00030A3E"/>
    <w:rsid w:val="00034D02"/>
    <w:rsid w:val="000373C8"/>
    <w:rsid w:val="00040EBC"/>
    <w:rsid w:val="00041A60"/>
    <w:rsid w:val="00042926"/>
    <w:rsid w:val="000432C6"/>
    <w:rsid w:val="00044E84"/>
    <w:rsid w:val="00045B5A"/>
    <w:rsid w:val="00055B23"/>
    <w:rsid w:val="00055D8A"/>
    <w:rsid w:val="00056418"/>
    <w:rsid w:val="00057D6A"/>
    <w:rsid w:val="0006008F"/>
    <w:rsid w:val="00060722"/>
    <w:rsid w:val="00065144"/>
    <w:rsid w:val="00065822"/>
    <w:rsid w:val="00066E70"/>
    <w:rsid w:val="00067FF1"/>
    <w:rsid w:val="000715CD"/>
    <w:rsid w:val="000747FA"/>
    <w:rsid w:val="00075702"/>
    <w:rsid w:val="0007649E"/>
    <w:rsid w:val="00076F96"/>
    <w:rsid w:val="00077308"/>
    <w:rsid w:val="00081D93"/>
    <w:rsid w:val="000825BD"/>
    <w:rsid w:val="00083FA1"/>
    <w:rsid w:val="00084847"/>
    <w:rsid w:val="0008558C"/>
    <w:rsid w:val="0008603B"/>
    <w:rsid w:val="00092467"/>
    <w:rsid w:val="000926AA"/>
    <w:rsid w:val="00094F31"/>
    <w:rsid w:val="000A2AE9"/>
    <w:rsid w:val="000A36F5"/>
    <w:rsid w:val="000A3859"/>
    <w:rsid w:val="000A4874"/>
    <w:rsid w:val="000A4E05"/>
    <w:rsid w:val="000A5CA0"/>
    <w:rsid w:val="000A78EC"/>
    <w:rsid w:val="000B135F"/>
    <w:rsid w:val="000B19DE"/>
    <w:rsid w:val="000B1C87"/>
    <w:rsid w:val="000B2003"/>
    <w:rsid w:val="000D3E58"/>
    <w:rsid w:val="000D5E80"/>
    <w:rsid w:val="000E0C54"/>
    <w:rsid w:val="000E0F35"/>
    <w:rsid w:val="000E1D7A"/>
    <w:rsid w:val="000E28C6"/>
    <w:rsid w:val="000E3BF1"/>
    <w:rsid w:val="000E7A26"/>
    <w:rsid w:val="000E7A4C"/>
    <w:rsid w:val="000F1729"/>
    <w:rsid w:val="000F3A20"/>
    <w:rsid w:val="000F3DDE"/>
    <w:rsid w:val="000F7690"/>
    <w:rsid w:val="00103077"/>
    <w:rsid w:val="00104481"/>
    <w:rsid w:val="00106537"/>
    <w:rsid w:val="0011790D"/>
    <w:rsid w:val="00121D8C"/>
    <w:rsid w:val="00122B6D"/>
    <w:rsid w:val="00126898"/>
    <w:rsid w:val="00127BB8"/>
    <w:rsid w:val="001303BE"/>
    <w:rsid w:val="001313FC"/>
    <w:rsid w:val="001320F9"/>
    <w:rsid w:val="0013265E"/>
    <w:rsid w:val="00132F87"/>
    <w:rsid w:val="00135048"/>
    <w:rsid w:val="00135676"/>
    <w:rsid w:val="00136D79"/>
    <w:rsid w:val="00136E1D"/>
    <w:rsid w:val="00143741"/>
    <w:rsid w:val="00145463"/>
    <w:rsid w:val="00145E5C"/>
    <w:rsid w:val="00152423"/>
    <w:rsid w:val="00156E9B"/>
    <w:rsid w:val="0016249D"/>
    <w:rsid w:val="001628DD"/>
    <w:rsid w:val="00162B2D"/>
    <w:rsid w:val="00163F0D"/>
    <w:rsid w:val="00165363"/>
    <w:rsid w:val="001675AF"/>
    <w:rsid w:val="0017731B"/>
    <w:rsid w:val="00177844"/>
    <w:rsid w:val="00191A1F"/>
    <w:rsid w:val="0019316F"/>
    <w:rsid w:val="00195F7F"/>
    <w:rsid w:val="00197495"/>
    <w:rsid w:val="00197504"/>
    <w:rsid w:val="001A27B8"/>
    <w:rsid w:val="001A306E"/>
    <w:rsid w:val="001A4038"/>
    <w:rsid w:val="001A5E3D"/>
    <w:rsid w:val="001B0CC8"/>
    <w:rsid w:val="001B0E13"/>
    <w:rsid w:val="001B2E0F"/>
    <w:rsid w:val="001B412F"/>
    <w:rsid w:val="001B76C0"/>
    <w:rsid w:val="001C0319"/>
    <w:rsid w:val="001C078A"/>
    <w:rsid w:val="001C1D39"/>
    <w:rsid w:val="001C248C"/>
    <w:rsid w:val="001C265D"/>
    <w:rsid w:val="001C3676"/>
    <w:rsid w:val="001C5A32"/>
    <w:rsid w:val="001C5E9A"/>
    <w:rsid w:val="001C7595"/>
    <w:rsid w:val="001D29C8"/>
    <w:rsid w:val="001D5CF2"/>
    <w:rsid w:val="001D6097"/>
    <w:rsid w:val="001D6B24"/>
    <w:rsid w:val="001D71C5"/>
    <w:rsid w:val="001E1D78"/>
    <w:rsid w:val="001E2BC7"/>
    <w:rsid w:val="001E2F7B"/>
    <w:rsid w:val="001E52DC"/>
    <w:rsid w:val="001E53A2"/>
    <w:rsid w:val="001E55F0"/>
    <w:rsid w:val="001E594A"/>
    <w:rsid w:val="001F31C1"/>
    <w:rsid w:val="001F3DCC"/>
    <w:rsid w:val="001F658F"/>
    <w:rsid w:val="001F6A6E"/>
    <w:rsid w:val="00201124"/>
    <w:rsid w:val="002106B0"/>
    <w:rsid w:val="00210AB6"/>
    <w:rsid w:val="00211106"/>
    <w:rsid w:val="0021196D"/>
    <w:rsid w:val="00212492"/>
    <w:rsid w:val="002141CC"/>
    <w:rsid w:val="0021537B"/>
    <w:rsid w:val="00217D52"/>
    <w:rsid w:val="00220EFA"/>
    <w:rsid w:val="0022256E"/>
    <w:rsid w:val="0022274E"/>
    <w:rsid w:val="00222DC0"/>
    <w:rsid w:val="002243B6"/>
    <w:rsid w:val="00227A2C"/>
    <w:rsid w:val="00230603"/>
    <w:rsid w:val="00230694"/>
    <w:rsid w:val="00232702"/>
    <w:rsid w:val="00232BBB"/>
    <w:rsid w:val="00232F16"/>
    <w:rsid w:val="00233149"/>
    <w:rsid w:val="002344BE"/>
    <w:rsid w:val="00234A4F"/>
    <w:rsid w:val="00234E30"/>
    <w:rsid w:val="00235263"/>
    <w:rsid w:val="00240656"/>
    <w:rsid w:val="002436E6"/>
    <w:rsid w:val="00243E11"/>
    <w:rsid w:val="002441E9"/>
    <w:rsid w:val="00244718"/>
    <w:rsid w:val="00245FED"/>
    <w:rsid w:val="00246990"/>
    <w:rsid w:val="00247A8F"/>
    <w:rsid w:val="002549B0"/>
    <w:rsid w:val="00256A60"/>
    <w:rsid w:val="00260879"/>
    <w:rsid w:val="00260FCD"/>
    <w:rsid w:val="002618E8"/>
    <w:rsid w:val="0026217A"/>
    <w:rsid w:val="002635C2"/>
    <w:rsid w:val="00263787"/>
    <w:rsid w:val="002649A0"/>
    <w:rsid w:val="00266DD8"/>
    <w:rsid w:val="002679E4"/>
    <w:rsid w:val="00267B6F"/>
    <w:rsid w:val="00267D17"/>
    <w:rsid w:val="0027033D"/>
    <w:rsid w:val="00270D15"/>
    <w:rsid w:val="00271DEA"/>
    <w:rsid w:val="00272B98"/>
    <w:rsid w:val="00275429"/>
    <w:rsid w:val="0027565F"/>
    <w:rsid w:val="00275FED"/>
    <w:rsid w:val="00277FFE"/>
    <w:rsid w:val="00280575"/>
    <w:rsid w:val="002839B7"/>
    <w:rsid w:val="0028470E"/>
    <w:rsid w:val="002939FC"/>
    <w:rsid w:val="002948E6"/>
    <w:rsid w:val="00294A2C"/>
    <w:rsid w:val="002A028B"/>
    <w:rsid w:val="002A0A0B"/>
    <w:rsid w:val="002A0FC5"/>
    <w:rsid w:val="002A239C"/>
    <w:rsid w:val="002A3524"/>
    <w:rsid w:val="002A38C3"/>
    <w:rsid w:val="002A5B12"/>
    <w:rsid w:val="002A7D56"/>
    <w:rsid w:val="002B0D2D"/>
    <w:rsid w:val="002B34E9"/>
    <w:rsid w:val="002B3909"/>
    <w:rsid w:val="002B7FB9"/>
    <w:rsid w:val="002C44E0"/>
    <w:rsid w:val="002C5145"/>
    <w:rsid w:val="002D03C3"/>
    <w:rsid w:val="002D247D"/>
    <w:rsid w:val="002D5D60"/>
    <w:rsid w:val="002E07CD"/>
    <w:rsid w:val="002E2810"/>
    <w:rsid w:val="002E2C77"/>
    <w:rsid w:val="002E3469"/>
    <w:rsid w:val="002E42D0"/>
    <w:rsid w:val="002E4C05"/>
    <w:rsid w:val="002E4D4C"/>
    <w:rsid w:val="002E7143"/>
    <w:rsid w:val="002F0D79"/>
    <w:rsid w:val="002F19CD"/>
    <w:rsid w:val="002F3D59"/>
    <w:rsid w:val="00301B8F"/>
    <w:rsid w:val="0030332C"/>
    <w:rsid w:val="00304446"/>
    <w:rsid w:val="00304524"/>
    <w:rsid w:val="00304AB8"/>
    <w:rsid w:val="00306F9F"/>
    <w:rsid w:val="003103D2"/>
    <w:rsid w:val="00310AA0"/>
    <w:rsid w:val="003128D1"/>
    <w:rsid w:val="0031389B"/>
    <w:rsid w:val="00314881"/>
    <w:rsid w:val="00315A37"/>
    <w:rsid w:val="003203A2"/>
    <w:rsid w:val="00320E81"/>
    <w:rsid w:val="00323793"/>
    <w:rsid w:val="0032399D"/>
    <w:rsid w:val="00327E4E"/>
    <w:rsid w:val="003369A0"/>
    <w:rsid w:val="0034251F"/>
    <w:rsid w:val="00343987"/>
    <w:rsid w:val="003459FC"/>
    <w:rsid w:val="00350A49"/>
    <w:rsid w:val="0035170E"/>
    <w:rsid w:val="0035204B"/>
    <w:rsid w:val="00353B18"/>
    <w:rsid w:val="00353F36"/>
    <w:rsid w:val="003544A4"/>
    <w:rsid w:val="00355B57"/>
    <w:rsid w:val="003561F6"/>
    <w:rsid w:val="00363433"/>
    <w:rsid w:val="003642F6"/>
    <w:rsid w:val="00365389"/>
    <w:rsid w:val="003674EB"/>
    <w:rsid w:val="00370147"/>
    <w:rsid w:val="00370F08"/>
    <w:rsid w:val="00371056"/>
    <w:rsid w:val="003714B3"/>
    <w:rsid w:val="003721BA"/>
    <w:rsid w:val="0037348E"/>
    <w:rsid w:val="00373B90"/>
    <w:rsid w:val="003825B7"/>
    <w:rsid w:val="003844D8"/>
    <w:rsid w:val="0038457C"/>
    <w:rsid w:val="00384DBD"/>
    <w:rsid w:val="00386A61"/>
    <w:rsid w:val="0038722F"/>
    <w:rsid w:val="00387B66"/>
    <w:rsid w:val="0039017A"/>
    <w:rsid w:val="003935C7"/>
    <w:rsid w:val="00393AC8"/>
    <w:rsid w:val="00397420"/>
    <w:rsid w:val="003A4275"/>
    <w:rsid w:val="003A46E9"/>
    <w:rsid w:val="003A4957"/>
    <w:rsid w:val="003A5630"/>
    <w:rsid w:val="003A5A71"/>
    <w:rsid w:val="003A646D"/>
    <w:rsid w:val="003B1ED9"/>
    <w:rsid w:val="003B2F8E"/>
    <w:rsid w:val="003B45A3"/>
    <w:rsid w:val="003B7D3A"/>
    <w:rsid w:val="003C23AD"/>
    <w:rsid w:val="003C293C"/>
    <w:rsid w:val="003C37A4"/>
    <w:rsid w:val="003C37A5"/>
    <w:rsid w:val="003C7171"/>
    <w:rsid w:val="003D24C9"/>
    <w:rsid w:val="003D3027"/>
    <w:rsid w:val="003D4890"/>
    <w:rsid w:val="003D5445"/>
    <w:rsid w:val="003D73C7"/>
    <w:rsid w:val="003D7920"/>
    <w:rsid w:val="003E100F"/>
    <w:rsid w:val="003E75F6"/>
    <w:rsid w:val="003F318F"/>
    <w:rsid w:val="00401D7B"/>
    <w:rsid w:val="00401ED0"/>
    <w:rsid w:val="004050CB"/>
    <w:rsid w:val="0040559C"/>
    <w:rsid w:val="00412C9B"/>
    <w:rsid w:val="004156A9"/>
    <w:rsid w:val="00415ABF"/>
    <w:rsid w:val="004223D9"/>
    <w:rsid w:val="004235D3"/>
    <w:rsid w:val="0042579A"/>
    <w:rsid w:val="00425B16"/>
    <w:rsid w:val="0042799E"/>
    <w:rsid w:val="004318A5"/>
    <w:rsid w:val="00433D0E"/>
    <w:rsid w:val="004347DB"/>
    <w:rsid w:val="0043610F"/>
    <w:rsid w:val="00436F3C"/>
    <w:rsid w:val="00440411"/>
    <w:rsid w:val="004473CB"/>
    <w:rsid w:val="00450748"/>
    <w:rsid w:val="004512D0"/>
    <w:rsid w:val="00451DE9"/>
    <w:rsid w:val="00454698"/>
    <w:rsid w:val="00455485"/>
    <w:rsid w:val="00456542"/>
    <w:rsid w:val="00456CC6"/>
    <w:rsid w:val="00460CC9"/>
    <w:rsid w:val="00461CCC"/>
    <w:rsid w:val="00464517"/>
    <w:rsid w:val="004648F6"/>
    <w:rsid w:val="0046578C"/>
    <w:rsid w:val="00467671"/>
    <w:rsid w:val="00470C37"/>
    <w:rsid w:val="004729E7"/>
    <w:rsid w:val="004738B1"/>
    <w:rsid w:val="0047596A"/>
    <w:rsid w:val="00476F51"/>
    <w:rsid w:val="00480A92"/>
    <w:rsid w:val="00482808"/>
    <w:rsid w:val="0048367A"/>
    <w:rsid w:val="00483F26"/>
    <w:rsid w:val="00486163"/>
    <w:rsid w:val="004907A6"/>
    <w:rsid w:val="00490DD3"/>
    <w:rsid w:val="004964F8"/>
    <w:rsid w:val="00497FE2"/>
    <w:rsid w:val="004A11B1"/>
    <w:rsid w:val="004A178E"/>
    <w:rsid w:val="004A24E8"/>
    <w:rsid w:val="004A4E70"/>
    <w:rsid w:val="004B02FE"/>
    <w:rsid w:val="004B093C"/>
    <w:rsid w:val="004B2CC4"/>
    <w:rsid w:val="004B7CA4"/>
    <w:rsid w:val="004C19B8"/>
    <w:rsid w:val="004C2EB9"/>
    <w:rsid w:val="004C3061"/>
    <w:rsid w:val="004C36A0"/>
    <w:rsid w:val="004C3E81"/>
    <w:rsid w:val="004C4DBD"/>
    <w:rsid w:val="004C5C9E"/>
    <w:rsid w:val="004C7695"/>
    <w:rsid w:val="004C7A14"/>
    <w:rsid w:val="004D006C"/>
    <w:rsid w:val="004D192C"/>
    <w:rsid w:val="004D2769"/>
    <w:rsid w:val="004D3CA9"/>
    <w:rsid w:val="004D56FB"/>
    <w:rsid w:val="004E3143"/>
    <w:rsid w:val="004E46A0"/>
    <w:rsid w:val="004E60FA"/>
    <w:rsid w:val="004E70D1"/>
    <w:rsid w:val="004F0560"/>
    <w:rsid w:val="004F0E96"/>
    <w:rsid w:val="004F282C"/>
    <w:rsid w:val="00501E8E"/>
    <w:rsid w:val="00502B77"/>
    <w:rsid w:val="00506CFA"/>
    <w:rsid w:val="00511DA3"/>
    <w:rsid w:val="00514115"/>
    <w:rsid w:val="00515589"/>
    <w:rsid w:val="005166C5"/>
    <w:rsid w:val="00524254"/>
    <w:rsid w:val="00524516"/>
    <w:rsid w:val="0052596B"/>
    <w:rsid w:val="005267E3"/>
    <w:rsid w:val="005269DB"/>
    <w:rsid w:val="00526EC7"/>
    <w:rsid w:val="00530BB1"/>
    <w:rsid w:val="0053123E"/>
    <w:rsid w:val="0053175B"/>
    <w:rsid w:val="00531853"/>
    <w:rsid w:val="0053321A"/>
    <w:rsid w:val="00537B28"/>
    <w:rsid w:val="00540265"/>
    <w:rsid w:val="00540E15"/>
    <w:rsid w:val="00545E78"/>
    <w:rsid w:val="00546621"/>
    <w:rsid w:val="0055053A"/>
    <w:rsid w:val="00550946"/>
    <w:rsid w:val="00551C59"/>
    <w:rsid w:val="00556AC5"/>
    <w:rsid w:val="00556F5A"/>
    <w:rsid w:val="00557DDC"/>
    <w:rsid w:val="00557E04"/>
    <w:rsid w:val="00564833"/>
    <w:rsid w:val="00565B5B"/>
    <w:rsid w:val="00565D30"/>
    <w:rsid w:val="00570D07"/>
    <w:rsid w:val="00570FA8"/>
    <w:rsid w:val="0057155E"/>
    <w:rsid w:val="00573516"/>
    <w:rsid w:val="00575A29"/>
    <w:rsid w:val="005761D3"/>
    <w:rsid w:val="0057782A"/>
    <w:rsid w:val="00581F1C"/>
    <w:rsid w:val="005841B7"/>
    <w:rsid w:val="0058429F"/>
    <w:rsid w:val="00584DE5"/>
    <w:rsid w:val="005852F4"/>
    <w:rsid w:val="00586A5C"/>
    <w:rsid w:val="005871A7"/>
    <w:rsid w:val="00591567"/>
    <w:rsid w:val="0059289B"/>
    <w:rsid w:val="00597C58"/>
    <w:rsid w:val="005B0A0A"/>
    <w:rsid w:val="005B1EF7"/>
    <w:rsid w:val="005B3346"/>
    <w:rsid w:val="005B4A0C"/>
    <w:rsid w:val="005B740A"/>
    <w:rsid w:val="005C0AA5"/>
    <w:rsid w:val="005C1D93"/>
    <w:rsid w:val="005C2403"/>
    <w:rsid w:val="005C2B04"/>
    <w:rsid w:val="005C7E51"/>
    <w:rsid w:val="005D1E77"/>
    <w:rsid w:val="005D34F3"/>
    <w:rsid w:val="005E4BD1"/>
    <w:rsid w:val="005E6B96"/>
    <w:rsid w:val="005E6D26"/>
    <w:rsid w:val="005F0B5C"/>
    <w:rsid w:val="005F1000"/>
    <w:rsid w:val="005F5CEB"/>
    <w:rsid w:val="006012ED"/>
    <w:rsid w:val="00604249"/>
    <w:rsid w:val="006046F4"/>
    <w:rsid w:val="00607B22"/>
    <w:rsid w:val="00613446"/>
    <w:rsid w:val="006160EB"/>
    <w:rsid w:val="006224DE"/>
    <w:rsid w:val="006226D3"/>
    <w:rsid w:val="00622999"/>
    <w:rsid w:val="00623284"/>
    <w:rsid w:val="006252D0"/>
    <w:rsid w:val="00625B9F"/>
    <w:rsid w:val="0062773F"/>
    <w:rsid w:val="00631857"/>
    <w:rsid w:val="006322C3"/>
    <w:rsid w:val="00634068"/>
    <w:rsid w:val="006347CB"/>
    <w:rsid w:val="0063617D"/>
    <w:rsid w:val="00636194"/>
    <w:rsid w:val="00636241"/>
    <w:rsid w:val="0063648A"/>
    <w:rsid w:val="0063751D"/>
    <w:rsid w:val="00640955"/>
    <w:rsid w:val="00642F6C"/>
    <w:rsid w:val="006430C3"/>
    <w:rsid w:val="006456C3"/>
    <w:rsid w:val="00647D43"/>
    <w:rsid w:val="00651302"/>
    <w:rsid w:val="00651BDA"/>
    <w:rsid w:val="006523DE"/>
    <w:rsid w:val="00652A6C"/>
    <w:rsid w:val="0065306F"/>
    <w:rsid w:val="00653F39"/>
    <w:rsid w:val="00656373"/>
    <w:rsid w:val="00657D26"/>
    <w:rsid w:val="00660EA6"/>
    <w:rsid w:val="00661A30"/>
    <w:rsid w:val="006626EC"/>
    <w:rsid w:val="006634DC"/>
    <w:rsid w:val="00663BF9"/>
    <w:rsid w:val="006643A1"/>
    <w:rsid w:val="00664A78"/>
    <w:rsid w:val="0066604E"/>
    <w:rsid w:val="00675DA4"/>
    <w:rsid w:val="0067618A"/>
    <w:rsid w:val="00677C37"/>
    <w:rsid w:val="00687AD3"/>
    <w:rsid w:val="00687B1F"/>
    <w:rsid w:val="006942A0"/>
    <w:rsid w:val="006950E9"/>
    <w:rsid w:val="00695BE1"/>
    <w:rsid w:val="006A2EFC"/>
    <w:rsid w:val="006A5E0F"/>
    <w:rsid w:val="006B212A"/>
    <w:rsid w:val="006B3B78"/>
    <w:rsid w:val="006B3EFA"/>
    <w:rsid w:val="006B42DD"/>
    <w:rsid w:val="006B71BA"/>
    <w:rsid w:val="006B7AD2"/>
    <w:rsid w:val="006C271C"/>
    <w:rsid w:val="006C4D4D"/>
    <w:rsid w:val="006C4F79"/>
    <w:rsid w:val="006C6CFB"/>
    <w:rsid w:val="006D070F"/>
    <w:rsid w:val="006D5D36"/>
    <w:rsid w:val="006D77DA"/>
    <w:rsid w:val="006E1373"/>
    <w:rsid w:val="006E1852"/>
    <w:rsid w:val="006E2493"/>
    <w:rsid w:val="006E3C7D"/>
    <w:rsid w:val="006E3D07"/>
    <w:rsid w:val="006F0FD0"/>
    <w:rsid w:val="006F1AC8"/>
    <w:rsid w:val="006F4BC0"/>
    <w:rsid w:val="006F76EC"/>
    <w:rsid w:val="00700E2A"/>
    <w:rsid w:val="00702262"/>
    <w:rsid w:val="00702B5A"/>
    <w:rsid w:val="00702F9F"/>
    <w:rsid w:val="00706175"/>
    <w:rsid w:val="00707000"/>
    <w:rsid w:val="00713A56"/>
    <w:rsid w:val="0071491B"/>
    <w:rsid w:val="00717276"/>
    <w:rsid w:val="007202D5"/>
    <w:rsid w:val="0072046E"/>
    <w:rsid w:val="0072316A"/>
    <w:rsid w:val="007315AB"/>
    <w:rsid w:val="00733A2F"/>
    <w:rsid w:val="00737881"/>
    <w:rsid w:val="00737B33"/>
    <w:rsid w:val="0074005F"/>
    <w:rsid w:val="0074121D"/>
    <w:rsid w:val="00743198"/>
    <w:rsid w:val="00743305"/>
    <w:rsid w:val="007437FC"/>
    <w:rsid w:val="00747D97"/>
    <w:rsid w:val="007527F4"/>
    <w:rsid w:val="00753327"/>
    <w:rsid w:val="007533EB"/>
    <w:rsid w:val="007535F4"/>
    <w:rsid w:val="00755115"/>
    <w:rsid w:val="00760416"/>
    <w:rsid w:val="00765BBB"/>
    <w:rsid w:val="007677C1"/>
    <w:rsid w:val="00772D4D"/>
    <w:rsid w:val="00772E38"/>
    <w:rsid w:val="00773E8A"/>
    <w:rsid w:val="0077613F"/>
    <w:rsid w:val="0077623D"/>
    <w:rsid w:val="007808CE"/>
    <w:rsid w:val="007825D2"/>
    <w:rsid w:val="007830C3"/>
    <w:rsid w:val="00783D39"/>
    <w:rsid w:val="00784B4B"/>
    <w:rsid w:val="00784FDA"/>
    <w:rsid w:val="0078510A"/>
    <w:rsid w:val="00785918"/>
    <w:rsid w:val="00790B83"/>
    <w:rsid w:val="007A097C"/>
    <w:rsid w:val="007A0D40"/>
    <w:rsid w:val="007A19E9"/>
    <w:rsid w:val="007A3627"/>
    <w:rsid w:val="007A6813"/>
    <w:rsid w:val="007B0FD7"/>
    <w:rsid w:val="007B1705"/>
    <w:rsid w:val="007B1D1F"/>
    <w:rsid w:val="007B20D3"/>
    <w:rsid w:val="007B647F"/>
    <w:rsid w:val="007B6D9E"/>
    <w:rsid w:val="007C0CA3"/>
    <w:rsid w:val="007C26B5"/>
    <w:rsid w:val="007C277F"/>
    <w:rsid w:val="007C2840"/>
    <w:rsid w:val="007C377E"/>
    <w:rsid w:val="007C5711"/>
    <w:rsid w:val="007C59A1"/>
    <w:rsid w:val="007C728C"/>
    <w:rsid w:val="007D0941"/>
    <w:rsid w:val="007D16C1"/>
    <w:rsid w:val="007D3C28"/>
    <w:rsid w:val="007D3DD0"/>
    <w:rsid w:val="007D5C87"/>
    <w:rsid w:val="007D70E3"/>
    <w:rsid w:val="007E3363"/>
    <w:rsid w:val="007E39BE"/>
    <w:rsid w:val="007F247C"/>
    <w:rsid w:val="007F6781"/>
    <w:rsid w:val="007F6C5F"/>
    <w:rsid w:val="00801517"/>
    <w:rsid w:val="0080331D"/>
    <w:rsid w:val="00803482"/>
    <w:rsid w:val="00803C9B"/>
    <w:rsid w:val="00810099"/>
    <w:rsid w:val="00812B58"/>
    <w:rsid w:val="008131EF"/>
    <w:rsid w:val="00813912"/>
    <w:rsid w:val="00817688"/>
    <w:rsid w:val="00821C89"/>
    <w:rsid w:val="00821D4C"/>
    <w:rsid w:val="00822ABF"/>
    <w:rsid w:val="00824394"/>
    <w:rsid w:val="0082486A"/>
    <w:rsid w:val="00824A87"/>
    <w:rsid w:val="00826807"/>
    <w:rsid w:val="00826992"/>
    <w:rsid w:val="008272B9"/>
    <w:rsid w:val="00832781"/>
    <w:rsid w:val="008328A3"/>
    <w:rsid w:val="00836B7B"/>
    <w:rsid w:val="00837048"/>
    <w:rsid w:val="00842134"/>
    <w:rsid w:val="00845F18"/>
    <w:rsid w:val="00847709"/>
    <w:rsid w:val="00850425"/>
    <w:rsid w:val="00850919"/>
    <w:rsid w:val="00850BE1"/>
    <w:rsid w:val="0085158C"/>
    <w:rsid w:val="00854C50"/>
    <w:rsid w:val="008600BD"/>
    <w:rsid w:val="008637C1"/>
    <w:rsid w:val="00863F8B"/>
    <w:rsid w:val="00864D13"/>
    <w:rsid w:val="00865189"/>
    <w:rsid w:val="00865EA5"/>
    <w:rsid w:val="00870D86"/>
    <w:rsid w:val="00871824"/>
    <w:rsid w:val="00872F14"/>
    <w:rsid w:val="00874B93"/>
    <w:rsid w:val="00876B78"/>
    <w:rsid w:val="008804F2"/>
    <w:rsid w:val="0088240C"/>
    <w:rsid w:val="00882E61"/>
    <w:rsid w:val="00883A4B"/>
    <w:rsid w:val="00883BB2"/>
    <w:rsid w:val="00887655"/>
    <w:rsid w:val="008876D1"/>
    <w:rsid w:val="0088799E"/>
    <w:rsid w:val="0089079B"/>
    <w:rsid w:val="00896230"/>
    <w:rsid w:val="00896FD1"/>
    <w:rsid w:val="008A5BEB"/>
    <w:rsid w:val="008A5E4F"/>
    <w:rsid w:val="008B2795"/>
    <w:rsid w:val="008B2F51"/>
    <w:rsid w:val="008B3745"/>
    <w:rsid w:val="008C09C1"/>
    <w:rsid w:val="008C0A41"/>
    <w:rsid w:val="008C2274"/>
    <w:rsid w:val="008C3EF1"/>
    <w:rsid w:val="008C76F6"/>
    <w:rsid w:val="008D0B9E"/>
    <w:rsid w:val="008D3ECB"/>
    <w:rsid w:val="008D40AB"/>
    <w:rsid w:val="008D4424"/>
    <w:rsid w:val="008D7607"/>
    <w:rsid w:val="008D7852"/>
    <w:rsid w:val="008E0EB8"/>
    <w:rsid w:val="008E2831"/>
    <w:rsid w:val="008E2B10"/>
    <w:rsid w:val="008E2B5E"/>
    <w:rsid w:val="008E38FD"/>
    <w:rsid w:val="008E4675"/>
    <w:rsid w:val="008E6141"/>
    <w:rsid w:val="008E64AA"/>
    <w:rsid w:val="008E67E1"/>
    <w:rsid w:val="008E70EF"/>
    <w:rsid w:val="008E779F"/>
    <w:rsid w:val="008F115A"/>
    <w:rsid w:val="008F1D0D"/>
    <w:rsid w:val="008F279F"/>
    <w:rsid w:val="008F5BDC"/>
    <w:rsid w:val="008F6424"/>
    <w:rsid w:val="00900BA6"/>
    <w:rsid w:val="00900D17"/>
    <w:rsid w:val="009014DC"/>
    <w:rsid w:val="009023DE"/>
    <w:rsid w:val="0090442A"/>
    <w:rsid w:val="00910AFE"/>
    <w:rsid w:val="00910C49"/>
    <w:rsid w:val="00911C77"/>
    <w:rsid w:val="0091360C"/>
    <w:rsid w:val="00914DA3"/>
    <w:rsid w:val="009156B2"/>
    <w:rsid w:val="0091791D"/>
    <w:rsid w:val="00920E8C"/>
    <w:rsid w:val="009225B6"/>
    <w:rsid w:val="009227A4"/>
    <w:rsid w:val="009267B5"/>
    <w:rsid w:val="0092681A"/>
    <w:rsid w:val="009274DB"/>
    <w:rsid w:val="00927989"/>
    <w:rsid w:val="009279CA"/>
    <w:rsid w:val="00931828"/>
    <w:rsid w:val="009329BE"/>
    <w:rsid w:val="00932D6A"/>
    <w:rsid w:val="00937FA6"/>
    <w:rsid w:val="00942841"/>
    <w:rsid w:val="0094344B"/>
    <w:rsid w:val="00944CA6"/>
    <w:rsid w:val="009469CA"/>
    <w:rsid w:val="00946AF3"/>
    <w:rsid w:val="00946E57"/>
    <w:rsid w:val="00956996"/>
    <w:rsid w:val="00956D22"/>
    <w:rsid w:val="009571BD"/>
    <w:rsid w:val="00961E9B"/>
    <w:rsid w:val="00962833"/>
    <w:rsid w:val="00962E5E"/>
    <w:rsid w:val="009644A5"/>
    <w:rsid w:val="009661BD"/>
    <w:rsid w:val="00967F26"/>
    <w:rsid w:val="00972165"/>
    <w:rsid w:val="0097258E"/>
    <w:rsid w:val="0097636E"/>
    <w:rsid w:val="00981F0B"/>
    <w:rsid w:val="00984982"/>
    <w:rsid w:val="009856EB"/>
    <w:rsid w:val="0098660E"/>
    <w:rsid w:val="009876E3"/>
    <w:rsid w:val="00990027"/>
    <w:rsid w:val="00992635"/>
    <w:rsid w:val="00995B90"/>
    <w:rsid w:val="00996D93"/>
    <w:rsid w:val="009A45F5"/>
    <w:rsid w:val="009A52E1"/>
    <w:rsid w:val="009A54EE"/>
    <w:rsid w:val="009B04E7"/>
    <w:rsid w:val="009B2C2E"/>
    <w:rsid w:val="009B3A90"/>
    <w:rsid w:val="009B697A"/>
    <w:rsid w:val="009B7FE0"/>
    <w:rsid w:val="009C61AC"/>
    <w:rsid w:val="009D0CF1"/>
    <w:rsid w:val="009D1433"/>
    <w:rsid w:val="009D1623"/>
    <w:rsid w:val="009D52E2"/>
    <w:rsid w:val="009D5BDA"/>
    <w:rsid w:val="009D5CD7"/>
    <w:rsid w:val="009D6E0C"/>
    <w:rsid w:val="009D7092"/>
    <w:rsid w:val="009E1613"/>
    <w:rsid w:val="009E3CA9"/>
    <w:rsid w:val="009E4AFF"/>
    <w:rsid w:val="009E4F2A"/>
    <w:rsid w:val="009E66D3"/>
    <w:rsid w:val="009E76CC"/>
    <w:rsid w:val="009F0D46"/>
    <w:rsid w:val="009F0DE7"/>
    <w:rsid w:val="009F1898"/>
    <w:rsid w:val="009F3071"/>
    <w:rsid w:val="009F4E89"/>
    <w:rsid w:val="00A011C4"/>
    <w:rsid w:val="00A013DA"/>
    <w:rsid w:val="00A049BE"/>
    <w:rsid w:val="00A102AD"/>
    <w:rsid w:val="00A11E61"/>
    <w:rsid w:val="00A12A4E"/>
    <w:rsid w:val="00A13044"/>
    <w:rsid w:val="00A138FF"/>
    <w:rsid w:val="00A151ED"/>
    <w:rsid w:val="00A165BD"/>
    <w:rsid w:val="00A213F5"/>
    <w:rsid w:val="00A2393F"/>
    <w:rsid w:val="00A271E5"/>
    <w:rsid w:val="00A27D95"/>
    <w:rsid w:val="00A35972"/>
    <w:rsid w:val="00A40D16"/>
    <w:rsid w:val="00A4133D"/>
    <w:rsid w:val="00A429BF"/>
    <w:rsid w:val="00A43E50"/>
    <w:rsid w:val="00A4426B"/>
    <w:rsid w:val="00A444F2"/>
    <w:rsid w:val="00A47F0F"/>
    <w:rsid w:val="00A505ED"/>
    <w:rsid w:val="00A50FA8"/>
    <w:rsid w:val="00A54074"/>
    <w:rsid w:val="00A576FA"/>
    <w:rsid w:val="00A67700"/>
    <w:rsid w:val="00A715FB"/>
    <w:rsid w:val="00A76668"/>
    <w:rsid w:val="00A839F1"/>
    <w:rsid w:val="00A83B31"/>
    <w:rsid w:val="00A843AB"/>
    <w:rsid w:val="00A852EF"/>
    <w:rsid w:val="00A8789D"/>
    <w:rsid w:val="00A87BB6"/>
    <w:rsid w:val="00A91DF7"/>
    <w:rsid w:val="00A91F70"/>
    <w:rsid w:val="00A924DE"/>
    <w:rsid w:val="00A93CE5"/>
    <w:rsid w:val="00A9403B"/>
    <w:rsid w:val="00A9416E"/>
    <w:rsid w:val="00A94B78"/>
    <w:rsid w:val="00A95046"/>
    <w:rsid w:val="00A9543E"/>
    <w:rsid w:val="00A9709A"/>
    <w:rsid w:val="00A97815"/>
    <w:rsid w:val="00A97ED5"/>
    <w:rsid w:val="00AA1A8B"/>
    <w:rsid w:val="00AA238C"/>
    <w:rsid w:val="00AA3D7C"/>
    <w:rsid w:val="00AA575A"/>
    <w:rsid w:val="00AB1C92"/>
    <w:rsid w:val="00AB2B60"/>
    <w:rsid w:val="00AB331D"/>
    <w:rsid w:val="00AB3AB3"/>
    <w:rsid w:val="00AB749B"/>
    <w:rsid w:val="00AB7CE1"/>
    <w:rsid w:val="00AC12AE"/>
    <w:rsid w:val="00AC3767"/>
    <w:rsid w:val="00AC38E7"/>
    <w:rsid w:val="00AC495F"/>
    <w:rsid w:val="00AC58A3"/>
    <w:rsid w:val="00AC5DC1"/>
    <w:rsid w:val="00AC7176"/>
    <w:rsid w:val="00AD27F5"/>
    <w:rsid w:val="00AD3D98"/>
    <w:rsid w:val="00AD407F"/>
    <w:rsid w:val="00AD66B6"/>
    <w:rsid w:val="00AE1AD1"/>
    <w:rsid w:val="00AE1C6A"/>
    <w:rsid w:val="00AE37A4"/>
    <w:rsid w:val="00AE74EE"/>
    <w:rsid w:val="00AF1C67"/>
    <w:rsid w:val="00AF3753"/>
    <w:rsid w:val="00B00C58"/>
    <w:rsid w:val="00B01BDE"/>
    <w:rsid w:val="00B03655"/>
    <w:rsid w:val="00B0573B"/>
    <w:rsid w:val="00B07B8B"/>
    <w:rsid w:val="00B127DC"/>
    <w:rsid w:val="00B1419A"/>
    <w:rsid w:val="00B17073"/>
    <w:rsid w:val="00B17E6D"/>
    <w:rsid w:val="00B205BE"/>
    <w:rsid w:val="00B24DED"/>
    <w:rsid w:val="00B274D6"/>
    <w:rsid w:val="00B27721"/>
    <w:rsid w:val="00B3095A"/>
    <w:rsid w:val="00B318A4"/>
    <w:rsid w:val="00B33921"/>
    <w:rsid w:val="00B3428E"/>
    <w:rsid w:val="00B352BC"/>
    <w:rsid w:val="00B41CF9"/>
    <w:rsid w:val="00B42677"/>
    <w:rsid w:val="00B5283F"/>
    <w:rsid w:val="00B57B90"/>
    <w:rsid w:val="00B62790"/>
    <w:rsid w:val="00B661EC"/>
    <w:rsid w:val="00B6696B"/>
    <w:rsid w:val="00B67E73"/>
    <w:rsid w:val="00B72D35"/>
    <w:rsid w:val="00B73134"/>
    <w:rsid w:val="00B73B59"/>
    <w:rsid w:val="00B81C86"/>
    <w:rsid w:val="00B84D0F"/>
    <w:rsid w:val="00B85CB9"/>
    <w:rsid w:val="00B86C6A"/>
    <w:rsid w:val="00B9008D"/>
    <w:rsid w:val="00B91F88"/>
    <w:rsid w:val="00B95AC1"/>
    <w:rsid w:val="00B972D5"/>
    <w:rsid w:val="00BA08DC"/>
    <w:rsid w:val="00BA71DE"/>
    <w:rsid w:val="00BA798F"/>
    <w:rsid w:val="00BB0484"/>
    <w:rsid w:val="00BB196F"/>
    <w:rsid w:val="00BB491B"/>
    <w:rsid w:val="00BB4EBB"/>
    <w:rsid w:val="00BB711D"/>
    <w:rsid w:val="00BB7B84"/>
    <w:rsid w:val="00BC4132"/>
    <w:rsid w:val="00BC5AE5"/>
    <w:rsid w:val="00BC66F7"/>
    <w:rsid w:val="00BD0B83"/>
    <w:rsid w:val="00BD27FF"/>
    <w:rsid w:val="00BD329E"/>
    <w:rsid w:val="00BE1E28"/>
    <w:rsid w:val="00BE2432"/>
    <w:rsid w:val="00BE3C9B"/>
    <w:rsid w:val="00BE458C"/>
    <w:rsid w:val="00BE5DEB"/>
    <w:rsid w:val="00BF01C8"/>
    <w:rsid w:val="00BF02E0"/>
    <w:rsid w:val="00BF03E4"/>
    <w:rsid w:val="00BF1067"/>
    <w:rsid w:val="00BF4692"/>
    <w:rsid w:val="00BF54AF"/>
    <w:rsid w:val="00BF69B9"/>
    <w:rsid w:val="00BF7CEC"/>
    <w:rsid w:val="00C010F2"/>
    <w:rsid w:val="00C02F08"/>
    <w:rsid w:val="00C04696"/>
    <w:rsid w:val="00C074F2"/>
    <w:rsid w:val="00C13461"/>
    <w:rsid w:val="00C13FFE"/>
    <w:rsid w:val="00C141BA"/>
    <w:rsid w:val="00C167D3"/>
    <w:rsid w:val="00C177C8"/>
    <w:rsid w:val="00C24220"/>
    <w:rsid w:val="00C3069F"/>
    <w:rsid w:val="00C314A7"/>
    <w:rsid w:val="00C34157"/>
    <w:rsid w:val="00C34AC1"/>
    <w:rsid w:val="00C36242"/>
    <w:rsid w:val="00C36F56"/>
    <w:rsid w:val="00C379BA"/>
    <w:rsid w:val="00C37FDA"/>
    <w:rsid w:val="00C4130D"/>
    <w:rsid w:val="00C42C11"/>
    <w:rsid w:val="00C42E98"/>
    <w:rsid w:val="00C43757"/>
    <w:rsid w:val="00C448E0"/>
    <w:rsid w:val="00C52770"/>
    <w:rsid w:val="00C554A3"/>
    <w:rsid w:val="00C57EE8"/>
    <w:rsid w:val="00C656A0"/>
    <w:rsid w:val="00C659B1"/>
    <w:rsid w:val="00C66584"/>
    <w:rsid w:val="00C66C32"/>
    <w:rsid w:val="00C70250"/>
    <w:rsid w:val="00C70E82"/>
    <w:rsid w:val="00C72CEB"/>
    <w:rsid w:val="00C73209"/>
    <w:rsid w:val="00C74F21"/>
    <w:rsid w:val="00C761FD"/>
    <w:rsid w:val="00C762F4"/>
    <w:rsid w:val="00C833B0"/>
    <w:rsid w:val="00C84700"/>
    <w:rsid w:val="00C85236"/>
    <w:rsid w:val="00C8595A"/>
    <w:rsid w:val="00C86B02"/>
    <w:rsid w:val="00C86E5D"/>
    <w:rsid w:val="00C86FEF"/>
    <w:rsid w:val="00C9066A"/>
    <w:rsid w:val="00C959C2"/>
    <w:rsid w:val="00C962A7"/>
    <w:rsid w:val="00CA08D1"/>
    <w:rsid w:val="00CA1284"/>
    <w:rsid w:val="00CA1ABB"/>
    <w:rsid w:val="00CA394C"/>
    <w:rsid w:val="00CA5E67"/>
    <w:rsid w:val="00CB132D"/>
    <w:rsid w:val="00CB5201"/>
    <w:rsid w:val="00CB5610"/>
    <w:rsid w:val="00CB64F4"/>
    <w:rsid w:val="00CC093D"/>
    <w:rsid w:val="00CC2E77"/>
    <w:rsid w:val="00CC2E7A"/>
    <w:rsid w:val="00CC4111"/>
    <w:rsid w:val="00CC485A"/>
    <w:rsid w:val="00CC7109"/>
    <w:rsid w:val="00CD0E0B"/>
    <w:rsid w:val="00CD127E"/>
    <w:rsid w:val="00CD261A"/>
    <w:rsid w:val="00CD3395"/>
    <w:rsid w:val="00CD5F94"/>
    <w:rsid w:val="00CE00E9"/>
    <w:rsid w:val="00CE13F7"/>
    <w:rsid w:val="00CE1C93"/>
    <w:rsid w:val="00CE3BE8"/>
    <w:rsid w:val="00CE6134"/>
    <w:rsid w:val="00CF1715"/>
    <w:rsid w:val="00CF3DEF"/>
    <w:rsid w:val="00CF409C"/>
    <w:rsid w:val="00CF5088"/>
    <w:rsid w:val="00CF75B4"/>
    <w:rsid w:val="00CF7F11"/>
    <w:rsid w:val="00D016F4"/>
    <w:rsid w:val="00D01BBE"/>
    <w:rsid w:val="00D040DC"/>
    <w:rsid w:val="00D0552B"/>
    <w:rsid w:val="00D05D21"/>
    <w:rsid w:val="00D0686C"/>
    <w:rsid w:val="00D07D94"/>
    <w:rsid w:val="00D07DD8"/>
    <w:rsid w:val="00D07E97"/>
    <w:rsid w:val="00D13A35"/>
    <w:rsid w:val="00D13BFC"/>
    <w:rsid w:val="00D14F9D"/>
    <w:rsid w:val="00D15A21"/>
    <w:rsid w:val="00D16F07"/>
    <w:rsid w:val="00D20661"/>
    <w:rsid w:val="00D2253E"/>
    <w:rsid w:val="00D23733"/>
    <w:rsid w:val="00D24329"/>
    <w:rsid w:val="00D26514"/>
    <w:rsid w:val="00D30F64"/>
    <w:rsid w:val="00D4152E"/>
    <w:rsid w:val="00D41B5C"/>
    <w:rsid w:val="00D41D37"/>
    <w:rsid w:val="00D42EEE"/>
    <w:rsid w:val="00D44F1A"/>
    <w:rsid w:val="00D45DBE"/>
    <w:rsid w:val="00D4657B"/>
    <w:rsid w:val="00D46CDD"/>
    <w:rsid w:val="00D47D2F"/>
    <w:rsid w:val="00D51D8C"/>
    <w:rsid w:val="00D542BF"/>
    <w:rsid w:val="00D5706F"/>
    <w:rsid w:val="00D61499"/>
    <w:rsid w:val="00D614DC"/>
    <w:rsid w:val="00D61909"/>
    <w:rsid w:val="00D61C74"/>
    <w:rsid w:val="00D627C9"/>
    <w:rsid w:val="00D64812"/>
    <w:rsid w:val="00D64971"/>
    <w:rsid w:val="00D671AC"/>
    <w:rsid w:val="00D712AB"/>
    <w:rsid w:val="00D728E3"/>
    <w:rsid w:val="00D731DD"/>
    <w:rsid w:val="00D7460C"/>
    <w:rsid w:val="00D76E4A"/>
    <w:rsid w:val="00D76F42"/>
    <w:rsid w:val="00D774F7"/>
    <w:rsid w:val="00D814C1"/>
    <w:rsid w:val="00D81A51"/>
    <w:rsid w:val="00D8304C"/>
    <w:rsid w:val="00D83DE2"/>
    <w:rsid w:val="00D867B7"/>
    <w:rsid w:val="00D91B5C"/>
    <w:rsid w:val="00D91C9F"/>
    <w:rsid w:val="00D92119"/>
    <w:rsid w:val="00D92B4B"/>
    <w:rsid w:val="00D93191"/>
    <w:rsid w:val="00D93EB7"/>
    <w:rsid w:val="00D9630E"/>
    <w:rsid w:val="00D96B8E"/>
    <w:rsid w:val="00D97317"/>
    <w:rsid w:val="00D9743F"/>
    <w:rsid w:val="00D97FA0"/>
    <w:rsid w:val="00DA008C"/>
    <w:rsid w:val="00DA4932"/>
    <w:rsid w:val="00DA4BD9"/>
    <w:rsid w:val="00DA72ED"/>
    <w:rsid w:val="00DB42D5"/>
    <w:rsid w:val="00DB5F8F"/>
    <w:rsid w:val="00DC1826"/>
    <w:rsid w:val="00DC22B1"/>
    <w:rsid w:val="00DC2730"/>
    <w:rsid w:val="00DC2AA2"/>
    <w:rsid w:val="00DC3B96"/>
    <w:rsid w:val="00DC439B"/>
    <w:rsid w:val="00DD0013"/>
    <w:rsid w:val="00DD1F3D"/>
    <w:rsid w:val="00DD2DF5"/>
    <w:rsid w:val="00DD561A"/>
    <w:rsid w:val="00DE301F"/>
    <w:rsid w:val="00DE37DF"/>
    <w:rsid w:val="00DE38BC"/>
    <w:rsid w:val="00DE421D"/>
    <w:rsid w:val="00DE4905"/>
    <w:rsid w:val="00DE7FCC"/>
    <w:rsid w:val="00DF1725"/>
    <w:rsid w:val="00DF21E2"/>
    <w:rsid w:val="00DF527D"/>
    <w:rsid w:val="00DF59AD"/>
    <w:rsid w:val="00DF7696"/>
    <w:rsid w:val="00E02B93"/>
    <w:rsid w:val="00E05AE9"/>
    <w:rsid w:val="00E06E44"/>
    <w:rsid w:val="00E10910"/>
    <w:rsid w:val="00E1170D"/>
    <w:rsid w:val="00E11A6F"/>
    <w:rsid w:val="00E124E5"/>
    <w:rsid w:val="00E23056"/>
    <w:rsid w:val="00E24818"/>
    <w:rsid w:val="00E26798"/>
    <w:rsid w:val="00E26808"/>
    <w:rsid w:val="00E26A5C"/>
    <w:rsid w:val="00E26BC1"/>
    <w:rsid w:val="00E27F6A"/>
    <w:rsid w:val="00E3026C"/>
    <w:rsid w:val="00E31491"/>
    <w:rsid w:val="00E326D2"/>
    <w:rsid w:val="00E32C07"/>
    <w:rsid w:val="00E33D69"/>
    <w:rsid w:val="00E346E5"/>
    <w:rsid w:val="00E35AAE"/>
    <w:rsid w:val="00E367FD"/>
    <w:rsid w:val="00E4056B"/>
    <w:rsid w:val="00E40C07"/>
    <w:rsid w:val="00E43C6C"/>
    <w:rsid w:val="00E44550"/>
    <w:rsid w:val="00E449BA"/>
    <w:rsid w:val="00E46E15"/>
    <w:rsid w:val="00E5043D"/>
    <w:rsid w:val="00E50CE8"/>
    <w:rsid w:val="00E5173A"/>
    <w:rsid w:val="00E51EB6"/>
    <w:rsid w:val="00E57C14"/>
    <w:rsid w:val="00E610DA"/>
    <w:rsid w:val="00E6461E"/>
    <w:rsid w:val="00E71441"/>
    <w:rsid w:val="00E71BF0"/>
    <w:rsid w:val="00E80F43"/>
    <w:rsid w:val="00E818EC"/>
    <w:rsid w:val="00E81A7A"/>
    <w:rsid w:val="00E82B0D"/>
    <w:rsid w:val="00E833C4"/>
    <w:rsid w:val="00E86D70"/>
    <w:rsid w:val="00E87DED"/>
    <w:rsid w:val="00E92748"/>
    <w:rsid w:val="00E93766"/>
    <w:rsid w:val="00E95344"/>
    <w:rsid w:val="00E95AB8"/>
    <w:rsid w:val="00E963E8"/>
    <w:rsid w:val="00E96BC2"/>
    <w:rsid w:val="00E970D1"/>
    <w:rsid w:val="00EA0DC0"/>
    <w:rsid w:val="00EA1936"/>
    <w:rsid w:val="00EA19EE"/>
    <w:rsid w:val="00EA1F9C"/>
    <w:rsid w:val="00EA35F3"/>
    <w:rsid w:val="00EA766F"/>
    <w:rsid w:val="00EA7994"/>
    <w:rsid w:val="00EA7C50"/>
    <w:rsid w:val="00EB0D3C"/>
    <w:rsid w:val="00EB0EDF"/>
    <w:rsid w:val="00EB1950"/>
    <w:rsid w:val="00EB231F"/>
    <w:rsid w:val="00EB4255"/>
    <w:rsid w:val="00EB4F58"/>
    <w:rsid w:val="00EB59F8"/>
    <w:rsid w:val="00EB71B2"/>
    <w:rsid w:val="00EC06BA"/>
    <w:rsid w:val="00EC21DD"/>
    <w:rsid w:val="00EC3A09"/>
    <w:rsid w:val="00EC6FF1"/>
    <w:rsid w:val="00EC778B"/>
    <w:rsid w:val="00ED240E"/>
    <w:rsid w:val="00ED3827"/>
    <w:rsid w:val="00ED42EC"/>
    <w:rsid w:val="00ED6233"/>
    <w:rsid w:val="00ED7198"/>
    <w:rsid w:val="00EE6733"/>
    <w:rsid w:val="00EF0F9B"/>
    <w:rsid w:val="00EF1F4E"/>
    <w:rsid w:val="00EF5671"/>
    <w:rsid w:val="00EF61D8"/>
    <w:rsid w:val="00EF64EB"/>
    <w:rsid w:val="00F026C1"/>
    <w:rsid w:val="00F0311C"/>
    <w:rsid w:val="00F03516"/>
    <w:rsid w:val="00F12172"/>
    <w:rsid w:val="00F1244D"/>
    <w:rsid w:val="00F16739"/>
    <w:rsid w:val="00F247F7"/>
    <w:rsid w:val="00F268FA"/>
    <w:rsid w:val="00F30D3E"/>
    <w:rsid w:val="00F33585"/>
    <w:rsid w:val="00F35D72"/>
    <w:rsid w:val="00F40887"/>
    <w:rsid w:val="00F41C82"/>
    <w:rsid w:val="00F4274C"/>
    <w:rsid w:val="00F428B1"/>
    <w:rsid w:val="00F43401"/>
    <w:rsid w:val="00F43E37"/>
    <w:rsid w:val="00F47271"/>
    <w:rsid w:val="00F47FC3"/>
    <w:rsid w:val="00F51D5A"/>
    <w:rsid w:val="00F52872"/>
    <w:rsid w:val="00F53D54"/>
    <w:rsid w:val="00F56915"/>
    <w:rsid w:val="00F61DD5"/>
    <w:rsid w:val="00F70340"/>
    <w:rsid w:val="00F72B44"/>
    <w:rsid w:val="00F73B34"/>
    <w:rsid w:val="00F73EAA"/>
    <w:rsid w:val="00F74DCA"/>
    <w:rsid w:val="00F823A1"/>
    <w:rsid w:val="00F8244E"/>
    <w:rsid w:val="00F851BC"/>
    <w:rsid w:val="00F872D0"/>
    <w:rsid w:val="00F902DB"/>
    <w:rsid w:val="00F94115"/>
    <w:rsid w:val="00F96976"/>
    <w:rsid w:val="00FA1581"/>
    <w:rsid w:val="00FA2532"/>
    <w:rsid w:val="00FB37DA"/>
    <w:rsid w:val="00FB46E4"/>
    <w:rsid w:val="00FB4AB8"/>
    <w:rsid w:val="00FB723D"/>
    <w:rsid w:val="00FC4E08"/>
    <w:rsid w:val="00FC60FB"/>
    <w:rsid w:val="00FC7A1C"/>
    <w:rsid w:val="00FD1AFA"/>
    <w:rsid w:val="00FD285C"/>
    <w:rsid w:val="00FD305F"/>
    <w:rsid w:val="00FD32EF"/>
    <w:rsid w:val="00FD4291"/>
    <w:rsid w:val="00FD5A59"/>
    <w:rsid w:val="00FD752E"/>
    <w:rsid w:val="00FE10FC"/>
    <w:rsid w:val="00FE1AD3"/>
    <w:rsid w:val="00FE1C97"/>
    <w:rsid w:val="00FE2137"/>
    <w:rsid w:val="00FE7B4A"/>
    <w:rsid w:val="00FF15AB"/>
    <w:rsid w:val="00FF1D6C"/>
    <w:rsid w:val="00FF20FC"/>
    <w:rsid w:val="00FF2685"/>
    <w:rsid w:val="00FF3412"/>
    <w:rsid w:val="00FF5017"/>
    <w:rsid w:val="00FF56C0"/>
    <w:rsid w:val="00FF57A6"/>
    <w:rsid w:val="76D84E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footer" w:uiPriority="99" w:qFormat="1"/>
    <w:lsdException w:name="caption" w:semiHidden="1" w:unhideWhenUsed="1" w:qFormat="1"/>
    <w:lsdException w:name="footnote reference" w:unhideWhenUsed="1" w:qFormat="1"/>
    <w:lsdException w:name="annotation reference" w:uiPriority="99" w:qFormat="1"/>
    <w:lsdException w:name="page number" w:qFormat="1"/>
    <w:lsdException w:name="endnote reference" w:qFormat="1"/>
    <w:lsdException w:name="Title" w:qFormat="1"/>
    <w:lsdException w:name="Default Paragraph Font" w:semiHidden="1" w:qFormat="1"/>
    <w:lsdException w:name="Body Text" w:qFormat="1"/>
    <w:lsdException w:name="Body Text Indent" w:qFormat="1"/>
    <w:lsdException w:name="Subtitle" w:qFormat="1"/>
    <w:lsdException w:name="Date" w:qFormat="1"/>
    <w:lsdException w:name="Body Text 2" w:qFormat="1"/>
    <w:lsdException w:name="Body Text Indent 3" w:qFormat="1"/>
    <w:lsdException w:name="Block Text" w:uiPriority="99" w:unhideWhenUsed="1"/>
    <w:lsdException w:name="Hyperlink"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723C"/>
    <w:pPr>
      <w:widowControl w:val="0"/>
      <w:jc w:val="both"/>
    </w:pPr>
    <w:rPr>
      <w:kern w:val="2"/>
      <w:sz w:val="21"/>
    </w:rPr>
  </w:style>
  <w:style w:type="paragraph" w:styleId="10">
    <w:name w:val="heading 1"/>
    <w:basedOn w:val="a"/>
    <w:next w:val="a"/>
    <w:link w:val="1Char"/>
    <w:qFormat/>
    <w:rsid w:val="0001723C"/>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01723C"/>
    <w:pPr>
      <w:keepNext/>
      <w:keepLines/>
      <w:spacing w:before="260" w:after="260" w:line="416" w:lineRule="auto"/>
      <w:outlineLvl w:val="1"/>
    </w:pPr>
    <w:rPr>
      <w:rFonts w:ascii="Arial" w:eastAsia="黑体" w:hAnsi="Arial"/>
      <w:b/>
      <w:bCs/>
      <w:kern w:val="0"/>
      <w:sz w:val="32"/>
      <w:szCs w:val="32"/>
    </w:rPr>
  </w:style>
  <w:style w:type="paragraph" w:styleId="30">
    <w:name w:val="heading 3"/>
    <w:basedOn w:val="a"/>
    <w:next w:val="a"/>
    <w:link w:val="3Char"/>
    <w:qFormat/>
    <w:rsid w:val="0001723C"/>
    <w:pPr>
      <w:keepNext/>
      <w:keepLines/>
      <w:spacing w:before="260" w:after="260" w:line="416" w:lineRule="auto"/>
      <w:outlineLvl w:val="2"/>
    </w:pPr>
    <w:rPr>
      <w:b/>
      <w:bCs/>
      <w:kern w:val="0"/>
      <w:sz w:val="32"/>
      <w:szCs w:val="32"/>
    </w:rPr>
  </w:style>
  <w:style w:type="paragraph" w:styleId="4">
    <w:name w:val="heading 4"/>
    <w:basedOn w:val="a"/>
    <w:next w:val="a"/>
    <w:link w:val="4Char"/>
    <w:semiHidden/>
    <w:unhideWhenUsed/>
    <w:qFormat/>
    <w:rsid w:val="0001723C"/>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semiHidden/>
    <w:unhideWhenUsed/>
    <w:qFormat/>
    <w:rsid w:val="0001723C"/>
    <w:pPr>
      <w:keepNext/>
      <w:keepLines/>
      <w:spacing w:before="280" w:after="290" w:line="376" w:lineRule="auto"/>
      <w:outlineLvl w:val="4"/>
    </w:pPr>
    <w:rPr>
      <w:b/>
      <w:bCs/>
      <w:sz w:val="28"/>
      <w:szCs w:val="28"/>
    </w:rPr>
  </w:style>
  <w:style w:type="paragraph" w:styleId="6">
    <w:name w:val="heading 6"/>
    <w:basedOn w:val="a"/>
    <w:next w:val="a"/>
    <w:link w:val="6Char"/>
    <w:semiHidden/>
    <w:unhideWhenUsed/>
    <w:qFormat/>
    <w:rsid w:val="0001723C"/>
    <w:pPr>
      <w:keepNext/>
      <w:keepLines/>
      <w:spacing w:before="240" w:after="64" w:line="319" w:lineRule="auto"/>
      <w:outlineLvl w:val="5"/>
    </w:pPr>
    <w:rPr>
      <w:rFonts w:ascii="Arial" w:eastAsia="黑体" w:hAnsi="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01723C"/>
    <w:pPr>
      <w:jc w:val="left"/>
    </w:pPr>
    <w:rPr>
      <w:kern w:val="0"/>
      <w:sz w:val="24"/>
      <w:szCs w:val="24"/>
    </w:rPr>
  </w:style>
  <w:style w:type="paragraph" w:styleId="31">
    <w:name w:val="Body Text 3"/>
    <w:basedOn w:val="a"/>
    <w:link w:val="3Char0"/>
    <w:rsid w:val="0001723C"/>
    <w:pPr>
      <w:spacing w:line="840" w:lineRule="exact"/>
      <w:jc w:val="center"/>
    </w:pPr>
    <w:rPr>
      <w:rFonts w:ascii="方正大标宋简体" w:eastAsia="方正大标宋简体" w:hAnsi="宋体"/>
      <w:bCs/>
      <w:sz w:val="42"/>
      <w:szCs w:val="42"/>
    </w:rPr>
  </w:style>
  <w:style w:type="paragraph" w:styleId="a4">
    <w:name w:val="Body Text"/>
    <w:basedOn w:val="a"/>
    <w:link w:val="Char0"/>
    <w:qFormat/>
    <w:rsid w:val="0001723C"/>
    <w:pPr>
      <w:spacing w:after="120"/>
    </w:pPr>
    <w:rPr>
      <w:rFonts w:eastAsia="Times New Roman"/>
      <w:szCs w:val="24"/>
    </w:rPr>
  </w:style>
  <w:style w:type="paragraph" w:styleId="a5">
    <w:name w:val="Body Text Indent"/>
    <w:basedOn w:val="a"/>
    <w:link w:val="Char1"/>
    <w:qFormat/>
    <w:rsid w:val="0001723C"/>
    <w:pPr>
      <w:tabs>
        <w:tab w:val="left" w:pos="7020"/>
      </w:tabs>
      <w:spacing w:line="600" w:lineRule="exact"/>
      <w:ind w:firstLineChars="200" w:firstLine="600"/>
    </w:pPr>
    <w:rPr>
      <w:rFonts w:ascii="仿宋_GB2312" w:eastAsia="仿宋_GB2312"/>
      <w:sz w:val="30"/>
      <w:szCs w:val="24"/>
    </w:rPr>
  </w:style>
  <w:style w:type="paragraph" w:styleId="a6">
    <w:name w:val="Block Text"/>
    <w:basedOn w:val="a"/>
    <w:uiPriority w:val="99"/>
    <w:unhideWhenUsed/>
    <w:rsid w:val="0001723C"/>
    <w:pPr>
      <w:widowControl/>
      <w:spacing w:after="240"/>
      <w:jc w:val="left"/>
    </w:pPr>
    <w:rPr>
      <w:kern w:val="0"/>
      <w:sz w:val="24"/>
      <w:lang w:eastAsia="en-US"/>
    </w:rPr>
  </w:style>
  <w:style w:type="paragraph" w:styleId="a7">
    <w:name w:val="Plain Text"/>
    <w:basedOn w:val="a"/>
    <w:link w:val="Char2"/>
    <w:qFormat/>
    <w:rsid w:val="0001723C"/>
    <w:rPr>
      <w:rFonts w:ascii="宋体" w:hAnsi="Courier New" w:cs="Courier New"/>
      <w:szCs w:val="21"/>
    </w:rPr>
  </w:style>
  <w:style w:type="paragraph" w:styleId="a8">
    <w:name w:val="Date"/>
    <w:basedOn w:val="a"/>
    <w:next w:val="a"/>
    <w:link w:val="Char3"/>
    <w:qFormat/>
    <w:rsid w:val="0001723C"/>
    <w:rPr>
      <w:rFonts w:ascii="楷体_GB2312" w:eastAsia="楷体_GB2312"/>
      <w:sz w:val="32"/>
    </w:rPr>
  </w:style>
  <w:style w:type="paragraph" w:styleId="20">
    <w:name w:val="Body Text Indent 2"/>
    <w:basedOn w:val="a"/>
    <w:link w:val="2Char0"/>
    <w:rsid w:val="0001723C"/>
    <w:pPr>
      <w:spacing w:line="600" w:lineRule="exact"/>
      <w:ind w:firstLineChars="200" w:firstLine="600"/>
    </w:pPr>
    <w:rPr>
      <w:rFonts w:ascii="仿宋_GB2312" w:eastAsia="仿宋_GB2312" w:hAnsi="宋体"/>
      <w:sz w:val="30"/>
      <w:szCs w:val="30"/>
    </w:rPr>
  </w:style>
  <w:style w:type="paragraph" w:styleId="a9">
    <w:name w:val="endnote text"/>
    <w:basedOn w:val="a"/>
    <w:link w:val="Char4"/>
    <w:rsid w:val="0001723C"/>
    <w:pPr>
      <w:snapToGrid w:val="0"/>
      <w:jc w:val="left"/>
    </w:pPr>
    <w:rPr>
      <w:kern w:val="0"/>
      <w:sz w:val="24"/>
      <w:szCs w:val="24"/>
    </w:rPr>
  </w:style>
  <w:style w:type="paragraph" w:styleId="aa">
    <w:name w:val="Balloon Text"/>
    <w:basedOn w:val="a"/>
    <w:link w:val="Char5"/>
    <w:qFormat/>
    <w:rsid w:val="0001723C"/>
    <w:rPr>
      <w:sz w:val="18"/>
      <w:szCs w:val="18"/>
    </w:rPr>
  </w:style>
  <w:style w:type="paragraph" w:styleId="ab">
    <w:name w:val="footer"/>
    <w:basedOn w:val="a"/>
    <w:link w:val="Char6"/>
    <w:uiPriority w:val="99"/>
    <w:qFormat/>
    <w:rsid w:val="0001723C"/>
    <w:pPr>
      <w:tabs>
        <w:tab w:val="center" w:pos="4153"/>
        <w:tab w:val="right" w:pos="8306"/>
      </w:tabs>
      <w:snapToGrid w:val="0"/>
      <w:jc w:val="left"/>
    </w:pPr>
    <w:rPr>
      <w:sz w:val="18"/>
      <w:szCs w:val="18"/>
    </w:rPr>
  </w:style>
  <w:style w:type="paragraph" w:styleId="ac">
    <w:name w:val="header"/>
    <w:basedOn w:val="a"/>
    <w:link w:val="Char7"/>
    <w:qFormat/>
    <w:rsid w:val="0001723C"/>
    <w:pPr>
      <w:pBdr>
        <w:bottom w:val="single" w:sz="6" w:space="1" w:color="auto"/>
      </w:pBdr>
      <w:tabs>
        <w:tab w:val="center" w:pos="4153"/>
        <w:tab w:val="right" w:pos="8306"/>
      </w:tabs>
      <w:snapToGrid w:val="0"/>
      <w:jc w:val="center"/>
    </w:pPr>
    <w:rPr>
      <w:sz w:val="18"/>
      <w:szCs w:val="18"/>
    </w:rPr>
  </w:style>
  <w:style w:type="paragraph" w:styleId="ad">
    <w:name w:val="Subtitle"/>
    <w:basedOn w:val="a"/>
    <w:next w:val="a"/>
    <w:link w:val="Char8"/>
    <w:qFormat/>
    <w:rsid w:val="0001723C"/>
    <w:pPr>
      <w:spacing w:before="240" w:after="60" w:line="312" w:lineRule="auto"/>
      <w:jc w:val="center"/>
      <w:outlineLvl w:val="1"/>
    </w:pPr>
    <w:rPr>
      <w:rFonts w:ascii="Cambria" w:hAnsi="Cambria"/>
      <w:b/>
      <w:bCs/>
      <w:kern w:val="28"/>
      <w:sz w:val="32"/>
      <w:szCs w:val="32"/>
    </w:rPr>
  </w:style>
  <w:style w:type="paragraph" w:styleId="ae">
    <w:name w:val="footnote text"/>
    <w:basedOn w:val="a"/>
    <w:link w:val="Char9"/>
    <w:qFormat/>
    <w:rsid w:val="0001723C"/>
    <w:pPr>
      <w:snapToGrid w:val="0"/>
      <w:jc w:val="left"/>
    </w:pPr>
    <w:rPr>
      <w:rFonts w:eastAsia="Times New Roman"/>
      <w:sz w:val="18"/>
      <w:szCs w:val="18"/>
    </w:rPr>
  </w:style>
  <w:style w:type="paragraph" w:styleId="32">
    <w:name w:val="Body Text Indent 3"/>
    <w:basedOn w:val="a"/>
    <w:link w:val="3Char1"/>
    <w:qFormat/>
    <w:rsid w:val="0001723C"/>
    <w:pPr>
      <w:autoSpaceDE w:val="0"/>
      <w:autoSpaceDN w:val="0"/>
      <w:adjustRightInd w:val="0"/>
      <w:spacing w:line="760" w:lineRule="exact"/>
      <w:ind w:firstLine="560"/>
      <w:jc w:val="left"/>
    </w:pPr>
    <w:rPr>
      <w:rFonts w:ascii="仿宋_GB2312" w:eastAsia="仿宋_GB2312"/>
      <w:kern w:val="0"/>
      <w:sz w:val="30"/>
      <w:szCs w:val="28"/>
      <w:lang w:val="zh-CN"/>
    </w:rPr>
  </w:style>
  <w:style w:type="paragraph" w:styleId="21">
    <w:name w:val="Body Text 2"/>
    <w:basedOn w:val="a"/>
    <w:link w:val="2Char1"/>
    <w:qFormat/>
    <w:rsid w:val="0001723C"/>
    <w:pPr>
      <w:spacing w:line="840" w:lineRule="exact"/>
      <w:jc w:val="center"/>
    </w:pPr>
    <w:rPr>
      <w:rFonts w:ascii="宋体" w:hAnsi="Courier New"/>
      <w:kern w:val="0"/>
      <w:szCs w:val="21"/>
    </w:rPr>
  </w:style>
  <w:style w:type="paragraph" w:styleId="af">
    <w:name w:val="Normal (Web)"/>
    <w:basedOn w:val="a"/>
    <w:rsid w:val="0001723C"/>
    <w:pPr>
      <w:widowControl/>
      <w:spacing w:before="100" w:beforeAutospacing="1" w:after="100" w:afterAutospacing="1"/>
      <w:jc w:val="left"/>
    </w:pPr>
    <w:rPr>
      <w:rFonts w:ascii="宋体" w:hAnsi="宋体" w:cs="宋体"/>
      <w:kern w:val="0"/>
      <w:sz w:val="24"/>
      <w:szCs w:val="24"/>
    </w:rPr>
  </w:style>
  <w:style w:type="paragraph" w:styleId="af0">
    <w:name w:val="Title"/>
    <w:basedOn w:val="a"/>
    <w:next w:val="ad"/>
    <w:link w:val="Chara"/>
    <w:qFormat/>
    <w:rsid w:val="0001723C"/>
    <w:pPr>
      <w:widowControl/>
      <w:suppressAutoHyphens/>
      <w:overflowPunct w:val="0"/>
      <w:autoSpaceDE w:val="0"/>
      <w:jc w:val="center"/>
    </w:pPr>
    <w:rPr>
      <w:rFonts w:ascii="ClassGarmnd BT" w:hAnsi="ClassGarmnd BT" w:cs="ClassGarmnd BT"/>
      <w:b/>
      <w:kern w:val="1"/>
      <w:sz w:val="32"/>
      <w:lang w:val="en-AU" w:eastAsia="ar-SA"/>
    </w:rPr>
  </w:style>
  <w:style w:type="paragraph" w:styleId="af1">
    <w:name w:val="annotation subject"/>
    <w:basedOn w:val="a3"/>
    <w:next w:val="a3"/>
    <w:link w:val="Charb"/>
    <w:rsid w:val="0001723C"/>
    <w:rPr>
      <w:b/>
      <w:bCs/>
      <w:kern w:val="2"/>
      <w:sz w:val="21"/>
    </w:rPr>
  </w:style>
  <w:style w:type="character" w:styleId="af2">
    <w:name w:val="Strong"/>
    <w:basedOn w:val="a0"/>
    <w:uiPriority w:val="22"/>
    <w:qFormat/>
    <w:rsid w:val="0001723C"/>
    <w:rPr>
      <w:b/>
      <w:bCs/>
    </w:rPr>
  </w:style>
  <w:style w:type="character" w:styleId="af3">
    <w:name w:val="endnote reference"/>
    <w:qFormat/>
    <w:rsid w:val="0001723C"/>
    <w:rPr>
      <w:rFonts w:cs="Times New Roman"/>
      <w:vertAlign w:val="superscript"/>
    </w:rPr>
  </w:style>
  <w:style w:type="character" w:styleId="af4">
    <w:name w:val="page number"/>
    <w:basedOn w:val="a0"/>
    <w:qFormat/>
    <w:rsid w:val="0001723C"/>
  </w:style>
  <w:style w:type="character" w:styleId="af5">
    <w:name w:val="FollowedHyperlink"/>
    <w:basedOn w:val="a0"/>
    <w:rsid w:val="0001723C"/>
    <w:rPr>
      <w:color w:val="800080"/>
      <w:u w:val="single"/>
    </w:rPr>
  </w:style>
  <w:style w:type="character" w:styleId="af6">
    <w:name w:val="Hyperlink"/>
    <w:qFormat/>
    <w:rsid w:val="0001723C"/>
    <w:rPr>
      <w:rFonts w:cs="Times New Roman"/>
      <w:color w:val="0000FF"/>
      <w:u w:val="single"/>
    </w:rPr>
  </w:style>
  <w:style w:type="character" w:styleId="af7">
    <w:name w:val="annotation reference"/>
    <w:uiPriority w:val="99"/>
    <w:qFormat/>
    <w:rsid w:val="0001723C"/>
    <w:rPr>
      <w:rFonts w:cs="Times New Roman"/>
      <w:sz w:val="21"/>
      <w:szCs w:val="21"/>
    </w:rPr>
  </w:style>
  <w:style w:type="character" w:styleId="af8">
    <w:name w:val="footnote reference"/>
    <w:basedOn w:val="a0"/>
    <w:unhideWhenUsed/>
    <w:qFormat/>
    <w:rsid w:val="0001723C"/>
    <w:rPr>
      <w:vertAlign w:val="superscript"/>
    </w:rPr>
  </w:style>
  <w:style w:type="character" w:customStyle="1" w:styleId="1Char">
    <w:name w:val="标题 1 Char"/>
    <w:link w:val="10"/>
    <w:qFormat/>
    <w:locked/>
    <w:rsid w:val="0001723C"/>
    <w:rPr>
      <w:rFonts w:eastAsia="宋体"/>
      <w:b/>
      <w:bCs/>
      <w:kern w:val="44"/>
      <w:sz w:val="44"/>
      <w:szCs w:val="44"/>
      <w:lang w:bidi="ar-SA"/>
    </w:rPr>
  </w:style>
  <w:style w:type="character" w:customStyle="1" w:styleId="2Char">
    <w:name w:val="标题 2 Char"/>
    <w:link w:val="2"/>
    <w:qFormat/>
    <w:locked/>
    <w:rsid w:val="0001723C"/>
    <w:rPr>
      <w:rFonts w:ascii="Arial" w:eastAsia="黑体" w:hAnsi="Arial"/>
      <w:b/>
      <w:bCs/>
      <w:sz w:val="32"/>
      <w:szCs w:val="32"/>
      <w:lang w:bidi="ar-SA"/>
    </w:rPr>
  </w:style>
  <w:style w:type="character" w:customStyle="1" w:styleId="3Char">
    <w:name w:val="标题 3 Char"/>
    <w:link w:val="30"/>
    <w:semiHidden/>
    <w:qFormat/>
    <w:locked/>
    <w:rsid w:val="0001723C"/>
    <w:rPr>
      <w:rFonts w:eastAsia="宋体"/>
      <w:b/>
      <w:bCs/>
      <w:sz w:val="32"/>
      <w:szCs w:val="32"/>
      <w:lang w:bidi="ar-SA"/>
    </w:rPr>
  </w:style>
  <w:style w:type="character" w:customStyle="1" w:styleId="4Char">
    <w:name w:val="标题 4 Char"/>
    <w:basedOn w:val="a0"/>
    <w:link w:val="4"/>
    <w:semiHidden/>
    <w:qFormat/>
    <w:rsid w:val="0001723C"/>
    <w:rPr>
      <w:rFonts w:ascii="Cambria" w:eastAsia="宋体" w:hAnsi="Cambria" w:cs="Times New Roman"/>
      <w:b/>
      <w:bCs/>
      <w:kern w:val="2"/>
      <w:sz w:val="28"/>
      <w:szCs w:val="28"/>
    </w:rPr>
  </w:style>
  <w:style w:type="character" w:customStyle="1" w:styleId="5Char">
    <w:name w:val="标题 5 Char"/>
    <w:basedOn w:val="a0"/>
    <w:link w:val="5"/>
    <w:semiHidden/>
    <w:qFormat/>
    <w:rsid w:val="0001723C"/>
    <w:rPr>
      <w:b/>
      <w:bCs/>
      <w:kern w:val="2"/>
      <w:sz w:val="28"/>
      <w:szCs w:val="28"/>
    </w:rPr>
  </w:style>
  <w:style w:type="character" w:customStyle="1" w:styleId="6Char">
    <w:name w:val="标题 6 Char"/>
    <w:basedOn w:val="a0"/>
    <w:link w:val="6"/>
    <w:semiHidden/>
    <w:qFormat/>
    <w:rsid w:val="0001723C"/>
    <w:rPr>
      <w:rFonts w:ascii="Arial" w:eastAsia="黑体" w:hAnsi="Arial"/>
      <w:b/>
      <w:bCs/>
      <w:kern w:val="2"/>
      <w:sz w:val="24"/>
      <w:szCs w:val="24"/>
    </w:rPr>
  </w:style>
  <w:style w:type="character" w:customStyle="1" w:styleId="Char6">
    <w:name w:val="页脚 Char"/>
    <w:link w:val="ab"/>
    <w:uiPriority w:val="99"/>
    <w:qFormat/>
    <w:locked/>
    <w:rsid w:val="0001723C"/>
    <w:rPr>
      <w:rFonts w:eastAsia="宋体"/>
      <w:kern w:val="2"/>
      <w:sz w:val="18"/>
      <w:szCs w:val="18"/>
      <w:lang w:val="en-US" w:eastAsia="zh-CN" w:bidi="ar-SA"/>
    </w:rPr>
  </w:style>
  <w:style w:type="character" w:customStyle="1" w:styleId="Char1">
    <w:name w:val="正文文本缩进 Char"/>
    <w:basedOn w:val="a0"/>
    <w:link w:val="a5"/>
    <w:qFormat/>
    <w:rsid w:val="0001723C"/>
    <w:rPr>
      <w:rFonts w:ascii="仿宋_GB2312" w:eastAsia="仿宋_GB2312"/>
      <w:kern w:val="2"/>
      <w:sz w:val="30"/>
      <w:szCs w:val="24"/>
      <w:lang w:val="en-US" w:eastAsia="zh-CN" w:bidi="ar-SA"/>
    </w:rPr>
  </w:style>
  <w:style w:type="character" w:customStyle="1" w:styleId="Char7">
    <w:name w:val="页眉 Char"/>
    <w:link w:val="ac"/>
    <w:qFormat/>
    <w:locked/>
    <w:rsid w:val="0001723C"/>
    <w:rPr>
      <w:rFonts w:eastAsia="宋体"/>
      <w:kern w:val="2"/>
      <w:sz w:val="18"/>
      <w:szCs w:val="18"/>
      <w:lang w:val="en-US" w:eastAsia="zh-CN" w:bidi="ar-SA"/>
    </w:rPr>
  </w:style>
  <w:style w:type="character" w:customStyle="1" w:styleId="Char5">
    <w:name w:val="批注框文本 Char"/>
    <w:link w:val="aa"/>
    <w:qFormat/>
    <w:locked/>
    <w:rsid w:val="0001723C"/>
    <w:rPr>
      <w:rFonts w:eastAsia="宋体"/>
      <w:kern w:val="2"/>
      <w:sz w:val="18"/>
      <w:szCs w:val="18"/>
      <w:lang w:val="en-US" w:eastAsia="zh-CN" w:bidi="ar-SA"/>
    </w:rPr>
  </w:style>
  <w:style w:type="character" w:customStyle="1" w:styleId="Char3">
    <w:name w:val="日期 Char"/>
    <w:basedOn w:val="a0"/>
    <w:link w:val="a8"/>
    <w:qFormat/>
    <w:rsid w:val="0001723C"/>
    <w:rPr>
      <w:rFonts w:ascii="楷体_GB2312" w:eastAsia="楷体_GB2312"/>
      <w:kern w:val="2"/>
      <w:sz w:val="32"/>
      <w:lang w:val="en-US" w:eastAsia="zh-CN" w:bidi="ar-SA"/>
    </w:rPr>
  </w:style>
  <w:style w:type="paragraph" w:customStyle="1" w:styleId="dash6b636587">
    <w:name w:val="dash6b63_6587"/>
    <w:basedOn w:val="a"/>
    <w:qFormat/>
    <w:rsid w:val="0001723C"/>
    <w:pPr>
      <w:widowControl/>
      <w:spacing w:before="100" w:beforeAutospacing="1" w:after="100" w:afterAutospacing="1"/>
      <w:jc w:val="left"/>
    </w:pPr>
    <w:rPr>
      <w:rFonts w:ascii="宋体" w:hAnsi="宋体" w:cs="宋体"/>
      <w:kern w:val="0"/>
      <w:sz w:val="24"/>
      <w:szCs w:val="24"/>
    </w:rPr>
  </w:style>
  <w:style w:type="character" w:customStyle="1" w:styleId="dash6b636587char">
    <w:name w:val="dash6b63_6587__char"/>
    <w:basedOn w:val="a0"/>
    <w:qFormat/>
    <w:rsid w:val="0001723C"/>
  </w:style>
  <w:style w:type="character" w:customStyle="1" w:styleId="dash6b63005f6587005f005fcharchar">
    <w:name w:val="dash6b63_005f6587_005f_005fchar__char"/>
    <w:basedOn w:val="a0"/>
    <w:qFormat/>
    <w:rsid w:val="0001723C"/>
  </w:style>
  <w:style w:type="character" w:customStyle="1" w:styleId="Char2">
    <w:name w:val="纯文本 Char"/>
    <w:basedOn w:val="a0"/>
    <w:link w:val="a7"/>
    <w:qFormat/>
    <w:rsid w:val="0001723C"/>
    <w:rPr>
      <w:rFonts w:ascii="宋体" w:eastAsia="宋体" w:hAnsi="Courier New" w:cs="Courier New"/>
      <w:kern w:val="2"/>
      <w:sz w:val="21"/>
      <w:szCs w:val="21"/>
      <w:lang w:val="en-US" w:eastAsia="zh-CN" w:bidi="ar-SA"/>
    </w:rPr>
  </w:style>
  <w:style w:type="paragraph" w:customStyle="1" w:styleId="p0">
    <w:name w:val="p0"/>
    <w:basedOn w:val="a"/>
    <w:qFormat/>
    <w:rsid w:val="0001723C"/>
    <w:pPr>
      <w:widowControl/>
    </w:pPr>
    <w:rPr>
      <w:kern w:val="0"/>
      <w:szCs w:val="21"/>
    </w:rPr>
  </w:style>
  <w:style w:type="character" w:customStyle="1" w:styleId="2Char1">
    <w:name w:val="正文文本 2 Char"/>
    <w:link w:val="21"/>
    <w:qFormat/>
    <w:locked/>
    <w:rsid w:val="0001723C"/>
    <w:rPr>
      <w:rFonts w:ascii="宋体" w:eastAsia="宋体" w:hAnsi="Courier New"/>
      <w:sz w:val="21"/>
      <w:szCs w:val="21"/>
      <w:lang w:bidi="ar-SA"/>
    </w:rPr>
  </w:style>
  <w:style w:type="paragraph" w:styleId="af9">
    <w:name w:val="List Paragraph"/>
    <w:basedOn w:val="a"/>
    <w:link w:val="Charc"/>
    <w:uiPriority w:val="34"/>
    <w:qFormat/>
    <w:rsid w:val="0001723C"/>
    <w:pPr>
      <w:ind w:firstLineChars="200" w:firstLine="420"/>
    </w:pPr>
    <w:rPr>
      <w:szCs w:val="24"/>
    </w:rPr>
  </w:style>
  <w:style w:type="character" w:customStyle="1" w:styleId="Charc">
    <w:name w:val="列出段落 Char"/>
    <w:link w:val="af9"/>
    <w:uiPriority w:val="34"/>
    <w:qFormat/>
    <w:rsid w:val="0001723C"/>
    <w:rPr>
      <w:kern w:val="2"/>
      <w:sz w:val="21"/>
      <w:szCs w:val="24"/>
    </w:rPr>
  </w:style>
  <w:style w:type="paragraph" w:customStyle="1" w:styleId="11">
    <w:name w:val="列出段落1"/>
    <w:basedOn w:val="a"/>
    <w:rsid w:val="0001723C"/>
    <w:pPr>
      <w:ind w:firstLineChars="200" w:firstLine="420"/>
    </w:pPr>
    <w:rPr>
      <w:rFonts w:ascii="Calibri" w:hAnsi="Calibri"/>
      <w:szCs w:val="22"/>
    </w:rPr>
  </w:style>
  <w:style w:type="character" w:customStyle="1" w:styleId="Char4">
    <w:name w:val="尾注文本 Char"/>
    <w:link w:val="a9"/>
    <w:qFormat/>
    <w:locked/>
    <w:rsid w:val="0001723C"/>
    <w:rPr>
      <w:rFonts w:eastAsia="宋体"/>
      <w:sz w:val="24"/>
      <w:szCs w:val="24"/>
      <w:lang w:bidi="ar-SA"/>
    </w:rPr>
  </w:style>
  <w:style w:type="character" w:customStyle="1" w:styleId="Char">
    <w:name w:val="批注文字 Char"/>
    <w:link w:val="a3"/>
    <w:qFormat/>
    <w:locked/>
    <w:rsid w:val="0001723C"/>
    <w:rPr>
      <w:rFonts w:eastAsia="宋体"/>
      <w:sz w:val="24"/>
      <w:szCs w:val="24"/>
      <w:lang w:bidi="ar-SA"/>
    </w:rPr>
  </w:style>
  <w:style w:type="paragraph" w:customStyle="1" w:styleId="00">
    <w:name w:val="00正文"/>
    <w:basedOn w:val="a"/>
    <w:rsid w:val="0001723C"/>
    <w:pPr>
      <w:snapToGrid w:val="0"/>
      <w:spacing w:beforeLines="50" w:afterLines="50" w:line="360" w:lineRule="auto"/>
      <w:ind w:firstLineChars="200" w:firstLine="200"/>
    </w:pPr>
    <w:rPr>
      <w:rFonts w:ascii="宋体" w:hAnsi="宋体"/>
      <w:sz w:val="24"/>
      <w:szCs w:val="24"/>
    </w:rPr>
  </w:style>
  <w:style w:type="paragraph" w:customStyle="1" w:styleId="ListParagraph11">
    <w:name w:val="List Paragraph11"/>
    <w:basedOn w:val="a"/>
    <w:rsid w:val="0001723C"/>
    <w:pPr>
      <w:ind w:firstLineChars="200" w:firstLine="420"/>
    </w:pPr>
    <w:rPr>
      <w:rFonts w:ascii="Calibri" w:hAnsi="Calibri"/>
      <w:szCs w:val="22"/>
    </w:rPr>
  </w:style>
  <w:style w:type="paragraph" w:customStyle="1" w:styleId="afa">
    <w:name w:val="内页正文"/>
    <w:link w:val="Chard"/>
    <w:qFormat/>
    <w:locked/>
    <w:rsid w:val="0001723C"/>
    <w:pPr>
      <w:suppressAutoHyphens/>
      <w:spacing w:after="120"/>
      <w:jc w:val="both"/>
    </w:pPr>
    <w:rPr>
      <w:rFonts w:ascii="Arial" w:eastAsia="汉仪中等线简" w:hAnsi="Arial"/>
      <w:color w:val="000000"/>
      <w:sz w:val="18"/>
      <w:szCs w:val="18"/>
    </w:rPr>
  </w:style>
  <w:style w:type="character" w:customStyle="1" w:styleId="Chard">
    <w:name w:val="内页正文 Char"/>
    <w:link w:val="afa"/>
    <w:qFormat/>
    <w:rsid w:val="0001723C"/>
    <w:rPr>
      <w:rFonts w:ascii="Arial" w:eastAsia="汉仪中等线简" w:hAnsi="Arial"/>
      <w:color w:val="000000"/>
      <w:sz w:val="18"/>
      <w:szCs w:val="18"/>
      <w:lang w:bidi="ar-SA"/>
    </w:rPr>
  </w:style>
  <w:style w:type="paragraph" w:customStyle="1" w:styleId="Default">
    <w:name w:val="Default"/>
    <w:qFormat/>
    <w:rsid w:val="0001723C"/>
    <w:pPr>
      <w:widowControl w:val="0"/>
      <w:autoSpaceDE w:val="0"/>
      <w:autoSpaceDN w:val="0"/>
      <w:adjustRightInd w:val="0"/>
    </w:pPr>
    <w:rPr>
      <w:rFonts w:ascii="仿宋_GB2312" w:eastAsia="仿宋_GB2312" w:hAnsi="Calibri" w:cs="仿宋_GB2312"/>
      <w:color w:val="000000"/>
      <w:sz w:val="24"/>
      <w:szCs w:val="24"/>
    </w:rPr>
  </w:style>
  <w:style w:type="paragraph" w:customStyle="1" w:styleId="12">
    <w:name w:val="无间隔1"/>
    <w:rsid w:val="0001723C"/>
    <w:pPr>
      <w:widowControl w:val="0"/>
      <w:jc w:val="both"/>
    </w:pPr>
    <w:rPr>
      <w:rFonts w:ascii="Calibri" w:hAnsi="Calibri"/>
      <w:kern w:val="2"/>
      <w:sz w:val="21"/>
      <w:szCs w:val="22"/>
    </w:rPr>
  </w:style>
  <w:style w:type="character" w:customStyle="1" w:styleId="CharChar15">
    <w:name w:val="Char Char15"/>
    <w:basedOn w:val="a0"/>
    <w:rsid w:val="0001723C"/>
    <w:rPr>
      <w:rFonts w:eastAsia="宋体"/>
      <w:b/>
      <w:bCs/>
      <w:kern w:val="44"/>
      <w:sz w:val="44"/>
      <w:szCs w:val="44"/>
      <w:lang w:val="en-US" w:eastAsia="zh-CN" w:bidi="ar-SA"/>
    </w:rPr>
  </w:style>
  <w:style w:type="character" w:customStyle="1" w:styleId="CharChar14">
    <w:name w:val="Char Char14"/>
    <w:basedOn w:val="a0"/>
    <w:rsid w:val="0001723C"/>
    <w:rPr>
      <w:rFonts w:eastAsia="宋体"/>
      <w:b/>
      <w:bCs/>
      <w:kern w:val="2"/>
      <w:sz w:val="32"/>
      <w:szCs w:val="32"/>
      <w:lang w:val="en-US" w:eastAsia="zh-CN" w:bidi="ar-SA"/>
    </w:rPr>
  </w:style>
  <w:style w:type="character" w:customStyle="1" w:styleId="CharChar13">
    <w:name w:val="Char Char13"/>
    <w:basedOn w:val="a0"/>
    <w:qFormat/>
    <w:rsid w:val="0001723C"/>
    <w:rPr>
      <w:rFonts w:eastAsia="宋体"/>
      <w:kern w:val="2"/>
      <w:sz w:val="18"/>
      <w:szCs w:val="18"/>
      <w:lang w:val="en-US" w:eastAsia="zh-CN" w:bidi="ar-SA"/>
    </w:rPr>
  </w:style>
  <w:style w:type="character" w:customStyle="1" w:styleId="CharChar12">
    <w:name w:val="Char Char12"/>
    <w:basedOn w:val="a0"/>
    <w:qFormat/>
    <w:rsid w:val="0001723C"/>
    <w:rPr>
      <w:rFonts w:eastAsia="宋体"/>
      <w:kern w:val="2"/>
      <w:sz w:val="18"/>
      <w:szCs w:val="18"/>
      <w:lang w:val="en-US" w:eastAsia="zh-CN" w:bidi="ar-SA"/>
    </w:rPr>
  </w:style>
  <w:style w:type="character" w:customStyle="1" w:styleId="Char10">
    <w:name w:val="正文文本缩进 Char1"/>
    <w:basedOn w:val="a0"/>
    <w:qFormat/>
    <w:rsid w:val="0001723C"/>
    <w:rPr>
      <w:kern w:val="2"/>
      <w:sz w:val="21"/>
      <w:szCs w:val="24"/>
    </w:rPr>
  </w:style>
  <w:style w:type="character" w:customStyle="1" w:styleId="Char11">
    <w:name w:val="日期 Char1"/>
    <w:basedOn w:val="a0"/>
    <w:qFormat/>
    <w:rsid w:val="0001723C"/>
    <w:rPr>
      <w:kern w:val="2"/>
      <w:sz w:val="21"/>
      <w:szCs w:val="24"/>
    </w:rPr>
  </w:style>
  <w:style w:type="character" w:customStyle="1" w:styleId="Char0">
    <w:name w:val="正文文本 Char"/>
    <w:basedOn w:val="a0"/>
    <w:link w:val="a4"/>
    <w:qFormat/>
    <w:rsid w:val="0001723C"/>
    <w:rPr>
      <w:rFonts w:eastAsia="Times New Roman"/>
      <w:kern w:val="2"/>
      <w:sz w:val="21"/>
      <w:szCs w:val="24"/>
      <w:lang w:val="en-US" w:eastAsia="zh-CN"/>
    </w:rPr>
  </w:style>
  <w:style w:type="character" w:customStyle="1" w:styleId="Char12">
    <w:name w:val="正文文本 Char1"/>
    <w:basedOn w:val="a0"/>
    <w:rsid w:val="0001723C"/>
    <w:rPr>
      <w:kern w:val="2"/>
      <w:sz w:val="21"/>
      <w:szCs w:val="24"/>
    </w:rPr>
  </w:style>
  <w:style w:type="character" w:customStyle="1" w:styleId="Char13">
    <w:name w:val="批注框文本 Char1"/>
    <w:basedOn w:val="a0"/>
    <w:rsid w:val="0001723C"/>
    <w:rPr>
      <w:kern w:val="2"/>
      <w:sz w:val="18"/>
      <w:szCs w:val="18"/>
    </w:rPr>
  </w:style>
  <w:style w:type="character" w:customStyle="1" w:styleId="2Char0">
    <w:name w:val="正文文本缩进 2 Char"/>
    <w:basedOn w:val="a0"/>
    <w:link w:val="20"/>
    <w:qFormat/>
    <w:rsid w:val="0001723C"/>
    <w:rPr>
      <w:rFonts w:ascii="仿宋_GB2312" w:eastAsia="仿宋_GB2312" w:hAnsi="宋体"/>
      <w:kern w:val="2"/>
      <w:sz w:val="30"/>
      <w:szCs w:val="30"/>
      <w:lang w:val="en-US" w:eastAsia="zh-CN"/>
    </w:rPr>
  </w:style>
  <w:style w:type="character" w:customStyle="1" w:styleId="2Char10">
    <w:name w:val="正文文本缩进 2 Char1"/>
    <w:basedOn w:val="a0"/>
    <w:qFormat/>
    <w:rsid w:val="0001723C"/>
    <w:rPr>
      <w:kern w:val="2"/>
      <w:sz w:val="21"/>
      <w:szCs w:val="24"/>
    </w:rPr>
  </w:style>
  <w:style w:type="character" w:customStyle="1" w:styleId="2Char11">
    <w:name w:val="正文文本 2 Char1"/>
    <w:basedOn w:val="a0"/>
    <w:qFormat/>
    <w:rsid w:val="0001723C"/>
    <w:rPr>
      <w:kern w:val="2"/>
      <w:sz w:val="21"/>
      <w:szCs w:val="24"/>
    </w:rPr>
  </w:style>
  <w:style w:type="character" w:customStyle="1" w:styleId="3Char1">
    <w:name w:val="正文文本缩进 3 Char"/>
    <w:basedOn w:val="a0"/>
    <w:link w:val="32"/>
    <w:qFormat/>
    <w:rsid w:val="0001723C"/>
    <w:rPr>
      <w:rFonts w:ascii="仿宋_GB2312" w:eastAsia="仿宋_GB2312"/>
      <w:sz w:val="30"/>
      <w:szCs w:val="28"/>
      <w:lang w:val="zh-CN" w:eastAsia="zh-CN"/>
    </w:rPr>
  </w:style>
  <w:style w:type="character" w:customStyle="1" w:styleId="3Char10">
    <w:name w:val="正文文本缩进 3 Char1"/>
    <w:basedOn w:val="a0"/>
    <w:qFormat/>
    <w:rsid w:val="0001723C"/>
    <w:rPr>
      <w:kern w:val="2"/>
      <w:sz w:val="16"/>
      <w:szCs w:val="16"/>
    </w:rPr>
  </w:style>
  <w:style w:type="character" w:customStyle="1" w:styleId="3Char0">
    <w:name w:val="正文文本 3 Char"/>
    <w:basedOn w:val="a0"/>
    <w:link w:val="31"/>
    <w:rsid w:val="0001723C"/>
    <w:rPr>
      <w:rFonts w:ascii="方正大标宋简体" w:eastAsia="方正大标宋简体" w:hAnsi="宋体"/>
      <w:bCs/>
      <w:kern w:val="2"/>
      <w:sz w:val="42"/>
      <w:szCs w:val="42"/>
      <w:lang w:val="en-US" w:eastAsia="zh-CN"/>
    </w:rPr>
  </w:style>
  <w:style w:type="character" w:customStyle="1" w:styleId="3Char11">
    <w:name w:val="正文文本 3 Char1"/>
    <w:basedOn w:val="a0"/>
    <w:rsid w:val="0001723C"/>
    <w:rPr>
      <w:kern w:val="2"/>
      <w:sz w:val="16"/>
      <w:szCs w:val="16"/>
    </w:rPr>
  </w:style>
  <w:style w:type="character" w:customStyle="1" w:styleId="Char14">
    <w:name w:val="纯文本 Char1"/>
    <w:basedOn w:val="a0"/>
    <w:qFormat/>
    <w:rsid w:val="0001723C"/>
    <w:rPr>
      <w:rFonts w:ascii="宋体" w:hAnsi="Courier New" w:cs="Courier New"/>
      <w:kern w:val="2"/>
      <w:sz w:val="21"/>
      <w:szCs w:val="21"/>
    </w:rPr>
  </w:style>
  <w:style w:type="character" w:customStyle="1" w:styleId="Chare">
    <w:name w:val="条款 Char"/>
    <w:link w:val="afb"/>
    <w:qFormat/>
    <w:rsid w:val="0001723C"/>
    <w:rPr>
      <w:rFonts w:ascii="仿宋_GB2312" w:eastAsia="仿宋_GB2312" w:hAnsi="Calibri"/>
      <w:color w:val="000000"/>
      <w:sz w:val="28"/>
      <w:lang w:bidi="ar-SA"/>
    </w:rPr>
  </w:style>
  <w:style w:type="paragraph" w:customStyle="1" w:styleId="afb">
    <w:name w:val="条款"/>
    <w:basedOn w:val="a"/>
    <w:link w:val="Chare"/>
    <w:qFormat/>
    <w:rsid w:val="0001723C"/>
    <w:pPr>
      <w:widowControl/>
      <w:wordWrap w:val="0"/>
      <w:adjustRightInd w:val="0"/>
      <w:spacing w:line="360" w:lineRule="auto"/>
      <w:ind w:right="272" w:firstLineChars="200" w:firstLine="560"/>
    </w:pPr>
    <w:rPr>
      <w:rFonts w:ascii="仿宋_GB2312" w:eastAsia="仿宋_GB2312" w:hAnsi="Calibri"/>
      <w:color w:val="000000"/>
      <w:kern w:val="0"/>
      <w:sz w:val="28"/>
    </w:rPr>
  </w:style>
  <w:style w:type="character" w:customStyle="1" w:styleId="Char9">
    <w:name w:val="脚注文本 Char"/>
    <w:basedOn w:val="a0"/>
    <w:link w:val="ae"/>
    <w:qFormat/>
    <w:rsid w:val="0001723C"/>
    <w:rPr>
      <w:rFonts w:eastAsia="Times New Roman"/>
      <w:kern w:val="2"/>
      <w:sz w:val="18"/>
      <w:szCs w:val="18"/>
      <w:lang w:val="en-US" w:eastAsia="zh-CN"/>
    </w:rPr>
  </w:style>
  <w:style w:type="character" w:customStyle="1" w:styleId="Char15">
    <w:name w:val="脚注文本 Char1"/>
    <w:basedOn w:val="a0"/>
    <w:rsid w:val="0001723C"/>
    <w:rPr>
      <w:kern w:val="2"/>
      <w:sz w:val="18"/>
      <w:szCs w:val="18"/>
    </w:rPr>
  </w:style>
  <w:style w:type="character" w:customStyle="1" w:styleId="Charb">
    <w:name w:val="批注主题 Char"/>
    <w:basedOn w:val="Char"/>
    <w:link w:val="af1"/>
    <w:rsid w:val="0001723C"/>
    <w:rPr>
      <w:b/>
      <w:bCs/>
      <w:kern w:val="2"/>
      <w:sz w:val="21"/>
    </w:rPr>
  </w:style>
  <w:style w:type="paragraph" w:customStyle="1" w:styleId="Char30">
    <w:name w:val="Char3"/>
    <w:basedOn w:val="a"/>
    <w:qFormat/>
    <w:rsid w:val="0001723C"/>
    <w:rPr>
      <w:szCs w:val="21"/>
    </w:rPr>
  </w:style>
  <w:style w:type="paragraph" w:customStyle="1" w:styleId="doc-a2">
    <w:name w:val="doc-a2"/>
    <w:basedOn w:val="a"/>
    <w:qFormat/>
    <w:rsid w:val="0001723C"/>
    <w:pPr>
      <w:widowControl/>
      <w:spacing w:before="225" w:after="100" w:afterAutospacing="1" w:line="450" w:lineRule="atLeast"/>
      <w:ind w:firstLine="480"/>
      <w:jc w:val="left"/>
    </w:pPr>
    <w:rPr>
      <w:rFonts w:ascii="微软雅黑" w:eastAsia="微软雅黑" w:hAnsi="微软雅黑" w:cs="宋体"/>
      <w:kern w:val="0"/>
      <w:szCs w:val="21"/>
    </w:rPr>
  </w:style>
  <w:style w:type="paragraph" w:customStyle="1" w:styleId="1">
    <w:name w:val="样式1"/>
    <w:basedOn w:val="a"/>
    <w:link w:val="1Char0"/>
    <w:qFormat/>
    <w:rsid w:val="0001723C"/>
    <w:pPr>
      <w:numPr>
        <w:numId w:val="1"/>
      </w:numPr>
      <w:tabs>
        <w:tab w:val="left" w:pos="2127"/>
      </w:tabs>
      <w:adjustRightInd w:val="0"/>
      <w:snapToGrid w:val="0"/>
      <w:spacing w:line="540" w:lineRule="exact"/>
      <w:ind w:left="988"/>
    </w:pPr>
    <w:rPr>
      <w:rFonts w:ascii="仿宋_GB2312" w:eastAsia="仿宋_GB2312" w:hAnsi="宋体"/>
      <w:kern w:val="0"/>
      <w:sz w:val="30"/>
      <w:szCs w:val="30"/>
    </w:rPr>
  </w:style>
  <w:style w:type="character" w:customStyle="1" w:styleId="1Char0">
    <w:name w:val="样式1 Char"/>
    <w:link w:val="1"/>
    <w:qFormat/>
    <w:locked/>
    <w:rsid w:val="0001723C"/>
    <w:rPr>
      <w:rFonts w:ascii="仿宋_GB2312" w:eastAsia="仿宋_GB2312" w:hAnsi="宋体"/>
      <w:sz w:val="30"/>
      <w:szCs w:val="30"/>
    </w:rPr>
  </w:style>
  <w:style w:type="paragraph" w:customStyle="1" w:styleId="SSE">
    <w:name w:val="SSE正文"/>
    <w:basedOn w:val="a"/>
    <w:link w:val="SSEChar"/>
    <w:qFormat/>
    <w:rsid w:val="0001723C"/>
    <w:pPr>
      <w:ind w:firstLineChars="200" w:firstLine="200"/>
    </w:pPr>
    <w:rPr>
      <w:rFonts w:eastAsia="仿宋_GB2312"/>
      <w:sz w:val="28"/>
      <w:szCs w:val="28"/>
    </w:rPr>
  </w:style>
  <w:style w:type="character" w:customStyle="1" w:styleId="SSEChar">
    <w:name w:val="SSE正文 Char"/>
    <w:basedOn w:val="a0"/>
    <w:link w:val="SSE"/>
    <w:rsid w:val="0001723C"/>
    <w:rPr>
      <w:rFonts w:eastAsia="仿宋_GB2312"/>
      <w:kern w:val="2"/>
      <w:sz w:val="28"/>
      <w:szCs w:val="28"/>
    </w:rPr>
  </w:style>
  <w:style w:type="paragraph" w:customStyle="1" w:styleId="afc">
    <w:name w:val="默认"/>
    <w:qFormat/>
    <w:rsid w:val="0001723C"/>
    <w:rPr>
      <w:rFonts w:ascii="Arial Unicode MS" w:eastAsia="Helvetica" w:hAnsi="Arial Unicode MS" w:cs="Arial Unicode MS" w:hint="eastAsia"/>
      <w:color w:val="000000"/>
      <w:sz w:val="22"/>
      <w:szCs w:val="22"/>
      <w:lang w:val="zh-CN"/>
    </w:rPr>
  </w:style>
  <w:style w:type="paragraph" w:customStyle="1" w:styleId="MessageHeading">
    <w:name w:val="Message Heading"/>
    <w:basedOn w:val="a"/>
    <w:next w:val="a"/>
    <w:qFormat/>
    <w:rsid w:val="0001723C"/>
    <w:pPr>
      <w:widowControl/>
      <w:spacing w:after="120" w:line="320" w:lineRule="atLeast"/>
      <w:jc w:val="left"/>
    </w:pPr>
    <w:rPr>
      <w:rFonts w:ascii="Frutiger 45 Light" w:eastAsia="华文楷体" w:hAnsi="Frutiger 45 Light"/>
      <w:b/>
      <w:color w:val="3783FF"/>
      <w:kern w:val="0"/>
      <w:sz w:val="28"/>
    </w:rPr>
  </w:style>
  <w:style w:type="paragraph" w:customStyle="1" w:styleId="SSE1">
    <w:name w:val="SSE标题1"/>
    <w:basedOn w:val="10"/>
    <w:link w:val="SSE1Char"/>
    <w:qFormat/>
    <w:rsid w:val="0001723C"/>
    <w:pPr>
      <w:spacing w:before="0" w:after="120" w:line="240" w:lineRule="auto"/>
      <w:ind w:left="1232" w:hanging="630"/>
    </w:pPr>
    <w:rPr>
      <w:rFonts w:eastAsia="黑体"/>
      <w:sz w:val="30"/>
      <w:szCs w:val="30"/>
    </w:rPr>
  </w:style>
  <w:style w:type="character" w:customStyle="1" w:styleId="SSE1Char">
    <w:name w:val="SSE标题1 Char"/>
    <w:basedOn w:val="a0"/>
    <w:link w:val="SSE1"/>
    <w:rsid w:val="0001723C"/>
    <w:rPr>
      <w:rFonts w:eastAsia="黑体"/>
      <w:b/>
      <w:bCs/>
      <w:kern w:val="44"/>
      <w:sz w:val="30"/>
      <w:szCs w:val="30"/>
    </w:rPr>
  </w:style>
  <w:style w:type="paragraph" w:customStyle="1" w:styleId="SSE0">
    <w:name w:val="SSE标题0"/>
    <w:basedOn w:val="a"/>
    <w:link w:val="SSE0Char"/>
    <w:qFormat/>
    <w:rsid w:val="0001723C"/>
    <w:pPr>
      <w:spacing w:before="100" w:beforeAutospacing="1" w:after="100" w:afterAutospacing="1"/>
      <w:jc w:val="center"/>
    </w:pPr>
    <w:rPr>
      <w:rFonts w:eastAsia="华文中宋"/>
      <w:b/>
      <w:sz w:val="44"/>
      <w:szCs w:val="44"/>
    </w:rPr>
  </w:style>
  <w:style w:type="character" w:customStyle="1" w:styleId="SSE0Char">
    <w:name w:val="SSE标题0 Char"/>
    <w:basedOn w:val="a0"/>
    <w:link w:val="SSE0"/>
    <w:qFormat/>
    <w:rsid w:val="0001723C"/>
    <w:rPr>
      <w:rFonts w:eastAsia="华文中宋"/>
      <w:b/>
      <w:kern w:val="2"/>
      <w:sz w:val="44"/>
      <w:szCs w:val="44"/>
    </w:rPr>
  </w:style>
  <w:style w:type="paragraph" w:customStyle="1" w:styleId="HTML">
    <w:name w:val="Стандартный HTML"/>
    <w:basedOn w:val="a"/>
    <w:qFormat/>
    <w:rsid w:val="0001723C"/>
    <w:pPr>
      <w:widowControl/>
      <w:suppressAutoHyphens/>
      <w:jc w:val="left"/>
    </w:pPr>
    <w:rPr>
      <w:rFonts w:ascii="Courier New" w:hAnsi="Courier New" w:cs="Courier New"/>
      <w:kern w:val="1"/>
      <w:sz w:val="20"/>
      <w:lang w:eastAsia="ar-SA"/>
    </w:rPr>
  </w:style>
  <w:style w:type="character" w:customStyle="1" w:styleId="Char8">
    <w:name w:val="副标题 Char"/>
    <w:basedOn w:val="a0"/>
    <w:link w:val="ad"/>
    <w:qFormat/>
    <w:rsid w:val="0001723C"/>
    <w:rPr>
      <w:rFonts w:ascii="Cambria" w:hAnsi="Cambria" w:cs="Times New Roman"/>
      <w:b/>
      <w:bCs/>
      <w:kern w:val="28"/>
      <w:sz w:val="32"/>
      <w:szCs w:val="32"/>
    </w:rPr>
  </w:style>
  <w:style w:type="character" w:customStyle="1" w:styleId="Chara">
    <w:name w:val="标题 Char"/>
    <w:basedOn w:val="a0"/>
    <w:link w:val="af0"/>
    <w:rsid w:val="0001723C"/>
    <w:rPr>
      <w:rFonts w:ascii="ClassGarmnd BT" w:eastAsia="宋体" w:hAnsi="ClassGarmnd BT" w:cs="ClassGarmnd BT"/>
      <w:b/>
      <w:kern w:val="1"/>
      <w:sz w:val="32"/>
      <w:lang w:val="en-AU" w:eastAsia="ar-SA"/>
    </w:rPr>
  </w:style>
  <w:style w:type="paragraph" w:customStyle="1" w:styleId="22">
    <w:name w:val="Основной текст 2"/>
    <w:basedOn w:val="a"/>
    <w:rsid w:val="0001723C"/>
    <w:pPr>
      <w:widowControl/>
      <w:suppressAutoHyphens/>
      <w:overflowPunct w:val="0"/>
      <w:autoSpaceDE w:val="0"/>
    </w:pPr>
    <w:rPr>
      <w:rFonts w:ascii="ClassGarmnd BT" w:hAnsi="ClassGarmnd BT" w:cs="ClassGarmnd BT"/>
      <w:color w:val="000000"/>
      <w:kern w:val="1"/>
      <w:sz w:val="20"/>
      <w:lang w:val="en-AU" w:eastAsia="ar-SA"/>
    </w:rPr>
  </w:style>
  <w:style w:type="paragraph" w:customStyle="1" w:styleId="ListParagraph1">
    <w:name w:val="List Paragraph1"/>
    <w:basedOn w:val="a"/>
    <w:rsid w:val="0001723C"/>
    <w:pPr>
      <w:suppressAutoHyphens/>
      <w:ind w:left="720"/>
    </w:pPr>
    <w:rPr>
      <w:kern w:val="1"/>
      <w:sz w:val="32"/>
      <w:szCs w:val="24"/>
      <w:lang w:eastAsia="ar-SA"/>
    </w:rPr>
  </w:style>
  <w:style w:type="paragraph" w:customStyle="1" w:styleId="Style1">
    <w:name w:val="Style1"/>
    <w:basedOn w:val="a"/>
    <w:qFormat/>
    <w:rsid w:val="0001723C"/>
    <w:pPr>
      <w:numPr>
        <w:numId w:val="2"/>
      </w:numPr>
      <w:suppressAutoHyphens/>
    </w:pPr>
    <w:rPr>
      <w:kern w:val="1"/>
      <w:szCs w:val="24"/>
      <w:lang w:eastAsia="ar-SA"/>
    </w:rPr>
  </w:style>
  <w:style w:type="character" w:customStyle="1" w:styleId="Charf">
    <w:name w:val="语句 Char"/>
    <w:link w:val="afd"/>
    <w:qFormat/>
    <w:locked/>
    <w:rsid w:val="0001723C"/>
    <w:rPr>
      <w:rFonts w:ascii="仿宋_GB2312" w:eastAsia="仿宋_GB2312"/>
      <w:b/>
      <w:i/>
      <w:sz w:val="30"/>
      <w:szCs w:val="30"/>
    </w:rPr>
  </w:style>
  <w:style w:type="paragraph" w:customStyle="1" w:styleId="afd">
    <w:name w:val="语句"/>
    <w:basedOn w:val="a"/>
    <w:link w:val="Charf"/>
    <w:qFormat/>
    <w:rsid w:val="0001723C"/>
    <w:pPr>
      <w:widowControl/>
      <w:snapToGrid w:val="0"/>
      <w:spacing w:line="540" w:lineRule="exact"/>
      <w:ind w:firstLineChars="189" w:firstLine="567"/>
    </w:pPr>
    <w:rPr>
      <w:rFonts w:ascii="仿宋_GB2312" w:eastAsia="仿宋_GB2312"/>
      <w:b/>
      <w:i/>
      <w:kern w:val="0"/>
      <w:sz w:val="30"/>
      <w:szCs w:val="30"/>
    </w:rPr>
  </w:style>
  <w:style w:type="character" w:customStyle="1" w:styleId="KKChar">
    <w:name w:val="KK一级 Char"/>
    <w:link w:val="KK"/>
    <w:qFormat/>
    <w:locked/>
    <w:rsid w:val="0001723C"/>
    <w:rPr>
      <w:rFonts w:ascii="仿宋_GB2312" w:eastAsia="仿宋_GB2312" w:hAnsi="Calibri"/>
      <w:b/>
      <w:bCs/>
      <w:sz w:val="30"/>
      <w:szCs w:val="30"/>
    </w:rPr>
  </w:style>
  <w:style w:type="paragraph" w:customStyle="1" w:styleId="KK">
    <w:name w:val="KK一级"/>
    <w:basedOn w:val="a"/>
    <w:link w:val="KKChar"/>
    <w:qFormat/>
    <w:rsid w:val="0001723C"/>
    <w:pPr>
      <w:spacing w:line="600" w:lineRule="exact"/>
      <w:jc w:val="left"/>
    </w:pPr>
    <w:rPr>
      <w:rFonts w:ascii="仿宋_GB2312" w:eastAsia="仿宋_GB2312" w:hAnsi="Calibri"/>
      <w:b/>
      <w:bCs/>
      <w:kern w:val="0"/>
      <w:sz w:val="30"/>
      <w:szCs w:val="30"/>
    </w:rPr>
  </w:style>
  <w:style w:type="character" w:customStyle="1" w:styleId="KKChar0">
    <w:name w:val="KK二级 Char"/>
    <w:link w:val="KK0"/>
    <w:qFormat/>
    <w:locked/>
    <w:rsid w:val="0001723C"/>
    <w:rPr>
      <w:rFonts w:ascii="仿宋_GB2312" w:eastAsia="仿宋_GB2312" w:hAnsi="Calibri"/>
      <w:b/>
      <w:bCs/>
      <w:sz w:val="30"/>
      <w:szCs w:val="30"/>
    </w:rPr>
  </w:style>
  <w:style w:type="paragraph" w:customStyle="1" w:styleId="KK0">
    <w:name w:val="KK二级"/>
    <w:basedOn w:val="a"/>
    <w:link w:val="KKChar0"/>
    <w:qFormat/>
    <w:rsid w:val="0001723C"/>
    <w:pPr>
      <w:spacing w:line="600" w:lineRule="exact"/>
      <w:jc w:val="left"/>
    </w:pPr>
    <w:rPr>
      <w:rFonts w:ascii="仿宋_GB2312" w:eastAsia="仿宋_GB2312" w:hAnsi="Calibri"/>
      <w:b/>
      <w:bCs/>
      <w:kern w:val="0"/>
      <w:sz w:val="30"/>
      <w:szCs w:val="30"/>
    </w:rPr>
  </w:style>
  <w:style w:type="character" w:customStyle="1" w:styleId="eeeChar">
    <w:name w:val="eee Char"/>
    <w:link w:val="eee"/>
    <w:locked/>
    <w:rsid w:val="0001723C"/>
    <w:rPr>
      <w:rFonts w:ascii="宋体" w:hAnsi="宋体"/>
      <w:sz w:val="24"/>
      <w:szCs w:val="24"/>
    </w:rPr>
  </w:style>
  <w:style w:type="paragraph" w:customStyle="1" w:styleId="eee">
    <w:name w:val="eee"/>
    <w:basedOn w:val="a"/>
    <w:link w:val="eeeChar"/>
    <w:qFormat/>
    <w:rsid w:val="0001723C"/>
    <w:pPr>
      <w:autoSpaceDE w:val="0"/>
      <w:autoSpaceDN w:val="0"/>
      <w:adjustRightInd w:val="0"/>
      <w:spacing w:line="360" w:lineRule="auto"/>
      <w:ind w:firstLineChars="200" w:firstLine="480"/>
    </w:pPr>
    <w:rPr>
      <w:rFonts w:ascii="宋体" w:hAnsi="宋体"/>
      <w:kern w:val="0"/>
      <w:sz w:val="24"/>
      <w:szCs w:val="24"/>
    </w:rPr>
  </w:style>
  <w:style w:type="character" w:customStyle="1" w:styleId="SSEChar0">
    <w:name w:val="SSE内容提要正文 Char"/>
    <w:link w:val="SSE2"/>
    <w:qFormat/>
    <w:locked/>
    <w:rsid w:val="0001723C"/>
    <w:rPr>
      <w:rFonts w:ascii="仿宋_GB2312" w:eastAsia="仿宋_GB2312"/>
      <w:sz w:val="28"/>
    </w:rPr>
  </w:style>
  <w:style w:type="paragraph" w:customStyle="1" w:styleId="SSE2">
    <w:name w:val="SSE内容提要正文"/>
    <w:basedOn w:val="a"/>
    <w:link w:val="SSEChar0"/>
    <w:qFormat/>
    <w:rsid w:val="0001723C"/>
    <w:pPr>
      <w:ind w:firstLineChars="200" w:firstLine="560"/>
    </w:pPr>
    <w:rPr>
      <w:rFonts w:ascii="仿宋_GB2312" w:eastAsia="仿宋_GB2312"/>
      <w:kern w:val="0"/>
      <w:sz w:val="28"/>
    </w:rPr>
  </w:style>
  <w:style w:type="character" w:customStyle="1" w:styleId="SSEChar1">
    <w:name w:val="SSE资料来源 Char"/>
    <w:link w:val="SSE3"/>
    <w:qFormat/>
    <w:locked/>
    <w:rsid w:val="0001723C"/>
    <w:rPr>
      <w:rFonts w:ascii="仿宋_GB2312" w:eastAsia="仿宋_GB2312"/>
      <w:color w:val="000000"/>
    </w:rPr>
  </w:style>
  <w:style w:type="paragraph" w:customStyle="1" w:styleId="SSE3">
    <w:name w:val="SSE资料来源"/>
    <w:basedOn w:val="a"/>
    <w:link w:val="SSEChar1"/>
    <w:qFormat/>
    <w:rsid w:val="0001723C"/>
    <w:pPr>
      <w:spacing w:after="100" w:afterAutospacing="1"/>
      <w:ind w:firstLineChars="200" w:firstLine="200"/>
    </w:pPr>
    <w:rPr>
      <w:rFonts w:ascii="仿宋_GB2312" w:eastAsia="仿宋_GB2312"/>
      <w:color w:val="000000"/>
      <w:kern w:val="0"/>
      <w:sz w:val="20"/>
    </w:rPr>
  </w:style>
  <w:style w:type="character" w:customStyle="1" w:styleId="SSE2Char">
    <w:name w:val="SSE标题2 Char"/>
    <w:link w:val="SSE20"/>
    <w:qFormat/>
    <w:locked/>
    <w:rsid w:val="0001723C"/>
    <w:rPr>
      <w:rFonts w:ascii="仿宋_GB2312" w:eastAsia="仿宋_GB2312"/>
      <w:b/>
      <w:bCs/>
      <w:sz w:val="28"/>
      <w:szCs w:val="28"/>
    </w:rPr>
  </w:style>
  <w:style w:type="paragraph" w:customStyle="1" w:styleId="SSE20">
    <w:name w:val="SSE标题2"/>
    <w:basedOn w:val="2"/>
    <w:link w:val="SSE2Char"/>
    <w:qFormat/>
    <w:rsid w:val="0001723C"/>
    <w:pPr>
      <w:spacing w:beforeLines="50" w:after="0" w:line="240" w:lineRule="auto"/>
    </w:pPr>
    <w:rPr>
      <w:rFonts w:ascii="仿宋_GB2312" w:eastAsia="仿宋_GB2312" w:hAnsi="Times New Roman"/>
      <w:sz w:val="28"/>
      <w:szCs w:val="28"/>
    </w:rPr>
  </w:style>
  <w:style w:type="character" w:customStyle="1" w:styleId="SSEChar2">
    <w:name w:val="SSE表格文字 Char"/>
    <w:link w:val="SSE4"/>
    <w:locked/>
    <w:rsid w:val="0001723C"/>
    <w:rPr>
      <w:rFonts w:ascii="仿宋_GB2312" w:eastAsia="仿宋_GB2312"/>
      <w:color w:val="000000"/>
      <w:sz w:val="24"/>
      <w:szCs w:val="24"/>
    </w:rPr>
  </w:style>
  <w:style w:type="paragraph" w:customStyle="1" w:styleId="SSE4">
    <w:name w:val="SSE表格文字"/>
    <w:basedOn w:val="a"/>
    <w:link w:val="SSEChar2"/>
    <w:rsid w:val="0001723C"/>
    <w:pPr>
      <w:widowControl/>
      <w:jc w:val="center"/>
    </w:pPr>
    <w:rPr>
      <w:rFonts w:ascii="仿宋_GB2312" w:eastAsia="仿宋_GB2312"/>
      <w:color w:val="000000"/>
      <w:kern w:val="0"/>
      <w:sz w:val="24"/>
      <w:szCs w:val="24"/>
    </w:rPr>
  </w:style>
  <w:style w:type="character" w:customStyle="1" w:styleId="SSEChar3">
    <w:name w:val="SSE图表标题 Char"/>
    <w:link w:val="SSE5"/>
    <w:locked/>
    <w:rsid w:val="0001723C"/>
    <w:rPr>
      <w:rFonts w:ascii="仿宋_GB2312" w:eastAsia="仿宋_GB2312"/>
      <w:b/>
      <w:bCs/>
      <w:color w:val="000000"/>
      <w:sz w:val="24"/>
      <w:szCs w:val="24"/>
    </w:rPr>
  </w:style>
  <w:style w:type="paragraph" w:customStyle="1" w:styleId="SSE5">
    <w:name w:val="SSE图表标题"/>
    <w:basedOn w:val="6"/>
    <w:link w:val="SSEChar3"/>
    <w:qFormat/>
    <w:rsid w:val="0001723C"/>
    <w:pPr>
      <w:spacing w:beforeLines="50" w:after="0" w:line="240" w:lineRule="auto"/>
      <w:jc w:val="center"/>
    </w:pPr>
    <w:rPr>
      <w:rFonts w:ascii="仿宋_GB2312" w:eastAsia="仿宋_GB2312" w:hAnsi="Times New Roman"/>
      <w:color w:val="000000"/>
      <w:kern w:val="0"/>
    </w:rPr>
  </w:style>
  <w:style w:type="character" w:customStyle="1" w:styleId="13">
    <w:name w:val="标题 1 字符"/>
    <w:uiPriority w:val="9"/>
    <w:qFormat/>
    <w:rsid w:val="0001723C"/>
    <w:rPr>
      <w:rFonts w:ascii="Calibri" w:eastAsia="宋体" w:hAnsi="Calibri" w:cs="Times New Roman" w:hint="default"/>
      <w:b/>
      <w:bCs/>
      <w:kern w:val="44"/>
      <w:sz w:val="44"/>
      <w:szCs w:val="44"/>
    </w:rPr>
  </w:style>
  <w:style w:type="character" w:customStyle="1" w:styleId="23">
    <w:name w:val="标题 2 字符"/>
    <w:uiPriority w:val="9"/>
    <w:semiHidden/>
    <w:qFormat/>
    <w:rsid w:val="0001723C"/>
    <w:rPr>
      <w:rFonts w:ascii="Cambria" w:eastAsia="宋体" w:hAnsi="Cambria" w:cs="Times New Roman" w:hint="default"/>
      <w:b/>
      <w:bCs/>
      <w:sz w:val="32"/>
      <w:szCs w:val="32"/>
    </w:rPr>
  </w:style>
  <w:style w:type="character" w:customStyle="1" w:styleId="33">
    <w:name w:val="标题 3 字符"/>
    <w:uiPriority w:val="9"/>
    <w:semiHidden/>
    <w:qFormat/>
    <w:rsid w:val="0001723C"/>
    <w:rPr>
      <w:rFonts w:ascii="Calibri" w:eastAsia="宋体" w:hAnsi="Calibri" w:cs="Times New Roman" w:hint="default"/>
      <w:b/>
      <w:bCs/>
      <w:sz w:val="32"/>
      <w:szCs w:val="32"/>
    </w:rPr>
  </w:style>
  <w:style w:type="character" w:customStyle="1" w:styleId="40">
    <w:name w:val="标题 4 字符"/>
    <w:uiPriority w:val="9"/>
    <w:semiHidden/>
    <w:qFormat/>
    <w:rsid w:val="0001723C"/>
    <w:rPr>
      <w:rFonts w:ascii="Cambria" w:eastAsia="宋体" w:hAnsi="Cambria" w:cs="Times New Roman" w:hint="default"/>
      <w:b/>
      <w:bCs/>
      <w:sz w:val="28"/>
      <w:szCs w:val="28"/>
    </w:rPr>
  </w:style>
  <w:style w:type="character" w:customStyle="1" w:styleId="60">
    <w:name w:val="标题 6 字符"/>
    <w:uiPriority w:val="9"/>
    <w:semiHidden/>
    <w:qFormat/>
    <w:rsid w:val="0001723C"/>
    <w:rPr>
      <w:rFonts w:ascii="Cambria" w:eastAsia="宋体" w:hAnsi="Cambria" w:cs="Times New Roman" w:hint="default"/>
      <w:b/>
      <w:bCs/>
      <w:sz w:val="24"/>
      <w:szCs w:val="24"/>
    </w:rPr>
  </w:style>
  <w:style w:type="character" w:customStyle="1" w:styleId="afe">
    <w:name w:val="页眉 字符"/>
    <w:uiPriority w:val="99"/>
    <w:semiHidden/>
    <w:rsid w:val="0001723C"/>
    <w:rPr>
      <w:rFonts w:ascii="Calibri" w:eastAsia="宋体" w:hAnsi="Calibri" w:cs="Times New Roman" w:hint="default"/>
      <w:sz w:val="18"/>
      <w:szCs w:val="18"/>
    </w:rPr>
  </w:style>
  <w:style w:type="character" w:customStyle="1" w:styleId="aff">
    <w:name w:val="页脚 字符"/>
    <w:uiPriority w:val="99"/>
    <w:semiHidden/>
    <w:rsid w:val="0001723C"/>
    <w:rPr>
      <w:rFonts w:ascii="Calibri" w:eastAsia="宋体" w:hAnsi="Calibri" w:cs="Times New Roman" w:hint="default"/>
      <w:sz w:val="18"/>
      <w:szCs w:val="18"/>
    </w:rPr>
  </w:style>
  <w:style w:type="character" w:customStyle="1" w:styleId="aff0">
    <w:name w:val="正文文本缩进 字符"/>
    <w:uiPriority w:val="99"/>
    <w:semiHidden/>
    <w:rsid w:val="0001723C"/>
    <w:rPr>
      <w:rFonts w:ascii="Calibri" w:eastAsia="宋体" w:hAnsi="Calibri" w:cs="Times New Roman" w:hint="default"/>
    </w:rPr>
  </w:style>
  <w:style w:type="character" w:customStyle="1" w:styleId="aff1">
    <w:name w:val="批注框文本 字符"/>
    <w:uiPriority w:val="99"/>
    <w:semiHidden/>
    <w:qFormat/>
    <w:rsid w:val="0001723C"/>
    <w:rPr>
      <w:rFonts w:ascii="Calibri" w:eastAsia="宋体" w:hAnsi="Calibri" w:cs="Times New Roman" w:hint="default"/>
      <w:sz w:val="18"/>
      <w:szCs w:val="18"/>
    </w:rPr>
  </w:style>
  <w:style w:type="character" w:customStyle="1" w:styleId="aff2">
    <w:name w:val="日期 字符"/>
    <w:uiPriority w:val="99"/>
    <w:semiHidden/>
    <w:qFormat/>
    <w:rsid w:val="0001723C"/>
    <w:rPr>
      <w:rFonts w:ascii="Calibri" w:eastAsia="宋体" w:hAnsi="Calibri" w:cs="Times New Roman" w:hint="default"/>
    </w:rPr>
  </w:style>
  <w:style w:type="character" w:customStyle="1" w:styleId="aff3">
    <w:name w:val="纯文本 字符"/>
    <w:uiPriority w:val="99"/>
    <w:semiHidden/>
    <w:qFormat/>
    <w:rsid w:val="0001723C"/>
    <w:rPr>
      <w:rFonts w:ascii="宋体" w:eastAsia="宋体" w:hAnsi="Courier New" w:cs="Courier New" w:hint="eastAsia"/>
    </w:rPr>
  </w:style>
  <w:style w:type="character" w:customStyle="1" w:styleId="24">
    <w:name w:val="正文文本 2 字符"/>
    <w:uiPriority w:val="99"/>
    <w:semiHidden/>
    <w:qFormat/>
    <w:rsid w:val="0001723C"/>
    <w:rPr>
      <w:rFonts w:ascii="Calibri" w:eastAsia="宋体" w:hAnsi="Calibri" w:cs="Times New Roman" w:hint="default"/>
    </w:rPr>
  </w:style>
  <w:style w:type="character" w:customStyle="1" w:styleId="Char16">
    <w:name w:val="尾注文本 Char1"/>
    <w:basedOn w:val="a0"/>
    <w:locked/>
    <w:rsid w:val="0001723C"/>
    <w:rPr>
      <w:rFonts w:ascii="Times New Roman" w:eastAsia="宋体" w:hAnsi="Times New Roman" w:cs="Times New Roman"/>
      <w:kern w:val="0"/>
      <w:sz w:val="24"/>
      <w:szCs w:val="24"/>
    </w:rPr>
  </w:style>
  <w:style w:type="character" w:customStyle="1" w:styleId="aff4">
    <w:name w:val="尾注文本 字符"/>
    <w:uiPriority w:val="99"/>
    <w:semiHidden/>
    <w:rsid w:val="0001723C"/>
    <w:rPr>
      <w:rFonts w:ascii="Calibri" w:eastAsia="宋体" w:hAnsi="Calibri" w:cs="Times New Roman" w:hint="default"/>
    </w:rPr>
  </w:style>
  <w:style w:type="character" w:customStyle="1" w:styleId="Char17">
    <w:name w:val="批注文字 Char1"/>
    <w:basedOn w:val="a0"/>
    <w:locked/>
    <w:rsid w:val="0001723C"/>
    <w:rPr>
      <w:rFonts w:ascii="Times New Roman" w:eastAsia="宋体" w:hAnsi="Times New Roman" w:cs="Times New Roman"/>
      <w:kern w:val="0"/>
      <w:sz w:val="24"/>
      <w:szCs w:val="24"/>
    </w:rPr>
  </w:style>
  <w:style w:type="character" w:customStyle="1" w:styleId="aff5">
    <w:name w:val="批注文字 字符"/>
    <w:uiPriority w:val="99"/>
    <w:semiHidden/>
    <w:rsid w:val="0001723C"/>
    <w:rPr>
      <w:rFonts w:ascii="Calibri" w:eastAsia="宋体" w:hAnsi="Calibri" w:cs="Times New Roman" w:hint="default"/>
    </w:rPr>
  </w:style>
  <w:style w:type="character" w:customStyle="1" w:styleId="aff6">
    <w:name w:val="正文文本 字符"/>
    <w:uiPriority w:val="99"/>
    <w:semiHidden/>
    <w:rsid w:val="0001723C"/>
    <w:rPr>
      <w:rFonts w:ascii="Calibri" w:eastAsia="宋体" w:hAnsi="Calibri" w:cs="Times New Roman" w:hint="default"/>
    </w:rPr>
  </w:style>
  <w:style w:type="character" w:customStyle="1" w:styleId="25">
    <w:name w:val="正文文本缩进 2 字符"/>
    <w:uiPriority w:val="99"/>
    <w:semiHidden/>
    <w:rsid w:val="0001723C"/>
    <w:rPr>
      <w:rFonts w:ascii="Calibri" w:eastAsia="宋体" w:hAnsi="Calibri" w:cs="Times New Roman" w:hint="default"/>
    </w:rPr>
  </w:style>
  <w:style w:type="character" w:customStyle="1" w:styleId="34">
    <w:name w:val="正文文本缩进 3 字符"/>
    <w:uiPriority w:val="99"/>
    <w:semiHidden/>
    <w:rsid w:val="0001723C"/>
    <w:rPr>
      <w:rFonts w:ascii="Calibri" w:eastAsia="宋体" w:hAnsi="Calibri" w:cs="Times New Roman" w:hint="default"/>
      <w:sz w:val="16"/>
      <w:szCs w:val="16"/>
    </w:rPr>
  </w:style>
  <w:style w:type="character" w:customStyle="1" w:styleId="35">
    <w:name w:val="正文文本 3 字符"/>
    <w:uiPriority w:val="99"/>
    <w:semiHidden/>
    <w:rsid w:val="0001723C"/>
    <w:rPr>
      <w:rFonts w:ascii="Calibri" w:eastAsia="宋体" w:hAnsi="Calibri" w:cs="Times New Roman" w:hint="default"/>
      <w:sz w:val="16"/>
      <w:szCs w:val="16"/>
    </w:rPr>
  </w:style>
  <w:style w:type="character" w:customStyle="1" w:styleId="aff7">
    <w:name w:val="脚注文本 字符"/>
    <w:uiPriority w:val="99"/>
    <w:semiHidden/>
    <w:qFormat/>
    <w:rsid w:val="0001723C"/>
    <w:rPr>
      <w:rFonts w:ascii="Calibri" w:eastAsia="宋体" w:hAnsi="Calibri" w:cs="Times New Roman" w:hint="default"/>
      <w:sz w:val="18"/>
      <w:szCs w:val="18"/>
    </w:rPr>
  </w:style>
  <w:style w:type="character" w:customStyle="1" w:styleId="Char18">
    <w:name w:val="批注主题 Char1"/>
    <w:basedOn w:val="Char17"/>
    <w:locked/>
    <w:rsid w:val="0001723C"/>
    <w:rPr>
      <w:b/>
      <w:bCs/>
    </w:rPr>
  </w:style>
  <w:style w:type="character" w:customStyle="1" w:styleId="aff8">
    <w:name w:val="批注主题 字符"/>
    <w:uiPriority w:val="99"/>
    <w:semiHidden/>
    <w:rsid w:val="0001723C"/>
    <w:rPr>
      <w:rFonts w:ascii="Calibri" w:eastAsia="宋体" w:hAnsi="Calibri" w:cs="Times New Roman" w:hint="default"/>
      <w:b/>
      <w:bCs/>
    </w:rPr>
  </w:style>
  <w:style w:type="character" w:customStyle="1" w:styleId="Char19">
    <w:name w:val="标题 Char1"/>
    <w:basedOn w:val="a0"/>
    <w:locked/>
    <w:rsid w:val="0001723C"/>
    <w:rPr>
      <w:rFonts w:ascii="Arial" w:eastAsia="宋体" w:hAnsi="Arial" w:cs="Times New Roman"/>
      <w:b/>
      <w:bCs/>
      <w:kern w:val="0"/>
      <w:sz w:val="32"/>
      <w:szCs w:val="32"/>
    </w:rPr>
  </w:style>
  <w:style w:type="character" w:customStyle="1" w:styleId="aff9">
    <w:name w:val="标题 字符"/>
    <w:uiPriority w:val="10"/>
    <w:rsid w:val="0001723C"/>
    <w:rPr>
      <w:rFonts w:ascii="Cambria" w:eastAsia="宋体" w:hAnsi="Cambria" w:cs="Times New Roman" w:hint="default"/>
      <w:b/>
      <w:bCs/>
      <w:sz w:val="32"/>
      <w:szCs w:val="32"/>
    </w:rPr>
  </w:style>
  <w:style w:type="paragraph" w:customStyle="1" w:styleId="3">
    <w:name w:val="样式3"/>
    <w:basedOn w:val="a"/>
    <w:link w:val="3Char2"/>
    <w:qFormat/>
    <w:rsid w:val="0001723C"/>
    <w:pPr>
      <w:numPr>
        <w:numId w:val="3"/>
      </w:numPr>
    </w:pPr>
    <w:rPr>
      <w:rFonts w:ascii="仿宋_GB2312" w:eastAsia="仿宋_GB2312" w:hAnsi="Calibri"/>
      <w:sz w:val="28"/>
      <w:szCs w:val="28"/>
    </w:rPr>
  </w:style>
  <w:style w:type="paragraph" w:customStyle="1" w:styleId="26">
    <w:name w:val="标题2"/>
    <w:basedOn w:val="a"/>
    <w:link w:val="2Char2"/>
    <w:rsid w:val="0001723C"/>
    <w:pPr>
      <w:spacing w:afterLines="50"/>
      <w:jc w:val="center"/>
    </w:pPr>
    <w:rPr>
      <w:rFonts w:ascii="仿宋_GB2312" w:eastAsia="仿宋_GB2312" w:hAnsi="Calibri"/>
      <w:sz w:val="28"/>
      <w:szCs w:val="28"/>
    </w:rPr>
  </w:style>
  <w:style w:type="character" w:customStyle="1" w:styleId="2Char2">
    <w:name w:val="标题2 Char"/>
    <w:link w:val="26"/>
    <w:locked/>
    <w:rsid w:val="0001723C"/>
    <w:rPr>
      <w:rFonts w:ascii="仿宋_GB2312" w:eastAsia="仿宋_GB2312" w:hAnsi="Calibri"/>
      <w:kern w:val="2"/>
      <w:sz w:val="28"/>
      <w:szCs w:val="28"/>
    </w:rPr>
  </w:style>
  <w:style w:type="character" w:customStyle="1" w:styleId="3Char2">
    <w:name w:val="样式3 Char"/>
    <w:link w:val="3"/>
    <w:locked/>
    <w:rsid w:val="0001723C"/>
    <w:rPr>
      <w:rFonts w:ascii="仿宋_GB2312" w:eastAsia="仿宋_GB2312" w:hAnsi="Calibri"/>
      <w:kern w:val="2"/>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F5A4E-6279-4CB4-A1A7-BCC0D4824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15474</Words>
  <Characters>862</Characters>
  <Application>Microsoft Office Word</Application>
  <DocSecurity>0</DocSecurity>
  <Lines>7</Lines>
  <Paragraphs>32</Paragraphs>
  <ScaleCrop>false</ScaleCrop>
  <Company/>
  <LinksUpToDate>false</LinksUpToDate>
  <CharactersWithSpaces>16304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上海证券交易所会议纪要</dc:title>
  <dc:creator>费琼(编号)</dc:creator>
  <cp:lastModifiedBy>user</cp:lastModifiedBy>
  <cp:revision>3</cp:revision>
  <cp:lastPrinted>2018-05-31T05:19:00Z</cp:lastPrinted>
  <dcterms:created xsi:type="dcterms:W3CDTF">2019-02-15T02:58:00Z</dcterms:created>
  <dcterms:modified xsi:type="dcterms:W3CDTF">2025-09-16T06:03:00Z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eyJoZGlkIjoiMTU4ZWRiMTZhMjAzZTczZTMwYjAxYTVhNTEzNDEwOWMiLCJ1c2VySWQiOiIxMDQyNTAzNzc4In0=</vt:lpwstr>
  </property>
  <property fmtid="{D5CDD505-2E9C-101B-9397-08002B2CF9AE}" pid="3" name="KSOProductBuildVer">
    <vt:lpwstr>2052-12.1.0.21915</vt:lpwstr>
  </property>
  <property fmtid="{D5CDD505-2E9C-101B-9397-08002B2CF9AE}" pid="4" name="ICV">
    <vt:lpwstr>A99D8621B5174962981BBDDC7A022F2E_12</vt:lpwstr>
  </property>
</Properties>
</file>