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600"/>
        <w:jc w:val="start"/>
        <w:rPr>
          <w:rFonts w:ascii="仿宋_GB2312" w:hAnsi="仿宋_GB2312" w:eastAsia="仿宋_GB2312"/>
          <w:b/>
          <w:bCs/>
          <w:kern w:val="0"/>
          <w:sz w:val="30"/>
          <w:szCs w:val="30"/>
        </w:rPr>
      </w:pPr>
      <w:r>
        <w:rPr>
          <w:rFonts w:ascii="仿宋_GB2312" w:hAnsi="仿宋_GB2312" w:eastAsia="仿宋_GB2312"/>
          <w:b/>
          <w:bCs/>
          <w:kern w:val="0"/>
          <w:sz w:val="30"/>
          <w:szCs w:val="30"/>
        </w:rPr>
        <w:t>附件</w:t>
      </w:r>
      <w:r>
        <w:rPr>
          <w:rFonts w:eastAsia="仿宋_GB2312" w:ascii="仿宋_GB2312" w:hAnsi="仿宋_GB2312"/>
          <w:b/>
          <w:bCs/>
          <w:kern w:val="0"/>
          <w:sz w:val="30"/>
          <w:szCs w:val="30"/>
        </w:rPr>
        <w:t>1</w:t>
      </w:r>
    </w:p>
    <w:p>
      <w:pPr>
        <w:pStyle w:val="Normal"/>
        <w:spacing w:lineRule="exact" w:line="600"/>
        <w:rPr>
          <w:rFonts w:ascii="仿宋_GB2312" w:hAnsi="仿宋_GB2312" w:eastAsia="仿宋_GB2312" w:cs="宋体;SimSun"/>
          <w:b/>
          <w:bCs/>
          <w:kern w:val="0"/>
          <w:sz w:val="30"/>
          <w:szCs w:val="30"/>
        </w:rPr>
      </w:pPr>
      <w:r>
        <w:rPr>
          <w:rFonts w:eastAsia="仿宋_GB2312" w:cs="宋体;SimSun" w:ascii="仿宋_GB2312" w:hAnsi="仿宋_GB2312"/>
          <w:b/>
          <w:bCs/>
          <w:kern w:val="0"/>
          <w:sz w:val="30"/>
          <w:szCs w:val="30"/>
        </w:rPr>
      </w:r>
    </w:p>
    <w:p>
      <w:pPr>
        <w:pStyle w:val="Normal"/>
        <w:spacing w:lineRule="exact" w:line="600"/>
        <w:jc w:val="center"/>
        <w:rPr>
          <w:rFonts w:ascii="方正大标宋简体;Arial Unicode MS" w:hAnsi="方正大标宋简体;Arial Unicode MS" w:eastAsia="方正大标宋简体;Arial Unicode MS"/>
          <w:sz w:val="42"/>
          <w:szCs w:val="42"/>
        </w:rPr>
      </w:pPr>
      <w:r>
        <w:rPr>
          <w:rFonts w:ascii="方正大标宋简体;Arial Unicode MS" w:hAnsi="方正大标宋简体;Arial Unicode MS" w:eastAsia="方正大标宋简体;Arial Unicode MS"/>
          <w:sz w:val="42"/>
          <w:szCs w:val="42"/>
        </w:rPr>
        <w:t>上海证券交易所港股通委托协议必备条款</w:t>
      </w:r>
    </w:p>
    <w:p>
      <w:pPr>
        <w:pStyle w:val="Normal"/>
        <w:spacing w:lineRule="exact" w:line="600"/>
        <w:jc w:val="center"/>
        <w:rPr>
          <w:rFonts w:ascii="仿宋_GB2312" w:hAnsi="仿宋_GB2312" w:eastAsia="仿宋_GB2312" w:cs="黑体;SimHei"/>
          <w:kern w:val="0"/>
          <w:sz w:val="30"/>
          <w:szCs w:val="30"/>
        </w:rPr>
      </w:pPr>
      <w:r>
        <w:rPr>
          <w:rFonts w:ascii="仿宋_GB2312" w:hAnsi="仿宋_GB2312" w:cs="黑体;SimHei" w:eastAsia="仿宋_GB2312"/>
          <w:kern w:val="0"/>
          <w:sz w:val="30"/>
          <w:szCs w:val="30"/>
        </w:rPr>
        <w:t>（</w:t>
      </w:r>
      <w:r>
        <w:rPr>
          <w:rFonts w:eastAsia="仿宋_GB2312" w:cs="黑体;SimHei" w:ascii="仿宋_GB2312" w:hAnsi="仿宋_GB2312"/>
          <w:kern w:val="0"/>
          <w:sz w:val="30"/>
          <w:szCs w:val="30"/>
        </w:rPr>
        <w:t>2014</w:t>
      </w:r>
      <w:r>
        <w:rPr>
          <w:rFonts w:ascii="仿宋_GB2312" w:hAnsi="仿宋_GB2312" w:cs="黑体;SimHei" w:eastAsia="仿宋_GB2312"/>
          <w:kern w:val="0"/>
          <w:sz w:val="30"/>
          <w:szCs w:val="30"/>
        </w:rPr>
        <w:t>年</w:t>
      </w:r>
      <w:r>
        <w:rPr>
          <w:rFonts w:eastAsia="仿宋_GB2312" w:cs="黑体;SimHei" w:ascii="仿宋_GB2312" w:hAnsi="仿宋_GB2312"/>
          <w:kern w:val="0"/>
          <w:sz w:val="30"/>
          <w:szCs w:val="30"/>
        </w:rPr>
        <w:t>9</w:t>
      </w:r>
      <w:r>
        <w:rPr>
          <w:rFonts w:ascii="仿宋_GB2312" w:hAnsi="仿宋_GB2312" w:cs="黑体;SimHei" w:eastAsia="仿宋_GB2312"/>
          <w:kern w:val="0"/>
          <w:sz w:val="30"/>
          <w:szCs w:val="30"/>
        </w:rPr>
        <w:t>月</w:t>
      </w:r>
      <w:r>
        <w:rPr>
          <w:rFonts w:eastAsia="仿宋_GB2312" w:cs="黑体;SimHei" w:ascii="仿宋_GB2312" w:hAnsi="仿宋_GB2312"/>
          <w:kern w:val="0"/>
          <w:sz w:val="30"/>
          <w:szCs w:val="30"/>
        </w:rPr>
        <w:t>26</w:t>
      </w:r>
      <w:r>
        <w:rPr>
          <w:rFonts w:ascii="仿宋_GB2312" w:hAnsi="仿宋_GB2312" w:cs="黑体;SimHei" w:eastAsia="仿宋_GB2312"/>
          <w:kern w:val="0"/>
          <w:sz w:val="30"/>
          <w:szCs w:val="30"/>
        </w:rPr>
        <w:t>日实施　</w:t>
      </w:r>
      <w:r>
        <w:rPr>
          <w:rFonts w:eastAsia="仿宋_GB2312" w:cs="黑体;SimHei" w:ascii="仿宋_GB2312" w:hAnsi="仿宋_GB2312"/>
          <w:kern w:val="0"/>
          <w:sz w:val="30"/>
          <w:szCs w:val="30"/>
        </w:rPr>
        <w:t>2016</w:t>
      </w:r>
      <w:r>
        <w:rPr>
          <w:rFonts w:ascii="仿宋_GB2312" w:hAnsi="仿宋_GB2312" w:cs="黑体;SimHei" w:eastAsia="仿宋_GB2312"/>
          <w:kern w:val="0"/>
          <w:sz w:val="30"/>
          <w:szCs w:val="30"/>
        </w:rPr>
        <w:t>年</w:t>
      </w:r>
      <w:r>
        <w:rPr>
          <w:rFonts w:eastAsia="仿宋_GB2312" w:cs="黑体;SimHei" w:ascii="仿宋_GB2312" w:hAnsi="仿宋_GB2312"/>
          <w:kern w:val="0"/>
          <w:sz w:val="30"/>
          <w:szCs w:val="30"/>
        </w:rPr>
        <w:t>9</w:t>
      </w:r>
      <w:r>
        <w:rPr>
          <w:rFonts w:ascii="仿宋_GB2312" w:hAnsi="仿宋_GB2312" w:cs="黑体;SimHei" w:eastAsia="仿宋_GB2312"/>
          <w:kern w:val="0"/>
          <w:sz w:val="30"/>
          <w:szCs w:val="30"/>
        </w:rPr>
        <w:t>月</w:t>
      </w:r>
      <w:r>
        <w:rPr>
          <w:rFonts w:eastAsia="仿宋_GB2312" w:cs="黑体;SimHei" w:ascii="仿宋_GB2312" w:hAnsi="仿宋_GB2312"/>
          <w:kern w:val="0"/>
          <w:sz w:val="30"/>
          <w:szCs w:val="30"/>
        </w:rPr>
        <w:t>30</w:t>
      </w:r>
      <w:r>
        <w:rPr>
          <w:rFonts w:ascii="仿宋_GB2312" w:hAnsi="仿宋_GB2312" w:cs="黑体;SimHei" w:eastAsia="仿宋_GB2312"/>
          <w:kern w:val="0"/>
          <w:sz w:val="30"/>
          <w:szCs w:val="30"/>
        </w:rPr>
        <w:t>日第一次修订</w:t>
      </w:r>
    </w:p>
    <w:p>
      <w:pPr>
        <w:pStyle w:val="Normal"/>
        <w:spacing w:lineRule="exact" w:line="600"/>
        <w:jc w:val="center"/>
        <w:rPr>
          <w:rFonts w:ascii="仿宋_GB2312" w:hAnsi="仿宋_GB2312" w:eastAsia="仿宋_GB2312" w:cs="黑体;SimHei"/>
          <w:kern w:val="0"/>
          <w:sz w:val="30"/>
          <w:szCs w:val="30"/>
        </w:rPr>
      </w:pPr>
      <w:r>
        <w:rPr>
          <w:rFonts w:eastAsia="仿宋_GB2312" w:cs="黑体;SimHei" w:ascii="仿宋_GB2312" w:hAnsi="仿宋_GB2312"/>
          <w:kern w:val="0"/>
          <w:sz w:val="30"/>
          <w:szCs w:val="30"/>
        </w:rPr>
        <w:t>2022</w:t>
      </w:r>
      <w:r>
        <w:rPr>
          <w:rFonts w:ascii="仿宋_GB2312" w:hAnsi="仿宋_GB2312" w:cs="黑体;SimHei" w:eastAsia="仿宋_GB2312"/>
          <w:kern w:val="0"/>
          <w:sz w:val="30"/>
          <w:szCs w:val="30"/>
        </w:rPr>
        <w:t>年</w:t>
      </w:r>
      <w:r>
        <w:rPr>
          <w:rFonts w:eastAsia="仿宋_GB2312" w:cs="黑体;SimHei" w:ascii="仿宋_GB2312" w:hAnsi="仿宋_GB2312"/>
          <w:kern w:val="0"/>
          <w:sz w:val="30"/>
          <w:szCs w:val="30"/>
        </w:rPr>
        <w:t>6</w:t>
      </w:r>
      <w:r>
        <w:rPr>
          <w:rFonts w:ascii="仿宋_GB2312" w:hAnsi="仿宋_GB2312" w:cs="黑体;SimHei" w:eastAsia="仿宋_GB2312"/>
          <w:kern w:val="0"/>
          <w:sz w:val="30"/>
          <w:szCs w:val="30"/>
        </w:rPr>
        <w:t>月</w:t>
      </w:r>
      <w:r>
        <w:rPr>
          <w:rFonts w:eastAsia="仿宋_GB2312" w:cs="黑体;SimHei" w:ascii="仿宋_GB2312" w:hAnsi="仿宋_GB2312"/>
          <w:kern w:val="0"/>
          <w:sz w:val="30"/>
          <w:szCs w:val="30"/>
        </w:rPr>
        <w:t>24</w:t>
      </w:r>
      <w:r>
        <w:rPr>
          <w:rFonts w:ascii="仿宋_GB2312" w:hAnsi="仿宋_GB2312" w:cs="黑体;SimHei" w:eastAsia="仿宋_GB2312"/>
          <w:kern w:val="0"/>
          <w:sz w:val="30"/>
          <w:szCs w:val="30"/>
        </w:rPr>
        <w:t>日第二次修订）</w:t>
      </w:r>
    </w:p>
    <w:p>
      <w:pPr>
        <w:pStyle w:val="Normal"/>
        <w:spacing w:lineRule="exact" w:line="600"/>
        <w:jc w:val="center"/>
        <w:rPr>
          <w:rFonts w:ascii="仿宋_GB2312" w:hAnsi="仿宋_GB2312" w:eastAsia="仿宋_GB2312" w:cs="黑体;SimHei"/>
          <w:kern w:val="0"/>
          <w:sz w:val="30"/>
          <w:szCs w:val="30"/>
        </w:rPr>
      </w:pPr>
      <w:r>
        <w:rPr>
          <w:rFonts w:eastAsia="仿宋_GB2312" w:cs="黑体;SimHei" w:ascii="仿宋_GB2312" w:hAnsi="仿宋_GB2312"/>
          <w:kern w:val="0"/>
          <w:sz w:val="30"/>
          <w:szCs w:val="30"/>
        </w:rPr>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证券公司应当在与客户签订的《上海证券交易所港股通委托协议》中载明必备条款所要求的内容，并不得擅自修改或删除必备条款所要求的内容。证券公司可以根据具体情况，在与客户签订的《上海证券交易所港股通委托协议》中约定必备条款要求载明以外的、适合本公司实际需要的其他内容，也可以在不改变必备条款规定含义的前提下，对必备条款作文字和条文顺序的变动。</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第一条  </w:t>
      </w:r>
      <w:r>
        <w:rPr>
          <w:rFonts w:ascii="仿宋_GB2312" w:hAnsi="仿宋_GB2312" w:eastAsia="仿宋_GB2312"/>
          <w:sz w:val="30"/>
          <w:szCs w:val="30"/>
        </w:rPr>
        <w:t>证券公司开展沪港通下的港股通（以下简称港股通）业务，应当由其分支机构与客户签订《上海证券交易所港股通委托协议》（以下简称委托协议）。委托协议应当载明当事人相关信息。</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 xml:space="preserve">甲方：（投资者或证券投资产品的管理人） </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乙方：（证券公司或其分支机构）</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第二条  </w:t>
      </w:r>
      <w:r>
        <w:rPr>
          <w:rFonts w:ascii="仿宋_GB2312" w:hAnsi="仿宋_GB2312" w:eastAsia="仿宋_GB2312"/>
          <w:sz w:val="30"/>
          <w:szCs w:val="30"/>
        </w:rPr>
        <w:t>委托协议应当载明订立委托协议的目的和依据，并明确委托协议所指港股通为沪港通下的港股通。</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甲方签署本协议仅可委托乙方通过沪港通下的港股通买卖港股通标的证券。甲方通过沪港通下的港股通</w:t>
      </w:r>
      <w:bookmarkStart w:id="0" w:name="OLE_LINK6"/>
      <w:bookmarkStart w:id="1" w:name="OLE_LINK5"/>
      <w:r>
        <w:rPr>
          <w:rFonts w:ascii="仿宋_GB2312" w:hAnsi="仿宋_GB2312" w:eastAsia="仿宋_GB2312"/>
          <w:sz w:val="30"/>
          <w:szCs w:val="30"/>
        </w:rPr>
        <w:t>买入</w:t>
      </w:r>
      <w:bookmarkEnd w:id="0"/>
      <w:bookmarkEnd w:id="1"/>
      <w:r>
        <w:rPr>
          <w:rFonts w:ascii="仿宋_GB2312" w:hAnsi="仿宋_GB2312" w:eastAsia="仿宋_GB2312"/>
          <w:sz w:val="30"/>
          <w:szCs w:val="30"/>
        </w:rPr>
        <w:t>的证券，暂不能通过深港通下的港股通卖出；甲方通过深港通下的港股通买入的证券，暂不能通过沪港通下的港股通卖出。</w:t>
      </w:r>
    </w:p>
    <w:p>
      <w:pPr>
        <w:pStyle w:val="Normal"/>
        <w:spacing w:lineRule="exact" w:line="600"/>
        <w:ind w:firstLine="563" w:end="0"/>
        <w:rPr>
          <w:rFonts w:ascii="仿宋_GB2312" w:hAnsi="仿宋_GB2312" w:eastAsia="仿宋_GB2312"/>
          <w:sz w:val="30"/>
          <w:szCs w:val="30"/>
        </w:rPr>
      </w:pPr>
      <w:r>
        <w:rPr>
          <w:rFonts w:ascii="仿宋_GB2312" w:hAnsi="仿宋_GB2312" w:eastAsia="仿宋_GB2312"/>
          <w:b/>
          <w:sz w:val="30"/>
          <w:szCs w:val="30"/>
        </w:rPr>
        <w:t xml:space="preserve">第三条  </w:t>
      </w:r>
      <w:r>
        <w:rPr>
          <w:rFonts w:ascii="仿宋_GB2312" w:hAnsi="仿宋_GB2312" w:eastAsia="仿宋_GB2312"/>
          <w:sz w:val="30"/>
          <w:szCs w:val="30"/>
        </w:rPr>
        <w:t xml:space="preserve">委托协议应当载明甲方的声明与保证，包括但不限于： </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甲方已阅读并充分理解中国证监会《内地与香港股票市场交易互联互通机制若干规定》《关于交易型开放式基金纳入互联互通相关安排的公告》、上海证券交易所（以下简称上交所）及中国证券登记结算有限责任公司（以下简称中国结算）关于港股通的业务规则以及乙方向其提供的《上海证券交易所港股通交易风险揭示书》等相关文件，甲方具有合法的港股通交易资格，不存在相关法律、行政法规、部门规章、规范性文件以及业务规则等规定的禁止、限制或不适于参与港股通交易的情形；</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（二）甲方保证在其与乙方委托关系存续期内向乙方提供的所有证件、资料均真实、准确、完整、合法，且用于港股通交易的资金来源合法，并保证遵守国家反洗钱的相关规定；</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（三）甲方已清楚认识并愿意承担从事港股通交易的相关风险，并已详细阅读本协议所有条款和准确理解其含义，特别是其中有关乙方的免责条款；</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（四）甲方承诺遵守港股通交易的内地与香港相关法律、行政法规、部门规章、规范性文件、业务规则等规定，并承诺按照乙方的相关业务流程办理业务；</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（五）甲方承诺，同意由中国结算代甲方名义持有通过港股通取得的证券；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（六）甲方承诺，将遵循买者自负原则，不以不符合投资者适当性条件为由，拒绝承担港股通交易及交收责任；</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（七）甲方保证上述声明与承诺的内容皆为本人真实意愿，并自愿承担虚假陈述的一切后果。</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第四条</w:t>
      </w:r>
      <w:r>
        <w:rPr>
          <w:rFonts w:ascii="仿宋_GB2312" w:hAnsi="仿宋_GB2312" w:eastAsia="仿宋_GB2312"/>
          <w:sz w:val="30"/>
          <w:szCs w:val="30"/>
        </w:rPr>
        <w:t xml:space="preserve">  委托协议应当载明乙方的声明与保证，包括但不限于：</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（一）乙方或乙方所属证券公司是依照内地法律设立且有效存续的证券经营机构，具有相应的证券经纪业务资格，已开通了港股通业务交易权限；</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（二）乙方承诺遵守本协议，按本协议的约定为甲方提供港股通交易相关服务。</w:t>
      </w:r>
    </w:p>
    <w:p>
      <w:pPr>
        <w:pStyle w:val="Normal"/>
        <w:spacing w:lineRule="exact" w:line="600"/>
        <w:rPr>
          <w:rFonts w:ascii="仿宋_GB2312" w:hAnsi="仿宋_GB2312" w:eastAsia="仿宋_GB2312"/>
          <w:sz w:val="30"/>
          <w:szCs w:val="30"/>
        </w:rPr>
      </w:pPr>
      <w:r>
        <w:rPr>
          <w:rFonts w:ascii="仿宋_GB2312" w:hAnsi="仿宋_GB2312" w:cs="仿宋_GB2312" w:eastAsia="仿宋_GB2312"/>
          <w:sz w:val="30"/>
          <w:szCs w:val="30"/>
        </w:rPr>
        <w:t xml:space="preserve">    </w:t>
      </w:r>
      <w:r>
        <w:rPr>
          <w:rFonts w:ascii="仿宋_GB2312" w:hAnsi="仿宋_GB2312" w:eastAsia="仿宋_GB2312"/>
          <w:b/>
          <w:sz w:val="30"/>
          <w:szCs w:val="30"/>
        </w:rPr>
        <w:t xml:space="preserve">第五条  </w:t>
      </w:r>
      <w:r>
        <w:rPr>
          <w:rFonts w:ascii="仿宋_GB2312" w:hAnsi="仿宋_GB2312" w:eastAsia="仿宋_GB2312"/>
          <w:sz w:val="30"/>
          <w:szCs w:val="30"/>
        </w:rPr>
        <w:t xml:space="preserve">委托协议应当载明，乙方接受甲方委托为其提供以下服务： </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（一）接受并执行甲方依照本协议约定的方式下达的合法有效的委托指令；</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（二）进行资金、证券的清算、交收；</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（三）托管甲方买入或其他方式取得的有价证券；</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（四）证券登记结算机构通过乙方向甲方提供的红利分派等名义持有人服务；</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（五）接受甲方对其委托、成交及账户内的资产及变化情况的查询，并应甲方的要求提供相应的清单；</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（六）相关法律、行政法规、部门规章、规范性文件、业务规则规定的甲方可以委托乙方进行的其他活动以及双方依法约定的其他委托事项。</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第六条</w:t>
      </w:r>
      <w:r>
        <w:rPr>
          <w:rFonts w:ascii="仿宋_GB2312" w:hAnsi="仿宋_GB2312" w:eastAsia="仿宋_GB2312"/>
          <w:sz w:val="30"/>
          <w:szCs w:val="30"/>
        </w:rPr>
        <w:t xml:space="preserve">  委托协议应当载明，甲方在参与港股通交易前，应先依照法律法规、相关业务规则开立账户用于证券交易、清算交收和计付利息等。乙方代理中国结算开立证券账户，应遵循中国结算的有关规定。</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甲方可以使用其已经开立的沪市</w:t>
      </w:r>
      <w:r>
        <w:rPr>
          <w:rFonts w:eastAsia="仿宋_GB2312" w:ascii="仿宋_GB2312" w:hAnsi="仿宋_GB2312"/>
          <w:sz w:val="30"/>
          <w:szCs w:val="30"/>
        </w:rPr>
        <w:t>A</w:t>
      </w:r>
      <w:r>
        <w:rPr>
          <w:rFonts w:ascii="仿宋_GB2312" w:hAnsi="仿宋_GB2312" w:eastAsia="仿宋_GB2312"/>
          <w:sz w:val="30"/>
          <w:szCs w:val="30"/>
        </w:rPr>
        <w:t>股证券账户（沪市人民币普通股证券账户）进行港股通交易。</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第七条</w:t>
      </w:r>
      <w:r>
        <w:rPr>
          <w:rFonts w:ascii="仿宋_GB2312" w:hAnsi="仿宋_GB2312" w:eastAsia="仿宋_GB2312"/>
          <w:sz w:val="30"/>
          <w:szCs w:val="30"/>
        </w:rPr>
        <w:t xml:space="preserve">  委托协议应当载明，甲方新办理或者变更指定交易的，自下一港股通交易日起方可进行港股通交易。</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第八条</w:t>
      </w:r>
      <w:r>
        <w:rPr>
          <w:rFonts w:ascii="仿宋_GB2312" w:hAnsi="仿宋_GB2312" w:eastAsia="仿宋_GB2312"/>
          <w:sz w:val="30"/>
          <w:szCs w:val="30"/>
        </w:rPr>
        <w:t xml:space="preserve">  委托协议应当载明，甲方存在当日有交易行为、当日有申报、有交易未完成交收或者上交所、中国结算业务规则规定的其他情形的，甲方不得撤销指定交易。</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第九条</w:t>
      </w:r>
      <w:r>
        <w:rPr>
          <w:rFonts w:ascii="仿宋_GB2312" w:hAnsi="仿宋_GB2312" w:eastAsia="仿宋_GB2312"/>
          <w:sz w:val="30"/>
          <w:szCs w:val="30"/>
        </w:rPr>
        <w:t xml:space="preserve">  委托协议应当载明，甲方知晓并认可：其获得的香港证券市场免费一档行情，与付费方式获得的行情相比，在刷新频率、档位显示等方面存在差异；甲方应仅作为最终用户使用上述行情信息，未经香港联合交易所有限公司（以下简称联交所）同意不得将其提供给任何机构或个人，也不得用于开发指数或其他产品；联交所及其控股公司、该控股公司的附属公司等行情信息提供方，将尽力保证所提供上述行情信息的准确和可靠度，但不能确保其绝对准确和可靠，亦不对因信息不准确或遗漏而导致的任何损失或损害承担责任。</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第十条  </w:t>
      </w:r>
      <w:r>
        <w:rPr>
          <w:rFonts w:ascii="仿宋_GB2312" w:hAnsi="仿宋_GB2312" w:eastAsia="仿宋_GB2312"/>
          <w:sz w:val="30"/>
          <w:szCs w:val="30"/>
        </w:rPr>
        <w:t>委托协议应当约定乙方接受甲方下达委托指令的方式。</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第十一条</w:t>
      </w:r>
      <w:r>
        <w:rPr>
          <w:rFonts w:ascii="仿宋_GB2312" w:hAnsi="仿宋_GB2312" w:eastAsia="仿宋_GB2312"/>
          <w:sz w:val="30"/>
          <w:szCs w:val="30"/>
        </w:rPr>
        <w:t xml:space="preserve">  委托协议应当载明，甲方委托乙方进行港股通交易而发出的委托及撤销委托等指令的内容和方式应当符合相关证券交易所的规定。</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第十二条 </w:t>
      </w:r>
      <w:r>
        <w:rPr>
          <w:rFonts w:ascii="仿宋_GB2312" w:hAnsi="仿宋_GB2312" w:eastAsia="仿宋_GB2312"/>
          <w:sz w:val="30"/>
          <w:szCs w:val="30"/>
        </w:rPr>
        <w:t xml:space="preserve"> 委托协议应当约定无效委托导致的后果、风险和损失承担方式。</w:t>
      </w:r>
    </w:p>
    <w:p>
      <w:pPr>
        <w:pStyle w:val="Normal"/>
        <w:spacing w:lineRule="exact" w:line="600"/>
        <w:ind w:firstLine="590" w:end="0"/>
        <w:rPr>
          <w:rFonts w:ascii="仿宋_GB2312" w:hAnsi="仿宋_GB2312" w:eastAsia="仿宋_GB2312"/>
          <w:sz w:val="30"/>
          <w:szCs w:val="30"/>
        </w:rPr>
      </w:pPr>
      <w:r>
        <w:rPr>
          <w:rFonts w:ascii="仿宋_GB2312" w:hAnsi="仿宋_GB2312" w:eastAsia="仿宋_GB2312"/>
          <w:b/>
          <w:sz w:val="30"/>
          <w:szCs w:val="30"/>
        </w:rPr>
        <w:t>第十三条　</w:t>
      </w:r>
      <w:r>
        <w:rPr>
          <w:rFonts w:ascii="仿宋_GB2312" w:hAnsi="仿宋_GB2312" w:eastAsia="仿宋_GB2312"/>
          <w:sz w:val="30"/>
          <w:szCs w:val="30"/>
        </w:rPr>
        <w:t>委托协议应当约定乙方为甲方提供查询、打印交易明细等服务的方式和内容。</w:t>
      </w:r>
    </w:p>
    <w:p>
      <w:pPr>
        <w:pStyle w:val="Normal"/>
        <w:spacing w:lineRule="exact" w:line="600"/>
        <w:ind w:firstLine="602" w:end="0"/>
        <w:rPr>
          <w:rFonts w:ascii="仿宋_GB2312" w:hAnsi="仿宋_GB2312" w:eastAsia="仿宋_GB2312" w:cs="华文楷体"/>
          <w:sz w:val="30"/>
          <w:szCs w:val="30"/>
        </w:rPr>
      </w:pPr>
      <w:r>
        <w:rPr>
          <w:rFonts w:ascii="仿宋_GB2312" w:hAnsi="仿宋_GB2312" w:eastAsia="仿宋_GB2312"/>
          <w:b/>
          <w:sz w:val="30"/>
          <w:szCs w:val="30"/>
        </w:rPr>
        <w:t xml:space="preserve">第十四条 </w:t>
      </w:r>
      <w:r>
        <w:rPr>
          <w:rFonts w:ascii="仿宋_GB2312" w:hAnsi="仿宋_GB2312" w:eastAsia="仿宋_GB2312"/>
          <w:sz w:val="30"/>
          <w:szCs w:val="30"/>
        </w:rPr>
        <w:t xml:space="preserve"> 委托协议应当载明，甲方知晓并认可中国结算</w:t>
      </w:r>
      <w:r>
        <w:rPr>
          <w:rFonts w:ascii="仿宋_GB2312" w:hAnsi="仿宋_GB2312" w:cs="宋体;SimSun" w:eastAsia="仿宋_GB2312"/>
          <w:sz w:val="30"/>
          <w:szCs w:val="30"/>
        </w:rPr>
        <w:t>按照</w:t>
      </w:r>
      <w:r>
        <w:rPr>
          <w:rFonts w:ascii="仿宋_GB2312" w:hAnsi="仿宋_GB2312" w:cs="华文楷体" w:eastAsia="仿宋_GB2312"/>
          <w:sz w:val="30"/>
          <w:szCs w:val="30"/>
        </w:rPr>
        <w:t>香港中央结算有限公司（以下简称香港结算）</w:t>
      </w:r>
      <w:r>
        <w:rPr>
          <w:rFonts w:ascii="仿宋_GB2312" w:hAnsi="仿宋_GB2312" w:cs="宋体;SimSun" w:eastAsia="仿宋_GB2312"/>
          <w:sz w:val="30"/>
          <w:szCs w:val="30"/>
        </w:rPr>
        <w:t>的业务规则，与香港结算完成港股通交易的证券和资金的交收。</w:t>
      </w:r>
      <w:r>
        <w:rPr>
          <w:rFonts w:ascii="仿宋_GB2312" w:hAnsi="仿宋_GB2312" w:cs="华文楷体" w:eastAsia="仿宋_GB2312"/>
          <w:sz w:val="30"/>
          <w:szCs w:val="30"/>
        </w:rPr>
        <w:t>港股通交易的境内结算由</w:t>
      </w:r>
      <w:r>
        <w:rPr>
          <w:rFonts w:ascii="仿宋_GB2312" w:hAnsi="仿宋_GB2312" w:eastAsia="仿宋_GB2312"/>
          <w:sz w:val="30"/>
          <w:szCs w:val="30"/>
        </w:rPr>
        <w:t>中国结算</w:t>
      </w:r>
      <w:r>
        <w:rPr>
          <w:rFonts w:ascii="仿宋_GB2312" w:hAnsi="仿宋_GB2312" w:cs="华文楷体" w:eastAsia="仿宋_GB2312"/>
          <w:sz w:val="30"/>
          <w:szCs w:val="30"/>
        </w:rPr>
        <w:t>根据相关业务规则组织完成。</w:t>
      </w:r>
    </w:p>
    <w:p>
      <w:pPr>
        <w:pStyle w:val="Normal"/>
        <w:autoSpaceDE w:val="false"/>
        <w:spacing w:lineRule="exact" w:line="600"/>
        <w:ind w:firstLine="452" w:end="0"/>
        <w:rPr>
          <w:rFonts w:ascii="仿宋_GB2312" w:hAnsi="仿宋_GB2312" w:eastAsia="仿宋_GB2312" w:cs="华文楷体"/>
          <w:sz w:val="30"/>
          <w:szCs w:val="30"/>
        </w:rPr>
      </w:pPr>
      <w:r>
        <w:rPr>
          <w:rFonts w:ascii="仿宋_GB2312" w:hAnsi="仿宋_GB2312" w:eastAsia="仿宋_GB2312"/>
          <w:b/>
          <w:sz w:val="30"/>
          <w:szCs w:val="30"/>
        </w:rPr>
        <w:t>第十五条</w:t>
      </w:r>
      <w:r>
        <w:rPr>
          <w:rFonts w:ascii="仿宋_GB2312" w:hAnsi="仿宋_GB2312" w:cs="华文楷体" w:eastAsia="仿宋_GB2312"/>
          <w:sz w:val="30"/>
          <w:szCs w:val="30"/>
        </w:rPr>
        <w:t xml:space="preserve">  委托协议应当载明，甲方通过港股通取得的证券以</w:t>
      </w:r>
      <w:r>
        <w:rPr>
          <w:rFonts w:ascii="仿宋_GB2312" w:hAnsi="仿宋_GB2312" w:eastAsia="仿宋_GB2312"/>
          <w:sz w:val="30"/>
          <w:szCs w:val="30"/>
        </w:rPr>
        <w:t>中国结算</w:t>
      </w:r>
      <w:r>
        <w:rPr>
          <w:rFonts w:ascii="仿宋_GB2312" w:hAnsi="仿宋_GB2312" w:cs="华文楷体" w:eastAsia="仿宋_GB2312"/>
          <w:sz w:val="30"/>
          <w:szCs w:val="30"/>
        </w:rPr>
        <w:t>名义存管在香港结算，并以香港中央结算（代理人）有限公司的名义登记于联交所上市证券的持有人名册。</w:t>
      </w:r>
    </w:p>
    <w:p>
      <w:pPr>
        <w:pStyle w:val="Normal"/>
        <w:spacing w:lineRule="exact" w:line="600"/>
        <w:ind w:firstLine="600" w:end="0"/>
        <w:rPr>
          <w:rFonts w:ascii="仿宋_GB2312" w:hAnsi="仿宋_GB2312" w:eastAsia="仿宋_GB2312" w:cs="华文楷体"/>
          <w:sz w:val="30"/>
          <w:szCs w:val="30"/>
        </w:rPr>
      </w:pPr>
      <w:r>
        <w:rPr>
          <w:rFonts w:ascii="仿宋_GB2312" w:hAnsi="仿宋_GB2312" w:cs="华文楷体" w:eastAsia="仿宋_GB2312"/>
          <w:sz w:val="30"/>
          <w:szCs w:val="30"/>
        </w:rPr>
        <w:t>委托协议应当载明，甲方不能要求存入或提取纸面证券，中国证监会另有规定的除外。</w:t>
      </w:r>
    </w:p>
    <w:p>
      <w:pPr>
        <w:pStyle w:val="Normal"/>
        <w:spacing w:lineRule="exact" w:line="600"/>
        <w:ind w:firstLine="602" w:end="0"/>
        <w:rPr>
          <w:rFonts w:ascii="仿宋_GB2312" w:hAnsi="仿宋_GB2312" w:eastAsia="仿宋_GB2312" w:cs="华文楷体"/>
          <w:sz w:val="30"/>
          <w:szCs w:val="30"/>
        </w:rPr>
      </w:pPr>
      <w:r>
        <w:rPr>
          <w:rFonts w:ascii="仿宋_GB2312" w:hAnsi="仿宋_GB2312" w:eastAsia="仿宋_GB2312"/>
          <w:b/>
          <w:sz w:val="30"/>
          <w:szCs w:val="30"/>
        </w:rPr>
        <w:t>第十六条</w:t>
      </w:r>
      <w:r>
        <w:rPr>
          <w:rFonts w:ascii="仿宋_GB2312" w:hAnsi="仿宋_GB2312" w:cs="华文楷体" w:eastAsia="仿宋_GB2312"/>
          <w:sz w:val="30"/>
          <w:szCs w:val="30"/>
        </w:rPr>
        <w:t xml:space="preserve">  委托协议应当载明，甲方知晓并认可香港结算因无法交付证券对中国结算实施现金结算的，中国结算参照香港结算的处理原则进行相应业务处理；香港结算因风球、黑色暴雨天气等原因，临时作出特殊交收安排的，中国结算参照香港结算的处理原则进行相应业务处理。甲方同意乙方按照中国结算的业务规则进行业务处理。香港结算发生破产而导致其未全部履行对中国结算的交收义务的，中国结算协助向香港结算追索，但不承担由此产生的相关损失。</w:t>
      </w:r>
    </w:p>
    <w:p>
      <w:pPr>
        <w:pStyle w:val="Normal"/>
        <w:spacing w:lineRule="exact" w:line="600"/>
        <w:ind w:firstLine="602" w:end="0"/>
        <w:rPr>
          <w:rFonts w:ascii="仿宋_GB2312" w:hAnsi="仿宋_GB2312" w:eastAsia="仿宋_GB2312" w:cs="华文楷体"/>
          <w:sz w:val="30"/>
          <w:szCs w:val="30"/>
        </w:rPr>
      </w:pPr>
      <w:r>
        <w:rPr>
          <w:rFonts w:ascii="仿宋_GB2312" w:hAnsi="仿宋_GB2312" w:eastAsia="仿宋_GB2312"/>
          <w:b/>
          <w:sz w:val="30"/>
          <w:szCs w:val="30"/>
        </w:rPr>
        <w:t>第十七条</w:t>
      </w:r>
      <w:r>
        <w:rPr>
          <w:rFonts w:ascii="仿宋_GB2312" w:hAnsi="仿宋_GB2312" w:cs="华文楷体" w:eastAsia="仿宋_GB2312"/>
          <w:sz w:val="30"/>
          <w:szCs w:val="30"/>
        </w:rPr>
        <w:t xml:space="preserve">  委托协议应当载明，甲方同意，对于甲方的港股通交易，由乙方或乙方所属证券公司以自己的名义与中国结算完成集中结算，并由乙方或乙方所属证券公司办理与甲方之间的港股通交易的结算，甲方不与中国结算发生结算关系。</w:t>
      </w:r>
    </w:p>
    <w:p>
      <w:pPr>
        <w:pStyle w:val="Normal"/>
        <w:spacing w:lineRule="exact" w:line="600"/>
        <w:ind w:firstLine="600" w:end="0"/>
        <w:rPr>
          <w:rFonts w:ascii="仿宋_GB2312" w:hAnsi="仿宋_GB2312" w:eastAsia="仿宋_GB2312"/>
          <w:sz w:val="30"/>
          <w:szCs w:val="30"/>
        </w:rPr>
      </w:pPr>
      <w:r>
        <w:rPr>
          <w:rFonts w:ascii="仿宋_GB2312" w:hAnsi="仿宋_GB2312" w:cs="华文楷体" w:eastAsia="仿宋_GB2312"/>
          <w:sz w:val="30"/>
          <w:szCs w:val="30"/>
        </w:rPr>
        <w:t>甲乙双方、甲方与乙方所属证券公司发生的纠纷，不影响中国结算依照业务规则正在进行或已经进行的清算交收处理及违约处理。</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第十八条</w:t>
      </w:r>
      <w:r>
        <w:rPr>
          <w:rFonts w:ascii="仿宋_GB2312" w:hAnsi="仿宋_GB2312" w:eastAsia="仿宋_GB2312"/>
          <w:sz w:val="30"/>
          <w:szCs w:val="30"/>
        </w:rPr>
        <w:t xml:space="preserve">  </w:t>
      </w:r>
      <w:r>
        <w:rPr>
          <w:rFonts w:ascii="仿宋_GB2312" w:hAnsi="仿宋_GB2312" w:cs="华文楷体" w:eastAsia="仿宋_GB2312"/>
          <w:sz w:val="30"/>
          <w:szCs w:val="30"/>
        </w:rPr>
        <w:t>委托协议应当载明，</w:t>
      </w:r>
      <w:r>
        <w:rPr>
          <w:rFonts w:ascii="仿宋_GB2312" w:hAnsi="仿宋_GB2312" w:eastAsia="仿宋_GB2312"/>
          <w:sz w:val="30"/>
          <w:szCs w:val="30"/>
        </w:rPr>
        <w:t>乙方或乙方所属证券公司在交收日集中交收前，向甲方收取其应付的证券和资金。乙方或乙方所属证券公司应当向正常履行交收义务的甲方交付其应收的证券和资金。</w:t>
      </w:r>
    </w:p>
    <w:p>
      <w:pPr>
        <w:pStyle w:val="Normal"/>
        <w:spacing w:lineRule="exact" w:line="600"/>
        <w:ind w:firstLine="602" w:end="0"/>
        <w:rPr>
          <w:rFonts w:ascii="仿宋_GB2312" w:hAnsi="仿宋_GB2312" w:eastAsia="仿宋_GB2312"/>
          <w:sz w:val="30"/>
          <w:szCs w:val="30"/>
        </w:rPr>
      </w:pPr>
      <w:r>
        <w:rPr>
          <w:rFonts w:ascii="仿宋_GB2312" w:hAnsi="仿宋_GB2312" w:cs="宋体;SimSun" w:eastAsia="仿宋_GB2312"/>
          <w:b/>
          <w:sz w:val="30"/>
          <w:szCs w:val="30"/>
        </w:rPr>
        <w:t>第十九条</w:t>
      </w:r>
      <w:r>
        <w:rPr>
          <w:rFonts w:ascii="仿宋_GB2312" w:hAnsi="仿宋_GB2312" w:cs="宋体;SimSun" w:eastAsia="仿宋_GB2312"/>
          <w:sz w:val="30"/>
          <w:szCs w:val="30"/>
        </w:rPr>
        <w:t xml:space="preserve">  委托协议应当载明，在确保客户资金账户不出现透支的前提下，港股通交易应收资金可用于内地证券市场买入交易的时间，应不早于相关港股通交易应收资金的对应交收日。</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第二十条  </w:t>
      </w:r>
      <w:r>
        <w:rPr>
          <w:rFonts w:ascii="仿宋_GB2312" w:hAnsi="仿宋_GB2312" w:cs="华文楷体" w:eastAsia="仿宋_GB2312"/>
          <w:sz w:val="30"/>
          <w:szCs w:val="30"/>
        </w:rPr>
        <w:t>委托协议应当载明，</w:t>
      </w:r>
      <w:r>
        <w:rPr>
          <w:rFonts w:ascii="仿宋_GB2312" w:hAnsi="仿宋_GB2312" w:eastAsia="仿宋_GB2312"/>
          <w:sz w:val="30"/>
          <w:szCs w:val="30"/>
        </w:rPr>
        <w:t>在清算交收处理过程中，由</w:t>
      </w:r>
      <w:r>
        <w:rPr>
          <w:rFonts w:ascii="仿宋_GB2312" w:hAnsi="仿宋_GB2312" w:cs="宋体;SimSun" w:eastAsia="仿宋_GB2312"/>
          <w:sz w:val="30"/>
          <w:szCs w:val="30"/>
        </w:rPr>
        <w:t>乙方或乙方所属证券公司委托中国结算办理甲方与乙方或乙方所属证券公司</w:t>
      </w:r>
      <w:r>
        <w:rPr>
          <w:rFonts w:ascii="仿宋_GB2312" w:hAnsi="仿宋_GB2312" w:eastAsia="仿宋_GB2312"/>
          <w:sz w:val="30"/>
          <w:szCs w:val="30"/>
        </w:rPr>
        <w:t>之间的证券划付。</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第二十一条  </w:t>
      </w:r>
      <w:r>
        <w:rPr>
          <w:rFonts w:ascii="仿宋_GB2312" w:hAnsi="仿宋_GB2312" w:cs="华文楷体" w:eastAsia="仿宋_GB2312"/>
          <w:sz w:val="30"/>
          <w:szCs w:val="30"/>
        </w:rPr>
        <w:t>委托协议应当载明，</w:t>
      </w:r>
      <w:r>
        <w:rPr>
          <w:rFonts w:ascii="仿宋_GB2312" w:hAnsi="仿宋_GB2312" w:eastAsia="仿宋_GB2312"/>
          <w:sz w:val="30"/>
          <w:szCs w:val="30"/>
        </w:rPr>
        <w:t>甲方出现资金交收违约并</w:t>
      </w:r>
      <w:r>
        <w:rPr>
          <w:rFonts w:ascii="仿宋_GB2312" w:hAnsi="仿宋_GB2312" w:cs="宋体;SimSun" w:eastAsia="仿宋_GB2312"/>
          <w:sz w:val="30"/>
          <w:szCs w:val="30"/>
        </w:rPr>
        <w:t>造成乙方或乙方所属证券公司对中国结算违约的，乙方或乙方所属证券公司有</w:t>
      </w:r>
      <w:r>
        <w:rPr>
          <w:rFonts w:ascii="仿宋_GB2312" w:hAnsi="仿宋_GB2312" w:eastAsia="仿宋_GB2312"/>
          <w:sz w:val="30"/>
          <w:szCs w:val="30"/>
        </w:rPr>
        <w:t>权将甲方相当于交收违约金额的应收证券指定为暂不交付证券并由中国结算按其业务规则进行处置。由此造成的风险、损失和责任，由甲方承担。</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第二十二条  </w:t>
      </w:r>
      <w:r>
        <w:rPr>
          <w:rFonts w:ascii="仿宋_GB2312" w:hAnsi="仿宋_GB2312" w:cs="华文楷体" w:eastAsia="仿宋_GB2312"/>
          <w:sz w:val="30"/>
          <w:szCs w:val="30"/>
        </w:rPr>
        <w:t>委托协议应当载明，</w:t>
      </w:r>
      <w:r>
        <w:rPr>
          <w:rFonts w:ascii="仿宋_GB2312" w:hAnsi="仿宋_GB2312" w:eastAsia="仿宋_GB2312"/>
          <w:sz w:val="30"/>
          <w:szCs w:val="30"/>
        </w:rPr>
        <w:t>甲方出现证券交收违约的，乙方及乙方所属证券公司有权将相当于证券交收违约金额的资金暂不划付给甲方。</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第二十三条</w:t>
      </w:r>
      <w:r>
        <w:rPr>
          <w:rFonts w:ascii="仿宋_GB2312" w:hAnsi="仿宋_GB2312" w:eastAsia="仿宋_GB2312"/>
          <w:sz w:val="30"/>
          <w:szCs w:val="30"/>
        </w:rPr>
        <w:t xml:space="preserve">  </w:t>
      </w:r>
      <w:r>
        <w:rPr>
          <w:rFonts w:ascii="仿宋_GB2312" w:hAnsi="仿宋_GB2312" w:cs="华文楷体" w:eastAsia="仿宋_GB2312"/>
          <w:sz w:val="30"/>
          <w:szCs w:val="30"/>
        </w:rPr>
        <w:t>委托协议应当载明，</w:t>
      </w:r>
      <w:r>
        <w:rPr>
          <w:rFonts w:ascii="仿宋_GB2312" w:hAnsi="仿宋_GB2312" w:eastAsia="仿宋_GB2312"/>
          <w:sz w:val="30"/>
          <w:szCs w:val="30"/>
        </w:rPr>
        <w:t>发生下列情形之一的，甲方有权向乙方主张权利，乙方应承担相应责任并负责赔偿损失：</w:t>
      </w:r>
    </w:p>
    <w:p>
      <w:pPr>
        <w:pStyle w:val="Normal"/>
        <w:spacing w:lineRule="exact" w:line="600"/>
        <w:ind w:firstLine="600" w:end="0"/>
        <w:rPr>
          <w:rFonts w:ascii="仿宋_GB2312" w:hAnsi="仿宋_GB2312" w:eastAsia="仿宋_GB2312"/>
          <w:sz w:val="30"/>
          <w:szCs w:val="30"/>
        </w:rPr>
      </w:pPr>
      <w:r>
        <w:rPr>
          <w:rFonts w:ascii="仿宋_GB2312" w:hAnsi="仿宋_GB2312" w:cs="宋体;SimSun" w:eastAsia="仿宋_GB2312"/>
          <w:sz w:val="30"/>
          <w:szCs w:val="30"/>
        </w:rPr>
        <w:t>（一）乙方或乙方所属证券公司未完成与中国结算的集中交收，导</w:t>
      </w:r>
      <w:r>
        <w:rPr>
          <w:rFonts w:ascii="仿宋_GB2312" w:hAnsi="仿宋_GB2312" w:eastAsia="仿宋_GB2312"/>
          <w:sz w:val="30"/>
          <w:szCs w:val="30"/>
        </w:rPr>
        <w:t>致甲方应收资金或证券被暂不交付或处置的；</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（二）乙方或乙方所属证券公司对甲方出现交收违约导致甲方未能取得应收证券或资金的；</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（三）乙方或乙方所属证券公司发送的有关甲方的证券划付指令有误的；</w:t>
      </w:r>
    </w:p>
    <w:p>
      <w:pPr>
        <w:pStyle w:val="Normal"/>
        <w:spacing w:lineRule="exact" w:line="600"/>
        <w:ind w:firstLine="600" w:end="0"/>
        <w:rPr>
          <w:rFonts w:ascii="仿宋_GB2312" w:hAnsi="仿宋_GB2312" w:eastAsia="仿宋_GB2312"/>
          <w:sz w:val="30"/>
          <w:szCs w:val="30"/>
        </w:rPr>
      </w:pPr>
      <w:r>
        <w:rPr>
          <w:rFonts w:ascii="仿宋_GB2312" w:hAnsi="仿宋_GB2312" w:eastAsia="仿宋_GB2312"/>
          <w:sz w:val="30"/>
          <w:szCs w:val="30"/>
        </w:rPr>
        <w:t>（四）其他因乙方或乙方所属证券公司未遵守相关业务规则导致甲方利益受到损害的。</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第二十四条  </w:t>
      </w:r>
      <w:r>
        <w:rPr>
          <w:rFonts w:ascii="仿宋_GB2312" w:hAnsi="仿宋_GB2312" w:cs="华文楷体" w:eastAsia="仿宋_GB2312"/>
          <w:sz w:val="30"/>
          <w:szCs w:val="30"/>
        </w:rPr>
        <w:t>委托协议应当载明，</w:t>
      </w:r>
      <w:r>
        <w:rPr>
          <w:rFonts w:ascii="仿宋_GB2312" w:hAnsi="仿宋_GB2312" w:eastAsia="仿宋_GB2312"/>
          <w:sz w:val="30"/>
          <w:szCs w:val="30"/>
        </w:rPr>
        <w:t>甲方知晓并认可，出于降低全市场资金成本的原因，中国结算</w:t>
      </w:r>
      <w:r>
        <w:rPr>
          <w:rFonts w:ascii="仿宋_GB2312" w:hAnsi="仿宋_GB2312" w:cs="华文楷体" w:eastAsia="仿宋_GB2312"/>
          <w:sz w:val="30"/>
          <w:szCs w:val="30"/>
        </w:rPr>
        <w:t>可以依照香港结算相关业务规则，将</w:t>
      </w:r>
      <w:r>
        <w:rPr>
          <w:rFonts w:ascii="仿宋_GB2312" w:hAnsi="仿宋_GB2312" w:eastAsia="仿宋_GB2312"/>
          <w:sz w:val="30"/>
          <w:szCs w:val="30"/>
        </w:rPr>
        <w:t>甲方每日净卖出证券向香港结算提交作为交收担保品。</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第二十五条</w:t>
      </w:r>
      <w:r>
        <w:rPr>
          <w:rFonts w:ascii="仿宋_GB2312" w:hAnsi="仿宋_GB2312" w:eastAsia="仿宋_GB2312"/>
          <w:sz w:val="30"/>
          <w:szCs w:val="30"/>
        </w:rPr>
        <w:t xml:space="preserve">  </w:t>
      </w:r>
      <w:r>
        <w:rPr>
          <w:rFonts w:ascii="仿宋_GB2312" w:hAnsi="仿宋_GB2312" w:cs="华文楷体" w:eastAsia="仿宋_GB2312"/>
          <w:sz w:val="30"/>
          <w:szCs w:val="30"/>
        </w:rPr>
        <w:t>委托协议应当载明，</w:t>
      </w:r>
      <w:r>
        <w:rPr>
          <w:rFonts w:ascii="仿宋_GB2312" w:hAnsi="仿宋_GB2312" w:eastAsia="仿宋_GB2312"/>
          <w:sz w:val="30"/>
          <w:szCs w:val="30"/>
        </w:rPr>
        <w:t>甲方委托乙方买卖证券时应保证其账户中有足额的可用资金或证券，并同意按乙方规定标准在账户中预留部分资金或按乙方规定比例在委托申报时冻结交易资金，以保证根据成交结果承担相应的清算交收责任，否则乙方有权拒绝甲方的委托指令。</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第二十六条</w:t>
      </w:r>
      <w:r>
        <w:rPr>
          <w:rFonts w:ascii="仿宋_GB2312" w:hAnsi="仿宋_GB2312" w:eastAsia="仿宋_GB2312"/>
          <w:sz w:val="30"/>
          <w:szCs w:val="30"/>
        </w:rPr>
        <w:t xml:space="preserve">  委托协议应当约定发生甲方资金透支情况的处理方式。</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第二十七条</w:t>
      </w:r>
      <w:r>
        <w:rPr>
          <w:rFonts w:ascii="仿宋_GB2312" w:hAnsi="仿宋_GB2312" w:eastAsia="仿宋_GB2312"/>
          <w:sz w:val="30"/>
          <w:szCs w:val="30"/>
        </w:rPr>
        <w:t xml:space="preserve">  委托协议应当载明，甲方须向乙方支付其未指定交易期间所应承担的证券组合费。</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第二十八条</w:t>
      </w:r>
      <w:r>
        <w:rPr>
          <w:rFonts w:ascii="仿宋_GB2312" w:hAnsi="仿宋_GB2312" w:eastAsia="仿宋_GB2312"/>
          <w:sz w:val="30"/>
          <w:szCs w:val="30"/>
        </w:rPr>
        <w:t xml:space="preserve">  委托协议应当约定违约处理方式、违约责任、适用的法律和争议处理方式。</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第二十九条</w:t>
      </w:r>
      <w:r>
        <w:rPr>
          <w:rFonts w:ascii="仿宋_GB2312" w:hAnsi="仿宋_GB2312" w:eastAsia="仿宋_GB2312"/>
          <w:sz w:val="30"/>
          <w:szCs w:val="30"/>
        </w:rPr>
        <w:t xml:space="preserve">  委托协议应当约定，甲方知晓并认可，因上交所、中国结算制定、修改业务规则、根据业务规则履行自律监管职责等造成的损失，上交所和中国结算不承担责任；因交易异常情况或者上交所、上交所证券交易服务公司采取的相关措施造成的损失，上交所、上交所证券交易服务公司不承担民事赔偿责任，但存在重大过错的除外。甲方不得基于上述原因向上交所、上交所证券交易服务公司或中国结算主张相关责任。</w:t>
      </w:r>
    </w:p>
    <w:p>
      <w:pPr>
        <w:pStyle w:val="Normal"/>
        <w:spacing w:lineRule="exact" w:line="600"/>
        <w:ind w:firstLine="602" w:end="0"/>
        <w:rPr>
          <w:rFonts w:ascii="仿宋_GB2312" w:hAnsi="仿宋_GB2312" w:eastAsia="仿宋_GB2312"/>
          <w:sz w:val="30"/>
          <w:szCs w:val="30"/>
        </w:rPr>
      </w:pPr>
      <w:r>
        <w:rPr>
          <w:rFonts w:ascii="仿宋_GB2312" w:hAnsi="仿宋_GB2312" w:eastAsia="仿宋_GB2312"/>
          <w:b/>
          <w:sz w:val="30"/>
          <w:szCs w:val="30"/>
        </w:rPr>
        <w:t xml:space="preserve">第三十条  </w:t>
      </w:r>
      <w:r>
        <w:rPr>
          <w:rFonts w:ascii="仿宋_GB2312" w:hAnsi="仿宋_GB2312" w:eastAsia="仿宋_GB2312"/>
          <w:sz w:val="30"/>
          <w:szCs w:val="30"/>
        </w:rPr>
        <w:t>委托协议应当载明，如出现涉及甲方财产继承或财产归属的事宜或纠纷，乙方依据中国结算发布的相关业务规则办理。</w:t>
      </w:r>
    </w:p>
    <w:p>
      <w:pPr>
        <w:pStyle w:val="Normal"/>
        <w:spacing w:lineRule="exact" w:line="600"/>
        <w:ind w:firstLine="452" w:end="0"/>
        <w:rPr>
          <w:rFonts w:ascii="仿宋_GB2312" w:hAnsi="仿宋_GB2312" w:eastAsia="仿宋_GB2312"/>
          <w:sz w:val="30"/>
          <w:szCs w:val="30"/>
        </w:rPr>
      </w:pPr>
      <w:r>
        <w:rPr>
          <w:rFonts w:ascii="仿宋_GB2312" w:hAnsi="仿宋_GB2312" w:eastAsia="仿宋_GB2312"/>
          <w:b/>
          <w:sz w:val="30"/>
          <w:szCs w:val="30"/>
        </w:rPr>
        <w:t xml:space="preserve">第三十一条  </w:t>
      </w:r>
      <w:r>
        <w:rPr>
          <w:rFonts w:ascii="仿宋_GB2312" w:hAnsi="仿宋_GB2312" w:eastAsia="仿宋_GB2312"/>
          <w:sz w:val="30"/>
          <w:szCs w:val="30"/>
        </w:rPr>
        <w:t>采用纸质方式签署的，委托协议应当载明甲方为个人的，委托协议由甲方本人签字；甲方为机构的，委托协议由甲方法定代表人或授权代表签字，并加盖公章。证券投资产品的管理人实施投资管理的，应作为甲方签署委托协议。</w:t>
      </w:r>
    </w:p>
    <w:p>
      <w:pPr>
        <w:pStyle w:val="Normal"/>
        <w:spacing w:lineRule="exact" w:line="600"/>
        <w:ind w:firstLine="450" w:end="0"/>
        <w:rPr>
          <w:rFonts w:ascii="仿宋_GB2312" w:hAnsi="仿宋_GB2312" w:eastAsia="仿宋_GB2312"/>
          <w:sz w:val="30"/>
          <w:szCs w:val="30"/>
        </w:rPr>
      </w:pPr>
      <w:r>
        <w:rPr>
          <w:rFonts w:ascii="仿宋_GB2312" w:hAnsi="仿宋_GB2312" w:eastAsia="仿宋_GB2312"/>
          <w:sz w:val="30"/>
          <w:szCs w:val="30"/>
        </w:rPr>
        <w:t>采用电子方式签署的，委托协议应当载明电子合同和纸质合同具有同等法律效力。</w:t>
      </w:r>
    </w:p>
    <w:p>
      <w:pPr>
        <w:pStyle w:val="Normal"/>
        <w:spacing w:lineRule="exact" w:line="600"/>
        <w:ind w:firstLine="602" w:end="0"/>
        <w:rPr/>
      </w:pPr>
      <w:r>
        <w:rPr>
          <w:rFonts w:ascii="仿宋_GB2312" w:hAnsi="仿宋_GB2312" w:eastAsia="仿宋_GB2312"/>
          <w:b/>
          <w:sz w:val="30"/>
          <w:szCs w:val="30"/>
        </w:rPr>
        <w:t>第三十二条</w:t>
      </w:r>
      <w:r>
        <w:rPr>
          <w:rFonts w:ascii="仿宋_GB2312" w:hAnsi="仿宋_GB2312" w:eastAsia="仿宋_GB2312"/>
          <w:sz w:val="30"/>
          <w:szCs w:val="30"/>
        </w:rPr>
        <w:t xml:space="preserve">  委托协议应当约定协议成立与生效条件、协议份数等事项。</w:t>
      </w:r>
    </w:p>
    <w:p>
      <w:pPr>
        <w:pStyle w:val="Normal"/>
        <w:overflowPunct w:val="false"/>
        <w:spacing w:lineRule="exact" w:line="600"/>
        <w:rPr>
          <w:rFonts w:ascii="仿宋_GB2312" w:hAnsi="仿宋_GB2312" w:eastAsia="仿宋_GB2312" w:cs="宋体;SimSun"/>
          <w:bCs/>
          <w:color w:val="000000"/>
          <w:kern w:val="0"/>
          <w:sz w:val="30"/>
          <w:szCs w:val="30"/>
        </w:rPr>
      </w:pPr>
      <w:r>
        <w:rPr>
          <w:rFonts w:eastAsia="仿宋_GB2312" w:cs="宋体;SimSun" w:ascii="仿宋_GB2312" w:hAnsi="仿宋_GB2312"/>
          <w:bCs/>
          <w:color w:val="000000"/>
          <w:kern w:val="0"/>
          <w:sz w:val="30"/>
          <w:szCs w:val="30"/>
        </w:rPr>
      </w:r>
    </w:p>
    <w:sectPr>
      <w:footerReference w:type="even" r:id="rId2"/>
      <w:footerReference w:type="default" r:id="rId3"/>
      <w:type w:val="nextPage"/>
      <w:pgSz w:w="11906" w:h="16838"/>
      <w:pgMar w:left="1797" w:right="1797" w:gutter="0" w:header="0" w:top="1440" w:footer="992"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mbria">
    <w:charset w:val="00" w:characterSet="windows-1252"/>
    <w:family w:val="roman"/>
    <w:pitch w:val="variable"/>
  </w:font>
  <w:font w:name="Univers">
    <w:charset w:val="00" w:characterSet="windows-1252"/>
    <w:family w:val="swiss"/>
    <w:pitch w:val="variable"/>
  </w:font>
  <w:font w:name="仿宋_GB2312">
    <w:charset w:val="86"/>
    <w:family w:val="modern"/>
    <w:pitch w:val="default"/>
  </w:font>
  <w:font w:name="黑体">
    <w:altName w:val="SimHei"/>
    <w:charset w:val="86"/>
    <w:family w:val="modern"/>
    <w:pitch w:val="default"/>
  </w:font>
  <w:font w:name="楷体_GB2312">
    <w:charset w:val="86"/>
    <w:family w:val="modern"/>
    <w:pitch w:val="default"/>
  </w:font>
  <w:font w:name="宋体">
    <w:altName w:val="SimSun"/>
    <w:charset w:val="86"/>
    <w:family w:val="auto"/>
    <w:pitch w:val="variable"/>
  </w:font>
  <w:font w:name="方正大标宋简体">
    <w:altName w:val="Arial Unicode MS"/>
    <w:charset w:val="86"/>
    <w:family w:val="script"/>
    <w:pitch w:val="default"/>
  </w:font>
  <w:font w:name="ClassGarmnd BT">
    <w:altName w:val="Times New Roman"/>
    <w:charset w:val="00" w:characterSet="windows-1252"/>
    <w:family w:val="roman"/>
    <w:pitch w:val="variable"/>
  </w:font>
  <w:font w:name="Calibri">
    <w:charset w:val="00" w:characterSet="windows-1252"/>
    <w:family w:val="swiss"/>
    <w:pitch w:val="variable"/>
  </w:font>
  <w:font w:name="微软雅黑">
    <w:charset w:val="86"/>
    <w:family w:val="swiss"/>
    <w:pitch w:val="variable"/>
  </w:font>
  <w:font w:name="Arial Unicode MS">
    <w:charset w:val="86"/>
    <w:family w:val="swiss"/>
    <w:pitch w:val="variable"/>
  </w:font>
  <w:font w:name="Frutiger 45 Light">
    <w:altName w:val="Arial"/>
    <w:charset w:val="01"/>
    <w:family w:val="auto"/>
    <w:pitch w:val="default"/>
  </w:font>
  <w:font w:name="Courier New">
    <w:charset w:val="00" w:characterSet="windows-1252"/>
    <w:family w:val="modern"/>
    <w:pitch w:val="default"/>
  </w:font>
  <w:font w:name="等线">
    <w:altName w:val="Arial Unicode MS"/>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ascii="仿宋_GB2312" w:hAnsi="仿宋_GB2312" w:eastAsia="仿宋_GB2312"/>
        <w:bCs/>
        <w:sz w:val="28"/>
      </w:rPr>
      <w:t>－</w:t>
    </w:r>
    <w:r>
      <w:rPr>
        <w:rFonts w:ascii="仿宋_GB2312" w:hAnsi="仿宋_GB2312" w:eastAsia="仿宋_GB2312"/>
        <w:sz w:val="28"/>
      </w:rPr>
      <w:fldChar w:fldCharType="begin"/>
    </w:r>
    <w:r>
      <w:rPr>
        <w:sz w:val="28"/>
        <w:rFonts w:ascii="仿宋_GB2312" w:hAnsi="仿宋_GB2312" w:eastAsia="仿宋_GB2312"/>
      </w:rPr>
      <w:instrText xml:space="preserve"> PAGE </w:instrText>
    </w:r>
    <w:r>
      <w:rPr>
        <w:sz w:val="28"/>
        <w:rFonts w:ascii="仿宋_GB2312" w:hAnsi="仿宋_GB2312" w:eastAsia="仿宋_GB2312"/>
      </w:rPr>
      <w:fldChar w:fldCharType="separate"/>
    </w:r>
    <w:r>
      <w:rPr>
        <w:sz w:val="28"/>
        <w:rFonts w:ascii="仿宋_GB2312" w:hAnsi="仿宋_GB2312" w:eastAsia="仿宋_GB2312"/>
      </w:rPr>
      <w:t>8</w:t>
    </w:r>
    <w:r>
      <w:rPr>
        <w:sz w:val="28"/>
        <w:rFonts w:ascii="仿宋_GB2312" w:hAnsi="仿宋_GB2312" w:eastAsia="仿宋_GB2312"/>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3144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ascii="仿宋_GB2312" w:hAnsi="仿宋_GB2312" w:eastAsia="仿宋_GB2312"/>
        <w:bCs/>
        <w:sz w:val="28"/>
      </w:rPr>
      <w:t>－</w:t>
    </w:r>
    <w:r>
      <w:rPr>
        <w:rFonts w:ascii="仿宋_GB2312" w:hAnsi="仿宋_GB2312" w:eastAsia="仿宋_GB2312"/>
        <w:sz w:val="28"/>
      </w:rPr>
      <w:fldChar w:fldCharType="begin"/>
    </w:r>
    <w:r>
      <w:rPr>
        <w:sz w:val="28"/>
        <w:rFonts w:ascii="仿宋_GB2312" w:hAnsi="仿宋_GB2312" w:eastAsia="仿宋_GB2312"/>
      </w:rPr>
      <w:instrText xml:space="preserve"> PAGE </w:instrText>
    </w:r>
    <w:r>
      <w:rPr>
        <w:sz w:val="28"/>
        <w:rFonts w:ascii="仿宋_GB2312" w:hAnsi="仿宋_GB2312" w:eastAsia="仿宋_GB2312"/>
      </w:rPr>
      <w:fldChar w:fldCharType="separate"/>
    </w:r>
    <w:r>
      <w:rPr>
        <w:sz w:val="28"/>
        <w:rFonts w:ascii="仿宋_GB2312" w:hAnsi="仿宋_GB2312" w:eastAsia="仿宋_GB2312"/>
      </w:rPr>
      <w:t>9</w:t>
    </w:r>
    <w:r>
      <w:rPr>
        <w:sz w:val="28"/>
        <w:rFonts w:ascii="仿宋_GB2312" w:hAnsi="仿宋_GB2312" w:eastAsia="仿宋_GB2312"/>
      </w:rPr>
      <w:fldChar w:fldCharType="end"/>
    </w:r>
    <w:r>
      <w:rPr>
        <w:rFonts w:ascii="仿宋_GB2312" w:hAnsi="仿宋_GB2312" w:eastAsia="仿宋_GB2312"/>
        <w:bCs/>
        <w:sz w:val="28"/>
      </w:rPr>
      <w:t>－</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605"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jc w:val="cen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0.05pt;mso-position-vertical-relative:text;margin-left:207.25pt;mso-position-horizontal:center;mso-position-horizontal-relative:margin">
              <v:fill opacity="0f"/>
              <v:textbox inset="0in,0in,0in,0in">
                <w:txbxContent>
                  <w:p>
                    <w:pPr>
                      <w:pStyle w:val="Footer"/>
                      <w:jc w:val="cen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67"/>
        </w:tabs>
        <w:ind w:start="567" w:hanging="567"/>
      </w:pPr>
      <w:rPr>
        <w:sz w:val="24"/>
        <w:szCs w:val="24"/>
        <w:rFonts w:ascii="Times New Roman" w:hAnsi="Times New Roman" w:cs="Times New Roman"/>
        <w:color w:val="000000"/>
      </w:rPr>
    </w:lvl>
    <w:lvl w:ilvl="1">
      <w:start w:val="1"/>
      <w:numFmt w:val="decimal"/>
      <w:lvlText w:val="%1.%2."/>
      <w:lvlJc w:val="start"/>
      <w:pPr>
        <w:tabs>
          <w:tab w:val="num" w:pos="851"/>
        </w:tabs>
        <w:ind w:start="851" w:hanging="851"/>
      </w:pPr>
      <w:rPr>
        <w:sz w:val="24"/>
        <w:szCs w:val="24"/>
        <w:rFonts w:ascii="Times New Roman" w:hAnsi="Times New Roman" w:cs="Times New Roman"/>
        <w:color w:val="000000"/>
      </w:rPr>
    </w:lvl>
    <w:lvl w:ilvl="2">
      <w:start w:val="1"/>
      <w:numFmt w:val="decimal"/>
      <w:lvlText w:val="%1.%2.%3."/>
      <w:lvlJc w:val="start"/>
      <w:pPr>
        <w:tabs>
          <w:tab w:val="num" w:pos="1134"/>
        </w:tabs>
        <w:ind w:start="1134" w:hanging="1134"/>
      </w:pPr>
      <w:rPr>
        <w:sz w:val="24"/>
        <w:szCs w:val="24"/>
        <w:rFonts w:ascii="Times New Roman" w:hAnsi="Times New Roman" w:cs="Times New Roman"/>
        <w:color w:val="000000"/>
      </w:rPr>
    </w:lvl>
    <w:lvl w:ilvl="3">
      <w:start w:val="1"/>
      <w:numFmt w:val="decimal"/>
      <w:lvlText w:val="%1.%2.%3.%4."/>
      <w:lvlJc w:val="start"/>
      <w:pPr>
        <w:tabs>
          <w:tab w:val="num" w:pos="1418"/>
        </w:tabs>
        <w:ind w:start="1418" w:hanging="1418"/>
      </w:pPr>
      <w:rPr>
        <w:sz w:val="24"/>
        <w:szCs w:val="24"/>
        <w:rFonts w:ascii="Times New Roman" w:hAnsi="Times New Roman" w:cs="Times New Roman"/>
        <w:color w:val="000000"/>
      </w:rPr>
    </w:lvl>
    <w:lvl w:ilvl="4">
      <w:start w:val="1"/>
      <w:numFmt w:val="decimal"/>
      <w:lvlText w:val="%1.%2.%3.%4.%5."/>
      <w:lvlJc w:val="start"/>
      <w:pPr>
        <w:tabs>
          <w:tab w:val="num" w:pos="1701"/>
        </w:tabs>
        <w:ind w:start="1701" w:hanging="1701"/>
      </w:pPr>
      <w:rPr>
        <w:sz w:val="24"/>
        <w:szCs w:val="24"/>
        <w:rFonts w:ascii="Times New Roman" w:hAnsi="Times New Roman" w:cs="Times New Roman"/>
        <w:color w:val="000000"/>
      </w:rPr>
    </w:lvl>
    <w:lvl w:ilvl="5">
      <w:start w:val="1"/>
      <w:numFmt w:val="decimal"/>
      <w:lvlText w:val="%1.%2.%3.%4.%5.%6."/>
      <w:lvlJc w:val="start"/>
      <w:pPr>
        <w:tabs>
          <w:tab w:val="num" w:pos="1985"/>
        </w:tabs>
        <w:ind w:start="1985" w:hanging="1985"/>
      </w:pPr>
      <w:rPr>
        <w:sz w:val="24"/>
        <w:szCs w:val="24"/>
        <w:rFonts w:ascii="Times New Roman" w:hAnsi="Times New Roman" w:cs="Times New Roman"/>
        <w:color w:val="000000"/>
      </w:rPr>
    </w:lvl>
    <w:lvl w:ilvl="6">
      <w:start w:val="1"/>
      <w:numFmt w:val="decimal"/>
      <w:lvlText w:val="%1.%2.%3.%4.%5.%6.%7."/>
      <w:lvlJc w:val="start"/>
      <w:pPr>
        <w:tabs>
          <w:tab w:val="num" w:pos="2268"/>
        </w:tabs>
        <w:ind w:start="2268" w:hanging="2268"/>
      </w:pPr>
      <w:rPr>
        <w:sz w:val="24"/>
        <w:szCs w:val="24"/>
        <w:rFonts w:ascii="Times New Roman" w:hAnsi="Times New Roman" w:cs="Times New Roman"/>
        <w:color w:val="000000"/>
      </w:rPr>
    </w:lvl>
    <w:lvl w:ilvl="7">
      <w:start w:val="1"/>
      <w:numFmt w:val="decimal"/>
      <w:lvlText w:val="%1.%2.%3.%4.%5.%6.%7.%8."/>
      <w:lvlJc w:val="start"/>
      <w:pPr>
        <w:tabs>
          <w:tab w:val="num" w:pos="2552"/>
        </w:tabs>
        <w:ind w:start="2552" w:hanging="2552"/>
      </w:pPr>
      <w:rPr>
        <w:sz w:val="24"/>
        <w:szCs w:val="24"/>
        <w:rFonts w:ascii="Times New Roman" w:hAnsi="Times New Roman" w:cs="Times New Roman"/>
        <w:color w:val="000000"/>
      </w:rPr>
    </w:lvl>
    <w:lvl w:ilvl="8">
      <w:start w:val="1"/>
      <w:numFmt w:val="decimal"/>
      <w:lvlText w:val="%1.%2.%3.%4.%5.%6.%7.%8.%9."/>
      <w:lvlJc w:val="start"/>
      <w:pPr>
        <w:tabs>
          <w:tab w:val="num" w:pos="2835"/>
        </w:tabs>
        <w:ind w:start="2835" w:hanging="2835"/>
      </w:pPr>
      <w:rPr>
        <w:sz w:val="24"/>
        <w:rFonts w:ascii="Univers" w:hAnsi="Univers" w:cs="Times New Roman"/>
      </w:rPr>
    </w:lvl>
  </w:abstractNum>
  <w:abstractNum w:abstractNumId="3">
    <w:lvl w:ilvl="0">
      <w:start w:val="1"/>
      <w:numFmt w:val="chineseCountingThousand"/>
      <w:lvlText w:val="第%1条"/>
      <w:lvlJc w:val="start"/>
      <w:pPr>
        <w:tabs>
          <w:tab w:val="num" w:pos="0"/>
        </w:tabs>
        <w:ind w:start="2547" w:hanging="420"/>
      </w:pPr>
      <w:rPr>
        <w:sz w:val="30"/>
        <w:b w:val="false"/>
        <w:szCs w:val="30"/>
        <w:rFonts w:ascii="仿宋_GB2312" w:hAnsi="仿宋_GB2312" w:eastAsia="仿宋_GB2312" w:cs="黑体;SimHei"/>
        <w:color w:val="000000"/>
        <w:lang w:val="en-US"/>
      </w:rPr>
    </w:lvl>
    <w:lvl w:ilvl="1">
      <w:start w:val="1"/>
      <w:numFmt w:val="chineseCountingThousand"/>
      <w:lvlText w:val="(%2)"/>
      <w:lvlJc w:val="start"/>
      <w:pPr>
        <w:tabs>
          <w:tab w:val="num" w:pos="0"/>
        </w:tabs>
        <w:ind w:start="154" w:hanging="720"/>
      </w:pPr>
      <w:rPr>
        <w:lang w:val="en-US"/>
      </w:rPr>
    </w:lvl>
    <w:lvl w:ilvl="2">
      <w:start w:val="1"/>
      <w:numFmt w:val="chineseCountingThousand"/>
      <w:lvlText w:val="第%3节"/>
      <w:lvlJc w:val="start"/>
      <w:pPr>
        <w:tabs>
          <w:tab w:val="num" w:pos="0"/>
        </w:tabs>
        <w:ind w:start="284" w:hanging="720"/>
      </w:pPr>
      <w:rPr/>
    </w:lvl>
    <w:lvl w:ilvl="3">
      <w:start w:val="1"/>
      <w:numFmt w:val="chineseCountingThousand"/>
      <w:lvlText w:val="（%4）"/>
      <w:lvlJc w:val="start"/>
      <w:pPr>
        <w:tabs>
          <w:tab w:val="num" w:pos="0"/>
        </w:tabs>
        <w:ind w:start="1064" w:hanging="1080"/>
      </w:pPr>
      <w:rPr/>
    </w:lvl>
    <w:lvl w:ilvl="4">
      <w:start w:val="1"/>
      <w:numFmt w:val="lowerLetter"/>
      <w:lvlText w:val="%5)"/>
      <w:lvlJc w:val="start"/>
      <w:pPr>
        <w:tabs>
          <w:tab w:val="num" w:pos="0"/>
        </w:tabs>
        <w:ind w:start="824" w:hanging="420"/>
      </w:pPr>
    </w:lvl>
    <w:lvl w:ilvl="5">
      <w:start w:val="1"/>
      <w:numFmt w:val="lowerRoman"/>
      <w:lvlText w:val="%6."/>
      <w:lvlJc w:val="end"/>
      <w:pPr>
        <w:tabs>
          <w:tab w:val="num" w:pos="0"/>
        </w:tabs>
        <w:ind w:start="1244" w:hanging="420"/>
      </w:pPr>
    </w:lvl>
    <w:lvl w:ilvl="6">
      <w:start w:val="1"/>
      <w:numFmt w:val="decimal"/>
      <w:lvlText w:val="%7."/>
      <w:lvlJc w:val="start"/>
      <w:pPr>
        <w:tabs>
          <w:tab w:val="num" w:pos="0"/>
        </w:tabs>
        <w:ind w:start="1664" w:hanging="420"/>
      </w:pPr>
    </w:lvl>
    <w:lvl w:ilvl="7">
      <w:start w:val="1"/>
      <w:numFmt w:val="lowerLetter"/>
      <w:lvlText w:val="%8)"/>
      <w:lvlJc w:val="start"/>
      <w:pPr>
        <w:tabs>
          <w:tab w:val="num" w:pos="0"/>
        </w:tabs>
        <w:ind w:start="2084" w:hanging="420"/>
      </w:pPr>
    </w:lvl>
    <w:lvl w:ilvl="8">
      <w:start w:val="1"/>
      <w:numFmt w:val="lowerRoman"/>
      <w:lvlText w:val="%9."/>
      <w:lvlJc w:val="end"/>
      <w:pPr>
        <w:tabs>
          <w:tab w:val="num" w:pos="0"/>
        </w:tabs>
        <w:ind w:start="2504" w:hanging="420"/>
      </w:pPr>
    </w:lvl>
  </w:abstractNum>
  <w:abstractNum w:abstractNumId="4">
    <w:lvl w:ilvl="0">
      <w:start w:val="1"/>
      <w:numFmt w:val="chineseCountingThousand"/>
      <w:lvlText w:val="第%1条"/>
      <w:lvlJc w:val="start"/>
      <w:pPr>
        <w:tabs>
          <w:tab w:val="num" w:pos="0"/>
        </w:tabs>
        <w:ind w:start="3045" w:hanging="420"/>
      </w:pPr>
      <w:rPr>
        <w:sz w:val="30"/>
        <w:b/>
        <w:szCs w:val="30"/>
        <w:rFonts w:ascii="仿宋_GB2312" w:hAnsi="仿宋_GB2312" w:eastAsia="仿宋_GB2312" w:cs="Times New Roman"/>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lang w:val="zh-CN"/>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Arial" w:hAnsi="Arial" w:eastAsia="黑体;SimHei" w:cs="Arial"/>
      <w:b/>
      <w:bCs/>
      <w:kern w:val="0"/>
      <w:sz w:val="32"/>
      <w:szCs w:val="32"/>
      <w:lang w:val="zh-CN"/>
    </w:rPr>
  </w:style>
  <w:style w:type="paragraph" w:styleId="Heading3">
    <w:name w:val="heading 3"/>
    <w:basedOn w:val="Normal"/>
    <w:next w:val="Normal"/>
    <w:qFormat/>
    <w:pPr>
      <w:keepNext w:val="true"/>
      <w:keepLines/>
      <w:numPr>
        <w:ilvl w:val="2"/>
        <w:numId w:val="1"/>
      </w:numPr>
      <w:spacing w:lineRule="auto" w:line="415" w:before="260" w:after="260"/>
      <w:outlineLvl w:val="2"/>
    </w:pPr>
    <w:rPr>
      <w:b/>
      <w:bCs/>
      <w:kern w:val="0"/>
      <w:sz w:val="32"/>
      <w:szCs w:val="32"/>
      <w:lang w:val="zh-CN"/>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Cambria" w:hAnsi="Cambria" w:eastAsia="宋体;SimSun" w:cs="Times New Roman"/>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7" w:before="240" w:after="64"/>
      <w:outlineLvl w:val="5"/>
    </w:pPr>
    <w:rPr>
      <w:rFonts w:ascii="Arial" w:hAnsi="Arial" w:eastAsia="黑体;SimHei" w:cs="Arial"/>
      <w:b/>
      <w:bCs/>
      <w:sz w:val="24"/>
      <w:szCs w:val="24"/>
    </w:rPr>
  </w:style>
  <w:style w:type="character" w:styleId="WW8Num1z0">
    <w:name w:val="WW8Num1z0"/>
    <w:qFormat/>
    <w:rPr>
      <w:rFonts w:ascii="Times New Roman" w:hAnsi="Times New Roman" w:cs="Times New Roman"/>
      <w:color w:val="000000"/>
      <w:sz w:val="24"/>
      <w:szCs w:val="24"/>
    </w:rPr>
  </w:style>
  <w:style w:type="character" w:styleId="WW8Num1z8">
    <w:name w:val="WW8Num1z8"/>
    <w:qFormat/>
    <w:rPr>
      <w:rFonts w:ascii="Univers" w:hAnsi="Univers" w:cs="Times New Roman"/>
      <w:sz w:val="24"/>
    </w:rPr>
  </w:style>
  <w:style w:type="character" w:styleId="WW8Num2z0">
    <w:name w:val="WW8Num2z0"/>
    <w:qFormat/>
    <w:rPr>
      <w:rFonts w:cs="Times New Roman"/>
      <w:b/>
      <w:strike w:val="false"/>
      <w:dstrike w:val="false"/>
      <w:color w:val="000000"/>
      <w:sz w:val="24"/>
      <w:u w:val="none"/>
    </w:rPr>
  </w:style>
  <w:style w:type="character" w:styleId="WW8Num2z1">
    <w:name w:val="WW8Num2z1"/>
    <w:qFormat/>
    <w:rPr>
      <w:rFonts w:ascii="Times New Roman" w:hAnsi="Times New Roman" w:eastAsia="MS Mincho;ＭＳ 明朝" w:cs="Times New Roman"/>
      <w:b w:val="false"/>
      <w:color w:val="000000"/>
      <w:kern w:val="2"/>
      <w:sz w:val="24"/>
      <w:szCs w:val="24"/>
      <w:lang w:val="en-AU"/>
    </w:rPr>
  </w:style>
  <w:style w:type="character" w:styleId="WW8Num2z2">
    <w:name w:val="WW8Num2z2"/>
    <w:qFormat/>
    <w:rPr>
      <w:rFonts w:ascii="Times New Roman" w:hAnsi="Times New Roman" w:eastAsia="MS Mincho;ＭＳ 明朝" w:cs="Times New Roman"/>
      <w:color w:val="000000"/>
      <w:sz w:val="24"/>
      <w:szCs w:val="24"/>
    </w:rPr>
  </w:style>
  <w:style w:type="character" w:styleId="WW8Num3z0">
    <w:name w:val="WW8Num3z0"/>
    <w:qFormat/>
    <w:rPr>
      <w:rFonts w:cs="Times New Roman"/>
      <w:color w:val="000000"/>
      <w:sz w:val="24"/>
    </w:rPr>
  </w:style>
  <w:style w:type="character" w:styleId="WW8Num4z0">
    <w:name w:val="WW8Num4z0"/>
    <w:qFormat/>
    <w:rPr>
      <w:rFonts w:ascii="Times New Roman" w:hAnsi="Times New Roman" w:cs="Times New Roman"/>
      <w:color w:val="000000"/>
      <w:sz w:val="24"/>
      <w:szCs w:val="24"/>
    </w:rPr>
  </w:style>
  <w:style w:type="character" w:styleId="WW8Num5z0">
    <w:name w:val="WW8Num5z0"/>
    <w:qFormat/>
    <w:rPr>
      <w:rFonts w:ascii="Times New Roman" w:hAnsi="Times New Roman" w:eastAsia="MS Mincho;ＭＳ 明朝" w:cs="Times New Roman"/>
      <w:color w:val="000000"/>
      <w:sz w:val="24"/>
      <w:szCs w:val="24"/>
    </w:rPr>
  </w:style>
  <w:style w:type="character" w:styleId="WW8Num6z0">
    <w:name w:val="WW8Num6z0"/>
    <w:qFormat/>
    <w:rPr>
      <w:lang w:val="en-US"/>
    </w:rPr>
  </w:style>
  <w:style w:type="character" w:styleId="WW8Num8z0">
    <w:name w:val="WW8Num8z0"/>
    <w:qFormat/>
    <w:rPr>
      <w:rFonts w:ascii="仿宋_GB2312" w:hAnsi="仿宋_GB2312" w:eastAsia="仿宋_GB2312" w:cs="Times New Roman"/>
      <w:b/>
      <w:color w:val="000000"/>
      <w:sz w:val="30"/>
      <w:szCs w:val="30"/>
      <w:lang w:val="en-US"/>
    </w:rPr>
  </w:style>
  <w:style w:type="character" w:styleId="WW8Num9z0">
    <w:name w:val="WW8Num9z0"/>
    <w:qFormat/>
    <w:rPr>
      <w:rFonts w:cs="Times New Roman"/>
      <w:b/>
      <w:strike w:val="false"/>
      <w:dstrike w:val="false"/>
      <w:color w:val="000000"/>
      <w:sz w:val="24"/>
      <w:u w:val="none"/>
    </w:rPr>
  </w:style>
  <w:style w:type="character" w:styleId="WW8Num9z1">
    <w:name w:val="WW8Num9z1"/>
    <w:qFormat/>
    <w:rPr>
      <w:rFonts w:ascii="Times New Roman" w:hAnsi="Times New Roman" w:eastAsia="MS Mincho;ＭＳ 明朝" w:cs="Times New Roman"/>
      <w:b w:val="false"/>
      <w:color w:val="000000"/>
      <w:kern w:val="2"/>
      <w:sz w:val="24"/>
      <w:szCs w:val="24"/>
    </w:rPr>
  </w:style>
  <w:style w:type="character" w:styleId="WW8Num9z2">
    <w:name w:val="WW8Num9z2"/>
    <w:qFormat/>
    <w:rPr>
      <w:rFonts w:ascii="Times New Roman" w:hAnsi="Times New Roman" w:eastAsia="MS Mincho;ＭＳ 明朝" w:cs="Times New Roman"/>
      <w:color w:val="000000"/>
      <w:sz w:val="24"/>
      <w:szCs w:val="24"/>
    </w:rPr>
  </w:style>
  <w:style w:type="character" w:styleId="WW8Num11z0">
    <w:name w:val="WW8Num11z0"/>
    <w:qFormat/>
    <w:rPr/>
  </w:style>
  <w:style w:type="character" w:styleId="WW8Num12z0">
    <w:name w:val="WW8Num12z0"/>
    <w:qFormat/>
    <w:rPr>
      <w:rFonts w:ascii="仿宋_GB2312" w:hAnsi="仿宋_GB2312" w:eastAsia="仿宋_GB2312" w:cs="黑体;SimHei"/>
      <w:b w:val="false"/>
      <w:color w:val="000000"/>
      <w:sz w:val="30"/>
      <w:szCs w:val="30"/>
      <w:lang w:val="en-US"/>
    </w:rPr>
  </w:style>
  <w:style w:type="character" w:styleId="WW8Num12z1">
    <w:name w:val="WW8Num12z1"/>
    <w:qFormat/>
    <w:rPr>
      <w:lang w:val="en-US"/>
    </w:rPr>
  </w:style>
  <w:style w:type="character" w:styleId="WW8Num12z2">
    <w:name w:val="WW8Num12z2"/>
    <w:qFormat/>
    <w:rPr/>
  </w:style>
  <w:style w:type="character" w:styleId="WW8Num13z0">
    <w:name w:val="WW8Num13z0"/>
    <w:qFormat/>
    <w:rPr>
      <w:rFonts w:ascii="黑体;SimHei" w:hAnsi="黑体;SimHei" w:eastAsia="黑体;SimHei" w:cs="黑体;SimHei"/>
      <w:sz w:val="32"/>
      <w:szCs w:val="32"/>
    </w:rPr>
  </w:style>
  <w:style w:type="character" w:styleId="WW8Num14z0">
    <w:name w:val="WW8Num14z0"/>
    <w:qFormat/>
    <w:rPr>
      <w:rFonts w:ascii="仿宋_GB2312" w:hAnsi="仿宋_GB2312" w:eastAsia="仿宋_GB2312" w:cs="Times New Roman"/>
      <w:b/>
      <w:sz w:val="30"/>
      <w:szCs w:val="30"/>
    </w:rPr>
  </w:style>
  <w:style w:type="character" w:styleId="WW8Num14z1">
    <w:name w:val="WW8Num14z1"/>
    <w:qFormat/>
    <w:rPr>
      <w:rFonts w:ascii="仿宋_GB2312" w:hAnsi="仿宋_GB2312" w:eastAsia="仿宋_GB2312" w:cs="Times New Roman"/>
      <w:b w:val="false"/>
      <w:i w:val="false"/>
      <w:strike w:val="false"/>
      <w:dstrike w:val="false"/>
      <w:spacing w:val="0"/>
      <w:w w:val="100"/>
      <w:kern w:val="0"/>
      <w:position w:val="0"/>
      <w:sz w:val="32"/>
      <w:sz w:val="32"/>
      <w:szCs w:val="32"/>
      <w:u w:val="none"/>
      <w:vertAlign w:val="baseline"/>
    </w:rPr>
  </w:style>
  <w:style w:type="character" w:styleId="WW8Num14z2">
    <w:name w:val="WW8Num14z2"/>
    <w:qFormat/>
    <w:rPr>
      <w:rFonts w:cs="Times New Roman"/>
    </w:rPr>
  </w:style>
  <w:style w:type="character" w:styleId="WW8Num15z0">
    <w:name w:val="WW8Num15z0"/>
    <w:qFormat/>
    <w:rPr/>
  </w:style>
  <w:style w:type="character" w:styleId="WW8Num16z0">
    <w:name w:val="WW8Num16z0"/>
    <w:qFormat/>
    <w:rPr>
      <w:rFonts w:ascii="仿宋_GB2312" w:hAnsi="仿宋_GB2312" w:eastAsia="仿宋_GB2312"/>
      <w:b w:val="false"/>
      <w:bCs/>
      <w:sz w:val="30"/>
      <w:lang w:val="en-US"/>
    </w:rPr>
  </w:style>
  <w:style w:type="character" w:styleId="WW8Num17z0">
    <w:name w:val="WW8Num17z0"/>
    <w:qFormat/>
    <w:rPr>
      <w:rFonts w:ascii="仿宋_GB2312" w:hAnsi="仿宋_GB2312" w:eastAsia="仿宋_GB2312" w:cs="Times New Roman"/>
      <w:b/>
      <w:color w:val="000000"/>
      <w:sz w:val="30"/>
      <w:szCs w:val="30"/>
    </w:rPr>
  </w:style>
  <w:style w:type="character" w:styleId="Style8">
    <w:name w:val="默认段落字体"/>
    <w:qFormat/>
    <w:rPr/>
  </w:style>
  <w:style w:type="character" w:styleId="1Char">
    <w:name w:val="标题 1 Char"/>
    <w:qFormat/>
    <w:rPr>
      <w:rFonts w:eastAsia="宋体;SimSun"/>
      <w:b/>
      <w:bCs/>
      <w:kern w:val="2"/>
      <w:sz w:val="44"/>
      <w:szCs w:val="44"/>
      <w:lang w:val="zh-CN" w:bidi="ar-SA"/>
    </w:rPr>
  </w:style>
  <w:style w:type="character" w:styleId="2Char">
    <w:name w:val="标题 2 Char"/>
    <w:qFormat/>
    <w:rPr>
      <w:rFonts w:ascii="Arial" w:hAnsi="Arial" w:eastAsia="黑体;SimHei" w:cs="Arial"/>
      <w:b/>
      <w:bCs/>
      <w:sz w:val="32"/>
      <w:szCs w:val="32"/>
      <w:lang w:val="zh-CN" w:bidi="ar-SA"/>
    </w:rPr>
  </w:style>
  <w:style w:type="character" w:styleId="3Char">
    <w:name w:val="标题 3 Char"/>
    <w:qFormat/>
    <w:rPr>
      <w:rFonts w:eastAsia="宋体;SimSun"/>
      <w:b/>
      <w:bCs/>
      <w:sz w:val="32"/>
      <w:szCs w:val="32"/>
      <w:lang w:val="zh-CN" w:bidi="ar-SA"/>
    </w:rPr>
  </w:style>
  <w:style w:type="character" w:styleId="4Char">
    <w:name w:val="标题 4 Char"/>
    <w:basedOn w:val="Style8"/>
    <w:qFormat/>
    <w:rPr>
      <w:rFonts w:ascii="Cambria" w:hAnsi="Cambria" w:eastAsia="宋体;SimSun" w:cs="Times New Roman"/>
      <w:b/>
      <w:bCs/>
      <w:kern w:val="2"/>
      <w:sz w:val="28"/>
      <w:szCs w:val="28"/>
    </w:rPr>
  </w:style>
  <w:style w:type="character" w:styleId="5Char">
    <w:name w:val="标题 5 Char"/>
    <w:basedOn w:val="Style8"/>
    <w:qFormat/>
    <w:rPr>
      <w:b/>
      <w:bCs/>
      <w:kern w:val="2"/>
      <w:sz w:val="28"/>
      <w:szCs w:val="28"/>
    </w:rPr>
  </w:style>
  <w:style w:type="character" w:styleId="6Char">
    <w:name w:val="标题 6 Char"/>
    <w:basedOn w:val="Style8"/>
    <w:qFormat/>
    <w:rPr>
      <w:rFonts w:ascii="Arial" w:hAnsi="Arial" w:eastAsia="黑体;SimHei" w:cs="Arial"/>
      <w:b/>
      <w:bCs/>
      <w:kern w:val="2"/>
      <w:sz w:val="24"/>
      <w:szCs w:val="24"/>
    </w:rPr>
  </w:style>
  <w:style w:type="character" w:styleId="Char">
    <w:name w:val="页脚 Char"/>
    <w:qFormat/>
    <w:rPr>
      <w:rFonts w:eastAsia="宋体;SimSun"/>
      <w:kern w:val="2"/>
      <w:sz w:val="18"/>
      <w:szCs w:val="18"/>
      <w:lang w:val="en-US" w:eastAsia="zh-CN" w:bidi="ar-SA"/>
    </w:rPr>
  </w:style>
  <w:style w:type="character" w:styleId="PageNumber">
    <w:name w:val="page number"/>
    <w:basedOn w:val="Style8"/>
    <w:rPr/>
  </w:style>
  <w:style w:type="character" w:styleId="Char1">
    <w:name w:val="正文文本缩进 Char"/>
    <w:basedOn w:val="Style8"/>
    <w:qFormat/>
    <w:rPr>
      <w:rFonts w:ascii="仿宋_GB2312" w:hAnsi="仿宋_GB2312" w:eastAsia="仿宋_GB2312"/>
      <w:kern w:val="2"/>
      <w:sz w:val="30"/>
      <w:szCs w:val="24"/>
      <w:lang w:val="en-US" w:eastAsia="zh-CN" w:bidi="ar-SA"/>
    </w:rPr>
  </w:style>
  <w:style w:type="character" w:styleId="Char2">
    <w:name w:val="页眉 Char"/>
    <w:qFormat/>
    <w:rPr>
      <w:rFonts w:eastAsia="宋体;SimSun"/>
      <w:kern w:val="2"/>
      <w:sz w:val="18"/>
      <w:szCs w:val="18"/>
      <w:lang w:val="en-US" w:eastAsia="zh-CN" w:bidi="ar-SA"/>
    </w:rPr>
  </w:style>
  <w:style w:type="character" w:styleId="Char3">
    <w:name w:val="批注框文本 Char"/>
    <w:qFormat/>
    <w:rPr>
      <w:rFonts w:eastAsia="宋体;SimSun"/>
      <w:kern w:val="2"/>
      <w:sz w:val="18"/>
      <w:szCs w:val="18"/>
      <w:lang w:val="en-US" w:eastAsia="zh-CN" w:bidi="ar-SA"/>
    </w:rPr>
  </w:style>
  <w:style w:type="character" w:styleId="Char4">
    <w:name w:val="日期 Char"/>
    <w:basedOn w:val="Style8"/>
    <w:qFormat/>
    <w:rPr>
      <w:rFonts w:ascii="楷体_GB2312" w:hAnsi="楷体_GB2312" w:eastAsia="楷体_GB2312"/>
      <w:kern w:val="2"/>
      <w:sz w:val="32"/>
      <w:lang w:val="en-US" w:eastAsia="zh-CN" w:bidi="ar-SA"/>
    </w:rPr>
  </w:style>
  <w:style w:type="character" w:styleId="dash6b636587char">
    <w:name w:val="dash6b63_6587__char"/>
    <w:basedOn w:val="Style8"/>
    <w:qFormat/>
    <w:rPr/>
  </w:style>
  <w:style w:type="character" w:styleId="dash6b63005f6587005f005fcharchar">
    <w:name w:val="dash6b63_005f6587_005f_005fchar__char"/>
    <w:basedOn w:val="Style8"/>
    <w:qFormat/>
    <w:rPr/>
  </w:style>
  <w:style w:type="character" w:styleId="Char5">
    <w:name w:val="纯文本 Char"/>
    <w:basedOn w:val="Style8"/>
    <w:qFormat/>
    <w:rPr>
      <w:rFonts w:ascii="宋体;SimSun" w:hAnsi="宋体;SimSun" w:eastAsia="宋体;SimSun" w:cs="Courier New"/>
      <w:kern w:val="2"/>
      <w:sz w:val="21"/>
      <w:szCs w:val="21"/>
      <w:lang w:val="en-US" w:eastAsia="zh-CN" w:bidi="ar-SA"/>
    </w:rPr>
  </w:style>
  <w:style w:type="character" w:styleId="Hyperlink">
    <w:name w:val="Hyperlink"/>
    <w:rPr>
      <w:rFonts w:cs="Times New Roman"/>
      <w:color w:val="0000FF"/>
      <w:u w:val="single"/>
    </w:rPr>
  </w:style>
  <w:style w:type="character" w:styleId="2Char1">
    <w:name w:val="正文文本 2 Char"/>
    <w:qFormat/>
    <w:rPr>
      <w:rFonts w:ascii="宋体;SimSun" w:hAnsi="宋体;SimSun" w:eastAsia="宋体;SimSun" w:cs="Courier New"/>
      <w:sz w:val="21"/>
      <w:szCs w:val="21"/>
      <w:lang w:val="zh-CN" w:bidi="ar-SA"/>
    </w:rPr>
  </w:style>
  <w:style w:type="character" w:styleId="Char6">
    <w:name w:val="列出段落 Char"/>
    <w:qFormat/>
    <w:rPr>
      <w:kern w:val="2"/>
      <w:sz w:val="21"/>
      <w:szCs w:val="24"/>
    </w:rPr>
  </w:style>
  <w:style w:type="character" w:styleId="Char7">
    <w:name w:val="尾注文本 Char"/>
    <w:qFormat/>
    <w:rPr>
      <w:rFonts w:eastAsia="宋体;SimSun"/>
      <w:sz w:val="24"/>
      <w:szCs w:val="24"/>
      <w:lang w:val="zh-CN" w:bidi="ar-SA"/>
    </w:rPr>
  </w:style>
  <w:style w:type="character" w:styleId="EndnoteCharacters">
    <w:name w:val="Endnote Characters"/>
    <w:qFormat/>
    <w:rPr>
      <w:rFonts w:cs="Times New Roman"/>
      <w:vertAlign w:val="superscript"/>
    </w:rPr>
  </w:style>
  <w:style w:type="character" w:styleId="Style9">
    <w:name w:val="批注引用"/>
    <w:qFormat/>
    <w:rPr>
      <w:rFonts w:cs="Times New Roman"/>
      <w:sz w:val="21"/>
      <w:szCs w:val="21"/>
    </w:rPr>
  </w:style>
  <w:style w:type="character" w:styleId="Char8">
    <w:name w:val="批注文字 Char"/>
    <w:qFormat/>
    <w:rPr>
      <w:rFonts w:eastAsia="宋体;SimSun"/>
      <w:sz w:val="24"/>
      <w:szCs w:val="24"/>
      <w:lang w:val="zh-CN" w:bidi="ar-SA"/>
    </w:rPr>
  </w:style>
  <w:style w:type="character" w:styleId="FollowedHyperlink">
    <w:name w:val="FollowedHyperlink"/>
    <w:basedOn w:val="Style8"/>
    <w:rPr>
      <w:color w:val="800080"/>
      <w:u w:val="single"/>
    </w:rPr>
  </w:style>
  <w:style w:type="character" w:styleId="Char9">
    <w:name w:val="内页正文 Char"/>
    <w:qFormat/>
    <w:rPr>
      <w:rFonts w:ascii="Arial" w:hAnsi="Arial" w:eastAsia="汉仪中等线简;Arial Unicode MS" w:cs="Arial"/>
      <w:color w:val="000000"/>
      <w:sz w:val="18"/>
      <w:szCs w:val="18"/>
      <w:lang w:bidi="ar-SA"/>
    </w:rPr>
  </w:style>
  <w:style w:type="character" w:styleId="CharChar15">
    <w:name w:val=" Char Char15"/>
    <w:basedOn w:val="Style8"/>
    <w:qFormat/>
    <w:rPr>
      <w:rFonts w:eastAsia="宋体;SimSun"/>
      <w:b/>
      <w:bCs/>
      <w:kern w:val="2"/>
      <w:sz w:val="44"/>
      <w:szCs w:val="44"/>
      <w:lang w:val="en-US" w:eastAsia="zh-CN" w:bidi="ar-SA"/>
    </w:rPr>
  </w:style>
  <w:style w:type="character" w:styleId="CharChar14">
    <w:name w:val=" Char Char14"/>
    <w:basedOn w:val="Style8"/>
    <w:qFormat/>
    <w:rPr>
      <w:rFonts w:eastAsia="宋体;SimSun"/>
      <w:b/>
      <w:bCs/>
      <w:kern w:val="2"/>
      <w:sz w:val="32"/>
      <w:szCs w:val="32"/>
      <w:lang w:val="en-US" w:eastAsia="zh-CN" w:bidi="ar-SA"/>
    </w:rPr>
  </w:style>
  <w:style w:type="character" w:styleId="CharChar13">
    <w:name w:val=" Char Char13"/>
    <w:basedOn w:val="Style8"/>
    <w:qFormat/>
    <w:rPr>
      <w:rFonts w:eastAsia="宋体;SimSun"/>
      <w:kern w:val="2"/>
      <w:sz w:val="18"/>
      <w:szCs w:val="18"/>
      <w:lang w:val="en-US" w:eastAsia="zh-CN" w:bidi="ar-SA"/>
    </w:rPr>
  </w:style>
  <w:style w:type="character" w:styleId="CharChar12">
    <w:name w:val=" Char Char12"/>
    <w:basedOn w:val="Style8"/>
    <w:qFormat/>
    <w:rPr>
      <w:rFonts w:eastAsia="宋体;SimSun"/>
      <w:kern w:val="2"/>
      <w:sz w:val="18"/>
      <w:szCs w:val="18"/>
      <w:lang w:val="en-US" w:eastAsia="zh-CN" w:bidi="ar-SA"/>
    </w:rPr>
  </w:style>
  <w:style w:type="character" w:styleId="Char11">
    <w:name w:val="正文文本缩进 Char1"/>
    <w:basedOn w:val="Style8"/>
    <w:qFormat/>
    <w:rPr>
      <w:kern w:val="2"/>
      <w:sz w:val="21"/>
      <w:szCs w:val="24"/>
    </w:rPr>
  </w:style>
  <w:style w:type="character" w:styleId="Char12">
    <w:name w:val="日期 Char1"/>
    <w:basedOn w:val="Style8"/>
    <w:qFormat/>
    <w:rPr>
      <w:kern w:val="2"/>
      <w:sz w:val="21"/>
      <w:szCs w:val="24"/>
    </w:rPr>
  </w:style>
  <w:style w:type="character" w:styleId="Char10">
    <w:name w:val="正文文本 Char"/>
    <w:basedOn w:val="Style8"/>
    <w:qFormat/>
    <w:rPr>
      <w:rFonts w:eastAsia="Times New Roman"/>
      <w:kern w:val="2"/>
      <w:sz w:val="21"/>
      <w:szCs w:val="24"/>
      <w:lang w:val="zh-CN" w:eastAsia="zh-CN"/>
    </w:rPr>
  </w:style>
  <w:style w:type="character" w:styleId="Char13">
    <w:name w:val="正文文本 Char1"/>
    <w:basedOn w:val="Style8"/>
    <w:qFormat/>
    <w:rPr>
      <w:kern w:val="2"/>
      <w:sz w:val="21"/>
      <w:szCs w:val="24"/>
    </w:rPr>
  </w:style>
  <w:style w:type="character" w:styleId="Char14">
    <w:name w:val="批注框文本 Char1"/>
    <w:basedOn w:val="Style8"/>
    <w:qFormat/>
    <w:rPr>
      <w:kern w:val="2"/>
      <w:sz w:val="18"/>
      <w:szCs w:val="18"/>
    </w:rPr>
  </w:style>
  <w:style w:type="character" w:styleId="2Char2">
    <w:name w:val="正文文本缩进 2 Char"/>
    <w:basedOn w:val="Style8"/>
    <w:qFormat/>
    <w:rPr>
      <w:rFonts w:ascii="仿宋_GB2312" w:hAnsi="仿宋_GB2312" w:eastAsia="仿宋_GB2312" w:cs="宋体;SimSun"/>
      <w:kern w:val="2"/>
      <w:sz w:val="30"/>
      <w:szCs w:val="30"/>
      <w:lang w:val="zh-CN" w:eastAsia="zh-CN"/>
    </w:rPr>
  </w:style>
  <w:style w:type="character" w:styleId="2Char11">
    <w:name w:val="正文文本缩进 2 Char1"/>
    <w:basedOn w:val="Style8"/>
    <w:qFormat/>
    <w:rPr>
      <w:kern w:val="2"/>
      <w:sz w:val="21"/>
      <w:szCs w:val="24"/>
    </w:rPr>
  </w:style>
  <w:style w:type="character" w:styleId="2Char12">
    <w:name w:val="正文文本 2 Char1"/>
    <w:basedOn w:val="Style8"/>
    <w:qFormat/>
    <w:rPr>
      <w:kern w:val="2"/>
      <w:sz w:val="21"/>
      <w:szCs w:val="24"/>
    </w:rPr>
  </w:style>
  <w:style w:type="character" w:styleId="3Char1">
    <w:name w:val="正文文本缩进 3 Char"/>
    <w:basedOn w:val="Style8"/>
    <w:qFormat/>
    <w:rPr>
      <w:rFonts w:ascii="仿宋_GB2312" w:hAnsi="仿宋_GB2312" w:eastAsia="仿宋_GB2312"/>
      <w:sz w:val="30"/>
      <w:szCs w:val="28"/>
      <w:lang w:val="zh-CN" w:eastAsia="zh-CN"/>
    </w:rPr>
  </w:style>
  <w:style w:type="character" w:styleId="3Char11">
    <w:name w:val="正文文本缩进 3 Char1"/>
    <w:basedOn w:val="Style8"/>
    <w:qFormat/>
    <w:rPr>
      <w:kern w:val="2"/>
      <w:sz w:val="16"/>
      <w:szCs w:val="16"/>
    </w:rPr>
  </w:style>
  <w:style w:type="character" w:styleId="3Char2">
    <w:name w:val="正文文本 3 Char"/>
    <w:basedOn w:val="Style8"/>
    <w:qFormat/>
    <w:rPr>
      <w:rFonts w:ascii="方正大标宋简体;Arial Unicode MS" w:hAnsi="方正大标宋简体;Arial Unicode MS" w:eastAsia="方正大标宋简体;Arial Unicode MS" w:cs="宋体;SimSun"/>
      <w:bCs/>
      <w:kern w:val="2"/>
      <w:sz w:val="42"/>
      <w:szCs w:val="42"/>
      <w:lang w:val="zh-CN" w:eastAsia="zh-CN"/>
    </w:rPr>
  </w:style>
  <w:style w:type="character" w:styleId="3Char12">
    <w:name w:val="正文文本 3 Char1"/>
    <w:basedOn w:val="Style8"/>
    <w:qFormat/>
    <w:rPr>
      <w:kern w:val="2"/>
      <w:sz w:val="16"/>
      <w:szCs w:val="16"/>
    </w:rPr>
  </w:style>
  <w:style w:type="character" w:styleId="Char15">
    <w:name w:val="纯文本 Char1"/>
    <w:basedOn w:val="Style8"/>
    <w:qFormat/>
    <w:rPr>
      <w:rFonts w:ascii="宋体;SimSun" w:hAnsi="宋体;SimSun" w:cs="Courier New"/>
      <w:kern w:val="2"/>
      <w:sz w:val="21"/>
      <w:szCs w:val="21"/>
    </w:rPr>
  </w:style>
  <w:style w:type="character" w:styleId="Char16">
    <w:name w:val="条款 Char"/>
    <w:qFormat/>
    <w:rPr>
      <w:rFonts w:ascii="仿宋_GB2312" w:hAnsi="仿宋_GB2312" w:eastAsia="仿宋_GB2312" w:cs="Calibri"/>
      <w:color w:val="000000"/>
      <w:sz w:val="28"/>
      <w:lang w:bidi="ar-SA"/>
    </w:rPr>
  </w:style>
  <w:style w:type="character" w:styleId="Char17">
    <w:name w:val="脚注文本 Char"/>
    <w:basedOn w:val="Style8"/>
    <w:qFormat/>
    <w:rPr>
      <w:rFonts w:eastAsia="Times New Roman"/>
      <w:kern w:val="2"/>
      <w:sz w:val="18"/>
      <w:szCs w:val="18"/>
      <w:lang w:val="zh-CN" w:eastAsia="zh-CN"/>
    </w:rPr>
  </w:style>
  <w:style w:type="character" w:styleId="Char18">
    <w:name w:val="脚注文本 Char1"/>
    <w:basedOn w:val="Style8"/>
    <w:qFormat/>
    <w:rPr>
      <w:kern w:val="2"/>
      <w:sz w:val="18"/>
      <w:szCs w:val="18"/>
    </w:rPr>
  </w:style>
  <w:style w:type="character" w:styleId="Char19">
    <w:name w:val="批注主题 Char"/>
    <w:basedOn w:val="Char8"/>
    <w:qFormat/>
    <w:rPr>
      <w:b/>
      <w:bCs/>
      <w:kern w:val="2"/>
      <w:sz w:val="21"/>
    </w:rPr>
  </w:style>
  <w:style w:type="character" w:styleId="1Char1">
    <w:name w:val="样式1 Char"/>
    <w:qFormat/>
    <w:rPr>
      <w:rFonts w:ascii="仿宋_GB2312" w:hAnsi="仿宋_GB2312" w:eastAsia="仿宋_GB2312" w:cs="宋体;SimSun"/>
      <w:sz w:val="30"/>
      <w:szCs w:val="30"/>
    </w:rPr>
  </w:style>
  <w:style w:type="character" w:styleId="SSEChar">
    <w:name w:val="SSE正文 Char"/>
    <w:basedOn w:val="Style8"/>
    <w:qFormat/>
    <w:rPr>
      <w:rFonts w:eastAsia="仿宋_GB2312"/>
      <w:kern w:val="2"/>
      <w:sz w:val="28"/>
      <w:szCs w:val="28"/>
    </w:rPr>
  </w:style>
  <w:style w:type="character" w:styleId="Strong">
    <w:name w:val="Strong"/>
    <w:basedOn w:val="Style8"/>
    <w:qFormat/>
    <w:rPr>
      <w:b/>
      <w:bCs/>
    </w:rPr>
  </w:style>
  <w:style w:type="character" w:styleId="FootnoteCharacters">
    <w:name w:val="Footnote Characters"/>
    <w:basedOn w:val="Style8"/>
    <w:qFormat/>
    <w:rPr>
      <w:vertAlign w:val="superscript"/>
    </w:rPr>
  </w:style>
  <w:style w:type="character" w:styleId="SSE1Char">
    <w:name w:val="SSE标题1 Char"/>
    <w:basedOn w:val="Style8"/>
    <w:qFormat/>
    <w:rPr>
      <w:rFonts w:eastAsia="黑体;SimHei"/>
      <w:b/>
      <w:bCs/>
      <w:kern w:val="2"/>
      <w:sz w:val="30"/>
      <w:szCs w:val="30"/>
    </w:rPr>
  </w:style>
  <w:style w:type="character" w:styleId="SSE0Char">
    <w:name w:val="SSE标题0 Char"/>
    <w:basedOn w:val="Style8"/>
    <w:qFormat/>
    <w:rPr>
      <w:rFonts w:eastAsia="华文中宋"/>
      <w:b/>
      <w:kern w:val="2"/>
      <w:sz w:val="44"/>
      <w:szCs w:val="44"/>
    </w:rPr>
  </w:style>
  <w:style w:type="character" w:styleId="Char20">
    <w:name w:val="副标题 Char"/>
    <w:basedOn w:val="Style8"/>
    <w:qFormat/>
    <w:rPr>
      <w:rFonts w:ascii="Cambria" w:hAnsi="Cambria" w:cs="Times New Roman"/>
      <w:b/>
      <w:bCs/>
      <w:kern w:val="2"/>
      <w:sz w:val="32"/>
      <w:szCs w:val="32"/>
    </w:rPr>
  </w:style>
  <w:style w:type="character" w:styleId="Char21">
    <w:name w:val="标题 Char"/>
    <w:basedOn w:val="Style8"/>
    <w:qFormat/>
    <w:rPr>
      <w:rFonts w:ascii="ClassGarmnd BT;Times New Roman" w:hAnsi="ClassGarmnd BT;Times New Roman" w:eastAsia="宋体;SimSun" w:cs="ClassGarmnd BT;Times New Roman"/>
      <w:b/>
      <w:kern w:val="2"/>
      <w:sz w:val="32"/>
      <w:lang w:val="en-AU"/>
    </w:rPr>
  </w:style>
  <w:style w:type="character" w:styleId="Char22">
    <w:name w:val="语句 Char"/>
    <w:qFormat/>
    <w:rPr>
      <w:rFonts w:ascii="仿宋_GB2312" w:hAnsi="仿宋_GB2312" w:eastAsia="仿宋_GB2312"/>
      <w:b/>
      <w:i/>
      <w:sz w:val="30"/>
      <w:szCs w:val="30"/>
    </w:rPr>
  </w:style>
  <w:style w:type="character" w:styleId="KKChar">
    <w:name w:val="KK一级 Char"/>
    <w:qFormat/>
    <w:rPr>
      <w:rFonts w:ascii="仿宋_GB2312" w:hAnsi="仿宋_GB2312" w:eastAsia="仿宋_GB2312" w:cs="Calibri"/>
      <w:b/>
      <w:bCs/>
      <w:sz w:val="30"/>
      <w:szCs w:val="30"/>
    </w:rPr>
  </w:style>
  <w:style w:type="character" w:styleId="KKChar1">
    <w:name w:val="KK二级 Char"/>
    <w:qFormat/>
    <w:rPr>
      <w:rFonts w:ascii="仿宋_GB2312" w:hAnsi="仿宋_GB2312" w:eastAsia="仿宋_GB2312" w:cs="Calibri"/>
      <w:b/>
      <w:bCs/>
      <w:sz w:val="30"/>
      <w:szCs w:val="30"/>
    </w:rPr>
  </w:style>
  <w:style w:type="character" w:styleId="eeeChar">
    <w:name w:val="eee Char"/>
    <w:qFormat/>
    <w:rPr>
      <w:rFonts w:ascii="宋体;SimSun" w:hAnsi="宋体;SimSun" w:cs="宋体;SimSun"/>
      <w:sz w:val="24"/>
      <w:szCs w:val="24"/>
    </w:rPr>
  </w:style>
  <w:style w:type="character" w:styleId="SSEChar1">
    <w:name w:val="SSE内容提要正文 Char"/>
    <w:qFormat/>
    <w:rPr>
      <w:rFonts w:ascii="仿宋_GB2312" w:hAnsi="仿宋_GB2312" w:eastAsia="仿宋_GB2312"/>
      <w:sz w:val="28"/>
    </w:rPr>
  </w:style>
  <w:style w:type="character" w:styleId="SSEChar2">
    <w:name w:val="SSE资料来源 Char"/>
    <w:qFormat/>
    <w:rPr>
      <w:rFonts w:ascii="仿宋_GB2312" w:hAnsi="仿宋_GB2312" w:eastAsia="仿宋_GB2312"/>
      <w:color w:val="000000"/>
    </w:rPr>
  </w:style>
  <w:style w:type="character" w:styleId="SSE2Char">
    <w:name w:val="SSE标题2 Char"/>
    <w:qFormat/>
    <w:rPr>
      <w:rFonts w:ascii="仿宋_GB2312" w:hAnsi="仿宋_GB2312" w:eastAsia="仿宋_GB2312"/>
      <w:b/>
      <w:bCs/>
      <w:sz w:val="28"/>
      <w:szCs w:val="28"/>
    </w:rPr>
  </w:style>
  <w:style w:type="character" w:styleId="SSEChar3">
    <w:name w:val="SSE表格文字 Char"/>
    <w:qFormat/>
    <w:rPr>
      <w:rFonts w:ascii="仿宋_GB2312" w:hAnsi="仿宋_GB2312" w:eastAsia="仿宋_GB2312"/>
      <w:color w:val="000000"/>
      <w:sz w:val="24"/>
      <w:szCs w:val="24"/>
    </w:rPr>
  </w:style>
  <w:style w:type="character" w:styleId="SSEChar4">
    <w:name w:val="SSE图表标题 Char"/>
    <w:qFormat/>
    <w:rPr>
      <w:rFonts w:ascii="仿宋_GB2312" w:hAnsi="仿宋_GB2312" w:eastAsia="仿宋_GB2312"/>
      <w:b/>
      <w:bCs/>
      <w:color w:val="000000"/>
      <w:sz w:val="24"/>
      <w:szCs w:val="24"/>
    </w:rPr>
  </w:style>
  <w:style w:type="character" w:styleId="1">
    <w:name w:val="标题 1 字符"/>
    <w:qFormat/>
    <w:rPr>
      <w:rFonts w:ascii="Calibri" w:hAnsi="Calibri" w:eastAsia="宋体;SimSun" w:cs="Times New Roman"/>
      <w:b/>
      <w:bCs/>
      <w:kern w:val="2"/>
      <w:sz w:val="44"/>
      <w:szCs w:val="44"/>
    </w:rPr>
  </w:style>
  <w:style w:type="character" w:styleId="2">
    <w:name w:val="标题 2 字符"/>
    <w:qFormat/>
    <w:rPr>
      <w:rFonts w:ascii="Cambria" w:hAnsi="Cambria" w:eastAsia="宋体;SimSun" w:cs="Times New Roman"/>
      <w:b/>
      <w:bCs/>
      <w:sz w:val="32"/>
      <w:szCs w:val="32"/>
    </w:rPr>
  </w:style>
  <w:style w:type="character" w:styleId="3">
    <w:name w:val="标题 3 字符"/>
    <w:qFormat/>
    <w:rPr>
      <w:rFonts w:ascii="Calibri" w:hAnsi="Calibri" w:eastAsia="宋体;SimSun" w:cs="Times New Roman"/>
      <w:b/>
      <w:bCs/>
      <w:sz w:val="32"/>
      <w:szCs w:val="32"/>
    </w:rPr>
  </w:style>
  <w:style w:type="character" w:styleId="4">
    <w:name w:val="标题 4 字符"/>
    <w:qFormat/>
    <w:rPr>
      <w:rFonts w:ascii="Cambria" w:hAnsi="Cambria" w:eastAsia="宋体;SimSun" w:cs="Times New Roman"/>
      <w:b/>
      <w:bCs/>
      <w:sz w:val="28"/>
      <w:szCs w:val="28"/>
    </w:rPr>
  </w:style>
  <w:style w:type="character" w:styleId="6">
    <w:name w:val="标题 6 字符"/>
    <w:qFormat/>
    <w:rPr>
      <w:rFonts w:ascii="Cambria" w:hAnsi="Cambria" w:eastAsia="宋体;SimSun" w:cs="Times New Roman"/>
      <w:b/>
      <w:bCs/>
      <w:sz w:val="24"/>
      <w:szCs w:val="24"/>
    </w:rPr>
  </w:style>
  <w:style w:type="character" w:styleId="Style10">
    <w:name w:val="页眉 字符"/>
    <w:qFormat/>
    <w:rPr>
      <w:rFonts w:ascii="Calibri" w:hAnsi="Calibri" w:eastAsia="宋体;SimSun" w:cs="Times New Roman"/>
      <w:sz w:val="18"/>
      <w:szCs w:val="18"/>
    </w:rPr>
  </w:style>
  <w:style w:type="character" w:styleId="Style11">
    <w:name w:val="页脚 字符"/>
    <w:qFormat/>
    <w:rPr>
      <w:rFonts w:ascii="Calibri" w:hAnsi="Calibri" w:eastAsia="宋体;SimSun" w:cs="Times New Roman"/>
      <w:sz w:val="18"/>
      <w:szCs w:val="18"/>
    </w:rPr>
  </w:style>
  <w:style w:type="character" w:styleId="Style12">
    <w:name w:val="正文文本缩进 字符"/>
    <w:qFormat/>
    <w:rPr>
      <w:rFonts w:ascii="Calibri" w:hAnsi="Calibri" w:eastAsia="宋体;SimSun" w:cs="Times New Roman"/>
    </w:rPr>
  </w:style>
  <w:style w:type="character" w:styleId="Style13">
    <w:name w:val="批注框文本 字符"/>
    <w:qFormat/>
    <w:rPr>
      <w:rFonts w:ascii="Calibri" w:hAnsi="Calibri" w:eastAsia="宋体;SimSun" w:cs="Times New Roman"/>
      <w:sz w:val="18"/>
      <w:szCs w:val="18"/>
    </w:rPr>
  </w:style>
  <w:style w:type="character" w:styleId="Style14">
    <w:name w:val="日期 字符"/>
    <w:qFormat/>
    <w:rPr>
      <w:rFonts w:ascii="Calibri" w:hAnsi="Calibri" w:eastAsia="宋体;SimSun" w:cs="Times New Roman"/>
    </w:rPr>
  </w:style>
  <w:style w:type="character" w:styleId="Style15">
    <w:name w:val="纯文本 字符"/>
    <w:qFormat/>
    <w:rPr>
      <w:rFonts w:ascii="宋体;SimSun" w:hAnsi="宋体;SimSun" w:eastAsia="宋体;SimSun" w:cs="Courier New"/>
    </w:rPr>
  </w:style>
  <w:style w:type="character" w:styleId="21">
    <w:name w:val="正文文本 2 字符"/>
    <w:qFormat/>
    <w:rPr>
      <w:rFonts w:ascii="Calibri" w:hAnsi="Calibri" w:eastAsia="宋体;SimSun" w:cs="Times New Roman"/>
    </w:rPr>
  </w:style>
  <w:style w:type="character" w:styleId="Char110">
    <w:name w:val="尾注文本 Char1"/>
    <w:basedOn w:val="Style8"/>
    <w:qFormat/>
    <w:rPr>
      <w:rFonts w:ascii="Times New Roman" w:hAnsi="Times New Roman" w:eastAsia="宋体;SimSun" w:cs="Times New Roman"/>
      <w:kern w:val="0"/>
      <w:sz w:val="24"/>
      <w:szCs w:val="24"/>
    </w:rPr>
  </w:style>
  <w:style w:type="character" w:styleId="Style16">
    <w:name w:val="尾注文本 字符"/>
    <w:qFormat/>
    <w:rPr>
      <w:rFonts w:ascii="Calibri" w:hAnsi="Calibri" w:eastAsia="宋体;SimSun" w:cs="Times New Roman"/>
    </w:rPr>
  </w:style>
  <w:style w:type="character" w:styleId="Char111">
    <w:name w:val="批注文字 Char1"/>
    <w:basedOn w:val="Style8"/>
    <w:qFormat/>
    <w:rPr>
      <w:rFonts w:ascii="Times New Roman" w:hAnsi="Times New Roman" w:eastAsia="宋体;SimSun" w:cs="Times New Roman"/>
      <w:kern w:val="0"/>
      <w:sz w:val="24"/>
      <w:szCs w:val="24"/>
    </w:rPr>
  </w:style>
  <w:style w:type="character" w:styleId="Style17">
    <w:name w:val="批注文字 字符"/>
    <w:qFormat/>
    <w:rPr>
      <w:rFonts w:ascii="Calibri" w:hAnsi="Calibri" w:eastAsia="宋体;SimSun" w:cs="Times New Roman"/>
    </w:rPr>
  </w:style>
  <w:style w:type="character" w:styleId="Style18">
    <w:name w:val="正文文本 字符"/>
    <w:qFormat/>
    <w:rPr>
      <w:rFonts w:ascii="Calibri" w:hAnsi="Calibri" w:eastAsia="宋体;SimSun" w:cs="Times New Roman"/>
    </w:rPr>
  </w:style>
  <w:style w:type="character" w:styleId="22">
    <w:name w:val="正文文本缩进 2 字符"/>
    <w:qFormat/>
    <w:rPr>
      <w:rFonts w:ascii="Calibri" w:hAnsi="Calibri" w:eastAsia="宋体;SimSun" w:cs="Times New Roman"/>
    </w:rPr>
  </w:style>
  <w:style w:type="character" w:styleId="31">
    <w:name w:val="正文文本缩进 3 字符"/>
    <w:qFormat/>
    <w:rPr>
      <w:rFonts w:ascii="Calibri" w:hAnsi="Calibri" w:eastAsia="宋体;SimSun" w:cs="Times New Roman"/>
      <w:sz w:val="16"/>
      <w:szCs w:val="16"/>
    </w:rPr>
  </w:style>
  <w:style w:type="character" w:styleId="32">
    <w:name w:val="正文文本 3 字符"/>
    <w:qFormat/>
    <w:rPr>
      <w:rFonts w:ascii="Calibri" w:hAnsi="Calibri" w:eastAsia="宋体;SimSun" w:cs="Times New Roman"/>
      <w:sz w:val="16"/>
      <w:szCs w:val="16"/>
    </w:rPr>
  </w:style>
  <w:style w:type="character" w:styleId="Style19">
    <w:name w:val="脚注文本 字符"/>
    <w:qFormat/>
    <w:rPr>
      <w:rFonts w:ascii="Calibri" w:hAnsi="Calibri" w:eastAsia="宋体;SimSun" w:cs="Times New Roman"/>
      <w:sz w:val="18"/>
      <w:szCs w:val="18"/>
    </w:rPr>
  </w:style>
  <w:style w:type="character" w:styleId="Char112">
    <w:name w:val="批注主题 Char1"/>
    <w:basedOn w:val="Char111"/>
    <w:qFormat/>
    <w:rPr>
      <w:b/>
      <w:bCs/>
    </w:rPr>
  </w:style>
  <w:style w:type="character" w:styleId="Style20">
    <w:name w:val="批注主题 字符"/>
    <w:qFormat/>
    <w:rPr>
      <w:rFonts w:ascii="Calibri" w:hAnsi="Calibri" w:eastAsia="宋体;SimSun" w:cs="Times New Roman"/>
      <w:b/>
      <w:bCs/>
    </w:rPr>
  </w:style>
  <w:style w:type="character" w:styleId="Char113">
    <w:name w:val="标题 Char1"/>
    <w:basedOn w:val="Style8"/>
    <w:qFormat/>
    <w:rPr>
      <w:rFonts w:ascii="Arial" w:hAnsi="Arial" w:eastAsia="宋体;SimSun" w:cs="Times New Roman"/>
      <w:b/>
      <w:bCs/>
      <w:kern w:val="0"/>
      <w:sz w:val="32"/>
      <w:szCs w:val="32"/>
    </w:rPr>
  </w:style>
  <w:style w:type="character" w:styleId="Style21">
    <w:name w:val="标题 字符"/>
    <w:qFormat/>
    <w:rPr>
      <w:rFonts w:ascii="Cambria" w:hAnsi="Cambria" w:eastAsia="宋体;SimSun" w:cs="Times New Roman"/>
      <w:b/>
      <w:bCs/>
      <w:sz w:val="32"/>
      <w:szCs w:val="32"/>
    </w:rPr>
  </w:style>
  <w:style w:type="character" w:styleId="11">
    <w:name w:val="脚注文本 字符1"/>
    <w:basedOn w:val="Style8"/>
    <w:qFormat/>
    <w:rPr>
      <w:rFonts w:ascii="Times New Roman" w:hAnsi="Times New Roman" w:eastAsia="宋体;SimSun" w:cs="Times New Roman"/>
      <w:kern w:val="0"/>
      <w:sz w:val="18"/>
      <w:szCs w:val="18"/>
    </w:rPr>
  </w:style>
  <w:style w:type="paragraph" w:styleId="Heading">
    <w:name w:val="Heading"/>
    <w:basedOn w:val="Normal"/>
    <w:next w:val="Subtitle"/>
    <w:qFormat/>
    <w:pPr>
      <w:widowControl/>
      <w:suppressAutoHyphens w:val="true"/>
      <w:overflowPunct w:val="false"/>
      <w:autoSpaceDE w:val="false"/>
      <w:jc w:val="center"/>
    </w:pPr>
    <w:rPr>
      <w:rFonts w:ascii="ClassGarmnd BT;Times New Roman" w:hAnsi="ClassGarmnd BT;Times New Roman" w:eastAsia="宋体;SimSun" w:cs="ClassGarmnd BT;Times New Roman"/>
      <w:b/>
      <w:kern w:val="2"/>
      <w:sz w:val="32"/>
      <w:lang w:val="en-AU"/>
    </w:rPr>
  </w:style>
  <w:style w:type="paragraph" w:styleId="BodyText">
    <w:name w:val="Body Text"/>
    <w:basedOn w:val="Normal"/>
    <w:pPr>
      <w:spacing w:before="0" w:after="120"/>
    </w:pPr>
    <w:rPr>
      <w:rFonts w:eastAsia="Times New Roman"/>
      <w:szCs w:val="24"/>
      <w:lang w:val="zh-CN" w:eastAsia="zh-CN"/>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sz w:val="30"/>
      <w:szCs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22">
    <w:name w:val="批注框文本"/>
    <w:basedOn w:val="Normal"/>
    <w:qFormat/>
    <w:pPr/>
    <w:rPr>
      <w:sz w:val="18"/>
      <w:szCs w:val="18"/>
    </w:rPr>
  </w:style>
  <w:style w:type="paragraph" w:styleId="Style23">
    <w:name w:val="日期"/>
    <w:basedOn w:val="Normal"/>
    <w:next w:val="Normal"/>
    <w:qFormat/>
    <w:pPr/>
    <w:rPr>
      <w:rFonts w:ascii="楷体_GB2312" w:hAnsi="楷体_GB2312" w:eastAsia="楷体_GB2312"/>
      <w:sz w:val="32"/>
    </w:rPr>
  </w:style>
  <w:style w:type="paragraph" w:styleId="dash6b636587">
    <w:name w:val="dash6b63_6587"/>
    <w:basedOn w:val="Normal"/>
    <w:qFormat/>
    <w:pPr>
      <w:widowControl/>
      <w:spacing w:before="280" w:after="280"/>
      <w:jc w:val="start"/>
    </w:pPr>
    <w:rPr>
      <w:rFonts w:ascii="宋体;SimSun" w:hAnsi="宋体;SimSun" w:cs="宋体;SimSun"/>
      <w:kern w:val="0"/>
      <w:sz w:val="24"/>
      <w:szCs w:val="24"/>
    </w:rPr>
  </w:style>
  <w:style w:type="paragraph" w:styleId="Style24">
    <w:name w:val="纯文本"/>
    <w:basedOn w:val="Normal"/>
    <w:qFormat/>
    <w:pPr/>
    <w:rPr>
      <w:rFonts w:ascii="宋体;SimSun" w:hAnsi="宋体;SimSun" w:cs="Courier New"/>
      <w:szCs w:val="21"/>
    </w:rPr>
  </w:style>
  <w:style w:type="paragraph" w:styleId="p0">
    <w:name w:val="p0"/>
    <w:basedOn w:val="Normal"/>
    <w:qFormat/>
    <w:pPr>
      <w:widowControl/>
    </w:pPr>
    <w:rPr>
      <w:kern w:val="0"/>
      <w:szCs w:val="21"/>
    </w:rPr>
  </w:style>
  <w:style w:type="paragraph" w:styleId="23">
    <w:name w:val="正文文本 2"/>
    <w:basedOn w:val="Normal"/>
    <w:qFormat/>
    <w:pPr>
      <w:spacing w:lineRule="exact" w:line="840"/>
      <w:jc w:val="center"/>
    </w:pPr>
    <w:rPr>
      <w:rFonts w:ascii="宋体;SimSun" w:hAnsi="宋体;SimSun" w:cs="Courier New"/>
      <w:kern w:val="0"/>
      <w:szCs w:val="21"/>
      <w:lang w:val="zh-CN"/>
    </w:rPr>
  </w:style>
  <w:style w:type="paragraph" w:styleId="Style25">
    <w:name w:val="列出段落"/>
    <w:basedOn w:val="Normal"/>
    <w:qFormat/>
    <w:pPr>
      <w:ind w:firstLine="420" w:start="0" w:end="0"/>
    </w:pPr>
    <w:rPr>
      <w:szCs w:val="24"/>
      <w:lang w:val="zh-CN"/>
    </w:rPr>
  </w:style>
  <w:style w:type="paragraph" w:styleId="Style26">
    <w:name w:val="普通(网站)"/>
    <w:basedOn w:val="Normal"/>
    <w:qFormat/>
    <w:pPr>
      <w:widowControl/>
      <w:spacing w:before="280" w:after="280"/>
      <w:jc w:val="start"/>
    </w:pPr>
    <w:rPr>
      <w:rFonts w:ascii="宋体;SimSun" w:hAnsi="宋体;SimSun" w:cs="宋体;SimSun"/>
      <w:kern w:val="0"/>
      <w:sz w:val="24"/>
      <w:szCs w:val="24"/>
    </w:rPr>
  </w:style>
  <w:style w:type="paragraph" w:styleId="12">
    <w:name w:val="列出段落1"/>
    <w:basedOn w:val="Normal"/>
    <w:qFormat/>
    <w:pPr>
      <w:ind w:firstLine="420" w:start="0" w:end="0"/>
    </w:pPr>
    <w:rPr>
      <w:rFonts w:ascii="Calibri" w:hAnsi="Calibri" w:cs="Calibri"/>
      <w:szCs w:val="22"/>
    </w:rPr>
  </w:style>
  <w:style w:type="paragraph" w:styleId="EndnoteText">
    <w:name w:val="endnote text"/>
    <w:basedOn w:val="Normal"/>
    <w:pPr>
      <w:snapToGrid w:val="false"/>
      <w:jc w:val="start"/>
    </w:pPr>
    <w:rPr>
      <w:kern w:val="0"/>
      <w:sz w:val="24"/>
      <w:szCs w:val="24"/>
      <w:lang w:val="zh-CN"/>
    </w:rPr>
  </w:style>
  <w:style w:type="paragraph" w:styleId="Style27">
    <w:name w:val="批注文字"/>
    <w:basedOn w:val="Normal"/>
    <w:qFormat/>
    <w:pPr>
      <w:jc w:val="start"/>
    </w:pPr>
    <w:rPr>
      <w:kern w:val="0"/>
      <w:sz w:val="24"/>
      <w:szCs w:val="24"/>
      <w:lang w:val="zh-CN"/>
    </w:rPr>
  </w:style>
  <w:style w:type="paragraph" w:styleId="00">
    <w:name w:val="00正文"/>
    <w:basedOn w:val="Normal"/>
    <w:qFormat/>
    <w:pPr>
      <w:snapToGrid w:val="false"/>
      <w:spacing w:lineRule="auto" w:line="360"/>
      <w:ind w:firstLine="200" w:start="0" w:end="0"/>
    </w:pPr>
    <w:rPr>
      <w:rFonts w:ascii="宋体;SimSun" w:hAnsi="宋体;SimSun" w:cs="宋体;SimSun"/>
      <w:sz w:val="24"/>
      <w:szCs w:val="24"/>
    </w:rPr>
  </w:style>
  <w:style w:type="paragraph" w:styleId="ListParagraph">
    <w:name w:val="List Paragraph"/>
    <w:basedOn w:val="Normal"/>
    <w:qFormat/>
    <w:pPr>
      <w:ind w:firstLine="420" w:start="0" w:end="0"/>
    </w:pPr>
    <w:rPr>
      <w:rFonts w:ascii="Calibri" w:hAnsi="Calibri" w:cs="Calibri"/>
      <w:szCs w:val="22"/>
    </w:rPr>
  </w:style>
  <w:style w:type="paragraph" w:styleId="Style28">
    <w:name w:val="内页正文"/>
    <w:qFormat/>
    <w:pPr>
      <w:widowControl/>
      <w:suppressAutoHyphens w:val="true"/>
      <w:bidi w:val="0"/>
      <w:spacing w:before="0" w:after="120"/>
      <w:jc w:val="both"/>
    </w:pPr>
    <w:rPr>
      <w:rFonts w:ascii="Arial" w:hAnsi="Arial" w:eastAsia="汉仪中等线简;Arial Unicode MS" w:cs="Arial"/>
      <w:color w:val="000000"/>
      <w:sz w:val="18"/>
      <w:szCs w:val="18"/>
      <w:lang w:bidi="ar-SA" w:val="en-US" w:eastAsia="zh-CN"/>
    </w:rPr>
  </w:style>
  <w:style w:type="paragraph" w:styleId="Default">
    <w:name w:val="Default"/>
    <w:qFormat/>
    <w:pPr>
      <w:widowControl w:val="false"/>
      <w:autoSpaceDE w:val="false"/>
      <w:bidi w:val="0"/>
    </w:pPr>
    <w:rPr>
      <w:rFonts w:ascii="仿宋_GB2312" w:hAnsi="仿宋_GB2312" w:eastAsia="仿宋_GB2312" w:cs="仿宋_GB2312"/>
      <w:color w:val="000000"/>
      <w:sz w:val="24"/>
      <w:szCs w:val="24"/>
      <w:lang w:val="en-US" w:eastAsia="zh-CN" w:bidi="ar-SA"/>
    </w:rPr>
  </w:style>
  <w:style w:type="paragraph" w:styleId="NoSpacing">
    <w:name w:val="No Spacing"/>
    <w:qFormat/>
    <w:pPr>
      <w:widowControl w:val="false"/>
      <w:bidi w:val="0"/>
      <w:jc w:val="both"/>
    </w:pPr>
    <w:rPr>
      <w:rFonts w:ascii="Calibri" w:hAnsi="Calibri" w:eastAsia="宋体;SimSun" w:cs="Calibri"/>
      <w:color w:val="auto"/>
      <w:kern w:val="2"/>
      <w:sz w:val="21"/>
      <w:szCs w:val="22"/>
      <w:lang w:val="en-US" w:eastAsia="zh-CN" w:bidi="ar-SA"/>
    </w:rPr>
  </w:style>
  <w:style w:type="paragraph" w:styleId="24">
    <w:name w:val="正文文本缩进 2"/>
    <w:basedOn w:val="Normal"/>
    <w:qFormat/>
    <w:pPr>
      <w:spacing w:lineRule="exact" w:line="600"/>
      <w:ind w:firstLine="600" w:start="0" w:end="0"/>
    </w:pPr>
    <w:rPr>
      <w:rFonts w:ascii="仿宋_GB2312" w:hAnsi="仿宋_GB2312" w:eastAsia="仿宋_GB2312" w:cs="宋体;SimSun"/>
      <w:sz w:val="30"/>
      <w:szCs w:val="30"/>
      <w:lang w:val="zh-CN" w:eastAsia="zh-CN"/>
    </w:rPr>
  </w:style>
  <w:style w:type="paragraph" w:styleId="33">
    <w:name w:val="正文文本缩进 3"/>
    <w:basedOn w:val="Normal"/>
    <w:qFormat/>
    <w:pPr>
      <w:autoSpaceDE w:val="false"/>
      <w:spacing w:lineRule="exact" w:line="760"/>
      <w:ind w:firstLine="560" w:start="0" w:end="0"/>
      <w:jc w:val="start"/>
    </w:pPr>
    <w:rPr>
      <w:rFonts w:ascii="仿宋_GB2312" w:hAnsi="仿宋_GB2312" w:eastAsia="仿宋_GB2312"/>
      <w:kern w:val="0"/>
      <w:sz w:val="30"/>
      <w:szCs w:val="28"/>
      <w:lang w:val="zh-CN" w:eastAsia="zh-CN"/>
    </w:rPr>
  </w:style>
  <w:style w:type="paragraph" w:styleId="34">
    <w:name w:val="正文文本 3"/>
    <w:basedOn w:val="Normal"/>
    <w:qFormat/>
    <w:pPr>
      <w:spacing w:lineRule="exact" w:line="840"/>
      <w:jc w:val="center"/>
    </w:pPr>
    <w:rPr>
      <w:rFonts w:ascii="方正大标宋简体;Arial Unicode MS" w:hAnsi="方正大标宋简体;Arial Unicode MS" w:eastAsia="方正大标宋简体;Arial Unicode MS" w:cs="宋体;SimSun"/>
      <w:bCs/>
      <w:sz w:val="42"/>
      <w:szCs w:val="42"/>
      <w:lang w:val="zh-CN" w:eastAsia="zh-CN"/>
    </w:rPr>
  </w:style>
  <w:style w:type="paragraph" w:styleId="Style29">
    <w:name w:val="条款"/>
    <w:basedOn w:val="Normal"/>
    <w:qFormat/>
    <w:pPr>
      <w:widowControl/>
      <w:spacing w:lineRule="auto" w:line="360"/>
      <w:ind w:firstLine="560" w:start="0" w:end="272"/>
    </w:pPr>
    <w:rPr>
      <w:rFonts w:ascii="仿宋_GB2312" w:hAnsi="仿宋_GB2312" w:eastAsia="仿宋_GB2312" w:cs="Calibri"/>
      <w:color w:val="000000"/>
      <w:kern w:val="0"/>
      <w:sz w:val="28"/>
      <w:lang w:val="zh-CN"/>
    </w:rPr>
  </w:style>
  <w:style w:type="paragraph" w:styleId="FootnoteText">
    <w:name w:val="footnote text"/>
    <w:basedOn w:val="Normal"/>
    <w:pPr>
      <w:snapToGrid w:val="false"/>
      <w:jc w:val="start"/>
    </w:pPr>
    <w:rPr>
      <w:rFonts w:eastAsia="Times New Roman"/>
      <w:sz w:val="18"/>
      <w:szCs w:val="18"/>
      <w:lang w:val="zh-CN" w:eastAsia="zh-CN"/>
    </w:rPr>
  </w:style>
  <w:style w:type="paragraph" w:styleId="Style30">
    <w:name w:val="批注主题"/>
    <w:basedOn w:val="Style27"/>
    <w:next w:val="Style27"/>
    <w:qFormat/>
    <w:pPr/>
    <w:rPr>
      <w:b/>
      <w:bCs/>
      <w:kern w:val="2"/>
      <w:sz w:val="21"/>
      <w:lang w:val="en-US" w:eastAsia="zh-CN"/>
    </w:rPr>
  </w:style>
  <w:style w:type="paragraph" w:styleId="Char31">
    <w:name w:val="Char3"/>
    <w:basedOn w:val="Normal"/>
    <w:qFormat/>
    <w:pPr/>
    <w:rPr>
      <w:szCs w:val="21"/>
    </w:rPr>
  </w:style>
  <w:style w:type="paragraph" w:styleId="doc-a2">
    <w:name w:val="doc-a2"/>
    <w:basedOn w:val="Normal"/>
    <w:qFormat/>
    <w:pPr>
      <w:widowControl/>
      <w:spacing w:lineRule="atLeast" w:line="450" w:before="225" w:after="280"/>
      <w:ind w:firstLine="480" w:start="0" w:end="0"/>
      <w:jc w:val="start"/>
    </w:pPr>
    <w:rPr>
      <w:rFonts w:ascii="微软雅黑" w:hAnsi="微软雅黑" w:eastAsia="微软雅黑" w:cs="宋体;SimSun"/>
      <w:kern w:val="0"/>
      <w:szCs w:val="21"/>
    </w:rPr>
  </w:style>
  <w:style w:type="paragraph" w:styleId="13">
    <w:name w:val="样式1"/>
    <w:basedOn w:val="Normal"/>
    <w:qFormat/>
    <w:pPr>
      <w:numPr>
        <w:ilvl w:val="0"/>
        <w:numId w:val="4"/>
      </w:numPr>
      <w:tabs>
        <w:tab w:val="clear" w:pos="420"/>
        <w:tab w:val="left" w:pos="2127" w:leader="none"/>
      </w:tabs>
      <w:snapToGrid w:val="false"/>
      <w:spacing w:lineRule="exact" w:line="540"/>
      <w:ind w:hanging="0" w:start="988" w:end="0"/>
    </w:pPr>
    <w:rPr>
      <w:rFonts w:ascii="仿宋_GB2312" w:hAnsi="仿宋_GB2312" w:eastAsia="仿宋_GB2312" w:cs="宋体;SimSun"/>
      <w:kern w:val="0"/>
      <w:sz w:val="30"/>
      <w:szCs w:val="30"/>
      <w:lang w:val="zh-CN"/>
    </w:rPr>
  </w:style>
  <w:style w:type="paragraph" w:styleId="SSE">
    <w:name w:val="SSE正文"/>
    <w:basedOn w:val="Normal"/>
    <w:qFormat/>
    <w:pPr>
      <w:ind w:firstLine="200" w:start="0" w:end="0"/>
    </w:pPr>
    <w:rPr>
      <w:rFonts w:eastAsia="仿宋_GB2312"/>
      <w:sz w:val="28"/>
      <w:szCs w:val="28"/>
    </w:rPr>
  </w:style>
  <w:style w:type="paragraph" w:styleId="Style31">
    <w:name w:val="文本块"/>
    <w:basedOn w:val="Normal"/>
    <w:qFormat/>
    <w:pPr>
      <w:widowControl/>
      <w:spacing w:before="0" w:after="240"/>
      <w:jc w:val="start"/>
    </w:pPr>
    <w:rPr>
      <w:kern w:val="0"/>
      <w:sz w:val="24"/>
    </w:rPr>
  </w:style>
  <w:style w:type="paragraph" w:styleId="Style32">
    <w:name w:val="默认"/>
    <w:qFormat/>
    <w:pPr>
      <w:widowControl/>
      <w:pBdr/>
      <w:bidi w:val="0"/>
    </w:pPr>
    <w:rPr>
      <w:rFonts w:ascii="Arial Unicode MS" w:hAnsi="Arial Unicode MS" w:eastAsia="Helvetica" w:cs="Arial Unicode MS"/>
      <w:color w:val="000000"/>
      <w:sz w:val="22"/>
      <w:szCs w:val="22"/>
      <w:lang w:val="zh-CN" w:eastAsia="zh-CN" w:bidi="ar-SA"/>
    </w:rPr>
  </w:style>
  <w:style w:type="paragraph" w:styleId="MessageHeading">
    <w:name w:val="Message Heading"/>
    <w:basedOn w:val="Normal"/>
    <w:next w:val="Normal"/>
    <w:qFormat/>
    <w:pPr>
      <w:widowControl/>
      <w:spacing w:lineRule="atLeast" w:line="320" w:before="0" w:after="120"/>
      <w:jc w:val="start"/>
    </w:pPr>
    <w:rPr>
      <w:rFonts w:ascii="Frutiger 45 Light;Arial" w:hAnsi="Frutiger 45 Light;Arial" w:eastAsia="华文楷体" w:cs="Frutiger 45 Light;Arial"/>
      <w:b/>
      <w:color w:val="3783FF"/>
      <w:kern w:val="0"/>
      <w:sz w:val="28"/>
    </w:rPr>
  </w:style>
  <w:style w:type="paragraph" w:styleId="SSE1">
    <w:name w:val="SSE标题1"/>
    <w:basedOn w:val="Heading1"/>
    <w:qFormat/>
    <w:pPr>
      <w:numPr>
        <w:ilvl w:val="0"/>
        <w:numId w:val="0"/>
      </w:numPr>
      <w:spacing w:lineRule="auto" w:line="240" w:before="0" w:after="120"/>
      <w:ind w:hanging="630" w:start="1232" w:end="0"/>
      <w:outlineLvl w:val="9"/>
    </w:pPr>
    <w:rPr>
      <w:rFonts w:eastAsia="黑体;SimHei"/>
      <w:sz w:val="30"/>
      <w:szCs w:val="30"/>
      <w:lang w:val="en-US" w:eastAsia="zh-CN"/>
    </w:rPr>
  </w:style>
  <w:style w:type="paragraph" w:styleId="SSE0">
    <w:name w:val="SSE标题0"/>
    <w:basedOn w:val="Normal"/>
    <w:qFormat/>
    <w:pPr>
      <w:spacing w:before="280" w:after="280"/>
      <w:jc w:val="center"/>
    </w:pPr>
    <w:rPr>
      <w:rFonts w:eastAsia="华文中宋"/>
      <w:b/>
      <w:sz w:val="44"/>
      <w:szCs w:val="44"/>
    </w:rPr>
  </w:style>
  <w:style w:type="paragraph" w:styleId="HTML">
    <w:name w:val="Стандартный HTML"/>
    <w:basedOn w:val="Normal"/>
    <w:qFormat/>
    <w:pPr>
      <w:widowControl/>
      <w:suppressAutoHyphens w:val="true"/>
      <w:jc w:val="start"/>
    </w:pPr>
    <w:rPr>
      <w:rFonts w:ascii="Courier New" w:hAnsi="Courier New" w:eastAsia="宋体;SimSun" w:cs="Courier New"/>
      <w:kern w:val="2"/>
      <w:sz w:val="20"/>
    </w:rPr>
  </w:style>
  <w:style w:type="paragraph" w:styleId="Subtitle">
    <w:name w:val="Subtitle"/>
    <w:basedOn w:val="Normal"/>
    <w:next w:val="Normal"/>
    <w:qFormat/>
    <w:pPr>
      <w:spacing w:lineRule="auto" w:line="312" w:before="240" w:after="60"/>
      <w:jc w:val="center"/>
      <w:outlineLvl w:val="1"/>
    </w:pPr>
    <w:rPr>
      <w:rFonts w:ascii="Cambria" w:hAnsi="Cambria" w:cs="Times New Roman"/>
      <w:b/>
      <w:bCs/>
      <w:kern w:val="2"/>
      <w:sz w:val="32"/>
      <w:szCs w:val="32"/>
    </w:rPr>
  </w:style>
  <w:style w:type="paragraph" w:styleId="25">
    <w:name w:val="Основной текст 2"/>
    <w:basedOn w:val="Normal"/>
    <w:qFormat/>
    <w:pPr>
      <w:widowControl/>
      <w:suppressAutoHyphens w:val="true"/>
      <w:overflowPunct w:val="false"/>
      <w:autoSpaceDE w:val="false"/>
    </w:pPr>
    <w:rPr>
      <w:rFonts w:ascii="ClassGarmnd BT;Times New Roman" w:hAnsi="ClassGarmnd BT;Times New Roman" w:eastAsia="宋体;SimSun" w:cs="ClassGarmnd BT;Times New Roman"/>
      <w:color w:val="000000"/>
      <w:kern w:val="2"/>
      <w:sz w:val="20"/>
      <w:lang w:val="en-AU"/>
    </w:rPr>
  </w:style>
  <w:style w:type="paragraph" w:styleId="ListParagraph1">
    <w:name w:val="List Paragraph1"/>
    <w:basedOn w:val="Normal"/>
    <w:qFormat/>
    <w:pPr>
      <w:suppressAutoHyphens w:val="true"/>
      <w:ind w:hanging="0" w:start="720" w:end="0"/>
    </w:pPr>
    <w:rPr>
      <w:rFonts w:eastAsia="宋体;SimSun"/>
      <w:kern w:val="2"/>
      <w:sz w:val="32"/>
      <w:szCs w:val="24"/>
    </w:rPr>
  </w:style>
  <w:style w:type="paragraph" w:styleId="Style110">
    <w:name w:val="Style1"/>
    <w:basedOn w:val="Normal"/>
    <w:qFormat/>
    <w:pPr>
      <w:numPr>
        <w:ilvl w:val="0"/>
        <w:numId w:val="2"/>
      </w:numPr>
      <w:suppressAutoHyphens w:val="true"/>
    </w:pPr>
    <w:rPr>
      <w:rFonts w:eastAsia="宋体;SimSun"/>
      <w:kern w:val="2"/>
      <w:szCs w:val="24"/>
    </w:rPr>
  </w:style>
  <w:style w:type="paragraph" w:styleId="Style33">
    <w:name w:val="语句"/>
    <w:basedOn w:val="Normal"/>
    <w:qFormat/>
    <w:pPr>
      <w:widowControl/>
      <w:snapToGrid w:val="false"/>
      <w:spacing w:lineRule="exact" w:line="540"/>
      <w:ind w:firstLine="567" w:start="0" w:end="0"/>
    </w:pPr>
    <w:rPr>
      <w:rFonts w:ascii="仿宋_GB2312" w:hAnsi="仿宋_GB2312" w:eastAsia="仿宋_GB2312"/>
      <w:b/>
      <w:i/>
      <w:kern w:val="0"/>
      <w:sz w:val="30"/>
      <w:szCs w:val="30"/>
      <w:lang w:val="zh-CN"/>
    </w:rPr>
  </w:style>
  <w:style w:type="paragraph" w:styleId="KK">
    <w:name w:val="KK一级"/>
    <w:basedOn w:val="Normal"/>
    <w:qFormat/>
    <w:pPr>
      <w:spacing w:lineRule="exact" w:line="600"/>
      <w:jc w:val="start"/>
    </w:pPr>
    <w:rPr>
      <w:rFonts w:ascii="仿宋_GB2312" w:hAnsi="仿宋_GB2312" w:eastAsia="仿宋_GB2312" w:cs="Calibri"/>
      <w:b/>
      <w:bCs/>
      <w:kern w:val="0"/>
      <w:sz w:val="30"/>
      <w:szCs w:val="30"/>
      <w:lang w:val="zh-CN"/>
    </w:rPr>
  </w:style>
  <w:style w:type="paragraph" w:styleId="KK1">
    <w:name w:val="KK二级"/>
    <w:basedOn w:val="Normal"/>
    <w:qFormat/>
    <w:pPr>
      <w:spacing w:lineRule="exact" w:line="600"/>
      <w:jc w:val="start"/>
    </w:pPr>
    <w:rPr>
      <w:rFonts w:ascii="仿宋_GB2312" w:hAnsi="仿宋_GB2312" w:eastAsia="仿宋_GB2312" w:cs="Calibri"/>
      <w:b/>
      <w:bCs/>
      <w:kern w:val="0"/>
      <w:sz w:val="30"/>
      <w:szCs w:val="30"/>
      <w:lang w:val="zh-CN"/>
    </w:rPr>
  </w:style>
  <w:style w:type="paragraph" w:styleId="eee">
    <w:name w:val="eee"/>
    <w:basedOn w:val="Normal"/>
    <w:qFormat/>
    <w:pPr>
      <w:autoSpaceDE w:val="false"/>
      <w:spacing w:lineRule="auto" w:line="360"/>
      <w:ind w:firstLine="480" w:start="0" w:end="0"/>
    </w:pPr>
    <w:rPr>
      <w:rFonts w:ascii="宋体;SimSun" w:hAnsi="宋体;SimSun" w:cs="宋体;SimSun"/>
      <w:kern w:val="0"/>
      <w:sz w:val="24"/>
      <w:szCs w:val="24"/>
      <w:lang w:val="zh-CN"/>
    </w:rPr>
  </w:style>
  <w:style w:type="paragraph" w:styleId="SSE2">
    <w:name w:val="SSE内容提要正文"/>
    <w:basedOn w:val="Normal"/>
    <w:qFormat/>
    <w:pPr>
      <w:ind w:firstLine="560" w:start="0" w:end="0"/>
    </w:pPr>
    <w:rPr>
      <w:rFonts w:ascii="仿宋_GB2312" w:hAnsi="仿宋_GB2312" w:eastAsia="仿宋_GB2312"/>
      <w:kern w:val="0"/>
      <w:sz w:val="28"/>
      <w:lang w:val="zh-CN"/>
    </w:rPr>
  </w:style>
  <w:style w:type="paragraph" w:styleId="SSE3">
    <w:name w:val="SSE资料来源"/>
    <w:basedOn w:val="Normal"/>
    <w:qFormat/>
    <w:pPr>
      <w:spacing w:before="0" w:after="280"/>
      <w:ind w:firstLine="200" w:start="0" w:end="0"/>
    </w:pPr>
    <w:rPr>
      <w:rFonts w:ascii="仿宋_GB2312" w:hAnsi="仿宋_GB2312" w:eastAsia="仿宋_GB2312"/>
      <w:color w:val="000000"/>
      <w:kern w:val="0"/>
      <w:sz w:val="20"/>
      <w:lang w:val="zh-CN"/>
    </w:rPr>
  </w:style>
  <w:style w:type="paragraph" w:styleId="SSE21">
    <w:name w:val="SSE标题2"/>
    <w:basedOn w:val="Heading2"/>
    <w:qFormat/>
    <w:pPr>
      <w:numPr>
        <w:ilvl w:val="0"/>
        <w:numId w:val="0"/>
      </w:numPr>
      <w:spacing w:lineRule="auto" w:line="240" w:before="260" w:after="0"/>
      <w:outlineLvl w:val="9"/>
    </w:pPr>
    <w:rPr>
      <w:rFonts w:ascii="仿宋_GB2312" w:hAnsi="仿宋_GB2312" w:eastAsia="仿宋_GB2312" w:cs="Times New Roman"/>
      <w:sz w:val="28"/>
      <w:szCs w:val="28"/>
    </w:rPr>
  </w:style>
  <w:style w:type="paragraph" w:styleId="SSE4">
    <w:name w:val="SSE表格文字"/>
    <w:basedOn w:val="Normal"/>
    <w:qFormat/>
    <w:pPr>
      <w:widowControl/>
      <w:jc w:val="center"/>
    </w:pPr>
    <w:rPr>
      <w:rFonts w:ascii="仿宋_GB2312" w:hAnsi="仿宋_GB2312" w:eastAsia="仿宋_GB2312"/>
      <w:color w:val="000000"/>
      <w:kern w:val="0"/>
      <w:sz w:val="24"/>
      <w:szCs w:val="24"/>
      <w:lang w:val="zh-CN"/>
    </w:rPr>
  </w:style>
  <w:style w:type="paragraph" w:styleId="SSE5">
    <w:name w:val="SSE图表标题"/>
    <w:basedOn w:val="Heading6"/>
    <w:qFormat/>
    <w:pPr>
      <w:numPr>
        <w:ilvl w:val="0"/>
        <w:numId w:val="0"/>
      </w:numPr>
      <w:spacing w:lineRule="auto" w:line="240" w:before="240" w:after="0"/>
      <w:jc w:val="center"/>
      <w:outlineLvl w:val="9"/>
    </w:pPr>
    <w:rPr>
      <w:rFonts w:ascii="仿宋_GB2312" w:hAnsi="仿宋_GB2312" w:eastAsia="仿宋_GB2312" w:cs="Times New Roman"/>
      <w:color w:val="000000"/>
      <w:kern w:val="0"/>
      <w:lang w:val="zh-CN"/>
    </w:rPr>
  </w:style>
  <w:style w:type="paragraph" w:styleId="a4">
    <w:name w:val="a4"/>
    <w:basedOn w:val="Normal"/>
    <w:qFormat/>
    <w:pPr>
      <w:widowControl/>
      <w:spacing w:before="280" w:after="280"/>
      <w:jc w:val="start"/>
    </w:pPr>
    <w:rPr>
      <w:rFonts w:ascii="宋体;SimSun" w:hAnsi="宋体;SimSun" w:cs="宋体;SimSun"/>
      <w:kern w:val="0"/>
      <w:sz w:val="24"/>
      <w:szCs w:val="24"/>
    </w:rPr>
  </w:style>
  <w:style w:type="paragraph" w:styleId="font5">
    <w:name w:val="font5"/>
    <w:basedOn w:val="Normal"/>
    <w:qFormat/>
    <w:pPr>
      <w:widowControl/>
      <w:spacing w:before="280" w:after="280"/>
      <w:jc w:val="start"/>
    </w:pPr>
    <w:rPr>
      <w:rFonts w:ascii="等线;Arial Unicode MS" w:hAnsi="等线;Arial Unicode MS" w:eastAsia="等线;Arial Unicode MS" w:cs="宋体;SimSun"/>
      <w:kern w:val="0"/>
      <w:sz w:val="18"/>
      <w:szCs w:val="18"/>
    </w:rPr>
  </w:style>
  <w:style w:type="paragraph" w:styleId="xl65">
    <w:name w:val="xl6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仿宋_GB2312" w:hAnsi="仿宋_GB2312" w:eastAsia="仿宋_GB2312" w:cs="宋体;SimSun"/>
      <w:b/>
      <w:bCs/>
      <w:kern w:val="0"/>
      <w:szCs w:val="21"/>
    </w:rPr>
  </w:style>
  <w:style w:type="paragraph" w:styleId="xl66">
    <w:name w:val="xl66"/>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宋体;SimSun" w:hAnsi="宋体;SimSun" w:cs="宋体;SimSun"/>
      <w:kern w:val="0"/>
      <w:sz w:val="24"/>
      <w:szCs w:val="24"/>
    </w:rPr>
  </w:style>
  <w:style w:type="paragraph" w:styleId="61">
    <w:name w:val="样式6"/>
    <w:basedOn w:val="Normal"/>
    <w:qFormat/>
    <w:pPr>
      <w:keepNext w:val="true"/>
      <w:keepLines/>
      <w:numPr>
        <w:ilvl w:val="0"/>
        <w:numId w:val="3"/>
      </w:numPr>
      <w:tabs>
        <w:tab w:val="clear" w:pos="420"/>
        <w:tab w:val="left" w:pos="1418" w:leader="none"/>
      </w:tabs>
      <w:spacing w:lineRule="exact" w:line="560"/>
      <w:ind w:hanging="0" w:start="988" w:end="0"/>
      <w:jc w:val="center"/>
      <w:textAlignment w:val="baseline"/>
      <w:outlineLvl w:val="0"/>
    </w:pPr>
    <w:rPr>
      <w:rFonts w:ascii="黑体;SimHei" w:hAnsi="黑体;SimHei" w:eastAsia="黑体;SimHei" w:cs="Arial Unicode MS"/>
      <w:bCs/>
      <w:kern w:val="2"/>
      <w:sz w:val="32"/>
      <w:szCs w:val="3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wdzx97.dot</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2022-06-24T21:18:00Z</dcterms:created>
  <dc:creator>费琼(编号)</dc:creator>
  <dc:description/>
  <dc:language>zh-CN</dc:language>
  <cp:lastModifiedBy>user</cp:lastModifiedBy>
  <cp:lastPrinted>2021-07-23T13:55:00Z</cp:lastPrinted>
  <dcterms:modified xsi:type="dcterms:W3CDTF">2022-06-24T21:18:00Z</dcterms:modified>
  <cp:revision>2</cp:revision>
  <dc:subject/>
  <dc:title>上海证券交易所会议纪要</dc:title>
</cp:coreProperties>
</file>