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9106F">
      <w:pPr>
        <w:widowControl/>
        <w:jc w:val="left"/>
        <w:rPr>
          <w:rFonts w:ascii="仿宋_GB2312" w:hAnsi="仿宋_GB2312" w:eastAsia="仿宋_GB2312" w:cs="宋体;SimSun"/>
          <w:b/>
          <w:kern w:val="0"/>
          <w:sz w:val="30"/>
          <w:szCs w:val="30"/>
        </w:rPr>
      </w:pPr>
      <w:r>
        <w:rPr>
          <w:rFonts w:ascii="仿宋_GB2312" w:hAnsi="仿宋_GB2312" w:eastAsia="仿宋_GB2312" w:cs="宋体;SimSun"/>
          <w:b/>
          <w:kern w:val="0"/>
          <w:sz w:val="30"/>
          <w:szCs w:val="30"/>
        </w:rPr>
        <w:t>附件</w:t>
      </w:r>
    </w:p>
    <w:p w14:paraId="0F894351">
      <w:pPr>
        <w:widowControl/>
        <w:jc w:val="left"/>
        <w:rPr>
          <w:rFonts w:ascii="仿宋_GB2312" w:hAnsi="仿宋_GB2312" w:eastAsia="仿宋_GB2312" w:cs="宋体;SimSun"/>
          <w:b/>
          <w:kern w:val="0"/>
          <w:sz w:val="30"/>
          <w:szCs w:val="30"/>
        </w:rPr>
      </w:pPr>
    </w:p>
    <w:p w14:paraId="1A5262B9">
      <w:pPr>
        <w:suppressAutoHyphens/>
        <w:bidi w:val="0"/>
        <w:spacing w:line="540" w:lineRule="exact"/>
        <w:jc w:val="center"/>
        <w:rPr>
          <w:rFonts w:hint="eastAsia" w:ascii="方正大标宋简体" w:eastAsia="方正大标宋简体"/>
          <w:sz w:val="40"/>
          <w:szCs w:val="40"/>
        </w:rPr>
      </w:pPr>
      <w:r>
        <w:rPr>
          <w:rFonts w:hint="eastAsia" w:ascii="方正大标宋简体" w:eastAsia="方正大标宋简体"/>
          <w:sz w:val="40"/>
          <w:szCs w:val="40"/>
        </w:rPr>
        <w:t>上海证券交易所港股通投资者适当性管理指引</w:t>
      </w:r>
    </w:p>
    <w:p w14:paraId="5C393C20">
      <w:pPr>
        <w:spacing w:line="540" w:lineRule="exact"/>
        <w:jc w:val="center"/>
        <w:rPr>
          <w:rFonts w:ascii="仿宋_GB2312" w:hAnsi="仿宋_GB2312" w:eastAsia="仿宋_GB2312" w:cs="黑体;SimHei"/>
          <w:kern w:val="0"/>
          <w:sz w:val="30"/>
          <w:szCs w:val="30"/>
        </w:rPr>
      </w:pPr>
      <w:r>
        <w:rPr>
          <w:rFonts w:ascii="仿宋_GB2312" w:hAnsi="仿宋_GB2312" w:eastAsia="仿宋_GB2312" w:cs="黑体;SimHei"/>
          <w:kern w:val="0"/>
          <w:sz w:val="30"/>
          <w:szCs w:val="30"/>
        </w:rPr>
        <w:t>（2014年9</w:t>
      </w:r>
      <w:bookmarkStart w:id="0" w:name="_GoBack"/>
      <w:bookmarkEnd w:id="0"/>
      <w:r>
        <w:rPr>
          <w:rFonts w:ascii="仿宋_GB2312" w:hAnsi="仿宋_GB2312" w:eastAsia="仿宋_GB2312" w:cs="黑体;SimHei"/>
          <w:kern w:val="0"/>
          <w:sz w:val="30"/>
          <w:szCs w:val="30"/>
        </w:rPr>
        <w:t>月26日实施  2016年9月30日第一次修订</w:t>
      </w:r>
    </w:p>
    <w:p w14:paraId="27941860">
      <w:pPr>
        <w:spacing w:line="540" w:lineRule="exact"/>
        <w:jc w:val="center"/>
        <w:rPr>
          <w:rFonts w:ascii="仿宋_GB2312" w:hAnsi="仿宋_GB2312" w:eastAsia="仿宋_GB2312" w:cs="黑体;SimHei"/>
          <w:kern w:val="0"/>
          <w:sz w:val="30"/>
          <w:szCs w:val="30"/>
        </w:rPr>
      </w:pPr>
      <w:r>
        <w:rPr>
          <w:rFonts w:ascii="仿宋_GB2312" w:hAnsi="仿宋_GB2312" w:eastAsia="仿宋_GB2312" w:cs="黑体;SimHei"/>
          <w:kern w:val="0"/>
          <w:sz w:val="30"/>
          <w:szCs w:val="30"/>
        </w:rPr>
        <w:t>2017年6月28日第二次修订）</w:t>
      </w:r>
    </w:p>
    <w:p w14:paraId="688531B4">
      <w:pPr>
        <w:spacing w:line="540" w:lineRule="exact"/>
        <w:jc w:val="center"/>
        <w:rPr>
          <w:rFonts w:ascii="仿宋_GB2312" w:hAnsi="仿宋_GB2312" w:eastAsia="仿宋_GB2312" w:cs="仿宋"/>
          <w:kern w:val="0"/>
          <w:sz w:val="30"/>
          <w:szCs w:val="30"/>
        </w:rPr>
      </w:pPr>
    </w:p>
    <w:p w14:paraId="374B87F3">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第一</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为规范沪港通下的港股通（以下简称港股通）投资者适当性管理工作，保护投资者合法权益，根据中国证监会《内地与香港股票市场交易互联互通机制若干规定》《上海证券交易所沪港通业务实施办法》（以下简称《实施办法》）及其他相关规定，制定本指引。</w:t>
      </w:r>
    </w:p>
    <w:p w14:paraId="5AD859A8">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第二</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会员对委托其参与港股通交易的投资者进行适当性管理，适用本指引。</w:t>
      </w:r>
    </w:p>
    <w:p w14:paraId="34646AB7">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第三</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投资者应当根据港股通投资者适当性条件及自身的风险承受能力，审慎决定是否参与港股通交易。</w:t>
      </w:r>
    </w:p>
    <w:p w14:paraId="28DFC0C9">
      <w:pPr>
        <w:spacing w:line="540" w:lineRule="exact"/>
        <w:ind w:right="0" w:firstLine="600"/>
        <w:rPr>
          <w:rFonts w:ascii="仿宋_GB2312" w:hAnsi="仿宋_GB2312" w:eastAsia="仿宋_GB2312" w:cs="仿宋"/>
          <w:sz w:val="30"/>
          <w:szCs w:val="30"/>
        </w:rPr>
      </w:pPr>
      <w:r>
        <w:rPr>
          <w:rFonts w:ascii="仿宋_GB2312" w:hAnsi="仿宋_GB2312" w:eastAsia="仿宋_GB2312" w:cs="仿宋"/>
          <w:sz w:val="30"/>
          <w:szCs w:val="30"/>
        </w:rPr>
        <w:t>投资者应当遵循买者自负原则，不得以不符合投资者适当性条件为由拒绝承担港股通交易及交收责任。</w:t>
      </w:r>
    </w:p>
    <w:p w14:paraId="46270148">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第四</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根据《实施办法》、本指引及上海证券交易所（以下简称本所）其他相关规定，制定港股通投资者适当性管理的操作指引和相关工作制度，包括标准、程序、方法以及执行投资者适当性制度的保障措施等内容，并报送本所。</w:t>
      </w:r>
    </w:p>
    <w:p w14:paraId="24CF6179">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第五</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个人投资者参与港股通交易，应当符合《实施办法》和本指引规定的投资者适当性条件。</w:t>
      </w:r>
    </w:p>
    <w:p w14:paraId="42EEDBAB">
      <w:pPr>
        <w:spacing w:line="540" w:lineRule="exact"/>
        <w:ind w:right="0" w:firstLine="594"/>
        <w:rPr>
          <w:rFonts w:ascii="仿宋_GB2312" w:hAnsi="仿宋_GB2312" w:eastAsia="仿宋_GB2312" w:cs="仿宋"/>
          <w:sz w:val="30"/>
          <w:szCs w:val="30"/>
        </w:rPr>
      </w:pPr>
      <w:r>
        <w:rPr>
          <w:rFonts w:ascii="仿宋_GB2312" w:hAnsi="仿宋_GB2312" w:eastAsia="仿宋_GB2312" w:cs="仿宋"/>
          <w:sz w:val="30"/>
          <w:szCs w:val="30"/>
        </w:rPr>
        <w:t>会员与个人投资者签署港股通交易委托协议前，应当对个人投资者是否符合投资者适当性条件进行核查，对个人投资者的资产状况、知识水平、风险承受能力和诚信状况等进行综合评估。</w:t>
      </w:r>
    </w:p>
    <w:p w14:paraId="4412E68D">
      <w:pPr>
        <w:spacing w:line="540" w:lineRule="exact"/>
        <w:ind w:right="0" w:firstLine="600"/>
        <w:jc w:val="left"/>
        <w:rPr>
          <w:rFonts w:ascii="仿宋_GB2312" w:hAnsi="仿宋_GB2312" w:eastAsia="仿宋_GB2312" w:cs="仿宋"/>
          <w:sz w:val="30"/>
          <w:szCs w:val="30"/>
        </w:rPr>
      </w:pPr>
      <w:r>
        <w:rPr>
          <w:rFonts w:ascii="仿宋_GB2312" w:hAnsi="仿宋_GB2312" w:eastAsia="仿宋_GB2312" w:cs="仿宋"/>
          <w:sz w:val="30"/>
          <w:szCs w:val="30"/>
        </w:rPr>
        <w:t>投资者应当配合提供有关评估的证明材料，并对其真实性、合法性负责。</w:t>
      </w:r>
    </w:p>
    <w:p w14:paraId="176F0C80">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第六</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对个人投资者资产状况进行评估时，应当确认以该投资者名义开立的证券账户及资金账户内的资产在申请权限开通前20个交易日日均不低于人民币50万元，其中不包括该投资者通过融资融券交易融入的资金和证券。</w:t>
      </w:r>
    </w:p>
    <w:p w14:paraId="524951F9">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第七</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会员应当评估个人投资者是否了解港股通交易的业务规则与流程，以及是否充分知晓港股通投资风险。</w:t>
      </w:r>
    </w:p>
    <w:p w14:paraId="03C0EF62">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第八</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会员应当通过评估问卷等方式，对个人投资者的风险承受能力进行评估，并向个人投资者明确告知评估结果、留存评估记录。</w:t>
      </w:r>
    </w:p>
    <w:p w14:paraId="0D6CF3F5">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第九</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会员接受个人投资者港股通交易委托，应当确认其不存在严重不良诚信记录，也不存在法律、行政法规、部门规章、规范性文件、业务规则等规定的禁止或限制从事港股通交易的情形。</w:t>
      </w:r>
    </w:p>
    <w:p w14:paraId="1D5003EF">
      <w:pPr>
        <w:spacing w:line="540" w:lineRule="exact"/>
        <w:ind w:right="0" w:firstLine="594"/>
        <w:rPr>
          <w:rFonts w:ascii="仿宋_GB2312" w:hAnsi="仿宋_GB2312" w:eastAsia="仿宋_GB2312" w:cs="仿宋"/>
          <w:sz w:val="30"/>
          <w:szCs w:val="30"/>
        </w:rPr>
      </w:pPr>
      <w:r>
        <w:rPr>
          <w:rFonts w:ascii="仿宋_GB2312" w:hAnsi="仿宋_GB2312" w:eastAsia="仿宋_GB2312" w:cs="仿宋"/>
          <w:sz w:val="30"/>
          <w:szCs w:val="30"/>
        </w:rPr>
        <w:t>会员接受机构投资者港股通交易委托，应当确认其不存在</w:t>
      </w:r>
      <w:r>
        <w:rPr>
          <w:rFonts w:ascii="仿宋_GB2312" w:hAnsi="仿宋_GB2312" w:eastAsia="仿宋_GB2312" w:cs="宋体;SimSun"/>
          <w:sz w:val="30"/>
          <w:szCs w:val="30"/>
        </w:rPr>
        <w:t>法律、行政法规、部门规章、规范性文件、业务规则等规定的禁止或限制从事港股通交易的情形。</w:t>
      </w:r>
    </w:p>
    <w:p w14:paraId="598B8860">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会员应当向投资者充分告知参与港股通交易的主要风险，提示其审慎参与港股通交易，并要求其签署港股通交易风险揭示书。风险揭示书应当包括本所规定的必备条款。</w:t>
      </w:r>
    </w:p>
    <w:p w14:paraId="420EAF7B">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第十一</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会员应当妥善保存投资者提供的证明文件及相关材料、风险承受能力评估材料以及风险揭示书等资料。</w:t>
      </w:r>
    </w:p>
    <w:p w14:paraId="0DCEA0F8">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第十二</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会员应当动态跟踪和持续了解个人投资者交易情况，至少每两年进行一次风险承受能力的后续评估，并对评估结果予以记录留存。</w:t>
      </w:r>
    </w:p>
    <w:p w14:paraId="1201758A">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第十三</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会员应当建立港股通投资者教育工作制度，根据投资者的不同需求和特点，对港股通业务投资者教育工作的形式和内容作出具体安排。</w:t>
      </w:r>
    </w:p>
    <w:p w14:paraId="44149568">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第十四</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通过公司网站及营业部现场投资者教育专栏等方式，向投资者全面介绍香港证券市场法律法规、市场特点和港股通相关业务规则，充分揭示港股通交易风险，并提示投资者关注香港联合交易所有限公司发布的与港股通投资相关的市场通知、风险提示等重要信息。</w:t>
      </w:r>
    </w:p>
    <w:p w14:paraId="2BCA39AB">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第十五</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会员应当为投资者提供合理的投诉渠道，告知投资者投诉的方法和程序，妥善处理纠纷，引导其依法维护自身权益。</w:t>
      </w:r>
    </w:p>
    <w:p w14:paraId="10C71FF5">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第十六</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会员应当督促投资者遵守与港股通交易相关的法律、行政法规、部门规章、规范性文件及本所、证券登记结算机构的业务规则，切实加强对港股通投资者交易、结算行为的合法合规管理。</w:t>
      </w:r>
    </w:p>
    <w:p w14:paraId="2A2B101E">
      <w:pPr>
        <w:numPr>
          <w:ilvl w:val="0"/>
          <w:numId w:val="0"/>
        </w:numPr>
        <w:spacing w:line="540" w:lineRule="exact"/>
        <w:ind w:left="0" w:leftChars="0" w:right="0" w:rightChars="0" w:firstLine="600"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第十七</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本所可以对会员落实港股通投资者适当性管理相关要求的情况进行监督检查。会员应当予以配合，根据要求如实提供投资者开户材料、资金账户情况等资料，不得隐瞒、阻碍或拒绝。</w:t>
      </w:r>
    </w:p>
    <w:p w14:paraId="107917C9">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第十八</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本指引由本所负责解释。</w:t>
      </w:r>
    </w:p>
    <w:p w14:paraId="3EE318D0">
      <w:pPr>
        <w:numPr>
          <w:ilvl w:val="0"/>
          <w:numId w:val="0"/>
        </w:numPr>
        <w:spacing w:line="540" w:lineRule="exact"/>
        <w:ind w:left="0" w:leftChars="0" w:right="0" w:rightChars="0" w:firstLine="602" w:firstLineChars="0"/>
        <w:rPr>
          <w:rFonts w:ascii="仿宋_GB2312" w:hAnsi="仿宋_GB2312" w:eastAsia="仿宋_GB2312" w:cs="仿宋"/>
          <w:sz w:val="30"/>
          <w:szCs w:val="30"/>
        </w:rPr>
      </w:pPr>
      <w:r>
        <w:rPr>
          <w:rFonts w:ascii="仿宋_GB2312" w:hAnsi="仿宋_GB2312" w:eastAsia="仿宋_GB2312" w:cs="Times New Roman"/>
          <w:b/>
          <w:color w:val="auto"/>
          <w:kern w:val="2"/>
          <w:sz w:val="30"/>
          <w:szCs w:val="30"/>
          <w:lang w:val="en-US" w:eastAsia="zh-CN" w:bidi="ar-SA"/>
        </w:rPr>
        <w:t>第十九</w:t>
      </w:r>
      <w:r>
        <w:rPr>
          <w:rFonts w:hint="eastAsia" w:ascii="仿宋_GB2312" w:hAnsi="仿宋_GB2312" w:eastAsia="仿宋_GB2312" w:cs="Times New Roman"/>
          <w:b/>
          <w:color w:val="auto"/>
          <w:kern w:val="2"/>
          <w:sz w:val="30"/>
          <w:szCs w:val="30"/>
          <w:lang w:val="en-US" w:eastAsia="zh-CN" w:bidi="ar-SA"/>
        </w:rPr>
        <w:t xml:space="preserve">条 </w:t>
      </w:r>
      <w:r>
        <w:rPr>
          <w:rFonts w:ascii="仿宋_GB2312" w:hAnsi="仿宋_GB2312" w:eastAsia="仿宋_GB2312" w:cs="仿宋"/>
          <w:sz w:val="30"/>
          <w:szCs w:val="30"/>
        </w:rPr>
        <w:t>本指引自发布之日起施行。</w:t>
      </w:r>
    </w:p>
    <w:p w14:paraId="24470694">
      <w:pPr>
        <w:spacing w:line="560" w:lineRule="exact"/>
        <w:rPr>
          <w:rFonts w:ascii="仿宋_GB2312" w:hAnsi="仿宋_GB2312" w:eastAsia="仿宋_GB2312" w:cs="宋体;SimSun"/>
          <w:b/>
          <w:kern w:val="0"/>
          <w:sz w:val="30"/>
          <w:szCs w:val="30"/>
        </w:rPr>
      </w:pPr>
    </w:p>
    <w:sectPr>
      <w:footerReference r:id="rId3" w:type="default"/>
      <w:footerReference r:id="rId4"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汉仪中等线简;Arial Unicode 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C684">
    <w:pPr>
      <w:pStyle w:val="9"/>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3</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2102F637">
                          <w:pPr>
                            <w:pStyle w:val="9"/>
                            <w:jc w:val="center"/>
                            <w:rPr>
                              <w:rStyle w:val="17"/>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2102F637">
                    <w:pPr>
                      <w:pStyle w:val="9"/>
                      <w:jc w:val="center"/>
                      <w:rPr>
                        <w:rStyle w:val="17"/>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85E5">
    <w:pPr>
      <w:pStyle w:val="9"/>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7F3734D1">
                          <w:pPr>
                            <w:pStyle w:val="9"/>
                            <w:rPr>
                              <w:rStyle w:val="17"/>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7F3734D1">
                    <w:pPr>
                      <w:pStyle w:val="9"/>
                      <w:rPr>
                        <w:rStyle w:val="17"/>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8F2C4"/>
    <w:multiLevelType w:val="multilevel"/>
    <w:tmpl w:val="9F68F2C4"/>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E67360E"/>
    <w:multiLevelType w:val="singleLevel"/>
    <w:tmpl w:val="0E67360E"/>
    <w:lvl w:ilvl="0" w:tentative="0">
      <w:start w:val="1"/>
      <w:numFmt w:val="chineseCountingThousand"/>
      <w:pStyle w:val="115"/>
      <w:lvlText w:val="第%1条"/>
      <w:lvlJc w:val="left"/>
      <w:pPr>
        <w:tabs>
          <w:tab w:val="left" w:pos="0"/>
        </w:tabs>
        <w:ind w:left="3045" w:hanging="420"/>
      </w:pPr>
      <w:rPr>
        <w:rFonts w:ascii="仿宋_GB2312" w:hAnsi="仿宋_GB2312" w:eastAsia="仿宋_GB2312" w:cs="Times New Roman"/>
        <w:b/>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autoHyphenation/>
  <w:hyphenationZone w:val="0"/>
  <w:evenAndOddHeaders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86ED2"/>
    <w:rsid w:val="108E2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rFonts w:cs="Arial Unicode MS"/>
      <w:i/>
      <w:iCs/>
      <w:sz w:val="24"/>
      <w:szCs w:val="24"/>
    </w:rPr>
  </w:style>
  <w:style w:type="paragraph" w:styleId="6">
    <w:name w:val="Body Text"/>
    <w:basedOn w:val="1"/>
    <w:qFormat/>
    <w:uiPriority w:val="0"/>
    <w:pPr>
      <w:spacing w:before="0" w:after="120"/>
    </w:pPr>
    <w:rPr>
      <w:rFonts w:eastAsia="Times New Roman"/>
      <w:szCs w:val="24"/>
      <w:lang w:val="zh-CN" w:eastAsia="zh-CN"/>
    </w:rPr>
  </w:style>
  <w:style w:type="paragraph" w:styleId="7">
    <w:name w:val="Body Text Indent"/>
    <w:basedOn w:val="1"/>
    <w:qFormat/>
    <w:uiPriority w:val="0"/>
    <w:pPr>
      <w:tabs>
        <w:tab w:val="left" w:pos="7020"/>
      </w:tabs>
      <w:spacing w:line="600" w:lineRule="exact"/>
      <w:ind w:left="0" w:right="0" w:firstLine="600"/>
    </w:pPr>
    <w:rPr>
      <w:rFonts w:ascii="仿宋_GB2312" w:hAnsi="仿宋_GB2312" w:eastAsia="仿宋_GB2312"/>
      <w:sz w:val="30"/>
      <w:szCs w:val="24"/>
    </w:rPr>
  </w:style>
  <w:style w:type="paragraph" w:styleId="8">
    <w:name w:val="endnote text"/>
    <w:basedOn w:val="1"/>
    <w:qFormat/>
    <w:uiPriority w:val="0"/>
    <w:pPr>
      <w:snapToGrid w:val="0"/>
      <w:jc w:val="left"/>
    </w:pPr>
    <w:rPr>
      <w:kern w:val="0"/>
      <w:sz w:val="24"/>
      <w:szCs w:val="24"/>
      <w:lang w:val="zh-C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6"/>
    <w:qFormat/>
    <w:uiPriority w:val="0"/>
    <w:rPr>
      <w:rFonts w:cs="Arial Unicode MS"/>
    </w:rPr>
  </w:style>
  <w:style w:type="paragraph" w:styleId="12">
    <w:name w:val="footnote text"/>
    <w:basedOn w:val="1"/>
    <w:qFormat/>
    <w:uiPriority w:val="0"/>
    <w:pPr>
      <w:snapToGrid w:val="0"/>
      <w:jc w:val="left"/>
    </w:pPr>
    <w:rPr>
      <w:rFonts w:eastAsia="Times New Roman"/>
      <w:sz w:val="18"/>
      <w:szCs w:val="18"/>
      <w:lang w:val="zh-CN" w:eastAsia="zh-CN"/>
    </w:rPr>
  </w:style>
  <w:style w:type="character" w:styleId="15">
    <w:name w:val="Strong"/>
    <w:basedOn w:val="16"/>
    <w:qFormat/>
    <w:uiPriority w:val="0"/>
    <w:rPr>
      <w:b/>
      <w:bCs/>
    </w:rPr>
  </w:style>
  <w:style w:type="character" w:customStyle="1" w:styleId="16">
    <w:name w:val="默认段落字体1"/>
    <w:qFormat/>
    <w:uiPriority w:val="0"/>
  </w:style>
  <w:style w:type="character" w:styleId="17">
    <w:name w:val="page number"/>
    <w:basedOn w:val="16"/>
    <w:qFormat/>
    <w:uiPriority w:val="0"/>
  </w:style>
  <w:style w:type="character" w:styleId="18">
    <w:name w:val="FollowedHyperlink"/>
    <w:basedOn w:val="16"/>
    <w:qFormat/>
    <w:uiPriority w:val="0"/>
    <w:rPr>
      <w:color w:val="800080"/>
      <w:u w:val="single"/>
    </w:rPr>
  </w:style>
  <w:style w:type="character" w:styleId="19">
    <w:name w:val="Hyperlink"/>
    <w:qFormat/>
    <w:uiPriority w:val="0"/>
    <w:rPr>
      <w:rFonts w:cs="Times New Roman"/>
      <w:color w:val="0000FF"/>
      <w:u w:val="single"/>
    </w:rPr>
  </w:style>
  <w:style w:type="character" w:customStyle="1" w:styleId="20">
    <w:name w:val="WW8Num1z0"/>
    <w:qFormat/>
    <w:uiPriority w:val="0"/>
    <w:rPr>
      <w:lang w:val="en-US"/>
    </w:rPr>
  </w:style>
  <w:style w:type="character" w:customStyle="1" w:styleId="21">
    <w:name w:val="WW8Num2z0"/>
    <w:qFormat/>
    <w:uiPriority w:val="0"/>
    <w:rPr>
      <w:rFonts w:cs="Times New Roman"/>
    </w:rPr>
  </w:style>
  <w:style w:type="character" w:customStyle="1" w:styleId="22">
    <w:name w:val="WW8Num4z0"/>
    <w:qFormat/>
    <w:uiPriority w:val="0"/>
    <w:rPr>
      <w:rFonts w:ascii="仿宋_GB2312" w:hAnsi="仿宋_GB2312" w:eastAsia="仿宋_GB2312" w:cs="Times New Roman"/>
      <w:b/>
      <w:color w:val="000000"/>
      <w:sz w:val="30"/>
      <w:szCs w:val="30"/>
      <w:lang w:val="en-US"/>
    </w:rPr>
  </w:style>
  <w:style w:type="character" w:customStyle="1" w:styleId="23">
    <w:name w:val="WW8Num5z0"/>
    <w:qFormat/>
    <w:uiPriority w:val="0"/>
    <w:rPr>
      <w:rFonts w:cs="Times New Roman"/>
      <w:b/>
      <w:lang w:val="en-US"/>
    </w:rPr>
  </w:style>
  <w:style w:type="character" w:customStyle="1" w:styleId="24">
    <w:name w:val="WW8Num5z1"/>
    <w:qFormat/>
    <w:uiPriority w:val="0"/>
    <w:rPr>
      <w:rFonts w:cs="Times New Roman"/>
    </w:rPr>
  </w:style>
  <w:style w:type="character" w:customStyle="1" w:styleId="25">
    <w:name w:val="WW8Num6z0"/>
    <w:qFormat/>
    <w:uiPriority w:val="0"/>
    <w:rPr>
      <w:rFonts w:cs="Times New Roman"/>
    </w:rPr>
  </w:style>
  <w:style w:type="character" w:customStyle="1" w:styleId="26">
    <w:name w:val="WW8Num6z1"/>
    <w:qFormat/>
    <w:uiPriority w:val="0"/>
    <w:rPr>
      <w:rFonts w:cs="Times New Roman"/>
    </w:rPr>
  </w:style>
  <w:style w:type="character" w:customStyle="1" w:styleId="27">
    <w:name w:val="WW8Num7z0"/>
    <w:qFormat/>
    <w:uiPriority w:val="0"/>
    <w:rPr>
      <w:rFonts w:cs="Times New Roman"/>
      <w:b/>
    </w:rPr>
  </w:style>
  <w:style w:type="character" w:customStyle="1" w:styleId="28">
    <w:name w:val="WW8Num7z1"/>
    <w:qFormat/>
    <w:uiPriority w:val="0"/>
    <w:rPr>
      <w:rFonts w:cs="Times New Roman"/>
    </w:rPr>
  </w:style>
  <w:style w:type="character" w:customStyle="1" w:styleId="29">
    <w:name w:val="WW8Num8z0"/>
    <w:qFormat/>
    <w:uiPriority w:val="0"/>
    <w:rPr>
      <w:rFonts w:cs="Times New Roman"/>
    </w:rPr>
  </w:style>
  <w:style w:type="character" w:customStyle="1" w:styleId="30">
    <w:name w:val="WW8Num9z0"/>
    <w:qFormat/>
    <w:uiPriority w:val="0"/>
    <w:rPr>
      <w:rFonts w:ascii="楷体_GB2312" w:hAnsi="楷体_GB2312" w:eastAsia="楷体_GB2312" w:cs="Times New Roman"/>
    </w:rPr>
  </w:style>
  <w:style w:type="character" w:customStyle="1" w:styleId="31">
    <w:name w:val="WW8Num9z1"/>
    <w:qFormat/>
    <w:uiPriority w:val="0"/>
    <w:rPr>
      <w:rFonts w:ascii="Wingdings" w:hAnsi="Wingdings" w:cs="Wingdings"/>
    </w:rPr>
  </w:style>
  <w:style w:type="character" w:customStyle="1" w:styleId="32">
    <w:name w:val="WW8Num10z0"/>
    <w:qFormat/>
    <w:uiPriority w:val="0"/>
  </w:style>
  <w:style w:type="character" w:customStyle="1" w:styleId="33">
    <w:name w:val="WW8Num11z0"/>
    <w:qFormat/>
    <w:uiPriority w:val="0"/>
    <w:rPr>
      <w:rFonts w:cs="Times New Roman"/>
      <w:b/>
    </w:rPr>
  </w:style>
  <w:style w:type="character" w:customStyle="1" w:styleId="34">
    <w:name w:val="WW8Num11z1"/>
    <w:qFormat/>
    <w:uiPriority w:val="0"/>
    <w:rPr>
      <w:rFonts w:cs="Times New Roman"/>
    </w:rPr>
  </w:style>
  <w:style w:type="character" w:customStyle="1" w:styleId="35">
    <w:name w:val="WW8Num12z0"/>
    <w:qFormat/>
    <w:uiPriority w:val="0"/>
    <w:rPr>
      <w:rFonts w:cs="Times New Roman"/>
      <w:b/>
    </w:rPr>
  </w:style>
  <w:style w:type="character" w:customStyle="1" w:styleId="36">
    <w:name w:val="WW8Num12z1"/>
    <w:qFormat/>
    <w:uiPriority w:val="0"/>
    <w:rPr>
      <w:rFonts w:cs="Times New Roman"/>
    </w:rPr>
  </w:style>
  <w:style w:type="character" w:customStyle="1" w:styleId="37">
    <w:name w:val="WW8Num13z0"/>
    <w:qFormat/>
    <w:uiPriority w:val="0"/>
    <w:rPr>
      <w:rFonts w:cs="Times New Roman"/>
    </w:rPr>
  </w:style>
  <w:style w:type="character" w:customStyle="1" w:styleId="38">
    <w:name w:val="WW8Num14z0"/>
    <w:qFormat/>
    <w:uiPriority w:val="0"/>
    <w:rPr>
      <w:rFonts w:cs="Times New Roman"/>
      <w:lang w:val="en-US"/>
    </w:rPr>
  </w:style>
  <w:style w:type="character" w:customStyle="1" w:styleId="39">
    <w:name w:val="WW8Num15z0"/>
    <w:qFormat/>
    <w:uiPriority w:val="0"/>
    <w:rPr>
      <w:rFonts w:cs="Times New Roman"/>
    </w:rPr>
  </w:style>
  <w:style w:type="character" w:customStyle="1" w:styleId="40">
    <w:name w:val="WW8Num15z1"/>
    <w:qFormat/>
    <w:uiPriority w:val="0"/>
    <w:rPr>
      <w:rFonts w:cs="Times New Roman"/>
    </w:rPr>
  </w:style>
  <w:style w:type="character" w:customStyle="1" w:styleId="41">
    <w:name w:val="WW8Num16z0"/>
    <w:qFormat/>
    <w:uiPriority w:val="0"/>
  </w:style>
  <w:style w:type="character" w:customStyle="1" w:styleId="42">
    <w:name w:val="WW8Num17z0"/>
    <w:qFormat/>
    <w:uiPriority w:val="0"/>
    <w:rPr>
      <w:rFonts w:cs="Times New Roman"/>
    </w:rPr>
  </w:style>
  <w:style w:type="character" w:customStyle="1" w:styleId="43">
    <w:name w:val="WW8Num19z0"/>
    <w:qFormat/>
    <w:uiPriority w:val="0"/>
    <w:rPr>
      <w:rFonts w:cs="Times New Roman"/>
    </w:rPr>
  </w:style>
  <w:style w:type="character" w:customStyle="1" w:styleId="44">
    <w:name w:val="WW8Num19z1"/>
    <w:qFormat/>
    <w:uiPriority w:val="0"/>
    <w:rPr>
      <w:rFonts w:cs="Times New Roman"/>
    </w:rPr>
  </w:style>
  <w:style w:type="character" w:customStyle="1" w:styleId="45">
    <w:name w:val="WW8Num21z0"/>
    <w:qFormat/>
    <w:uiPriority w:val="0"/>
    <w:rPr>
      <w:rFonts w:cs="Times New Roman"/>
    </w:rPr>
  </w:style>
  <w:style w:type="character" w:customStyle="1" w:styleId="46">
    <w:name w:val="WW8Num22z0"/>
    <w:qFormat/>
    <w:uiPriority w:val="0"/>
  </w:style>
  <w:style w:type="character" w:customStyle="1" w:styleId="47">
    <w:name w:val="WW8Num23z0"/>
    <w:qFormat/>
    <w:uiPriority w:val="0"/>
    <w:rPr>
      <w:rFonts w:ascii="仿宋_GB2312" w:hAnsi="仿宋_GB2312" w:eastAsia="仿宋_GB2312" w:cs="Times New Roman"/>
      <w:b/>
      <w:sz w:val="30"/>
      <w:szCs w:val="30"/>
    </w:rPr>
  </w:style>
  <w:style w:type="character" w:customStyle="1" w:styleId="48">
    <w:name w:val="WW8Num23z1"/>
    <w:qFormat/>
    <w:uiPriority w:val="0"/>
    <w:rPr>
      <w:rFonts w:ascii="仿宋_GB2312" w:hAnsi="仿宋_GB2312" w:eastAsia="仿宋_GB2312" w:cs="Times New Roman"/>
      <w:spacing w:val="0"/>
      <w:w w:val="100"/>
      <w:kern w:val="0"/>
      <w:position w:val="0"/>
      <w:sz w:val="32"/>
      <w:szCs w:val="32"/>
      <w:u w:val="none"/>
      <w:vertAlign w:val="baseline"/>
    </w:rPr>
  </w:style>
  <w:style w:type="character" w:customStyle="1" w:styleId="49">
    <w:name w:val="WW8Num23z2"/>
    <w:qFormat/>
    <w:uiPriority w:val="0"/>
    <w:rPr>
      <w:rFonts w:cs="Times New Roman"/>
    </w:rPr>
  </w:style>
  <w:style w:type="character" w:customStyle="1" w:styleId="50">
    <w:name w:val="WW8Num25z0"/>
    <w:qFormat/>
    <w:uiPriority w:val="0"/>
    <w:rPr>
      <w:b/>
      <w:lang w:val="en-US"/>
    </w:rPr>
  </w:style>
  <w:style w:type="character" w:customStyle="1" w:styleId="51">
    <w:name w:val="WW8Num27z0"/>
    <w:qFormat/>
    <w:uiPriority w:val="0"/>
    <w:rPr>
      <w:rFonts w:cs="Times New Roman"/>
    </w:rPr>
  </w:style>
  <w:style w:type="character" w:customStyle="1" w:styleId="52">
    <w:name w:val="WW8Num27z1"/>
    <w:qFormat/>
    <w:uiPriority w:val="0"/>
    <w:rPr>
      <w:rFonts w:cs="Times New Roman"/>
    </w:rPr>
  </w:style>
  <w:style w:type="character" w:customStyle="1" w:styleId="53">
    <w:name w:val="WW8Num28z0"/>
    <w:qFormat/>
    <w:uiPriority w:val="0"/>
    <w:rPr>
      <w:rFonts w:cs="Times New Roman"/>
      <w:b/>
      <w:lang w:val="en-US"/>
    </w:rPr>
  </w:style>
  <w:style w:type="character" w:customStyle="1" w:styleId="54">
    <w:name w:val="WW8Num28z1"/>
    <w:qFormat/>
    <w:uiPriority w:val="0"/>
    <w:rPr>
      <w:rFonts w:cs="Times New Roman"/>
      <w:b/>
    </w:rPr>
  </w:style>
  <w:style w:type="character" w:customStyle="1" w:styleId="55">
    <w:name w:val="WW8Num28z2"/>
    <w:qFormat/>
    <w:uiPriority w:val="0"/>
    <w:rPr>
      <w:rFonts w:cs="Tahoma"/>
      <w:b/>
    </w:rPr>
  </w:style>
  <w:style w:type="character" w:customStyle="1" w:styleId="56">
    <w:name w:val="WW8Num28z3"/>
    <w:qFormat/>
    <w:uiPriority w:val="0"/>
    <w:rPr>
      <w:rFonts w:cs="Times New Roman"/>
    </w:rPr>
  </w:style>
  <w:style w:type="character" w:customStyle="1" w:styleId="57">
    <w:name w:val="标题 1 Char"/>
    <w:qFormat/>
    <w:uiPriority w:val="0"/>
    <w:rPr>
      <w:rFonts w:eastAsia="宋体;SimSun"/>
      <w:b/>
      <w:bCs/>
      <w:kern w:val="2"/>
      <w:sz w:val="44"/>
      <w:szCs w:val="44"/>
      <w:lang w:val="zh-CN" w:bidi="ar-SA"/>
    </w:rPr>
  </w:style>
  <w:style w:type="character" w:customStyle="1" w:styleId="58">
    <w:name w:val="标题 2 Char"/>
    <w:qFormat/>
    <w:uiPriority w:val="0"/>
    <w:rPr>
      <w:rFonts w:ascii="Arial" w:hAnsi="Arial" w:eastAsia="黑体;SimHei" w:cs="Arial"/>
      <w:b/>
      <w:bCs/>
      <w:sz w:val="32"/>
      <w:szCs w:val="32"/>
      <w:lang w:val="zh-CN" w:bidi="ar-SA"/>
    </w:rPr>
  </w:style>
  <w:style w:type="character" w:customStyle="1" w:styleId="59">
    <w:name w:val="标题 3 Char"/>
    <w:qFormat/>
    <w:uiPriority w:val="0"/>
    <w:rPr>
      <w:rFonts w:eastAsia="宋体;SimSun"/>
      <w:b/>
      <w:bCs/>
      <w:sz w:val="32"/>
      <w:szCs w:val="32"/>
      <w:lang w:val="zh-CN" w:bidi="ar-SA"/>
    </w:rPr>
  </w:style>
  <w:style w:type="character" w:customStyle="1" w:styleId="60">
    <w:name w:val="页脚 Char"/>
    <w:qFormat/>
    <w:uiPriority w:val="0"/>
    <w:rPr>
      <w:rFonts w:eastAsia="宋体;SimSun"/>
      <w:kern w:val="2"/>
      <w:sz w:val="18"/>
      <w:szCs w:val="18"/>
      <w:lang w:val="en-US" w:eastAsia="zh-CN" w:bidi="ar-SA"/>
    </w:rPr>
  </w:style>
  <w:style w:type="character" w:customStyle="1" w:styleId="61">
    <w:name w:val="页眉 Char"/>
    <w:qFormat/>
    <w:uiPriority w:val="0"/>
    <w:rPr>
      <w:rFonts w:eastAsia="宋体;SimSun"/>
      <w:kern w:val="2"/>
      <w:sz w:val="18"/>
      <w:szCs w:val="18"/>
      <w:lang w:val="en-US" w:eastAsia="zh-CN" w:bidi="ar-SA"/>
    </w:rPr>
  </w:style>
  <w:style w:type="character" w:customStyle="1" w:styleId="62">
    <w:name w:val="批注框文本 Char"/>
    <w:qFormat/>
    <w:uiPriority w:val="0"/>
    <w:rPr>
      <w:rFonts w:eastAsia="宋体;SimSun"/>
      <w:kern w:val="2"/>
      <w:sz w:val="18"/>
      <w:szCs w:val="18"/>
      <w:lang w:val="en-US" w:eastAsia="zh-CN" w:bidi="ar-SA"/>
    </w:rPr>
  </w:style>
  <w:style w:type="character" w:customStyle="1" w:styleId="63">
    <w:name w:val="dash6b63_6587__char"/>
    <w:basedOn w:val="16"/>
    <w:qFormat/>
    <w:uiPriority w:val="0"/>
  </w:style>
  <w:style w:type="character" w:customStyle="1" w:styleId="64">
    <w:name w:val="dash6b63_005f6587_005f_005fchar__char"/>
    <w:basedOn w:val="16"/>
    <w:qFormat/>
    <w:uiPriority w:val="0"/>
  </w:style>
  <w:style w:type="character" w:customStyle="1" w:styleId="65">
    <w:name w:val="纯文本 Char"/>
    <w:basedOn w:val="16"/>
    <w:qFormat/>
    <w:uiPriority w:val="0"/>
    <w:rPr>
      <w:rFonts w:ascii="宋体;SimSun" w:hAnsi="宋体;SimSun" w:eastAsia="宋体;SimSun" w:cs="Courier New"/>
      <w:kern w:val="2"/>
      <w:sz w:val="21"/>
      <w:szCs w:val="21"/>
      <w:lang w:val="en-US" w:eastAsia="zh-CN" w:bidi="ar-SA"/>
    </w:rPr>
  </w:style>
  <w:style w:type="character" w:customStyle="1" w:styleId="66">
    <w:name w:val="正文文本 2 Char"/>
    <w:qFormat/>
    <w:uiPriority w:val="0"/>
    <w:rPr>
      <w:rFonts w:ascii="宋体;SimSun" w:hAnsi="宋体;SimSun" w:eastAsia="宋体;SimSun" w:cs="Courier New"/>
      <w:sz w:val="21"/>
      <w:szCs w:val="21"/>
      <w:lang w:val="zh-CN" w:bidi="ar-SA"/>
    </w:rPr>
  </w:style>
  <w:style w:type="character" w:customStyle="1" w:styleId="67">
    <w:name w:val="尾注文本 Char"/>
    <w:qFormat/>
    <w:uiPriority w:val="0"/>
    <w:rPr>
      <w:rFonts w:eastAsia="宋体;SimSun"/>
      <w:sz w:val="24"/>
      <w:szCs w:val="24"/>
      <w:lang w:val="zh-CN" w:bidi="ar-SA"/>
    </w:rPr>
  </w:style>
  <w:style w:type="character" w:customStyle="1" w:styleId="68">
    <w:name w:val="Endnote Characters"/>
    <w:qFormat/>
    <w:uiPriority w:val="0"/>
    <w:rPr>
      <w:rFonts w:cs="Times New Roman"/>
      <w:vertAlign w:val="superscript"/>
    </w:rPr>
  </w:style>
  <w:style w:type="character" w:customStyle="1" w:styleId="69">
    <w:name w:val="批注引用1"/>
    <w:qFormat/>
    <w:uiPriority w:val="0"/>
    <w:rPr>
      <w:rFonts w:cs="Times New Roman"/>
      <w:sz w:val="21"/>
      <w:szCs w:val="21"/>
    </w:rPr>
  </w:style>
  <w:style w:type="character" w:customStyle="1" w:styleId="70">
    <w:name w:val="批注文字 Char"/>
    <w:qFormat/>
    <w:uiPriority w:val="0"/>
    <w:rPr>
      <w:rFonts w:eastAsia="宋体;SimSun"/>
      <w:sz w:val="24"/>
      <w:szCs w:val="24"/>
      <w:lang w:val="zh-CN" w:bidi="ar-SA"/>
    </w:rPr>
  </w:style>
  <w:style w:type="character" w:customStyle="1" w:styleId="71">
    <w:name w:val="内页正文 Char"/>
    <w:qFormat/>
    <w:uiPriority w:val="0"/>
    <w:rPr>
      <w:rFonts w:ascii="Arial" w:hAnsi="Arial" w:eastAsia="汉仪中等线简;Arial Unicode MS" w:cs="Arial"/>
      <w:color w:val="000000"/>
      <w:sz w:val="18"/>
      <w:szCs w:val="18"/>
      <w:lang w:bidi="ar-SA"/>
    </w:rPr>
  </w:style>
  <w:style w:type="character" w:customStyle="1" w:styleId="72">
    <w:name w:val=" Char Char15"/>
    <w:basedOn w:val="16"/>
    <w:qFormat/>
    <w:uiPriority w:val="0"/>
    <w:rPr>
      <w:rFonts w:eastAsia="宋体;SimSun"/>
      <w:b/>
      <w:bCs/>
      <w:kern w:val="2"/>
      <w:sz w:val="44"/>
      <w:szCs w:val="44"/>
      <w:lang w:val="en-US" w:eastAsia="zh-CN" w:bidi="ar-SA"/>
    </w:rPr>
  </w:style>
  <w:style w:type="character" w:customStyle="1" w:styleId="73">
    <w:name w:val=" Char Char14"/>
    <w:basedOn w:val="16"/>
    <w:qFormat/>
    <w:uiPriority w:val="0"/>
    <w:rPr>
      <w:rFonts w:eastAsia="宋体;SimSun"/>
      <w:b/>
      <w:bCs/>
      <w:kern w:val="2"/>
      <w:sz w:val="32"/>
      <w:szCs w:val="32"/>
      <w:lang w:val="en-US" w:eastAsia="zh-CN" w:bidi="ar-SA"/>
    </w:rPr>
  </w:style>
  <w:style w:type="character" w:customStyle="1" w:styleId="74">
    <w:name w:val=" Char Char13"/>
    <w:basedOn w:val="16"/>
    <w:qFormat/>
    <w:uiPriority w:val="0"/>
    <w:rPr>
      <w:rFonts w:eastAsia="宋体;SimSun"/>
      <w:kern w:val="2"/>
      <w:sz w:val="18"/>
      <w:szCs w:val="18"/>
      <w:lang w:val="en-US" w:eastAsia="zh-CN" w:bidi="ar-SA"/>
    </w:rPr>
  </w:style>
  <w:style w:type="character" w:customStyle="1" w:styleId="75">
    <w:name w:val=" Char Char12"/>
    <w:basedOn w:val="16"/>
    <w:qFormat/>
    <w:uiPriority w:val="0"/>
    <w:rPr>
      <w:rFonts w:eastAsia="宋体;SimSun"/>
      <w:kern w:val="2"/>
      <w:sz w:val="18"/>
      <w:szCs w:val="18"/>
      <w:lang w:val="en-US" w:eastAsia="zh-CN" w:bidi="ar-SA"/>
    </w:rPr>
  </w:style>
  <w:style w:type="character" w:customStyle="1" w:styleId="76">
    <w:name w:val="正文文本缩进 Char"/>
    <w:basedOn w:val="16"/>
    <w:qFormat/>
    <w:uiPriority w:val="0"/>
    <w:rPr>
      <w:rFonts w:ascii="仿宋_GB2312" w:hAnsi="仿宋_GB2312" w:eastAsia="仿宋_GB2312"/>
      <w:kern w:val="2"/>
      <w:sz w:val="30"/>
      <w:szCs w:val="24"/>
      <w:lang w:val="en-US" w:eastAsia="zh-CN" w:bidi="ar-SA"/>
    </w:rPr>
  </w:style>
  <w:style w:type="character" w:customStyle="1" w:styleId="77">
    <w:name w:val="正文文本缩进 Char1"/>
    <w:basedOn w:val="16"/>
    <w:qFormat/>
    <w:uiPriority w:val="0"/>
    <w:rPr>
      <w:kern w:val="2"/>
      <w:sz w:val="21"/>
      <w:szCs w:val="24"/>
    </w:rPr>
  </w:style>
  <w:style w:type="character" w:customStyle="1" w:styleId="78">
    <w:name w:val="日期 Char"/>
    <w:basedOn w:val="16"/>
    <w:qFormat/>
    <w:uiPriority w:val="0"/>
    <w:rPr>
      <w:rFonts w:ascii="楷体_GB2312" w:hAnsi="楷体_GB2312" w:eastAsia="楷体_GB2312"/>
      <w:kern w:val="2"/>
      <w:sz w:val="32"/>
      <w:lang w:val="en-US" w:eastAsia="zh-CN" w:bidi="ar-SA"/>
    </w:rPr>
  </w:style>
  <w:style w:type="character" w:customStyle="1" w:styleId="79">
    <w:name w:val="日期 Char1"/>
    <w:basedOn w:val="16"/>
    <w:qFormat/>
    <w:uiPriority w:val="0"/>
    <w:rPr>
      <w:kern w:val="2"/>
      <w:sz w:val="21"/>
      <w:szCs w:val="24"/>
    </w:rPr>
  </w:style>
  <w:style w:type="character" w:customStyle="1" w:styleId="80">
    <w:name w:val="正文文本 Char1"/>
    <w:basedOn w:val="16"/>
    <w:qFormat/>
    <w:uiPriority w:val="0"/>
    <w:rPr>
      <w:kern w:val="2"/>
      <w:sz w:val="21"/>
      <w:szCs w:val="24"/>
    </w:rPr>
  </w:style>
  <w:style w:type="character" w:customStyle="1" w:styleId="81">
    <w:name w:val="批注框文本 Char1"/>
    <w:basedOn w:val="16"/>
    <w:qFormat/>
    <w:uiPriority w:val="0"/>
    <w:rPr>
      <w:kern w:val="2"/>
      <w:sz w:val="18"/>
      <w:szCs w:val="18"/>
    </w:rPr>
  </w:style>
  <w:style w:type="character" w:customStyle="1" w:styleId="82">
    <w:name w:val="正文文本缩进 2 Char1"/>
    <w:basedOn w:val="16"/>
    <w:qFormat/>
    <w:uiPriority w:val="0"/>
    <w:rPr>
      <w:kern w:val="2"/>
      <w:sz w:val="21"/>
      <w:szCs w:val="24"/>
    </w:rPr>
  </w:style>
  <w:style w:type="character" w:customStyle="1" w:styleId="83">
    <w:name w:val="正文文本 2 Char1"/>
    <w:basedOn w:val="16"/>
    <w:qFormat/>
    <w:uiPriority w:val="0"/>
    <w:rPr>
      <w:kern w:val="2"/>
      <w:sz w:val="21"/>
      <w:szCs w:val="24"/>
    </w:rPr>
  </w:style>
  <w:style w:type="character" w:customStyle="1" w:styleId="84">
    <w:name w:val="正文文本缩进 3 Char1"/>
    <w:basedOn w:val="16"/>
    <w:qFormat/>
    <w:uiPriority w:val="0"/>
    <w:rPr>
      <w:kern w:val="2"/>
      <w:sz w:val="16"/>
      <w:szCs w:val="16"/>
    </w:rPr>
  </w:style>
  <w:style w:type="character" w:customStyle="1" w:styleId="85">
    <w:name w:val="正文文本 3 Char1"/>
    <w:basedOn w:val="16"/>
    <w:qFormat/>
    <w:uiPriority w:val="0"/>
    <w:rPr>
      <w:kern w:val="2"/>
      <w:sz w:val="16"/>
      <w:szCs w:val="16"/>
    </w:rPr>
  </w:style>
  <w:style w:type="character" w:customStyle="1" w:styleId="86">
    <w:name w:val="纯文本 Char1"/>
    <w:basedOn w:val="16"/>
    <w:qFormat/>
    <w:uiPriority w:val="0"/>
    <w:rPr>
      <w:rFonts w:ascii="宋体;SimSun" w:hAnsi="宋体;SimSun" w:cs="Courier New"/>
      <w:kern w:val="2"/>
      <w:sz w:val="21"/>
      <w:szCs w:val="21"/>
    </w:rPr>
  </w:style>
  <w:style w:type="character" w:customStyle="1" w:styleId="87">
    <w:name w:val="条款 Char"/>
    <w:qFormat/>
    <w:uiPriority w:val="0"/>
    <w:rPr>
      <w:rFonts w:ascii="仿宋_GB2312" w:hAnsi="仿宋_GB2312" w:eastAsia="仿宋_GB2312" w:cs="Calibri"/>
      <w:color w:val="000000"/>
      <w:sz w:val="28"/>
      <w:lang w:bidi="ar-SA"/>
    </w:rPr>
  </w:style>
  <w:style w:type="character" w:customStyle="1" w:styleId="88">
    <w:name w:val="脚注文本 Char1"/>
    <w:basedOn w:val="16"/>
    <w:qFormat/>
    <w:uiPriority w:val="0"/>
    <w:rPr>
      <w:kern w:val="2"/>
      <w:sz w:val="18"/>
      <w:szCs w:val="18"/>
    </w:rPr>
  </w:style>
  <w:style w:type="character" w:customStyle="1" w:styleId="89">
    <w:name w:val="样式1 Char"/>
    <w:qFormat/>
    <w:uiPriority w:val="0"/>
    <w:rPr>
      <w:rFonts w:ascii="仿宋_GB2312" w:hAnsi="仿宋_GB2312" w:eastAsia="仿宋_GB2312" w:cs="宋体;SimSun"/>
      <w:sz w:val="30"/>
      <w:szCs w:val="30"/>
      <w:lang w:val="en-US" w:eastAsia="zh-CN" w:bidi="ar-SA"/>
    </w:rPr>
  </w:style>
  <w:style w:type="paragraph" w:customStyle="1" w:styleId="90">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91">
    <w:name w:val="Index"/>
    <w:basedOn w:val="1"/>
    <w:qFormat/>
    <w:uiPriority w:val="0"/>
    <w:pPr>
      <w:suppressLineNumbers/>
    </w:pPr>
    <w:rPr>
      <w:rFonts w:cs="Arial Unicode MS"/>
    </w:rPr>
  </w:style>
  <w:style w:type="paragraph" w:customStyle="1" w:styleId="92">
    <w:name w:val="Header and Footer"/>
    <w:basedOn w:val="1"/>
    <w:qFormat/>
    <w:uiPriority w:val="0"/>
    <w:pPr>
      <w:suppressLineNumbers/>
      <w:tabs>
        <w:tab w:val="center" w:pos="4819"/>
        <w:tab w:val="right" w:pos="9638"/>
      </w:tabs>
    </w:pPr>
  </w:style>
  <w:style w:type="paragraph" w:customStyle="1" w:styleId="93">
    <w:name w:val="批注框文本1"/>
    <w:basedOn w:val="1"/>
    <w:qFormat/>
    <w:uiPriority w:val="0"/>
    <w:rPr>
      <w:sz w:val="18"/>
      <w:szCs w:val="18"/>
    </w:rPr>
  </w:style>
  <w:style w:type="paragraph" w:customStyle="1" w:styleId="94">
    <w:name w:val="日期1"/>
    <w:basedOn w:val="1"/>
    <w:next w:val="1"/>
    <w:qFormat/>
    <w:uiPriority w:val="0"/>
    <w:rPr>
      <w:rFonts w:ascii="楷体_GB2312" w:hAnsi="楷体_GB2312" w:eastAsia="楷体_GB2312"/>
      <w:sz w:val="32"/>
    </w:rPr>
  </w:style>
  <w:style w:type="paragraph" w:customStyle="1" w:styleId="95">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96">
    <w:name w:val="纯文本1"/>
    <w:basedOn w:val="1"/>
    <w:qFormat/>
    <w:uiPriority w:val="0"/>
    <w:rPr>
      <w:rFonts w:ascii="宋体;SimSun" w:hAnsi="宋体;SimSun" w:cs="Courier New"/>
      <w:szCs w:val="21"/>
    </w:rPr>
  </w:style>
  <w:style w:type="paragraph" w:customStyle="1" w:styleId="97">
    <w:name w:val="p0"/>
    <w:basedOn w:val="1"/>
    <w:qFormat/>
    <w:uiPriority w:val="0"/>
    <w:pPr>
      <w:widowControl/>
    </w:pPr>
    <w:rPr>
      <w:kern w:val="0"/>
      <w:szCs w:val="21"/>
    </w:rPr>
  </w:style>
  <w:style w:type="paragraph" w:customStyle="1" w:styleId="98">
    <w:name w:val="列出段落"/>
    <w:basedOn w:val="1"/>
    <w:qFormat/>
    <w:uiPriority w:val="0"/>
    <w:pPr>
      <w:ind w:left="0" w:right="0" w:firstLine="420"/>
    </w:pPr>
    <w:rPr>
      <w:szCs w:val="24"/>
    </w:rPr>
  </w:style>
  <w:style w:type="paragraph" w:customStyle="1" w:styleId="99">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00">
    <w:name w:val="列出段落1"/>
    <w:basedOn w:val="1"/>
    <w:qFormat/>
    <w:uiPriority w:val="0"/>
    <w:pPr>
      <w:ind w:left="0" w:right="0" w:firstLine="420"/>
    </w:pPr>
    <w:rPr>
      <w:rFonts w:ascii="Calibri" w:hAnsi="Calibri" w:cs="Calibri"/>
      <w:szCs w:val="22"/>
    </w:rPr>
  </w:style>
  <w:style w:type="paragraph" w:customStyle="1" w:styleId="101">
    <w:name w:val="批注文字1"/>
    <w:basedOn w:val="1"/>
    <w:qFormat/>
    <w:uiPriority w:val="0"/>
    <w:pPr>
      <w:jc w:val="left"/>
    </w:pPr>
    <w:rPr>
      <w:kern w:val="0"/>
      <w:sz w:val="24"/>
      <w:szCs w:val="24"/>
      <w:lang w:val="zh-CN"/>
    </w:rPr>
  </w:style>
  <w:style w:type="paragraph" w:customStyle="1" w:styleId="102">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103">
    <w:name w:val="List Paragraph"/>
    <w:basedOn w:val="1"/>
    <w:qFormat/>
    <w:uiPriority w:val="0"/>
    <w:pPr>
      <w:ind w:left="0" w:right="0" w:firstLine="420"/>
    </w:pPr>
    <w:rPr>
      <w:rFonts w:ascii="Calibri" w:hAnsi="Calibri" w:cs="Calibri"/>
      <w:szCs w:val="22"/>
    </w:rPr>
  </w:style>
  <w:style w:type="paragraph" w:customStyle="1" w:styleId="104">
    <w:name w:val="内页正文"/>
    <w:qFormat/>
    <w:uiPriority w:val="0"/>
    <w:pPr>
      <w:widowControl/>
      <w:suppressAutoHyphens/>
      <w:bidi w:val="0"/>
      <w:spacing w:before="0" w:after="120"/>
      <w:jc w:val="both"/>
    </w:pPr>
    <w:rPr>
      <w:rFonts w:ascii="Arial" w:hAnsi="Arial" w:eastAsia="汉仪中等线简;Arial Unicode MS" w:cs="Arial"/>
      <w:color w:val="000000"/>
      <w:sz w:val="18"/>
      <w:szCs w:val="18"/>
      <w:lang w:val="en-US" w:eastAsia="zh-CN" w:bidi="ar-SA"/>
    </w:rPr>
  </w:style>
  <w:style w:type="paragraph" w:customStyle="1" w:styleId="105">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106">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07">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108">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09">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110">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eastAsia="zh-CN"/>
    </w:rPr>
  </w:style>
  <w:style w:type="paragraph" w:customStyle="1" w:styleId="111">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112">
    <w:name w:val="批注主题1"/>
    <w:basedOn w:val="101"/>
    <w:next w:val="101"/>
    <w:qFormat/>
    <w:uiPriority w:val="0"/>
    <w:rPr>
      <w:b/>
      <w:bCs/>
      <w:kern w:val="2"/>
      <w:sz w:val="21"/>
      <w:lang w:val="en-US" w:eastAsia="zh-CN"/>
    </w:rPr>
  </w:style>
  <w:style w:type="paragraph" w:customStyle="1" w:styleId="113">
    <w:name w:val="Char3"/>
    <w:basedOn w:val="1"/>
    <w:qFormat/>
    <w:uiPriority w:val="0"/>
    <w:rPr>
      <w:szCs w:val="21"/>
    </w:rPr>
  </w:style>
  <w:style w:type="paragraph" w:customStyle="1" w:styleId="114">
    <w:name w:val="doc-a2"/>
    <w:basedOn w:val="1"/>
    <w:qFormat/>
    <w:uiPriority w:val="0"/>
    <w:pPr>
      <w:widowControl/>
      <w:spacing w:before="225" w:after="280" w:line="450" w:lineRule="atLeast"/>
      <w:ind w:left="0" w:right="0" w:firstLine="480"/>
      <w:jc w:val="left"/>
    </w:pPr>
    <w:rPr>
      <w:rFonts w:ascii="微软雅黑" w:hAnsi="微软雅黑" w:eastAsia="微软雅黑" w:cs="宋体;SimSun"/>
      <w:kern w:val="0"/>
      <w:szCs w:val="21"/>
    </w:rPr>
  </w:style>
  <w:style w:type="paragraph" w:customStyle="1" w:styleId="115">
    <w:name w:val="样式1"/>
    <w:basedOn w:val="1"/>
    <w:qFormat/>
    <w:uiPriority w:val="0"/>
    <w:pPr>
      <w:numPr>
        <w:ilvl w:val="0"/>
        <w:numId w:val="2"/>
      </w:numPr>
      <w:tabs>
        <w:tab w:val="left" w:pos="2127"/>
      </w:tabs>
      <w:snapToGrid w:val="0"/>
      <w:spacing w:line="540" w:lineRule="exact"/>
      <w:ind w:left="988" w:right="0" w:firstLine="0"/>
    </w:pPr>
    <w:rPr>
      <w:rFonts w:ascii="仿宋_GB2312" w:hAnsi="仿宋_GB2312" w:eastAsia="仿宋_GB2312" w:cs="宋体;SimSun"/>
      <w:kern w:val="0"/>
      <w:sz w:val="30"/>
      <w:szCs w:val="30"/>
    </w:rPr>
  </w:style>
  <w:style w:type="paragraph" w:customStyle="1" w:styleId="116">
    <w:name w:val="列出段落2"/>
    <w:basedOn w:val="1"/>
    <w:qFormat/>
    <w:uiPriority w:val="0"/>
    <w:pPr>
      <w:ind w:left="0" w:right="0" w:firstLine="420"/>
    </w:pPr>
    <w:rPr>
      <w:szCs w:val="24"/>
    </w:rPr>
  </w:style>
  <w:style w:type="paragraph" w:customStyle="1" w:styleId="117">
    <w:name w:val="列出段落3"/>
    <w:basedOn w:val="1"/>
    <w:qFormat/>
    <w:uiPriority w:val="0"/>
    <w:pPr>
      <w:ind w:left="0" w:right="0" w:firstLine="420"/>
    </w:pPr>
    <w:rPr>
      <w:szCs w:val="24"/>
    </w:rPr>
  </w:style>
  <w:style w:type="paragraph" w:customStyle="1" w:styleId="118">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1544</Words>
  <Characters>1558</Characters>
  <TotalTime>1</TotalTime>
  <ScaleCrop>false</ScaleCrop>
  <LinksUpToDate>false</LinksUpToDate>
  <CharactersWithSpaces>1579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2025-09-08T08:01:00Z</dcterms:created>
  <dc:creator>ybjiang</dc:creator>
  <cp:lastModifiedBy>whxu</cp:lastModifiedBy>
  <dcterms:modified xsi:type="dcterms:W3CDTF">2025-09-11T01:34:41Z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3E171446D5EB4882BA5E9EE23E3D18B5_13</vt:lpwstr>
  </property>
  <property fmtid="{D5CDD505-2E9C-101B-9397-08002B2CF9AE}" pid="4" name="KSOTemplateDocerSaveRecord">
    <vt:lpwstr>eyJoZGlkIjoiODU1MjFmZWFjYWYyZmFkY2IwY2Q4ZjQwNWM1NjJkYzIiLCJ1c2VySWQiOiI0MTAwNTg2ODQifQ==</vt:lpwstr>
  </property>
</Properties>
</file>