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false"/>
        <w:spacing w:lineRule="exact" w:line="560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黑体" w:eastAsia="黑体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2</w:t>
      </w:r>
    </w:p>
    <w:p>
      <w:pPr>
        <w:pStyle w:val="Normal"/>
        <w:overflowPunct w:val="false"/>
        <w:spacing w:lineRule="exact" w:line="560"/>
        <w:rPr>
          <w:rFonts w:ascii="仿宋_GB2312" w:hAnsi="仿宋_GB2312" w:eastAsia="仿宋_GB2312" w:cs="仿宋"/>
          <w:b/>
          <w:sz w:val="30"/>
          <w:szCs w:val="30"/>
        </w:rPr>
      </w:pPr>
      <w:r>
        <w:rPr>
          <w:rFonts w:eastAsia="仿宋_GB2312" w:cs="仿宋" w:ascii="仿宋_GB2312" w:hAnsi="仿宋_GB2312"/>
          <w:b/>
          <w:sz w:val="30"/>
          <w:szCs w:val="30"/>
        </w:rPr>
      </w:r>
    </w:p>
    <w:p>
      <w:pPr>
        <w:pStyle w:val="Normal"/>
        <w:overflowPunct w:val="false"/>
        <w:spacing w:lineRule="exact" w:line="560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ascii="方正大标宋简体" w:hAnsi="方正大标宋简体" w:cs="方正大标宋简体" w:eastAsia="方正大标宋简体"/>
          <w:sz w:val="44"/>
          <w:szCs w:val="44"/>
        </w:rPr>
        <w:t>《上海证券交易所沪港通业务实施办法</w:t>
      </w:r>
    </w:p>
    <w:p>
      <w:pPr>
        <w:pStyle w:val="Normal"/>
        <w:overflowPunct w:val="false"/>
        <w:spacing w:lineRule="exact" w:line="560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ascii="方正大标宋简体" w:hAnsi="方正大标宋简体" w:cs="方正大标宋简体" w:eastAsia="方正大标宋简体"/>
          <w:sz w:val="44"/>
          <w:szCs w:val="44"/>
        </w:rPr>
        <w:t>（</w:t>
      </w:r>
      <w:r>
        <w:rPr>
          <w:rFonts w:eastAsia="方正大标宋简体" w:cs="Times New Roman"/>
          <w:sz w:val="44"/>
          <w:szCs w:val="44"/>
          <w:lang w:val="en-US" w:eastAsia="zh-CN"/>
        </w:rPr>
        <w:t>2024</w:t>
      </w:r>
      <w:r>
        <w:rPr>
          <w:rFonts w:ascii="方正大标宋简体" w:hAnsi="方正大标宋简体" w:cs="方正大标宋简体" w:eastAsia="方正大标宋简体"/>
          <w:sz w:val="44"/>
          <w:szCs w:val="44"/>
          <w:lang w:val="en-US" w:eastAsia="zh-CN"/>
        </w:rPr>
        <w:t>年修订</w:t>
      </w:r>
      <w:r>
        <w:rPr>
          <w:rFonts w:ascii="方正大标宋简体" w:hAnsi="方正大标宋简体" w:cs="方正大标宋简体" w:eastAsia="方正大标宋简体"/>
          <w:sz w:val="44"/>
          <w:szCs w:val="44"/>
        </w:rPr>
        <w:t>）》</w:t>
      </w:r>
      <w:r>
        <w:rPr>
          <w:rFonts w:ascii="方正大标宋简体" w:hAnsi="方正大标宋简体" w:cs="方正大标宋简体" w:eastAsia="方正大标宋简体"/>
          <w:sz w:val="44"/>
          <w:szCs w:val="44"/>
          <w:lang w:eastAsia="zh-CN"/>
        </w:rPr>
        <w:t>起草</w:t>
      </w:r>
      <w:r>
        <w:rPr>
          <w:rFonts w:ascii="方正大标宋简体" w:hAnsi="方正大标宋简体" w:cs="方正大标宋简体" w:eastAsia="方正大标宋简体"/>
          <w:sz w:val="44"/>
          <w:szCs w:val="44"/>
        </w:rPr>
        <w:t>说明</w:t>
      </w:r>
    </w:p>
    <w:p>
      <w:pPr>
        <w:pStyle w:val="Normal"/>
        <w:overflowPunct w:val="false"/>
        <w:snapToGrid w:val="false"/>
        <w:spacing w:lineRule="exact" w:line="560"/>
        <w:ind w:firstLine="640" w:end="0"/>
        <w:rPr>
          <w:rFonts w:ascii="仿宋_GB2312" w:hAnsi="仿宋_GB2312" w:eastAsia="仿宋_GB2312" w:cs="仿宋"/>
          <w:sz w:val="32"/>
          <w:szCs w:val="32"/>
        </w:rPr>
      </w:pPr>
      <w:r>
        <w:rPr>
          <w:rFonts w:eastAsia="仿宋_GB2312" w:cs="仿宋" w:ascii="仿宋_GB2312" w:hAnsi="仿宋_GB2312"/>
          <w:sz w:val="32"/>
          <w:szCs w:val="32"/>
        </w:rPr>
      </w:r>
    </w:p>
    <w:p>
      <w:pPr>
        <w:pStyle w:val="Normal"/>
        <w:overflowPunct w:val="false"/>
        <w:snapToGrid w:val="false"/>
        <w:spacing w:lineRule="exact" w:line="560"/>
        <w:ind w:firstLine="640" w:end="0"/>
        <w:rPr>
          <w:rFonts w:ascii="仿宋_GB2312" w:hAnsi="仿宋_GB2312" w:eastAsia="仿宋_GB2312" w:cs="仿宋"/>
          <w:sz w:val="32"/>
          <w:szCs w:val="32"/>
        </w:rPr>
      </w:pPr>
      <w:r>
        <w:rPr>
          <w:rFonts w:ascii="仿宋_GB2312" w:hAnsi="仿宋_GB2312" w:cs="仿宋" w:eastAsia="仿宋_GB2312"/>
          <w:sz w:val="32"/>
          <w:szCs w:val="32"/>
        </w:rPr>
        <w:t>为了进一步扩大沪港通标的范围，持续优化完善互联互通机制，上海证券交易所（以下简称</w:t>
      </w:r>
      <w:r>
        <w:rPr>
          <w:rFonts w:ascii="仿宋_GB2312" w:hAnsi="仿宋_GB2312" w:cs="仿宋" w:eastAsia="仿宋_GB2312"/>
          <w:sz w:val="32"/>
          <w:szCs w:val="32"/>
        </w:rPr>
        <w:t>本所</w:t>
      </w:r>
      <w:r>
        <w:rPr>
          <w:rFonts w:ascii="仿宋_GB2312" w:hAnsi="仿宋_GB2312" w:cs="仿宋" w:eastAsia="仿宋_GB2312"/>
          <w:sz w:val="32"/>
          <w:szCs w:val="32"/>
        </w:rPr>
        <w:t>）对《上海证券交易所沪港通业务实施办法》（以下简称《实施办法》）进行</w:t>
      </w:r>
      <w:r>
        <w:rPr>
          <w:rFonts w:ascii="仿宋_GB2312" w:hAnsi="仿宋_GB2312" w:cs="仿宋" w:eastAsia="仿宋_GB2312"/>
          <w:sz w:val="32"/>
          <w:szCs w:val="32"/>
          <w:lang w:eastAsia="zh-CN"/>
        </w:rPr>
        <w:t>了</w:t>
      </w:r>
      <w:r>
        <w:rPr>
          <w:rFonts w:ascii="仿宋_GB2312" w:hAnsi="仿宋_GB2312" w:cs="仿宋" w:eastAsia="仿宋_GB2312"/>
          <w:sz w:val="32"/>
          <w:szCs w:val="32"/>
        </w:rPr>
        <w:t>修订。现就有关修订情况说明如下：</w:t>
      </w:r>
    </w:p>
    <w:p>
      <w:pPr>
        <w:pStyle w:val="Normal"/>
        <w:overflowPunct w:val="false"/>
        <w:snapToGrid w:val="false"/>
        <w:spacing w:lineRule="exact" w:line="560"/>
        <w:ind w:firstLine="640" w:end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cs="黑体" w:eastAsia="黑体"/>
          <w:sz w:val="32"/>
          <w:szCs w:val="32"/>
        </w:rPr>
        <w:t>一、修订背景</w:t>
      </w:r>
    </w:p>
    <w:p>
      <w:pPr>
        <w:pStyle w:val="Normal"/>
        <w:overflowPunct w:val="false"/>
        <w:snapToGrid w:val="false"/>
        <w:spacing w:lineRule="exact" w:line="560"/>
        <w:ind w:firstLine="640" w:end="0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cs="Times New Roman" w:eastAsia="仿宋_GB2312"/>
          <w:sz w:val="32"/>
          <w:szCs w:val="32"/>
        </w:rPr>
        <w:t>自</w:t>
      </w:r>
      <w:r>
        <w:rPr>
          <w:rFonts w:eastAsia="仿宋_GB2312" w:cs="Times New Roman"/>
          <w:sz w:val="32"/>
          <w:szCs w:val="32"/>
        </w:rPr>
        <w:t>2022</w:t>
      </w:r>
      <w:r>
        <w:rPr>
          <w:rFonts w:ascii="Times New Roman" w:hAnsi="Times New Roman" w:cs="Times New Roman" w:eastAsia="仿宋_GB2312"/>
          <w:sz w:val="32"/>
          <w:szCs w:val="32"/>
        </w:rPr>
        <w:t>年</w:t>
      </w:r>
      <w:r>
        <w:rPr>
          <w:rFonts w:eastAsia="仿宋_GB2312" w:cs="Times New Roman"/>
          <w:sz w:val="32"/>
          <w:szCs w:val="32"/>
        </w:rPr>
        <w:t>7</w:t>
      </w:r>
      <w:r>
        <w:rPr>
          <w:rFonts w:ascii="Times New Roman" w:hAnsi="Times New Roman" w:cs="Times New Roman" w:eastAsia="仿宋_GB2312"/>
          <w:sz w:val="32"/>
          <w:szCs w:val="32"/>
        </w:rPr>
        <w:t>月</w:t>
      </w:r>
      <w:r>
        <w:rPr>
          <w:rFonts w:eastAsia="仿宋_GB2312" w:cs="Times New Roman"/>
          <w:sz w:val="32"/>
          <w:szCs w:val="32"/>
        </w:rPr>
        <w:t>4</w:t>
      </w:r>
      <w:r>
        <w:rPr>
          <w:rFonts w:ascii="Times New Roman" w:hAnsi="Times New Roman" w:cs="Times New Roman" w:eastAsia="仿宋_GB2312"/>
          <w:sz w:val="32"/>
          <w:szCs w:val="32"/>
        </w:rPr>
        <w:t>日</w:t>
      </w:r>
      <w:r>
        <w:rPr>
          <w:rFonts w:eastAsia="仿宋_GB2312" w:cs="Times New Roman"/>
          <w:sz w:val="32"/>
          <w:szCs w:val="32"/>
        </w:rPr>
        <w:t>ETF</w:t>
      </w:r>
      <w:r>
        <w:rPr>
          <w:rFonts w:ascii="Times New Roman" w:hAnsi="Times New Roman" w:cs="Times New Roman" w:eastAsia="仿宋_GB2312"/>
          <w:sz w:val="32"/>
          <w:szCs w:val="32"/>
        </w:rPr>
        <w:t>纳入互联互通标的以来，交易</w:t>
      </w:r>
      <w:r>
        <w:rPr>
          <w:rFonts w:ascii="仿宋_GB2312" w:hAnsi="仿宋_GB2312" w:cs="仿宋" w:eastAsia="仿宋_GB2312"/>
          <w:sz w:val="32"/>
          <w:szCs w:val="32"/>
        </w:rPr>
        <w:t>运行平稳有序，交易规模持续增长，为两地投资者跨境投资提供更多便利和机会。为了进一步优化沪港通机制，扩大沪</w:t>
      </w:r>
      <w:r>
        <w:rPr>
          <w:rFonts w:ascii="Times New Roman" w:hAnsi="Times New Roman" w:cs="Times New Roman" w:eastAsia="仿宋_GB2312"/>
          <w:sz w:val="32"/>
          <w:szCs w:val="32"/>
        </w:rPr>
        <w:t>港通</w:t>
      </w:r>
      <w:r>
        <w:rPr>
          <w:rFonts w:eastAsia="仿宋_GB2312" w:cs="Times New Roman"/>
          <w:sz w:val="32"/>
          <w:szCs w:val="32"/>
        </w:rPr>
        <w:t>ETF</w:t>
      </w:r>
      <w:r>
        <w:rPr>
          <w:rFonts w:ascii="Times New Roman" w:hAnsi="Times New Roman" w:cs="Times New Roman" w:eastAsia="仿宋_GB2312"/>
          <w:sz w:val="32"/>
          <w:szCs w:val="32"/>
        </w:rPr>
        <w:t>范围，</w:t>
      </w:r>
      <w:r>
        <w:rPr>
          <w:rFonts w:ascii="Times New Roman" w:hAnsi="Times New Roman" w:cs="Times New Roman" w:eastAsia="仿宋_GB2312"/>
          <w:sz w:val="32"/>
          <w:szCs w:val="32"/>
        </w:rPr>
        <w:t>本所</w:t>
      </w:r>
      <w:r>
        <w:rPr>
          <w:rFonts w:ascii="Times New Roman" w:hAnsi="Times New Roman" w:cs="Times New Roman" w:eastAsia="仿宋_GB2312"/>
          <w:sz w:val="32"/>
          <w:szCs w:val="32"/>
        </w:rPr>
        <w:t>对《实施办法》相关内容进行</w:t>
      </w:r>
      <w:r>
        <w:rPr>
          <w:rFonts w:ascii="Times New Roman" w:hAnsi="Times New Roman" w:cs="Times New Roman" w:eastAsia="仿宋_GB2312"/>
          <w:sz w:val="32"/>
          <w:szCs w:val="32"/>
          <w:lang w:eastAsia="zh-CN"/>
        </w:rPr>
        <w:t>了</w:t>
      </w:r>
      <w:r>
        <w:rPr>
          <w:rFonts w:ascii="Times New Roman" w:hAnsi="Times New Roman" w:cs="Times New Roman" w:eastAsia="仿宋_GB2312"/>
          <w:sz w:val="32"/>
          <w:szCs w:val="32"/>
        </w:rPr>
        <w:t>修订。</w:t>
      </w:r>
    </w:p>
    <w:p>
      <w:pPr>
        <w:pStyle w:val="Normal"/>
        <w:overflowPunct w:val="false"/>
        <w:snapToGrid w:val="false"/>
        <w:spacing w:lineRule="exact" w:line="560"/>
        <w:ind w:firstLine="640" w:end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黑体" w:hAnsi="黑体" w:cs="黑体" w:eastAsia="黑体"/>
          <w:sz w:val="32"/>
          <w:szCs w:val="32"/>
        </w:rPr>
        <w:t>二</w:t>
      </w:r>
      <w:r>
        <w:rPr>
          <w:rFonts w:ascii="黑体" w:hAnsi="黑体" w:cs="黑体" w:eastAsia="黑体"/>
          <w:sz w:val="32"/>
          <w:szCs w:val="32"/>
        </w:rPr>
        <w:t>、</w:t>
      </w:r>
      <w:r>
        <w:rPr>
          <w:rFonts w:ascii="黑体" w:hAnsi="黑体" w:cs="黑体" w:eastAsia="黑体"/>
          <w:sz w:val="32"/>
          <w:szCs w:val="32"/>
        </w:rPr>
        <w:t>修订内容</w:t>
      </w:r>
      <w:r>
        <w:rPr>
          <w:rFonts w:eastAsia="仿宋_GB2312" w:cs="仿宋" w:ascii="仿宋_GB2312" w:hAnsi="仿宋_GB2312"/>
          <w:sz w:val="32"/>
          <w:szCs w:val="32"/>
        </w:rPr>
        <w:br/>
      </w:r>
      <w:r>
        <w:rPr>
          <w:rFonts w:eastAsia="仿宋_GB2312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 w:eastAsia="仿宋_GB2312"/>
          <w:sz w:val="32"/>
          <w:szCs w:val="32"/>
        </w:rPr>
        <w:t>本次《实施办法》</w:t>
      </w:r>
      <w:r>
        <w:rPr>
          <w:rFonts w:ascii="Times New Roman" w:hAnsi="Times New Roman" w:cs="Times New Roman" w:eastAsia="仿宋_GB2312"/>
          <w:sz w:val="32"/>
          <w:szCs w:val="32"/>
          <w:lang w:eastAsia="zh-CN"/>
        </w:rPr>
        <w:t>合计</w:t>
      </w:r>
      <w:r>
        <w:rPr>
          <w:rFonts w:ascii="Times New Roman" w:hAnsi="Times New Roman" w:cs="Times New Roman" w:eastAsia="仿宋_GB2312"/>
          <w:sz w:val="32"/>
          <w:szCs w:val="32"/>
        </w:rPr>
        <w:t>修订</w:t>
      </w:r>
      <w:r>
        <w:rPr>
          <w:rFonts w:eastAsia="仿宋_GB2312" w:cs="Times New Roman"/>
          <w:sz w:val="32"/>
          <w:szCs w:val="32"/>
        </w:rPr>
        <w:t>6</w:t>
      </w:r>
      <w:r>
        <w:rPr>
          <w:rFonts w:ascii="Times New Roman" w:hAnsi="Times New Roman" w:cs="Times New Roman" w:eastAsia="仿宋_GB2312"/>
          <w:sz w:val="32"/>
          <w:szCs w:val="32"/>
        </w:rPr>
        <w:t>条，主要是修改沪股通、港</w:t>
      </w:r>
      <w:r>
        <w:rPr>
          <w:rFonts w:ascii="Times New Roman" w:hAnsi="Times New Roman" w:cs="Times New Roman" w:eastAsia="仿宋_GB2312"/>
          <w:sz w:val="32"/>
          <w:szCs w:val="32"/>
        </w:rPr>
        <w:t>股通</w:t>
      </w:r>
      <w:r>
        <w:rPr>
          <w:rFonts w:eastAsia="仿宋_GB2312" w:cs="Times New Roman"/>
          <w:sz w:val="32"/>
          <w:szCs w:val="32"/>
        </w:rPr>
        <w:t>ETF</w:t>
      </w:r>
      <w:r>
        <w:rPr>
          <w:rFonts w:ascii="Times New Roman" w:hAnsi="Times New Roman" w:cs="Times New Roman" w:eastAsia="仿宋_GB2312"/>
          <w:sz w:val="32"/>
          <w:szCs w:val="32"/>
        </w:rPr>
        <w:t>范围。</w:t>
      </w:r>
    </w:p>
    <w:p>
      <w:pPr>
        <w:pStyle w:val="Normal"/>
        <w:overflowPunct w:val="true"/>
        <w:snapToGrid w:val="true"/>
        <w:spacing w:lineRule="auto" w:line="240"/>
        <w:ind w:firstLine="640" w:end="0"/>
        <w:rPr>
          <w:rFonts w:ascii="仿宋_GB2312" w:hAnsi="仿宋_GB2312" w:eastAsia="仿宋_GB2312" w:cs="仿宋"/>
          <w:sz w:val="32"/>
          <w:szCs w:val="32"/>
        </w:rPr>
      </w:pPr>
      <w:r>
        <w:rPr>
          <w:rFonts w:ascii="Times New Roman" w:hAnsi="Times New Roman" w:cs="Times New Roman" w:eastAsia="仿宋_GB2312"/>
          <w:sz w:val="32"/>
          <w:szCs w:val="32"/>
        </w:rPr>
        <w:t>一是修改第二十六条、第七十六条，</w:t>
      </w:r>
      <w:r>
        <w:rPr>
          <w:rFonts w:ascii="Times New Roman" w:hAnsi="Times New Roman" w:cs="Times New Roman" w:eastAsia="仿宋_GB2312"/>
          <w:sz w:val="32"/>
          <w:szCs w:val="32"/>
          <w:lang w:eastAsia="zh-CN"/>
        </w:rPr>
        <w:t>调整</w:t>
      </w:r>
      <w:r>
        <w:rPr>
          <w:rFonts w:ascii="Times New Roman" w:hAnsi="Times New Roman" w:cs="Times New Roman" w:eastAsia="仿宋_GB2312"/>
          <w:sz w:val="32"/>
          <w:szCs w:val="32"/>
        </w:rPr>
        <w:t>沪股通</w:t>
      </w:r>
      <w:r>
        <w:rPr>
          <w:rFonts w:eastAsia="仿宋_GB2312" w:cs="Times New Roman"/>
          <w:sz w:val="32"/>
          <w:szCs w:val="32"/>
        </w:rPr>
        <w:t>ETF</w:t>
      </w:r>
      <w:r>
        <w:rPr>
          <w:rFonts w:ascii="Times New Roman" w:hAnsi="Times New Roman" w:cs="Times New Roman" w:eastAsia="仿宋_GB2312"/>
          <w:sz w:val="32"/>
          <w:szCs w:val="32"/>
        </w:rPr>
        <w:t>和</w:t>
      </w:r>
      <w:r>
        <w:rPr>
          <w:rFonts w:ascii="仿宋_GB2312" w:hAnsi="仿宋_GB2312" w:cs="仿宋" w:eastAsia="仿宋_GB2312"/>
          <w:sz w:val="32"/>
          <w:szCs w:val="32"/>
        </w:rPr>
        <w:t>港股通</w:t>
      </w:r>
      <w:r>
        <w:rPr>
          <w:rFonts w:eastAsia="仿宋_GB2312" w:cs="Times New Roman"/>
          <w:sz w:val="32"/>
          <w:szCs w:val="32"/>
        </w:rPr>
        <w:t>ETF</w:t>
      </w:r>
      <w:r>
        <w:rPr>
          <w:rFonts w:ascii="Times New Roman" w:hAnsi="Times New Roman" w:cs="Times New Roman" w:eastAsia="仿宋_GB2312"/>
          <w:sz w:val="32"/>
          <w:szCs w:val="32"/>
        </w:rPr>
        <w:t>有关</w:t>
      </w:r>
      <w:r>
        <w:rPr>
          <w:rFonts w:ascii="仿宋_GB2312" w:hAnsi="仿宋_GB2312" w:cs="仿宋" w:eastAsia="仿宋_GB2312"/>
          <w:sz w:val="32"/>
          <w:szCs w:val="32"/>
        </w:rPr>
        <w:t>规模和权重占比的调入要求。</w:t>
      </w:r>
      <w:r>
        <w:rPr>
          <w:rFonts w:ascii="仿宋_GB2312" w:hAnsi="仿宋_GB2312" w:cs="仿宋" w:eastAsia="仿宋_GB2312"/>
          <w:b/>
          <w:bCs/>
          <w:sz w:val="32"/>
          <w:szCs w:val="32"/>
        </w:rPr>
        <w:t>沪股通方面，</w:t>
      </w:r>
      <w:r>
        <w:rPr>
          <w:rFonts w:eastAsia="仿宋_GB2312" w:cs="Times New Roman"/>
          <w:sz w:val="32"/>
          <w:szCs w:val="32"/>
        </w:rPr>
        <w:t>ETF</w:t>
      </w:r>
      <w:r>
        <w:rPr>
          <w:rFonts w:ascii="Times New Roman" w:hAnsi="Times New Roman" w:cs="Times New Roman" w:eastAsia="仿宋_GB2312"/>
          <w:sz w:val="32"/>
          <w:szCs w:val="32"/>
        </w:rPr>
        <w:t>纳入规模门槛由不低于人民币</w:t>
      </w:r>
      <w:r>
        <w:rPr>
          <w:rFonts w:eastAsia="仿宋_GB2312" w:cs="Times New Roman"/>
          <w:sz w:val="32"/>
          <w:szCs w:val="32"/>
        </w:rPr>
        <w:t>15</w:t>
      </w:r>
      <w:r>
        <w:rPr>
          <w:rFonts w:ascii="Times New Roman" w:hAnsi="Times New Roman" w:cs="Times New Roman" w:eastAsia="仿宋_GB2312"/>
          <w:sz w:val="32"/>
          <w:szCs w:val="32"/>
        </w:rPr>
        <w:t>亿元调整为不低于人民</w:t>
      </w:r>
      <w:r>
        <w:rPr>
          <w:rFonts w:ascii="仿宋_GB2312" w:hAnsi="仿宋_GB2312" w:cs="仿宋" w:eastAsia="仿宋_GB2312"/>
          <w:sz w:val="32"/>
          <w:szCs w:val="32"/>
        </w:rPr>
        <w:t>币</w:t>
      </w:r>
      <w:r>
        <w:rPr>
          <w:rFonts w:eastAsia="仿宋_GB2312" w:cs="Times New Roman"/>
          <w:sz w:val="32"/>
          <w:szCs w:val="32"/>
        </w:rPr>
        <w:t>5</w:t>
      </w:r>
      <w:r>
        <w:rPr>
          <w:rFonts w:ascii="Times New Roman" w:hAnsi="Times New Roman" w:cs="Times New Roman" w:eastAsia="仿宋_GB2312"/>
          <w:sz w:val="32"/>
          <w:szCs w:val="32"/>
        </w:rPr>
        <w:t>亿</w:t>
      </w:r>
      <w:r>
        <w:rPr>
          <w:rFonts w:ascii="仿宋_GB2312" w:hAnsi="仿宋_GB2312" w:cs="仿宋" w:eastAsia="仿宋_GB2312"/>
          <w:sz w:val="32"/>
          <w:szCs w:val="32"/>
        </w:rPr>
        <w:t>元；调入比例调整为“跟踪的标的指数成份证券中，</w:t>
      </w:r>
      <w:r>
        <w:rPr>
          <w:rFonts w:ascii="仿宋_GB2312" w:hAnsi="仿宋_GB2312" w:cs="仿宋" w:eastAsia="仿宋_GB2312"/>
          <w:sz w:val="32"/>
          <w:szCs w:val="32"/>
        </w:rPr>
        <w:t>本所</w:t>
      </w:r>
      <w:r>
        <w:rPr>
          <w:rFonts w:ascii="Times New Roman" w:hAnsi="Times New Roman" w:cs="Times New Roman" w:eastAsia="仿宋_GB2312"/>
          <w:sz w:val="32"/>
          <w:szCs w:val="32"/>
        </w:rPr>
        <w:t>和</w:t>
      </w:r>
      <w:r>
        <w:rPr>
          <w:rFonts w:ascii="仿宋_GB2312" w:hAnsi="仿宋_GB2312" w:cs="仿宋_GB2312" w:eastAsia="仿宋_GB2312"/>
          <w:kern w:val="2"/>
          <w:sz w:val="32"/>
          <w:szCs w:val="32"/>
          <w:lang w:val="en-US" w:eastAsia="zh-CN" w:bidi="ar"/>
        </w:rPr>
        <w:t>深圳证券交易所（以下简称深交所）</w:t>
      </w:r>
      <w:r>
        <w:rPr>
          <w:rFonts w:ascii="Times New Roman" w:hAnsi="Times New Roman" w:cs="Times New Roman" w:eastAsia="仿宋_GB2312"/>
          <w:sz w:val="32"/>
          <w:szCs w:val="32"/>
        </w:rPr>
        <w:t>上市股票权重占比不低于</w:t>
      </w:r>
      <w:r>
        <w:rPr>
          <w:rFonts w:eastAsia="仿宋_GB2312" w:cs="Times New Roman"/>
          <w:sz w:val="32"/>
          <w:szCs w:val="32"/>
        </w:rPr>
        <w:t>60%</w:t>
      </w:r>
      <w:r>
        <w:rPr>
          <w:rFonts w:ascii="Times New Roman" w:hAnsi="Times New Roman" w:cs="Times New Roman" w:eastAsia="仿宋_GB2312"/>
          <w:sz w:val="32"/>
          <w:szCs w:val="32"/>
        </w:rPr>
        <w:t>，且沪股通股</w:t>
      </w:r>
      <w:r>
        <w:rPr>
          <w:rFonts w:ascii="仿宋_GB2312" w:hAnsi="仿宋_GB2312" w:cs="仿宋" w:eastAsia="仿宋_GB2312"/>
          <w:sz w:val="32"/>
          <w:szCs w:val="32"/>
        </w:rPr>
        <w:t>票和深股通股票权重占比不低于</w:t>
      </w:r>
      <w:r>
        <w:rPr>
          <w:rFonts w:eastAsia="仿宋_GB2312" w:cs="Times New Roman"/>
          <w:sz w:val="32"/>
          <w:szCs w:val="32"/>
        </w:rPr>
        <w:t>60%</w:t>
      </w:r>
      <w:r>
        <w:rPr>
          <w:rFonts w:eastAsia="仿宋_GB2312" w:cs="仿宋_GB2312" w:ascii="仿宋_GB2312" w:hAnsi="仿宋_GB2312"/>
          <w:sz w:val="32"/>
          <w:szCs w:val="32"/>
        </w:rPr>
        <w:t>”</w:t>
      </w:r>
      <w:r>
        <w:rPr>
          <w:rFonts w:ascii="仿宋_GB2312" w:hAnsi="仿宋_GB2312" w:cs="仿宋" w:eastAsia="仿宋_GB2312"/>
          <w:sz w:val="32"/>
          <w:szCs w:val="32"/>
        </w:rPr>
        <w:t>。</w:t>
      </w:r>
      <w:r>
        <w:rPr>
          <w:rFonts w:ascii="仿宋_GB2312" w:hAnsi="仿宋_GB2312" w:cs="仿宋" w:eastAsia="仿宋_GB2312"/>
          <w:b/>
          <w:bCs/>
          <w:sz w:val="32"/>
          <w:szCs w:val="32"/>
        </w:rPr>
        <w:t>港股通方面，</w:t>
      </w:r>
      <w:r>
        <w:rPr>
          <w:rFonts w:eastAsia="仿宋_GB2312" w:cs="Times New Roman"/>
          <w:sz w:val="32"/>
          <w:szCs w:val="32"/>
        </w:rPr>
        <w:t>ETF</w:t>
      </w:r>
      <w:r>
        <w:rPr>
          <w:rFonts w:ascii="Times New Roman" w:hAnsi="Times New Roman" w:cs="Times New Roman" w:eastAsia="仿宋_GB2312"/>
          <w:sz w:val="32"/>
          <w:szCs w:val="32"/>
        </w:rPr>
        <w:t>纳入规模门槛由不低于港币</w:t>
      </w:r>
      <w:r>
        <w:rPr>
          <w:rFonts w:eastAsia="仿宋_GB2312" w:cs="Times New Roman"/>
          <w:sz w:val="32"/>
          <w:szCs w:val="32"/>
        </w:rPr>
        <w:t>17</w:t>
      </w:r>
      <w:r>
        <w:rPr>
          <w:rFonts w:ascii="Times New Roman" w:hAnsi="Times New Roman" w:cs="Times New Roman" w:eastAsia="仿宋_GB2312"/>
          <w:sz w:val="32"/>
          <w:szCs w:val="32"/>
        </w:rPr>
        <w:t>亿元调整为不低于港币</w:t>
      </w:r>
      <w:r>
        <w:rPr>
          <w:rFonts w:eastAsia="仿宋_GB2312" w:cs="Times New Roman"/>
          <w:sz w:val="32"/>
          <w:szCs w:val="32"/>
        </w:rPr>
        <w:t>5.5</w:t>
      </w:r>
      <w:r>
        <w:rPr>
          <w:rFonts w:ascii="仿宋_GB2312" w:hAnsi="仿宋_GB2312" w:cs="仿宋" w:eastAsia="仿宋_GB2312"/>
          <w:sz w:val="32"/>
          <w:szCs w:val="32"/>
        </w:rPr>
        <w:t>亿元；调入比例统一调整为“跟踪的标的指数成份证券中，联交所上市股票权重占比不</w:t>
      </w:r>
      <w:r>
        <w:rPr>
          <w:rFonts w:ascii="Times New Roman" w:hAnsi="Times New Roman" w:cs="Times New Roman" w:eastAsia="仿宋_GB2312"/>
          <w:sz w:val="32"/>
          <w:szCs w:val="32"/>
        </w:rPr>
        <w:t>低于</w:t>
      </w:r>
      <w:r>
        <w:rPr>
          <w:rFonts w:eastAsia="仿宋_GB2312" w:cs="Times New Roman"/>
          <w:sz w:val="32"/>
          <w:szCs w:val="32"/>
        </w:rPr>
        <w:t>60%</w:t>
      </w:r>
      <w:r>
        <w:rPr>
          <w:rFonts w:ascii="Times New Roman" w:hAnsi="Times New Roman" w:cs="Times New Roman" w:eastAsia="仿宋_GB2312"/>
          <w:sz w:val="32"/>
          <w:szCs w:val="32"/>
        </w:rPr>
        <w:t>，</w:t>
      </w:r>
      <w:r>
        <w:rPr>
          <w:rFonts w:ascii="仿宋_GB2312" w:hAnsi="仿宋_GB2312" w:cs="仿宋" w:eastAsia="仿宋_GB2312"/>
          <w:sz w:val="32"/>
          <w:szCs w:val="32"/>
        </w:rPr>
        <w:t>且港股通股票权重占比不低于</w:t>
      </w:r>
      <w:r>
        <w:rPr>
          <w:rFonts w:eastAsia="仿宋_GB2312" w:cs="Times New Roman"/>
          <w:sz w:val="32"/>
          <w:szCs w:val="32"/>
        </w:rPr>
        <w:t>60%</w:t>
      </w:r>
      <w:r>
        <w:rPr>
          <w:rFonts w:eastAsia="仿宋_GB2312" w:cs="仿宋" w:ascii="仿宋_GB2312" w:hAnsi="仿宋_GB2312"/>
          <w:sz w:val="32"/>
          <w:szCs w:val="32"/>
        </w:rPr>
        <w:t>”</w:t>
      </w:r>
      <w:r>
        <w:rPr>
          <w:rFonts w:ascii="仿宋_GB2312" w:hAnsi="仿宋_GB2312" w:cs="仿宋" w:eastAsia="仿宋_GB2312"/>
          <w:sz w:val="32"/>
          <w:szCs w:val="32"/>
        </w:rPr>
        <w:t>，不再以指数进行区分。</w:t>
      </w:r>
    </w:p>
    <w:p>
      <w:pPr>
        <w:pStyle w:val="Normal"/>
        <w:overflowPunct w:val="false"/>
        <w:snapToGrid w:val="false"/>
        <w:spacing w:lineRule="exact" w:line="560"/>
        <w:ind w:firstLine="640" w:end="0"/>
        <w:rPr>
          <w:rFonts w:ascii="仿宋_GB2312" w:hAnsi="仿宋_GB2312" w:eastAsia="仿宋_GB2312" w:cs="仿宋"/>
          <w:sz w:val="32"/>
          <w:szCs w:val="32"/>
        </w:rPr>
      </w:pPr>
      <w:r>
        <w:rPr>
          <w:rFonts w:ascii="Times New Roman" w:hAnsi="Times New Roman" w:cs="Times New Roman" w:eastAsia="仿宋_GB2312"/>
          <w:sz w:val="32"/>
          <w:szCs w:val="32"/>
        </w:rPr>
        <w:t>二是修改第二十七条、第七十七条，</w:t>
      </w:r>
      <w:r>
        <w:rPr>
          <w:rFonts w:ascii="Times New Roman" w:hAnsi="Times New Roman" w:cs="Times New Roman" w:eastAsia="仿宋_GB2312"/>
          <w:sz w:val="32"/>
          <w:szCs w:val="32"/>
          <w:lang w:eastAsia="zh-CN"/>
        </w:rPr>
        <w:t>调整</w:t>
      </w:r>
      <w:r>
        <w:rPr>
          <w:rFonts w:ascii="Times New Roman" w:hAnsi="Times New Roman" w:cs="Times New Roman" w:eastAsia="仿宋_GB2312"/>
          <w:sz w:val="32"/>
          <w:szCs w:val="32"/>
        </w:rPr>
        <w:t>沪股通</w:t>
      </w:r>
      <w:r>
        <w:rPr>
          <w:rFonts w:eastAsia="仿宋_GB2312" w:cs="Times New Roman"/>
          <w:sz w:val="32"/>
          <w:szCs w:val="32"/>
        </w:rPr>
        <w:t>ETF</w:t>
      </w:r>
      <w:r>
        <w:rPr>
          <w:rFonts w:ascii="Times New Roman" w:hAnsi="Times New Roman" w:cs="Times New Roman" w:eastAsia="仿宋_GB2312"/>
          <w:sz w:val="32"/>
          <w:szCs w:val="32"/>
        </w:rPr>
        <w:t>和</w:t>
      </w:r>
      <w:r>
        <w:rPr>
          <w:rFonts w:ascii="仿宋_GB2312" w:hAnsi="仿宋_GB2312" w:cs="仿宋" w:eastAsia="仿宋_GB2312"/>
          <w:sz w:val="32"/>
          <w:szCs w:val="32"/>
        </w:rPr>
        <w:t>港股通</w:t>
      </w:r>
      <w:r>
        <w:rPr>
          <w:rFonts w:eastAsia="仿宋_GB2312" w:cs="Times New Roman"/>
          <w:sz w:val="32"/>
          <w:szCs w:val="32"/>
        </w:rPr>
        <w:t>ETF</w:t>
      </w:r>
      <w:r>
        <w:rPr>
          <w:rFonts w:ascii="Times New Roman" w:hAnsi="Times New Roman" w:cs="Times New Roman" w:eastAsia="仿宋_GB2312"/>
          <w:sz w:val="32"/>
          <w:szCs w:val="32"/>
        </w:rPr>
        <w:t>有关</w:t>
      </w:r>
      <w:r>
        <w:rPr>
          <w:rFonts w:ascii="仿宋_GB2312" w:hAnsi="仿宋_GB2312" w:cs="仿宋" w:eastAsia="仿宋_GB2312"/>
          <w:sz w:val="32"/>
          <w:szCs w:val="32"/>
        </w:rPr>
        <w:t>规模和权重占比的调出情形。</w:t>
      </w:r>
      <w:r>
        <w:rPr>
          <w:rFonts w:ascii="仿宋_GB2312" w:hAnsi="仿宋_GB2312" w:cs="仿宋" w:eastAsia="仿宋_GB2312"/>
          <w:b/>
          <w:bCs/>
          <w:sz w:val="32"/>
          <w:szCs w:val="32"/>
        </w:rPr>
        <w:t>沪股通方面，</w:t>
      </w:r>
      <w:r>
        <w:rPr>
          <w:rFonts w:eastAsia="仿宋_GB2312" w:cs="Times New Roman"/>
          <w:sz w:val="32"/>
          <w:szCs w:val="32"/>
        </w:rPr>
        <w:t>ETF</w:t>
      </w:r>
      <w:r>
        <w:rPr>
          <w:rFonts w:ascii="Times New Roman" w:hAnsi="Times New Roman" w:cs="Times New Roman" w:eastAsia="仿宋_GB2312"/>
          <w:sz w:val="32"/>
          <w:szCs w:val="32"/>
        </w:rPr>
        <w:t>调出规模由低于人民币</w:t>
      </w:r>
      <w:r>
        <w:rPr>
          <w:rFonts w:eastAsia="仿宋_GB2312" w:cs="Times New Roman"/>
          <w:sz w:val="32"/>
          <w:szCs w:val="32"/>
        </w:rPr>
        <w:t>10</w:t>
      </w:r>
      <w:r>
        <w:rPr>
          <w:rFonts w:ascii="Times New Roman" w:hAnsi="Times New Roman" w:cs="Times New Roman" w:eastAsia="仿宋_GB2312"/>
          <w:sz w:val="32"/>
          <w:szCs w:val="32"/>
        </w:rPr>
        <w:t>亿元调整为低于人民币</w:t>
      </w:r>
      <w:r>
        <w:rPr>
          <w:rFonts w:eastAsia="仿宋_GB2312" w:cs="Times New Roman"/>
          <w:sz w:val="32"/>
          <w:szCs w:val="32"/>
        </w:rPr>
        <w:t>4</w:t>
      </w:r>
      <w:r>
        <w:rPr>
          <w:rFonts w:ascii="Times New Roman" w:hAnsi="Times New Roman" w:cs="Times New Roman" w:eastAsia="仿宋_GB2312"/>
          <w:sz w:val="32"/>
          <w:szCs w:val="32"/>
        </w:rPr>
        <w:t>亿</w:t>
      </w:r>
      <w:r>
        <w:rPr>
          <w:rFonts w:ascii="仿宋_GB2312" w:hAnsi="仿宋_GB2312" w:cs="仿宋" w:eastAsia="仿宋_GB2312"/>
          <w:sz w:val="32"/>
          <w:szCs w:val="32"/>
        </w:rPr>
        <w:t>元；调出比例调整为“跟踪的标的指数成份证券中，</w:t>
      </w:r>
      <w:r>
        <w:rPr>
          <w:rFonts w:ascii="仿宋_GB2312" w:hAnsi="仿宋_GB2312" w:cs="仿宋" w:eastAsia="仿宋_GB2312"/>
          <w:sz w:val="32"/>
          <w:szCs w:val="32"/>
        </w:rPr>
        <w:t>本所</w:t>
      </w:r>
      <w:r>
        <w:rPr>
          <w:rFonts w:ascii="仿宋_GB2312" w:hAnsi="仿宋_GB2312" w:cs="仿宋" w:eastAsia="仿宋_GB2312"/>
          <w:sz w:val="32"/>
          <w:szCs w:val="32"/>
        </w:rPr>
        <w:t>和深交所上市股票权重占比低于</w:t>
      </w:r>
      <w:r>
        <w:rPr>
          <w:rFonts w:eastAsia="仿宋_GB2312" w:cs="Times New Roman"/>
          <w:sz w:val="32"/>
          <w:szCs w:val="32"/>
        </w:rPr>
        <w:t>55%</w:t>
      </w:r>
      <w:r>
        <w:rPr>
          <w:rFonts w:ascii="Times New Roman" w:hAnsi="Times New Roman" w:cs="Times New Roman" w:eastAsia="仿宋_GB2312"/>
          <w:sz w:val="32"/>
          <w:szCs w:val="32"/>
        </w:rPr>
        <w:t>，或者沪股通股票和深股通股票权重占比低于</w:t>
      </w:r>
      <w:r>
        <w:rPr>
          <w:rFonts w:eastAsia="仿宋_GB2312" w:cs="Times New Roman"/>
          <w:sz w:val="32"/>
          <w:szCs w:val="32"/>
        </w:rPr>
        <w:t>55%</w:t>
      </w:r>
      <w:r>
        <w:rPr>
          <w:rFonts w:eastAsia="仿宋_GB2312" w:cs="仿宋" w:ascii="仿宋_GB2312" w:hAnsi="仿宋_GB2312"/>
          <w:sz w:val="32"/>
          <w:szCs w:val="32"/>
        </w:rPr>
        <w:t>”</w:t>
      </w:r>
      <w:r>
        <w:rPr>
          <w:rFonts w:ascii="仿宋_GB2312" w:hAnsi="仿宋_GB2312" w:cs="仿宋" w:eastAsia="仿宋_GB2312"/>
          <w:sz w:val="32"/>
          <w:szCs w:val="32"/>
        </w:rPr>
        <w:t>。</w:t>
      </w:r>
      <w:r>
        <w:rPr>
          <w:rFonts w:ascii="仿宋_GB2312" w:hAnsi="仿宋_GB2312" w:cs="仿宋" w:eastAsia="仿宋_GB2312"/>
          <w:b/>
          <w:bCs/>
          <w:sz w:val="32"/>
          <w:szCs w:val="32"/>
        </w:rPr>
        <w:t>港股通方面，</w:t>
      </w:r>
      <w:r>
        <w:rPr>
          <w:rFonts w:ascii="仿宋_GB2312" w:hAnsi="仿宋_GB2312" w:cs="仿宋" w:eastAsia="仿宋_GB2312"/>
          <w:sz w:val="32"/>
          <w:szCs w:val="32"/>
        </w:rPr>
        <w:t>调出规模由低</w:t>
      </w:r>
      <w:r>
        <w:rPr>
          <w:rFonts w:ascii="Times New Roman" w:hAnsi="Times New Roman" w:cs="Times New Roman" w:eastAsia="仿宋_GB2312"/>
          <w:sz w:val="32"/>
          <w:szCs w:val="32"/>
        </w:rPr>
        <w:t>于港币</w:t>
      </w:r>
      <w:r>
        <w:rPr>
          <w:rFonts w:eastAsia="仿宋_GB2312" w:cs="Times New Roman"/>
          <w:sz w:val="32"/>
          <w:szCs w:val="32"/>
        </w:rPr>
        <w:t>12</w:t>
      </w:r>
      <w:r>
        <w:rPr>
          <w:rFonts w:ascii="Times New Roman" w:hAnsi="Times New Roman" w:cs="Times New Roman" w:eastAsia="仿宋_GB2312"/>
          <w:sz w:val="32"/>
          <w:szCs w:val="32"/>
        </w:rPr>
        <w:t>亿元调整为低于港币</w:t>
      </w:r>
      <w:r>
        <w:rPr>
          <w:rFonts w:eastAsia="仿宋_GB2312" w:cs="Times New Roman"/>
          <w:sz w:val="32"/>
          <w:szCs w:val="32"/>
        </w:rPr>
        <w:t>4.5</w:t>
      </w:r>
      <w:r>
        <w:rPr>
          <w:rFonts w:ascii="Times New Roman" w:hAnsi="Times New Roman" w:cs="Times New Roman" w:eastAsia="仿宋_GB2312"/>
          <w:sz w:val="32"/>
          <w:szCs w:val="32"/>
        </w:rPr>
        <w:t>亿元；调出比例统一调</w:t>
      </w:r>
      <w:r>
        <w:rPr>
          <w:rFonts w:ascii="仿宋_GB2312" w:hAnsi="仿宋_GB2312" w:cs="仿宋" w:eastAsia="仿宋_GB2312"/>
          <w:sz w:val="32"/>
          <w:szCs w:val="32"/>
        </w:rPr>
        <w:t>整为“跟踪的标的指数成份证券中，联交所上市股票权重占比低于</w:t>
      </w:r>
      <w:r>
        <w:rPr>
          <w:rFonts w:eastAsia="仿宋_GB2312" w:cs="Times New Roman"/>
          <w:sz w:val="32"/>
          <w:szCs w:val="32"/>
        </w:rPr>
        <w:t>55%</w:t>
      </w:r>
      <w:r>
        <w:rPr>
          <w:rFonts w:ascii="Times New Roman" w:hAnsi="Times New Roman" w:cs="Times New Roman" w:eastAsia="仿宋_GB2312"/>
          <w:sz w:val="32"/>
          <w:szCs w:val="32"/>
        </w:rPr>
        <w:t>，或者港股通股票权重占比低于</w:t>
      </w:r>
      <w:r>
        <w:rPr>
          <w:rFonts w:eastAsia="仿宋_GB2312" w:cs="Times New Roman"/>
          <w:sz w:val="32"/>
          <w:szCs w:val="32"/>
        </w:rPr>
        <w:t>55%</w:t>
      </w:r>
      <w:r>
        <w:rPr>
          <w:rFonts w:eastAsia="仿宋_GB2312" w:cs="仿宋" w:ascii="仿宋_GB2312" w:hAnsi="仿宋_GB2312"/>
          <w:sz w:val="32"/>
          <w:szCs w:val="32"/>
        </w:rPr>
        <w:t>”</w:t>
      </w:r>
      <w:r>
        <w:rPr>
          <w:rFonts w:ascii="仿宋_GB2312" w:hAnsi="仿宋_GB2312" w:cs="仿宋" w:eastAsia="仿宋_GB2312"/>
          <w:sz w:val="32"/>
          <w:szCs w:val="32"/>
        </w:rPr>
        <w:t>，不再以指数进行区分。</w:t>
      </w:r>
    </w:p>
    <w:p>
      <w:pPr>
        <w:pStyle w:val="Normal"/>
        <w:overflowPunct w:val="false"/>
        <w:snapToGrid w:val="false"/>
        <w:spacing w:lineRule="exact" w:line="560"/>
        <w:ind w:firstLine="640" w:end="0"/>
        <w:rPr>
          <w:rFonts w:ascii="仿宋_GB2312" w:hAnsi="仿宋_GB2312" w:eastAsia="仿宋_GB2312" w:cs="仿宋"/>
          <w:sz w:val="32"/>
          <w:szCs w:val="32"/>
        </w:rPr>
      </w:pPr>
      <w:r>
        <w:rPr>
          <w:rFonts w:ascii="仿宋_GB2312" w:hAnsi="仿宋_GB2312" w:cs="仿宋" w:eastAsia="仿宋_GB2312"/>
          <w:sz w:val="32"/>
          <w:szCs w:val="32"/>
        </w:rPr>
        <w:t>三是修改第八十条、第一百四十六条，涉及条款序号调整及废止条款修订。</w:t>
      </w:r>
    </w:p>
    <w:p>
      <w:pPr>
        <w:pStyle w:val="Normal"/>
        <w:numPr>
          <w:ilvl w:val="0"/>
          <w:numId w:val="0"/>
        </w:numPr>
        <w:overflowPunct w:val="false"/>
        <w:snapToGrid w:val="false"/>
        <w:spacing w:lineRule="exact" w:line="560"/>
        <w:ind w:firstLine="640" w:start="0" w:end="0"/>
        <w:rPr>
          <w:rFonts w:ascii="黑体" w:hAnsi="黑体" w:eastAsia="黑体" w:cs="Times New Roman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ascii="黑体" w:hAnsi="黑体" w:cs="Times New Roman" w:eastAsia="黑体"/>
          <w:sz w:val="32"/>
          <w:szCs w:val="32"/>
          <w:lang w:val="en-US" w:eastAsia="zh-CN"/>
        </w:rPr>
        <w:t>三、征求意见情况</w:t>
      </w:r>
    </w:p>
    <w:p>
      <w:pPr>
        <w:pStyle w:val="Normal"/>
        <w:numPr>
          <w:ilvl w:val="0"/>
          <w:numId w:val="0"/>
        </w:numPr>
        <w:overflowPunct w:val="false"/>
        <w:snapToGrid w:val="false"/>
        <w:spacing w:lineRule="exact" w:line="560"/>
        <w:ind w:firstLine="640" w:start="0" w:end="0"/>
        <w:rPr/>
      </w:pPr>
      <w:r>
        <w:rPr>
          <w:rFonts w:ascii="Times New Roman" w:hAnsi="Times New Roman" w:cs="Times New Roman" w:eastAsia="仿宋_GB2312"/>
          <w:sz w:val="32"/>
          <w:szCs w:val="32"/>
          <w:lang w:eastAsia="zh-CN"/>
        </w:rPr>
        <w:t>秉承开门立规的精神，</w:t>
      </w:r>
      <w:r>
        <w:rPr>
          <w:rFonts w:ascii="Times New Roman" w:hAnsi="Times New Roman" w:cs="Times New Roman" w:eastAsia="仿宋_GB2312"/>
          <w:sz w:val="32"/>
          <w:szCs w:val="32"/>
        </w:rPr>
        <w:t>本所</w:t>
      </w:r>
      <w:r>
        <w:rPr>
          <w:rFonts w:ascii="Times New Roman" w:hAnsi="Times New Roman" w:cs="Times New Roman" w:eastAsia="仿宋_GB2312"/>
          <w:sz w:val="32"/>
          <w:szCs w:val="32"/>
          <w:lang w:eastAsia="zh-CN"/>
        </w:rPr>
        <w:t>于</w:t>
      </w:r>
      <w:r>
        <w:rPr>
          <w:rFonts w:eastAsia="仿宋_GB2312" w:cs="Times New Roman"/>
          <w:sz w:val="32"/>
          <w:szCs w:val="32"/>
          <w:lang w:val="en-US" w:eastAsia="zh-CN"/>
        </w:rPr>
        <w:t>2024</w:t>
      </w:r>
      <w:r>
        <w:rPr>
          <w:rFonts w:ascii="Times New Roman" w:hAnsi="Times New Roman" w:cs="Times New Roman" w:eastAsia="仿宋_GB2312"/>
          <w:sz w:val="32"/>
          <w:szCs w:val="32"/>
          <w:lang w:val="en-US" w:eastAsia="zh-CN"/>
        </w:rPr>
        <w:t>年</w:t>
      </w:r>
      <w:r>
        <w:rPr>
          <w:rFonts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cs="Times New Roman" w:eastAsia="仿宋_GB2312"/>
          <w:sz w:val="32"/>
          <w:szCs w:val="32"/>
          <w:lang w:val="en-US" w:eastAsia="zh-CN"/>
        </w:rPr>
        <w:t>月</w:t>
      </w:r>
      <w:r>
        <w:rPr>
          <w:rFonts w:eastAsia="仿宋_GB2312" w:cs="Times New Roman"/>
          <w:sz w:val="32"/>
          <w:szCs w:val="32"/>
          <w:lang w:val="en-US" w:eastAsia="zh-CN"/>
        </w:rPr>
        <w:t>19</w:t>
      </w:r>
      <w:r>
        <w:rPr>
          <w:rFonts w:ascii="Times New Roman" w:hAnsi="Times New Roman" w:cs="Times New Roman" w:eastAsia="仿宋_GB2312"/>
          <w:sz w:val="32"/>
          <w:szCs w:val="32"/>
          <w:lang w:val="en-US" w:eastAsia="zh-CN"/>
        </w:rPr>
        <w:t>日至</w:t>
      </w:r>
      <w:r>
        <w:rPr>
          <w:rFonts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cs="Times New Roman" w:eastAsia="仿宋_GB2312"/>
          <w:sz w:val="32"/>
          <w:szCs w:val="32"/>
          <w:lang w:val="en-US" w:eastAsia="zh-CN"/>
        </w:rPr>
        <w:t>月</w:t>
      </w:r>
      <w:r>
        <w:rPr>
          <w:rFonts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cs="Times New Roman" w:eastAsia="仿宋_GB2312"/>
          <w:sz w:val="32"/>
          <w:szCs w:val="32"/>
          <w:lang w:val="en-US" w:eastAsia="zh-CN"/>
        </w:rPr>
        <w:t>日就修订</w:t>
      </w:r>
      <w:r>
        <w:rPr>
          <w:rFonts w:ascii="Times New Roman" w:hAnsi="Times New Roman" w:cs="Times New Roman" w:eastAsia="仿宋_GB2312"/>
          <w:sz w:val="32"/>
          <w:szCs w:val="32"/>
        </w:rPr>
        <w:t>《实施办法》向市场公开征求意见。征求意见期间，</w:t>
      </w:r>
      <w:r>
        <w:rPr>
          <w:rFonts w:ascii="Times New Roman" w:hAnsi="Times New Roman" w:cs="Times New Roman" w:eastAsia="仿宋_GB2312"/>
          <w:sz w:val="32"/>
          <w:szCs w:val="32"/>
          <w:lang w:eastAsia="zh-CN"/>
        </w:rPr>
        <w:t>本所</w:t>
      </w:r>
      <w:r>
        <w:rPr>
          <w:rFonts w:ascii="Times New Roman" w:hAnsi="Times New Roman" w:cs="Times New Roman" w:eastAsia="仿宋_GB2312"/>
          <w:sz w:val="32"/>
          <w:szCs w:val="32"/>
        </w:rPr>
        <w:t>共收到</w:t>
      </w:r>
      <w:r>
        <w:rPr>
          <w:rFonts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cs="Times New Roman" w:eastAsia="仿宋_GB2312"/>
          <w:sz w:val="32"/>
          <w:szCs w:val="32"/>
        </w:rPr>
        <w:t>条意见建议</w:t>
      </w:r>
      <w:r>
        <w:rPr>
          <w:rFonts w:ascii="Times New Roman" w:hAnsi="Times New Roman" w:cs="Times New Roman" w:eastAsia="仿宋_GB2312"/>
          <w:sz w:val="32"/>
          <w:szCs w:val="32"/>
          <w:lang w:eastAsia="zh-CN"/>
        </w:rPr>
        <w:t>。其中</w:t>
      </w:r>
      <w:r>
        <w:rPr>
          <w:rFonts w:ascii="Times New Roman" w:hAnsi="Times New Roman" w:cs="Times New Roman" w:eastAsia="仿宋_GB2312"/>
          <w:sz w:val="32"/>
          <w:szCs w:val="32"/>
          <w:lang w:eastAsia="zh-CN"/>
        </w:rPr>
        <w:t>，</w:t>
      </w:r>
      <w:r>
        <w:rPr>
          <w:rFonts w:ascii="Times New Roman" w:hAnsi="Times New Roman" w:cs="Times New Roman" w:eastAsia="仿宋_GB2312"/>
          <w:sz w:val="32"/>
          <w:szCs w:val="32"/>
          <w:lang w:eastAsia="zh-CN"/>
        </w:rPr>
        <w:t>关于进一步降低股票权重占比要求的建议需结合实践深入研究；其余意见建议</w:t>
      </w:r>
      <w:r>
        <w:rPr>
          <w:rFonts w:ascii="Times New Roman" w:hAnsi="Times New Roman" w:cs="Times New Roman" w:eastAsia="仿宋_GB2312"/>
          <w:sz w:val="32"/>
          <w:szCs w:val="32"/>
          <w:lang w:val="en-US" w:eastAsia="zh-CN"/>
        </w:rPr>
        <w:t>不涉及本次沪港通</w:t>
      </w:r>
      <w:r>
        <w:rPr>
          <w:rFonts w:eastAsia="仿宋_GB2312" w:cs="Times New Roman"/>
          <w:sz w:val="32"/>
          <w:szCs w:val="32"/>
          <w:lang w:val="en-US" w:eastAsia="zh-CN"/>
        </w:rPr>
        <w:t>ETF</w:t>
      </w:r>
      <w:r>
        <w:rPr>
          <w:rFonts w:ascii="Times New Roman" w:hAnsi="Times New Roman" w:cs="Times New Roman" w:eastAsia="仿宋_GB2312"/>
          <w:sz w:val="32"/>
          <w:szCs w:val="32"/>
          <w:lang w:val="en-US" w:eastAsia="zh-CN"/>
        </w:rPr>
        <w:t>范围扩大事宜，后续将结合有关业务开展情况进一步研究论证。</w:t>
      </w:r>
    </w:p>
    <w:sectPr>
      <w:footerReference w:type="default" r:id="rId2"/>
      <w:type w:val="nextPage"/>
      <w:pgSz w:w="11906" w:h="16838"/>
      <w:pgMar w:left="1800" w:right="1800" w:gutter="0" w:header="0" w:top="1440" w:footer="992" w:bottom="144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仿宋_GB2312">
    <w:charset w:val="86"/>
    <w:family w:val="modern"/>
    <w:pitch w:val="default"/>
  </w:font>
  <w:font w:name="方正大标宋简体">
    <w:charset w:val="86"/>
    <w:family w:val="auto"/>
    <w:pitch w:val="default"/>
  </w:font>
  <w:font w:name="黑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</w:rPr>
    </w:pPr>
    <w:r>
      <w:rPr>
        <w:sz w:val="18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9055" cy="132715"/>
              <wp:effectExtent l="0" t="0" r="0" b="0"/>
              <wp:wrapNone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55" cy="1327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.65pt;height:10.45pt;mso-wrap-distance-left:9.05pt;mso-wrap-distance-right:9.05pt;mso-wrap-distance-top:0pt;mso-wrap-distance-bottom:0pt;margin-top:0pt;mso-position-vertical-relative:text;margin-left:205.35pt;mso-position-horizontal:center;mso-position-horizontal-relative:margin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Foot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90"/>
  <w:defaultTabStop w:val="4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华文宋体" w:cs="Arial Unicode M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2"/>
      <w:lang w:val="en-US" w:eastAsia="zh-CN" w:bidi="ar-SA"/>
    </w:rPr>
  </w:style>
  <w:style w:type="character" w:styleId="Style14">
    <w:name w:val="默认段落字体"/>
    <w:qFormat/>
    <w:rPr/>
  </w:style>
  <w:style w:type="character" w:styleId="Char">
    <w:name w:val="批注框文本 Char"/>
    <w:basedOn w:val="Style14"/>
    <w:qFormat/>
    <w:rPr>
      <w:kern w:val="2"/>
      <w:sz w:val="18"/>
      <w:szCs w:val="18"/>
    </w:rPr>
  </w:style>
  <w:style w:type="character" w:styleId="Char1">
    <w:name w:val="页脚 Char"/>
    <w:basedOn w:val="Style14"/>
    <w:qFormat/>
    <w:rPr>
      <w:sz w:val="18"/>
      <w:szCs w:val="18"/>
    </w:rPr>
  </w:style>
  <w:style w:type="character" w:styleId="Char2">
    <w:name w:val="页眉 Char"/>
    <w:basedOn w:val="Style14"/>
    <w:qFormat/>
    <w:rPr>
      <w:sz w:val="18"/>
      <w:szCs w:val="18"/>
    </w:rPr>
  </w:style>
  <w:style w:type="character" w:styleId="10">
    <w:name w:val="10"/>
    <w:basedOn w:val="Style14"/>
    <w:qFormat/>
    <w:rPr>
      <w:rFonts w:ascii="Times New Roman" w:hAnsi="Times New Roman" w:cs="Times New Roman"/>
    </w:rPr>
  </w:style>
  <w:style w:type="character" w:styleId="15">
    <w:name w:val="15"/>
    <w:basedOn w:val="Style14"/>
    <w:qFormat/>
    <w:rPr>
      <w:rFonts w:ascii="Times New Roman" w:hAnsi="Times New Roman" w:cs="Times New Roma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Style15">
    <w:name w:val="批注框文本"/>
    <w:basedOn w:val="Normal"/>
    <w:qFormat/>
    <w:pPr/>
    <w:rPr>
      <w:sz w:val="18"/>
      <w:szCs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34080</TotalTime>
  <Application>LibreOffice/25.2.3.2$MacOSX_AARCH64 LibreOffice_project/bbb074479178df812d175f709636b368952c2ce3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2024-04-23T23:38:00Z</dcterms:created>
  <dc:creator/>
  <dc:description/>
  <dc:language>zh-CN</dc:language>
  <cp:lastModifiedBy/>
  <dcterms:modified xsi:type="dcterms:W3CDTF">2024-06-14T13:52:09Z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E7113ED0D02999598F59176663FA6011</vt:lpwstr>
  </property>
  <property fmtid="{D5CDD505-2E9C-101B-9397-08002B2CF9AE}" pid="3" name="KSOProductBuildVer">
    <vt:lpwstr>2052-12.8.0.16982</vt:lpwstr>
  </property>
</Properties>
</file>