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792EF">
      <w:pPr>
        <w:widowControl/>
        <w:adjustRightInd w:val="0"/>
        <w:snapToGrid w:val="0"/>
        <w:spacing w:line="560" w:lineRule="exact"/>
        <w:jc w:val="center"/>
        <w:rPr>
          <w:rFonts w:eastAsia="仿宋_GB2312"/>
          <w:b/>
          <w:bCs/>
          <w:kern w:val="0"/>
          <w:sz w:val="32"/>
          <w:szCs w:val="32"/>
        </w:rPr>
      </w:pPr>
    </w:p>
    <w:p w14:paraId="7C1CBDBA">
      <w:pPr>
        <w:widowControl/>
        <w:adjustRightInd w:val="0"/>
        <w:snapToGrid w:val="0"/>
        <w:spacing w:line="560" w:lineRule="exact"/>
        <w:jc w:val="center"/>
        <w:rPr>
          <w:rFonts w:eastAsia="仿宋_GB2312"/>
          <w:b/>
          <w:bCs/>
          <w:kern w:val="0"/>
          <w:sz w:val="32"/>
          <w:szCs w:val="32"/>
        </w:rPr>
      </w:pPr>
    </w:p>
    <w:p w14:paraId="75A77FC7">
      <w:pPr>
        <w:adjustRightInd w:val="0"/>
        <w:snapToGrid w:val="0"/>
        <w:spacing w:line="560" w:lineRule="exact"/>
        <w:jc w:val="center"/>
        <w:rPr>
          <w:rFonts w:eastAsia="方正大标宋简体"/>
          <w:bCs/>
          <w:sz w:val="44"/>
          <w:szCs w:val="44"/>
        </w:rPr>
      </w:pPr>
      <w:r>
        <w:rPr>
          <w:rFonts w:eastAsia="方正大标宋简体"/>
          <w:bCs/>
          <w:sz w:val="44"/>
          <w:szCs w:val="44"/>
        </w:rPr>
        <w:t>上海证券交易所公开募集</w:t>
      </w:r>
      <w:r>
        <w:rPr>
          <w:rFonts w:hint="eastAsia" w:eastAsia="方正大标宋简体"/>
          <w:sz w:val="44"/>
          <w:szCs w:val="44"/>
        </w:rPr>
        <w:t>不动产</w:t>
      </w:r>
      <w:r>
        <w:rPr>
          <w:rFonts w:eastAsia="方正大标宋简体"/>
          <w:bCs/>
          <w:sz w:val="44"/>
          <w:szCs w:val="44"/>
        </w:rPr>
        <w:t>投资</w:t>
      </w:r>
      <w:r>
        <w:rPr>
          <w:rFonts w:hint="eastAsia" w:eastAsia="方正大标宋简体"/>
          <w:sz w:val="44"/>
          <w:szCs w:val="44"/>
        </w:rPr>
        <w:t>信托</w:t>
      </w:r>
      <w:r>
        <w:rPr>
          <w:rFonts w:eastAsia="方正大标宋简体"/>
          <w:bCs/>
          <w:sz w:val="44"/>
          <w:szCs w:val="44"/>
        </w:rPr>
        <w:t>基金（REITs）规则适用指引第2号——</w:t>
      </w:r>
    </w:p>
    <w:p w14:paraId="35DDF532">
      <w:pPr>
        <w:adjustRightInd w:val="0"/>
        <w:snapToGrid w:val="0"/>
        <w:spacing w:line="560" w:lineRule="exact"/>
        <w:jc w:val="center"/>
        <w:rPr>
          <w:rFonts w:eastAsia="方正大标宋简体"/>
          <w:bCs/>
          <w:sz w:val="44"/>
          <w:szCs w:val="44"/>
        </w:rPr>
      </w:pPr>
      <w:r>
        <w:rPr>
          <w:rFonts w:eastAsia="方正大标宋简体"/>
          <w:bCs/>
          <w:sz w:val="44"/>
          <w:szCs w:val="44"/>
        </w:rPr>
        <w:t>发售业务（试行）</w:t>
      </w:r>
    </w:p>
    <w:p w14:paraId="1F145B67">
      <w:pPr>
        <w:adjustRightInd w:val="0"/>
        <w:snapToGrid w:val="0"/>
        <w:spacing w:line="560" w:lineRule="exact"/>
        <w:jc w:val="center"/>
        <w:rPr>
          <w:rFonts w:eastAsia="方正大标宋简体;Arial Unicode MS"/>
          <w:sz w:val="32"/>
          <w:szCs w:val="32"/>
        </w:rPr>
      </w:pPr>
    </w:p>
    <w:p w14:paraId="6B0348E5">
      <w:pPr>
        <w:adjustRightInd w:val="0"/>
        <w:snapToGrid w:val="0"/>
        <w:spacing w:line="560" w:lineRule="exact"/>
        <w:jc w:val="center"/>
        <w:outlineLvl w:val="0"/>
        <w:rPr>
          <w:rFonts w:hint="eastAsia" w:ascii="黑体" w:hAnsi="黑体" w:eastAsia="黑体" w:cs="黑体"/>
          <w:bCs/>
          <w:sz w:val="32"/>
          <w:szCs w:val="32"/>
        </w:rPr>
      </w:pPr>
      <w:r>
        <w:rPr>
          <w:rFonts w:hint="eastAsia" w:ascii="黑体" w:hAnsi="黑体" w:eastAsia="黑体" w:cs="黑体"/>
          <w:bCs/>
          <w:sz w:val="32"/>
          <w:szCs w:val="32"/>
          <w:lang w:val="zh-CN"/>
        </w:rPr>
        <w:t>第一章</w:t>
      </w:r>
      <w:r>
        <w:rPr>
          <w:rFonts w:hint="eastAsia" w:ascii="黑体" w:hAnsi="黑体" w:eastAsia="黑体" w:cs="黑体"/>
          <w:bCs/>
          <w:sz w:val="32"/>
          <w:szCs w:val="32"/>
        </w:rPr>
        <w:t xml:space="preserve">  总  则</w:t>
      </w:r>
    </w:p>
    <w:p w14:paraId="78106828">
      <w:pPr>
        <w:pStyle w:val="188"/>
        <w:widowControl/>
        <w:numPr>
          <w:ilvl w:val="0"/>
          <w:numId w:val="0"/>
        </w:numPr>
        <w:adjustRightInd w:val="0"/>
        <w:snapToGrid w:val="0"/>
        <w:spacing w:line="560" w:lineRule="exact"/>
        <w:ind w:left="0" w:leftChars="0" w:firstLine="652" w:firstLineChars="0"/>
        <w:rPr>
          <w:rFonts w:eastAsia="仿宋_GB2312"/>
          <w:sz w:val="32"/>
          <w:szCs w:val="32"/>
        </w:rPr>
      </w:pPr>
      <w:r>
        <w:rPr>
          <w:rFonts w:hint="eastAsia" w:ascii="仿宋_GB2312" w:hAnsi="仿宋_GB2312" w:eastAsia="仿宋_GB2312" w:cs="仿宋_GB2312"/>
          <w:b/>
          <w:bCs/>
          <w:kern w:val="0"/>
          <w:sz w:val="32"/>
          <w:szCs w:val="32"/>
          <w:lang w:val="en-US" w:eastAsia="zh-CN" w:bidi="ar-SA"/>
        </w:rPr>
        <w:t xml:space="preserve">第一条 </w:t>
      </w:r>
      <w:r>
        <w:rPr>
          <w:rFonts w:hint="eastAsia" w:eastAsia="仿宋_GB2312"/>
          <w:sz w:val="32"/>
          <w:szCs w:val="32"/>
        </w:rPr>
        <w:t>为</w:t>
      </w:r>
      <w:r>
        <w:rPr>
          <w:rFonts w:eastAsia="仿宋_GB2312"/>
          <w:sz w:val="32"/>
          <w:szCs w:val="32"/>
        </w:rPr>
        <w:t>了</w:t>
      </w:r>
      <w:r>
        <w:rPr>
          <w:rFonts w:hint="eastAsia" w:eastAsia="仿宋_GB2312"/>
          <w:sz w:val="32"/>
          <w:szCs w:val="32"/>
        </w:rPr>
        <w:t>规范公开募集</w:t>
      </w:r>
      <w:r>
        <w:rPr>
          <w:rFonts w:eastAsia="仿宋_GB2312"/>
          <w:sz w:val="32"/>
          <w:szCs w:val="32"/>
        </w:rPr>
        <w:t>不动产</w:t>
      </w:r>
      <w:r>
        <w:rPr>
          <w:rFonts w:hint="eastAsia" w:eastAsia="仿宋_GB2312"/>
          <w:sz w:val="32"/>
          <w:szCs w:val="32"/>
        </w:rPr>
        <w:t>投资</w:t>
      </w:r>
      <w:r>
        <w:rPr>
          <w:rFonts w:eastAsia="仿宋_GB2312"/>
          <w:sz w:val="32"/>
          <w:szCs w:val="32"/>
        </w:rPr>
        <w:t>信托</w:t>
      </w:r>
      <w:r>
        <w:rPr>
          <w:rFonts w:hint="eastAsia" w:eastAsia="仿宋_GB2312"/>
          <w:sz w:val="32"/>
          <w:szCs w:val="32"/>
        </w:rPr>
        <w:t>基金（以下简称</w:t>
      </w:r>
      <w:r>
        <w:rPr>
          <w:rFonts w:eastAsia="仿宋_GB2312"/>
          <w:sz w:val="32"/>
          <w:szCs w:val="32"/>
        </w:rPr>
        <w:t>不动产</w:t>
      </w:r>
      <w:r>
        <w:rPr>
          <w:rFonts w:hint="eastAsia" w:eastAsia="仿宋_GB2312"/>
          <w:sz w:val="32"/>
          <w:szCs w:val="32"/>
        </w:rPr>
        <w:t>基金）发售行为，维护市场秩序，保护投资者合法权益，根据《上海证券交易所公开募集</w:t>
      </w:r>
      <w:r>
        <w:rPr>
          <w:rFonts w:eastAsia="仿宋_GB2312"/>
          <w:sz w:val="32"/>
          <w:szCs w:val="32"/>
        </w:rPr>
        <w:t>不动产</w:t>
      </w:r>
      <w:r>
        <w:rPr>
          <w:rFonts w:hint="eastAsia" w:eastAsia="仿宋_GB2312"/>
          <w:sz w:val="32"/>
          <w:szCs w:val="32"/>
        </w:rPr>
        <w:t>投资</w:t>
      </w:r>
      <w:r>
        <w:rPr>
          <w:rFonts w:eastAsia="仿宋_GB2312"/>
          <w:sz w:val="32"/>
          <w:szCs w:val="32"/>
        </w:rPr>
        <w:t>信托</w:t>
      </w:r>
      <w:r>
        <w:rPr>
          <w:rFonts w:hint="eastAsia" w:eastAsia="仿宋_GB2312"/>
          <w:sz w:val="32"/>
          <w:szCs w:val="32"/>
        </w:rPr>
        <w:t>基金（REITs）业务办法（试行）</w:t>
      </w:r>
      <w:r>
        <w:rPr>
          <w:rFonts w:eastAsia="仿宋_GB2312"/>
          <w:sz w:val="32"/>
          <w:szCs w:val="32"/>
        </w:rPr>
        <w:t>》等规</w:t>
      </w:r>
      <w:r>
        <w:rPr>
          <w:rFonts w:hint="eastAsia" w:eastAsia="仿宋_GB2312"/>
          <w:sz w:val="32"/>
          <w:szCs w:val="32"/>
        </w:rPr>
        <w:t>定，制定本指引。</w:t>
      </w:r>
    </w:p>
    <w:p w14:paraId="2878C72F">
      <w:pPr>
        <w:pStyle w:val="147"/>
        <w:widowControl/>
        <w:numPr>
          <w:ilvl w:val="0"/>
          <w:numId w:val="0"/>
        </w:numPr>
        <w:tabs>
          <w:tab w:val="left" w:pos="0"/>
        </w:tabs>
        <w:adjustRightInd w:val="0"/>
        <w:snapToGrid w:val="0"/>
        <w:spacing w:line="560" w:lineRule="exact"/>
        <w:ind w:left="0" w:leftChars="0" w:firstLine="652" w:firstLineChars="0"/>
        <w:rPr>
          <w:rFonts w:eastAsia="仿宋_GB2312"/>
          <w:sz w:val="32"/>
          <w:szCs w:val="32"/>
        </w:rPr>
      </w:pPr>
      <w:r>
        <w:rPr>
          <w:rFonts w:hint="eastAsia" w:ascii="仿宋_GB2312" w:hAnsi="仿宋_GB2312" w:eastAsia="仿宋_GB2312" w:cs="仿宋_GB2312"/>
          <w:b/>
          <w:bCs/>
          <w:kern w:val="2"/>
          <w:sz w:val="32"/>
          <w:szCs w:val="32"/>
          <w:lang w:val="zh-CN" w:eastAsia="zh-CN" w:bidi="ar-SA"/>
        </w:rPr>
        <w:t xml:space="preserve">第二条 </w:t>
      </w:r>
      <w:r>
        <w:rPr>
          <w:rFonts w:eastAsia="仿宋_GB2312"/>
          <w:sz w:val="32"/>
          <w:szCs w:val="32"/>
        </w:rPr>
        <w:t>不动产基金的路演、询价、定价、认购、配售、扩募及其相关信息披露等事宜，适用本指引。本指引未作规定的，参照适用《上海证券交易所上市开放式基金业务指引》</w:t>
      </w:r>
      <w:r>
        <w:rPr>
          <w:rFonts w:hint="eastAsia" w:eastAsia="仿宋_GB2312"/>
          <w:sz w:val="32"/>
          <w:szCs w:val="32"/>
        </w:rPr>
        <w:t>以及</w:t>
      </w:r>
      <w:r>
        <w:rPr>
          <w:rFonts w:eastAsia="仿宋_GB2312"/>
          <w:sz w:val="32"/>
          <w:szCs w:val="32"/>
        </w:rPr>
        <w:t>本所其他</w:t>
      </w:r>
      <w:r>
        <w:rPr>
          <w:rFonts w:hint="eastAsia" w:eastAsia="仿宋_GB2312"/>
          <w:sz w:val="32"/>
          <w:szCs w:val="32"/>
        </w:rPr>
        <w:t>有关</w:t>
      </w:r>
      <w:r>
        <w:rPr>
          <w:rFonts w:eastAsia="仿宋_GB2312"/>
          <w:sz w:val="32"/>
          <w:szCs w:val="32"/>
        </w:rPr>
        <w:t>规定。</w:t>
      </w:r>
    </w:p>
    <w:p w14:paraId="3C7E2B45">
      <w:pPr>
        <w:widowControl/>
        <w:adjustRightInd w:val="0"/>
        <w:snapToGrid w:val="0"/>
        <w:spacing w:line="560" w:lineRule="exact"/>
        <w:ind w:firstLine="640" w:firstLineChars="200"/>
        <w:rPr>
          <w:rFonts w:eastAsia="仿宋_GB2312"/>
          <w:kern w:val="0"/>
          <w:sz w:val="32"/>
          <w:szCs w:val="32"/>
        </w:rPr>
      </w:pPr>
      <w:r>
        <w:rPr>
          <w:rFonts w:eastAsia="仿宋_GB2312"/>
          <w:sz w:val="32"/>
          <w:szCs w:val="32"/>
        </w:rPr>
        <w:t>不动产</w:t>
      </w:r>
      <w:r>
        <w:rPr>
          <w:rFonts w:eastAsia="仿宋_GB2312"/>
          <w:kern w:val="0"/>
          <w:sz w:val="32"/>
          <w:szCs w:val="32"/>
        </w:rPr>
        <w:t>基金的登记结算业务按照中国证券登记结算有限责任公司（以下简称中国结算）有关规定办理。</w:t>
      </w:r>
    </w:p>
    <w:p w14:paraId="4F4EBDB2">
      <w:pPr>
        <w:pStyle w:val="147"/>
        <w:numPr>
          <w:ilvl w:val="0"/>
          <w:numId w:val="0"/>
        </w:numPr>
        <w:tabs>
          <w:tab w:val="left" w:pos="0"/>
        </w:tabs>
        <w:adjustRightInd w:val="0"/>
        <w:snapToGrid w:val="0"/>
        <w:spacing w:line="560" w:lineRule="exact"/>
        <w:ind w:left="0" w:leftChars="0" w:firstLine="652" w:firstLineChars="0"/>
        <w:rPr>
          <w:rFonts w:eastAsia="仿宋_GB2312"/>
          <w:sz w:val="32"/>
          <w:szCs w:val="32"/>
        </w:rPr>
      </w:pPr>
      <w:r>
        <w:rPr>
          <w:rFonts w:hint="eastAsia" w:ascii="仿宋_GB2312" w:hAnsi="仿宋_GB2312" w:eastAsia="仿宋_GB2312" w:cs="仿宋_GB2312"/>
          <w:b/>
          <w:bCs/>
          <w:kern w:val="2"/>
          <w:sz w:val="32"/>
          <w:szCs w:val="32"/>
          <w:lang w:val="zh-CN" w:eastAsia="zh-CN" w:bidi="ar-SA"/>
        </w:rPr>
        <w:t xml:space="preserve">第三条 </w:t>
      </w:r>
      <w:r>
        <w:rPr>
          <w:rFonts w:eastAsia="仿宋_GB2312"/>
          <w:sz w:val="32"/>
          <w:szCs w:val="32"/>
        </w:rPr>
        <w:t>基金管理人按照法律法规和</w:t>
      </w:r>
      <w:r>
        <w:rPr>
          <w:rFonts w:hint="eastAsia" w:eastAsia="仿宋_GB2312"/>
          <w:sz w:val="32"/>
          <w:szCs w:val="32"/>
        </w:rPr>
        <w:t>有关</w:t>
      </w:r>
      <w:r>
        <w:rPr>
          <w:rFonts w:eastAsia="仿宋_GB2312"/>
          <w:sz w:val="32"/>
          <w:szCs w:val="32"/>
        </w:rPr>
        <w:t>规定聘请财务顾问的，可以委托财务顾问办理不动产基金发售的路演、询价、定价、配售</w:t>
      </w:r>
      <w:r>
        <w:rPr>
          <w:rFonts w:hint="eastAsia" w:eastAsia="仿宋_GB2312"/>
          <w:sz w:val="32"/>
          <w:szCs w:val="32"/>
        </w:rPr>
        <w:t>以及</w:t>
      </w:r>
      <w:r>
        <w:rPr>
          <w:rFonts w:eastAsia="仿宋_GB2312"/>
          <w:sz w:val="32"/>
          <w:szCs w:val="32"/>
        </w:rPr>
        <w:t>扩募等相关业务，但基金管理人依法应当承担的责任不因此而免除。</w:t>
      </w:r>
    </w:p>
    <w:p w14:paraId="1AD04862">
      <w:pPr>
        <w:pStyle w:val="147"/>
        <w:numPr>
          <w:ilvl w:val="0"/>
          <w:numId w:val="0"/>
        </w:numPr>
        <w:tabs>
          <w:tab w:val="left" w:pos="0"/>
        </w:tabs>
        <w:adjustRightInd w:val="0"/>
        <w:snapToGrid w:val="0"/>
        <w:spacing w:line="560" w:lineRule="exact"/>
        <w:ind w:left="0" w:leftChars="0" w:firstLine="652" w:firstLineChars="0"/>
        <w:rPr>
          <w:rFonts w:eastAsia="仿宋_GB2312"/>
          <w:sz w:val="32"/>
          <w:szCs w:val="32"/>
        </w:rPr>
      </w:pPr>
      <w:r>
        <w:rPr>
          <w:rFonts w:hint="eastAsia" w:ascii="仿宋_GB2312" w:hAnsi="仿宋_GB2312" w:eastAsia="仿宋_GB2312" w:cs="仿宋_GB2312"/>
          <w:b/>
          <w:bCs/>
          <w:kern w:val="2"/>
          <w:sz w:val="32"/>
          <w:szCs w:val="32"/>
          <w:lang w:val="zh-CN" w:eastAsia="zh-CN" w:bidi="ar-SA"/>
        </w:rPr>
        <w:t xml:space="preserve">第四条 </w:t>
      </w:r>
      <w:r>
        <w:rPr>
          <w:rFonts w:eastAsia="仿宋_GB2312"/>
          <w:sz w:val="32"/>
          <w:szCs w:val="32"/>
        </w:rPr>
        <w:t>基金管理人、财务顾问应当依据本指引以及本所其他</w:t>
      </w:r>
      <w:r>
        <w:rPr>
          <w:rFonts w:hint="eastAsia" w:eastAsia="仿宋_GB2312"/>
          <w:sz w:val="32"/>
          <w:szCs w:val="32"/>
        </w:rPr>
        <w:t>有关</w:t>
      </w:r>
      <w:r>
        <w:rPr>
          <w:rFonts w:eastAsia="仿宋_GB2312"/>
          <w:sz w:val="32"/>
          <w:szCs w:val="32"/>
        </w:rPr>
        <w:t>规定，建立健全不动产基金发售业务的风险管理制度和内部控制制度，加强定价和发售过程管理，防范利益冲突。</w:t>
      </w:r>
    </w:p>
    <w:p w14:paraId="43758E99">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基金管理人、财务顾问，基金销售机构、律师事务所、会计师事务所、资产评估机构等基金服务机构，投资者</w:t>
      </w:r>
      <w:r>
        <w:rPr>
          <w:rFonts w:hint="eastAsia" w:eastAsia="仿宋_GB2312"/>
          <w:kern w:val="0"/>
          <w:sz w:val="32"/>
          <w:szCs w:val="32"/>
        </w:rPr>
        <w:t>以及</w:t>
      </w:r>
      <w:r>
        <w:rPr>
          <w:rFonts w:eastAsia="仿宋_GB2312"/>
          <w:kern w:val="0"/>
          <w:sz w:val="32"/>
          <w:szCs w:val="32"/>
        </w:rPr>
        <w:t>其他</w:t>
      </w:r>
      <w:r>
        <w:rPr>
          <w:rFonts w:hint="eastAsia" w:eastAsia="仿宋_GB2312"/>
          <w:kern w:val="0"/>
          <w:sz w:val="32"/>
          <w:szCs w:val="32"/>
        </w:rPr>
        <w:t>有关</w:t>
      </w:r>
      <w:r>
        <w:rPr>
          <w:rFonts w:eastAsia="仿宋_GB2312"/>
          <w:kern w:val="0"/>
          <w:sz w:val="32"/>
          <w:szCs w:val="32"/>
        </w:rPr>
        <w:t>主体应当诚实守信、勤勉尽责，严格遵守</w:t>
      </w:r>
      <w:r>
        <w:rPr>
          <w:rFonts w:hint="eastAsia" w:eastAsia="仿宋_GB2312"/>
          <w:kern w:val="0"/>
          <w:sz w:val="32"/>
          <w:szCs w:val="32"/>
        </w:rPr>
        <w:t>有关</w:t>
      </w:r>
      <w:r>
        <w:rPr>
          <w:rFonts w:eastAsia="仿宋_GB2312"/>
          <w:kern w:val="0"/>
          <w:sz w:val="32"/>
          <w:szCs w:val="32"/>
        </w:rPr>
        <w:t>法律法规、本所业务规则的规定以及</w:t>
      </w:r>
      <w:r>
        <w:rPr>
          <w:rFonts w:hint="eastAsia" w:eastAsia="仿宋_GB2312"/>
          <w:kern w:val="0"/>
          <w:sz w:val="32"/>
          <w:szCs w:val="32"/>
        </w:rPr>
        <w:t>有关</w:t>
      </w:r>
      <w:r>
        <w:rPr>
          <w:rFonts w:eastAsia="仿宋_GB2312"/>
          <w:kern w:val="0"/>
          <w:sz w:val="32"/>
          <w:szCs w:val="32"/>
        </w:rPr>
        <w:t>行业规范，不得操纵发行定价、暗箱操作；不得以代持、信托等方式谋取不正当利益</w:t>
      </w:r>
      <w:r>
        <w:rPr>
          <w:rFonts w:hint="eastAsia" w:eastAsia="仿宋_GB2312"/>
          <w:kern w:val="0"/>
          <w:sz w:val="32"/>
          <w:szCs w:val="32"/>
        </w:rPr>
        <w:t>或者</w:t>
      </w:r>
      <w:r>
        <w:rPr>
          <w:rFonts w:eastAsia="仿宋_GB2312"/>
          <w:kern w:val="0"/>
          <w:sz w:val="32"/>
          <w:szCs w:val="32"/>
        </w:rPr>
        <w:t>向其他</w:t>
      </w:r>
      <w:r>
        <w:rPr>
          <w:rFonts w:hint="eastAsia" w:eastAsia="仿宋_GB2312"/>
          <w:kern w:val="0"/>
          <w:sz w:val="32"/>
          <w:szCs w:val="32"/>
        </w:rPr>
        <w:t>有关</w:t>
      </w:r>
      <w:r>
        <w:rPr>
          <w:rFonts w:eastAsia="仿宋_GB2312"/>
          <w:kern w:val="0"/>
          <w:sz w:val="32"/>
          <w:szCs w:val="32"/>
        </w:rPr>
        <w:t>利益主体输送利益；不得直接</w:t>
      </w:r>
      <w:r>
        <w:rPr>
          <w:rFonts w:hint="eastAsia" w:eastAsia="仿宋_GB2312"/>
          <w:kern w:val="0"/>
          <w:sz w:val="32"/>
          <w:szCs w:val="32"/>
        </w:rPr>
        <w:t>或者</w:t>
      </w:r>
      <w:r>
        <w:rPr>
          <w:rFonts w:eastAsia="仿宋_GB2312"/>
          <w:kern w:val="0"/>
          <w:sz w:val="32"/>
          <w:szCs w:val="32"/>
        </w:rPr>
        <w:t>通过其利益相关方向参与认购的投资者提供财务资助；不得有其他违反公平竞争、破坏市场秩序等行为。</w:t>
      </w:r>
    </w:p>
    <w:p w14:paraId="0FEC69DD">
      <w:pPr>
        <w:pStyle w:val="147"/>
        <w:numPr>
          <w:ilvl w:val="0"/>
          <w:numId w:val="0"/>
        </w:numPr>
        <w:tabs>
          <w:tab w:val="left" w:pos="0"/>
        </w:tabs>
        <w:adjustRightInd w:val="0"/>
        <w:snapToGrid w:val="0"/>
        <w:spacing w:line="560" w:lineRule="exact"/>
        <w:ind w:left="0" w:leftChars="0" w:firstLine="652" w:firstLineChars="0"/>
        <w:rPr>
          <w:rFonts w:eastAsia="仿宋_GB2312"/>
          <w:sz w:val="32"/>
          <w:szCs w:val="32"/>
        </w:rPr>
      </w:pPr>
      <w:r>
        <w:rPr>
          <w:rFonts w:hint="eastAsia" w:ascii="仿宋_GB2312" w:hAnsi="仿宋_GB2312" w:eastAsia="仿宋_GB2312" w:cs="仿宋_GB2312"/>
          <w:b/>
          <w:bCs/>
          <w:kern w:val="2"/>
          <w:sz w:val="32"/>
          <w:szCs w:val="32"/>
          <w:lang w:val="zh-CN" w:eastAsia="zh-CN" w:bidi="ar-SA"/>
        </w:rPr>
        <w:t xml:space="preserve">第五条 </w:t>
      </w:r>
      <w:r>
        <w:rPr>
          <w:rFonts w:eastAsia="仿宋_GB2312"/>
          <w:sz w:val="32"/>
          <w:szCs w:val="32"/>
        </w:rPr>
        <w:t>不动产基金的认购价格应当通过本所网下发行电子平台向网下投资者以询价的方式确定。基金份额认购价格确定后，战略投资者、网下投资者和公众投资者应当按照本指引规定的认购方式，参与不动产基金份额认购。</w:t>
      </w:r>
    </w:p>
    <w:p w14:paraId="7BA5F46F">
      <w:pPr>
        <w:topLinePunct/>
        <w:spacing w:line="540" w:lineRule="exact"/>
        <w:ind w:firstLine="640" w:firstLineChars="200"/>
        <w:rPr>
          <w:rFonts w:eastAsia="仿宋_GB2312"/>
          <w:sz w:val="32"/>
          <w:szCs w:val="32"/>
        </w:rPr>
      </w:pPr>
      <w:r>
        <w:rPr>
          <w:rFonts w:eastAsia="仿宋_GB2312"/>
          <w:sz w:val="32"/>
          <w:szCs w:val="32"/>
        </w:rPr>
        <w:t>参与询价的网下投资者应当建立投资决策机制，完善相应内部控制制度和业务操作流程，加强报价工作管理。</w:t>
      </w:r>
    </w:p>
    <w:p w14:paraId="289F4C86">
      <w:pPr>
        <w:topLinePunct/>
        <w:spacing w:line="540" w:lineRule="exact"/>
        <w:ind w:firstLine="640" w:firstLineChars="200"/>
        <w:rPr>
          <w:rFonts w:eastAsia="仿宋_GB2312"/>
          <w:sz w:val="32"/>
          <w:szCs w:val="32"/>
        </w:rPr>
      </w:pPr>
      <w:r>
        <w:rPr>
          <w:rFonts w:eastAsia="仿宋_GB2312"/>
          <w:sz w:val="32"/>
          <w:szCs w:val="32"/>
        </w:rPr>
        <w:t>参与询价的网下投资者应当遵循独立、客观、诚信的原则，严格履行定价决策程序，理性报价，定价依据应当充分支持最终报价结果。</w:t>
      </w:r>
    </w:p>
    <w:p w14:paraId="02477073">
      <w:pPr>
        <w:pStyle w:val="147"/>
        <w:widowControl/>
        <w:numPr>
          <w:ilvl w:val="0"/>
          <w:numId w:val="0"/>
        </w:numPr>
        <w:tabs>
          <w:tab w:val="left" w:pos="0"/>
        </w:tabs>
        <w:adjustRightInd w:val="0"/>
        <w:snapToGrid w:val="0"/>
        <w:spacing w:line="560" w:lineRule="exact"/>
        <w:ind w:left="0" w:leftChars="0" w:firstLine="652" w:firstLineChars="0"/>
        <w:rPr>
          <w:rFonts w:eastAsia="仿宋_GB2312"/>
          <w:sz w:val="32"/>
          <w:szCs w:val="32"/>
        </w:rPr>
      </w:pPr>
      <w:r>
        <w:rPr>
          <w:rFonts w:hint="eastAsia" w:ascii="仿宋_GB2312" w:hAnsi="仿宋_GB2312" w:eastAsia="仿宋_GB2312" w:cs="仿宋_GB2312"/>
          <w:b/>
          <w:bCs/>
          <w:kern w:val="2"/>
          <w:sz w:val="32"/>
          <w:szCs w:val="32"/>
          <w:lang w:val="zh-CN" w:eastAsia="zh-CN" w:bidi="ar-SA"/>
        </w:rPr>
        <w:t xml:space="preserve">第六条 </w:t>
      </w:r>
      <w:r>
        <w:rPr>
          <w:rFonts w:eastAsia="仿宋_GB2312"/>
          <w:sz w:val="32"/>
          <w:szCs w:val="32"/>
        </w:rPr>
        <w:t>基金管理人等机构应当加强投资者教育，引导投资者充分认识不动产基金的风险特征，落实投资者适当性管理制度，要求普通投资者在首次购买不动产基金时签署风险揭示书。</w:t>
      </w:r>
    </w:p>
    <w:p w14:paraId="09B18EFF">
      <w:pPr>
        <w:pStyle w:val="147"/>
        <w:numPr>
          <w:ilvl w:val="0"/>
          <w:numId w:val="0"/>
        </w:numPr>
        <w:tabs>
          <w:tab w:val="left" w:pos="0"/>
        </w:tabs>
        <w:adjustRightInd w:val="0"/>
        <w:snapToGrid w:val="0"/>
        <w:spacing w:line="560" w:lineRule="exact"/>
        <w:ind w:left="0" w:leftChars="0" w:firstLine="652" w:firstLineChars="0"/>
        <w:rPr>
          <w:rFonts w:eastAsia="仿宋_GB2312"/>
          <w:b/>
          <w:sz w:val="32"/>
          <w:szCs w:val="32"/>
        </w:rPr>
      </w:pPr>
      <w:bookmarkStart w:id="0" w:name="_Ref49208039"/>
      <w:bookmarkEnd w:id="0"/>
      <w:r>
        <w:rPr>
          <w:rFonts w:hint="eastAsia" w:ascii="仿宋_GB2312" w:hAnsi="仿宋_GB2312" w:eastAsia="仿宋_GB2312" w:cs="仿宋_GB2312"/>
          <w:b/>
          <w:bCs/>
          <w:kern w:val="2"/>
          <w:sz w:val="32"/>
          <w:szCs w:val="32"/>
          <w:lang w:val="zh-CN" w:eastAsia="zh-CN" w:bidi="ar-SA"/>
        </w:rPr>
        <w:t xml:space="preserve">第七条 </w:t>
      </w:r>
      <w:r>
        <w:rPr>
          <w:rFonts w:eastAsia="仿宋_GB2312"/>
          <w:sz w:val="32"/>
          <w:szCs w:val="32"/>
        </w:rPr>
        <w:t>基金管理人、财务顾问</w:t>
      </w:r>
      <w:r>
        <w:rPr>
          <w:rFonts w:hint="eastAsia" w:eastAsia="仿宋_GB2312"/>
          <w:sz w:val="32"/>
          <w:szCs w:val="32"/>
        </w:rPr>
        <w:t>以及</w:t>
      </w:r>
      <w:r>
        <w:rPr>
          <w:rFonts w:eastAsia="仿宋_GB2312"/>
          <w:sz w:val="32"/>
          <w:szCs w:val="32"/>
        </w:rPr>
        <w:t>基金销售机构应当采用现场、电话、互联网等合法合规的方式，向投资者介绍不动产基金及其持有项目的基本情况、估值情况、所属市场和行业概况，以及发售方案等相关内容。推介过程中，不得夸大宣传，以虚假广告等不正当手段诱导、误导投资者，</w:t>
      </w:r>
      <w:r>
        <w:rPr>
          <w:rFonts w:hint="eastAsia" w:eastAsia="仿宋_GB2312"/>
          <w:sz w:val="32"/>
          <w:szCs w:val="32"/>
          <w:lang w:val="en-US"/>
        </w:rPr>
        <w:t>或者</w:t>
      </w:r>
      <w:r>
        <w:rPr>
          <w:rFonts w:eastAsia="仿宋_GB2312"/>
          <w:sz w:val="32"/>
          <w:szCs w:val="32"/>
        </w:rPr>
        <w:t>披露除招募说明书等公开信息以外的其他信息。</w:t>
      </w:r>
    </w:p>
    <w:p w14:paraId="7BC78E59">
      <w:pPr>
        <w:pStyle w:val="147"/>
        <w:numPr>
          <w:ilvl w:val="0"/>
          <w:numId w:val="0"/>
        </w:numPr>
        <w:tabs>
          <w:tab w:val="left" w:pos="0"/>
        </w:tabs>
        <w:adjustRightInd w:val="0"/>
        <w:snapToGrid w:val="0"/>
        <w:spacing w:line="560" w:lineRule="exact"/>
        <w:ind w:left="0" w:leftChars="0" w:firstLine="652" w:firstLineChars="0"/>
        <w:rPr>
          <w:rFonts w:eastAsia="仿宋_GB2312"/>
          <w:sz w:val="32"/>
          <w:szCs w:val="32"/>
        </w:rPr>
      </w:pPr>
      <w:r>
        <w:rPr>
          <w:rFonts w:hint="eastAsia" w:ascii="仿宋_GB2312" w:hAnsi="仿宋_GB2312" w:eastAsia="仿宋_GB2312" w:cs="仿宋_GB2312"/>
          <w:b/>
          <w:bCs/>
          <w:kern w:val="2"/>
          <w:sz w:val="32"/>
          <w:szCs w:val="32"/>
          <w:lang w:val="zh-CN" w:eastAsia="zh-CN" w:bidi="ar-SA"/>
        </w:rPr>
        <w:t xml:space="preserve">第八条 </w:t>
      </w:r>
      <w:r>
        <w:rPr>
          <w:rFonts w:eastAsia="仿宋_GB2312"/>
          <w:sz w:val="32"/>
          <w:szCs w:val="32"/>
        </w:rPr>
        <w:t>投资者参与不动产基金场内认购的，应当持有中国结算上海人民币普通股票账户</w:t>
      </w:r>
      <w:r>
        <w:rPr>
          <w:rFonts w:hint="eastAsia" w:eastAsia="仿宋_GB2312"/>
          <w:sz w:val="32"/>
          <w:szCs w:val="32"/>
        </w:rPr>
        <w:t>或者</w:t>
      </w:r>
      <w:r>
        <w:rPr>
          <w:rFonts w:eastAsia="仿宋_GB2312"/>
          <w:sz w:val="32"/>
          <w:szCs w:val="32"/>
        </w:rPr>
        <w:t>封闭式基金账户（以下统称场内证券账户）。</w:t>
      </w:r>
    </w:p>
    <w:p w14:paraId="31ACE8A1">
      <w:pPr>
        <w:widowControl/>
        <w:adjustRightInd w:val="0"/>
        <w:snapToGrid w:val="0"/>
        <w:spacing w:line="560" w:lineRule="exact"/>
        <w:ind w:firstLine="640" w:firstLineChars="200"/>
        <w:rPr>
          <w:rFonts w:eastAsia="仿宋_GB2312"/>
          <w:kern w:val="0"/>
          <w:sz w:val="32"/>
          <w:szCs w:val="32"/>
        </w:rPr>
      </w:pPr>
      <w:r>
        <w:rPr>
          <w:rFonts w:eastAsia="仿宋_GB2312"/>
          <w:kern w:val="0"/>
          <w:sz w:val="32"/>
          <w:szCs w:val="32"/>
        </w:rPr>
        <w:t>投资者参与</w:t>
      </w:r>
      <w:r>
        <w:rPr>
          <w:rFonts w:eastAsia="仿宋_GB2312"/>
          <w:sz w:val="32"/>
          <w:szCs w:val="32"/>
        </w:rPr>
        <w:t>不动产</w:t>
      </w:r>
      <w:r>
        <w:rPr>
          <w:rFonts w:eastAsia="仿宋_GB2312"/>
          <w:kern w:val="0"/>
          <w:sz w:val="32"/>
          <w:szCs w:val="32"/>
        </w:rPr>
        <w:t>基金场外认购的，应当持有中国结算开放式基金账户（以下简称场外基金账户）。</w:t>
      </w:r>
    </w:p>
    <w:p w14:paraId="5165403B">
      <w:pPr>
        <w:pStyle w:val="147"/>
        <w:widowControl/>
        <w:numPr>
          <w:ilvl w:val="0"/>
          <w:numId w:val="0"/>
        </w:numPr>
        <w:tabs>
          <w:tab w:val="left" w:pos="0"/>
        </w:tabs>
        <w:adjustRightInd w:val="0"/>
        <w:snapToGrid w:val="0"/>
        <w:spacing w:line="560" w:lineRule="exact"/>
        <w:ind w:left="0" w:leftChars="0" w:firstLine="652" w:firstLineChars="0"/>
        <w:rPr>
          <w:rFonts w:eastAsia="仿宋_GB2312"/>
          <w:sz w:val="32"/>
          <w:szCs w:val="32"/>
        </w:rPr>
      </w:pPr>
      <w:r>
        <w:rPr>
          <w:rFonts w:hint="eastAsia" w:ascii="仿宋_GB2312" w:hAnsi="仿宋_GB2312" w:eastAsia="仿宋_GB2312" w:cs="仿宋_GB2312"/>
          <w:b/>
          <w:bCs/>
          <w:kern w:val="2"/>
          <w:sz w:val="32"/>
          <w:szCs w:val="32"/>
          <w:lang w:val="zh-CN" w:eastAsia="zh-CN" w:bidi="ar-SA"/>
        </w:rPr>
        <w:t xml:space="preserve">第九条 </w:t>
      </w:r>
      <w:r>
        <w:rPr>
          <w:rFonts w:eastAsia="仿宋_GB2312"/>
          <w:sz w:val="32"/>
          <w:szCs w:val="32"/>
        </w:rPr>
        <w:t>投资者使用场内证券账户认购的基金份额，</w:t>
      </w:r>
      <w:r>
        <w:rPr>
          <w:rFonts w:hint="eastAsia" w:eastAsia="仿宋_GB2312"/>
          <w:sz w:val="32"/>
          <w:szCs w:val="32"/>
        </w:rPr>
        <w:t>可以</w:t>
      </w:r>
      <w:r>
        <w:rPr>
          <w:rFonts w:eastAsia="仿宋_GB2312"/>
          <w:sz w:val="32"/>
          <w:szCs w:val="32"/>
        </w:rPr>
        <w:t>直接参与本所场内交易；使用场外基金账户认购的，</w:t>
      </w:r>
      <w:r>
        <w:rPr>
          <w:rFonts w:hint="eastAsia" w:eastAsia="仿宋_GB2312"/>
          <w:sz w:val="32"/>
          <w:szCs w:val="32"/>
        </w:rPr>
        <w:t>应当</w:t>
      </w:r>
      <w:r>
        <w:rPr>
          <w:rFonts w:eastAsia="仿宋_GB2312"/>
          <w:sz w:val="32"/>
          <w:szCs w:val="32"/>
        </w:rPr>
        <w:t>先转托管至场内证券经营机构后，参与本所场内交易。</w:t>
      </w:r>
    </w:p>
    <w:p w14:paraId="345DE5CF">
      <w:pPr>
        <w:pStyle w:val="147"/>
        <w:widowControl/>
        <w:numPr>
          <w:ilvl w:val="0"/>
          <w:numId w:val="0"/>
        </w:numPr>
        <w:tabs>
          <w:tab w:val="left" w:pos="0"/>
        </w:tabs>
        <w:adjustRightInd w:val="0"/>
        <w:snapToGrid w:val="0"/>
        <w:spacing w:line="560" w:lineRule="exact"/>
        <w:ind w:left="0" w:leftChars="0" w:firstLine="652" w:firstLineChars="0"/>
        <w:rPr>
          <w:rFonts w:eastAsia="仿宋_GB2312"/>
          <w:b/>
          <w:sz w:val="32"/>
          <w:szCs w:val="32"/>
        </w:rPr>
      </w:pPr>
      <w:r>
        <w:rPr>
          <w:rFonts w:hint="eastAsia" w:ascii="仿宋_GB2312" w:hAnsi="仿宋_GB2312" w:eastAsia="仿宋_GB2312" w:cs="仿宋_GB2312"/>
          <w:b/>
          <w:bCs/>
          <w:kern w:val="2"/>
          <w:sz w:val="32"/>
          <w:szCs w:val="32"/>
          <w:lang w:val="zh-CN" w:eastAsia="zh-CN" w:bidi="ar-SA"/>
        </w:rPr>
        <w:t xml:space="preserve">第十条 </w:t>
      </w:r>
      <w:r>
        <w:rPr>
          <w:rFonts w:eastAsia="仿宋_GB2312"/>
          <w:sz w:val="32"/>
          <w:szCs w:val="32"/>
        </w:rPr>
        <w:t>本所根据</w:t>
      </w:r>
      <w:r>
        <w:rPr>
          <w:rFonts w:hint="eastAsia" w:eastAsia="仿宋_GB2312"/>
          <w:sz w:val="32"/>
          <w:szCs w:val="32"/>
        </w:rPr>
        <w:t>有关</w:t>
      </w:r>
      <w:r>
        <w:rPr>
          <w:rFonts w:eastAsia="仿宋_GB2312"/>
          <w:sz w:val="32"/>
          <w:szCs w:val="32"/>
        </w:rPr>
        <w:t>法律法规、业务规则以及本指引的规定，对不动产基金份额发售活动，以及基金管理人、财务顾问、基金服务机构、投资者等参与主体实施自律监管。</w:t>
      </w:r>
    </w:p>
    <w:p w14:paraId="11460FE4">
      <w:pPr>
        <w:adjustRightInd w:val="0"/>
        <w:snapToGrid w:val="0"/>
        <w:spacing w:line="560" w:lineRule="exact"/>
        <w:jc w:val="center"/>
        <w:outlineLvl w:val="0"/>
        <w:rPr>
          <w:rFonts w:hint="eastAsia" w:ascii="黑体" w:hAnsi="黑体" w:eastAsia="黑体" w:cs="黑体"/>
          <w:bCs/>
          <w:sz w:val="32"/>
          <w:szCs w:val="32"/>
          <w:lang w:val="zh-CN"/>
        </w:rPr>
      </w:pPr>
      <w:r>
        <w:rPr>
          <w:rFonts w:hint="eastAsia" w:ascii="黑体" w:hAnsi="黑体" w:eastAsia="黑体" w:cs="黑体"/>
          <w:bCs/>
          <w:sz w:val="32"/>
          <w:szCs w:val="32"/>
          <w:lang w:val="zh-CN"/>
        </w:rPr>
        <w:t>第二章  询价与定价</w:t>
      </w:r>
    </w:p>
    <w:p w14:paraId="53F9BE46">
      <w:pPr>
        <w:pStyle w:val="147"/>
        <w:widowControl/>
        <w:numPr>
          <w:ilvl w:val="0"/>
          <w:numId w:val="0"/>
        </w:numPr>
        <w:tabs>
          <w:tab w:val="left" w:pos="0"/>
        </w:tabs>
        <w:adjustRightInd w:val="0"/>
        <w:snapToGrid w:val="0"/>
        <w:spacing w:line="560" w:lineRule="exact"/>
        <w:ind w:left="0" w:leftChars="0" w:firstLine="652" w:firstLineChars="0"/>
        <w:rPr>
          <w:rFonts w:eastAsia="仿宋_GB2312"/>
          <w:sz w:val="32"/>
          <w:szCs w:val="32"/>
        </w:rPr>
      </w:pPr>
      <w:r>
        <w:rPr>
          <w:rFonts w:hint="eastAsia" w:ascii="仿宋_GB2312" w:hAnsi="仿宋_GB2312" w:eastAsia="仿宋_GB2312" w:cs="仿宋_GB2312"/>
          <w:b/>
          <w:bCs/>
          <w:kern w:val="2"/>
          <w:sz w:val="32"/>
          <w:szCs w:val="32"/>
          <w:lang w:val="zh-CN" w:eastAsia="zh-CN" w:bidi="ar-SA"/>
        </w:rPr>
        <w:t xml:space="preserve">第十一条 </w:t>
      </w:r>
      <w:r>
        <w:rPr>
          <w:rFonts w:eastAsia="仿宋_GB2312"/>
          <w:sz w:val="32"/>
          <w:szCs w:val="32"/>
        </w:rPr>
        <w:t>不动产基金首次发售的，基金管理人</w:t>
      </w:r>
      <w:r>
        <w:rPr>
          <w:rFonts w:hint="eastAsia" w:eastAsia="仿宋_GB2312"/>
          <w:sz w:val="32"/>
          <w:szCs w:val="32"/>
        </w:rPr>
        <w:t>或者</w:t>
      </w:r>
      <w:r>
        <w:rPr>
          <w:rFonts w:eastAsia="仿宋_GB2312"/>
          <w:sz w:val="32"/>
          <w:szCs w:val="32"/>
        </w:rPr>
        <w:t>财务顾问应当通过向网下投资者询价的方式确定不动产基金份额认购价格。</w:t>
      </w:r>
    </w:p>
    <w:p w14:paraId="2F056031">
      <w:pPr>
        <w:pStyle w:val="147"/>
        <w:widowControl/>
        <w:numPr>
          <w:ilvl w:val="0"/>
          <w:numId w:val="0"/>
        </w:numPr>
        <w:tabs>
          <w:tab w:val="left" w:pos="0"/>
        </w:tabs>
        <w:adjustRightInd w:val="0"/>
        <w:snapToGrid w:val="0"/>
        <w:spacing w:line="560" w:lineRule="exact"/>
        <w:ind w:left="0" w:leftChars="0" w:firstLine="652" w:firstLineChars="0"/>
        <w:rPr>
          <w:rFonts w:eastAsia="仿宋_GB2312"/>
          <w:sz w:val="32"/>
          <w:szCs w:val="32"/>
        </w:rPr>
      </w:pPr>
      <w:r>
        <w:rPr>
          <w:rFonts w:hint="eastAsia" w:ascii="仿宋_GB2312" w:hAnsi="仿宋_GB2312" w:eastAsia="仿宋_GB2312" w:cs="仿宋_GB2312"/>
          <w:b/>
          <w:bCs/>
          <w:kern w:val="2"/>
          <w:sz w:val="32"/>
          <w:szCs w:val="32"/>
          <w:lang w:val="zh-CN" w:eastAsia="zh-CN" w:bidi="ar-SA"/>
        </w:rPr>
        <w:t xml:space="preserve">第十二条 </w:t>
      </w:r>
      <w:r>
        <w:rPr>
          <w:rFonts w:eastAsia="仿宋_GB2312"/>
          <w:sz w:val="32"/>
          <w:szCs w:val="32"/>
        </w:rPr>
        <w:t>根据基金管理人</w:t>
      </w:r>
      <w:r>
        <w:rPr>
          <w:rFonts w:hint="eastAsia" w:eastAsia="仿宋_GB2312"/>
          <w:sz w:val="32"/>
          <w:szCs w:val="32"/>
        </w:rPr>
        <w:t>或者</w:t>
      </w:r>
      <w:r>
        <w:rPr>
          <w:rFonts w:eastAsia="仿宋_GB2312"/>
          <w:sz w:val="32"/>
          <w:szCs w:val="32"/>
        </w:rPr>
        <w:t>财务顾问的书面委托，本所向符合条件的网下投资者提供网下发行电子平台进行询价报价和认购申报。</w:t>
      </w:r>
    </w:p>
    <w:p w14:paraId="7C480CB1">
      <w:pPr>
        <w:pStyle w:val="147"/>
        <w:widowControl/>
        <w:numPr>
          <w:ilvl w:val="0"/>
          <w:numId w:val="0"/>
        </w:numPr>
        <w:tabs>
          <w:tab w:val="left" w:pos="0"/>
        </w:tabs>
        <w:adjustRightInd w:val="0"/>
        <w:snapToGrid w:val="0"/>
        <w:spacing w:line="560" w:lineRule="exact"/>
        <w:ind w:left="0" w:leftChars="0" w:firstLine="652" w:firstLineChars="0"/>
        <w:rPr>
          <w:rFonts w:eastAsia="仿宋_GB2312"/>
          <w:sz w:val="32"/>
          <w:szCs w:val="32"/>
        </w:rPr>
      </w:pPr>
      <w:r>
        <w:rPr>
          <w:rFonts w:hint="eastAsia" w:ascii="仿宋_GB2312" w:hAnsi="仿宋_GB2312" w:eastAsia="仿宋_GB2312" w:cs="仿宋_GB2312"/>
          <w:b/>
          <w:bCs/>
          <w:kern w:val="2"/>
          <w:sz w:val="32"/>
          <w:szCs w:val="32"/>
          <w:lang w:val="zh-CN" w:eastAsia="zh-CN" w:bidi="ar-SA"/>
        </w:rPr>
        <w:t xml:space="preserve">第十三条 </w:t>
      </w:r>
      <w:r>
        <w:rPr>
          <w:rFonts w:eastAsia="仿宋_GB2312"/>
          <w:sz w:val="32"/>
          <w:szCs w:val="32"/>
        </w:rPr>
        <w:t>基金管理人</w:t>
      </w:r>
      <w:r>
        <w:rPr>
          <w:rFonts w:hint="eastAsia" w:eastAsia="仿宋_GB2312"/>
          <w:sz w:val="32"/>
          <w:szCs w:val="32"/>
        </w:rPr>
        <w:t>或者</w:t>
      </w:r>
      <w:r>
        <w:rPr>
          <w:rFonts w:eastAsia="仿宋_GB2312"/>
          <w:sz w:val="32"/>
          <w:szCs w:val="32"/>
        </w:rPr>
        <w:t>财务顾问办理询价业务的，应当向本所申请获得网下发行电子平台的发行人CA证书。</w:t>
      </w:r>
    </w:p>
    <w:p w14:paraId="731BDAC8">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网下投资者参与询价的，应当向本所申请获得网下发行电子平台的投资者CA证书。</w:t>
      </w:r>
    </w:p>
    <w:p w14:paraId="0EA52DDC">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CA证书</w:t>
      </w:r>
      <w:r>
        <w:rPr>
          <w:rFonts w:hint="eastAsia" w:eastAsia="仿宋_GB2312"/>
          <w:kern w:val="0"/>
          <w:sz w:val="32"/>
          <w:szCs w:val="32"/>
        </w:rPr>
        <w:t>可以</w:t>
      </w:r>
      <w:r>
        <w:rPr>
          <w:rFonts w:eastAsia="仿宋_GB2312"/>
          <w:kern w:val="0"/>
          <w:sz w:val="32"/>
          <w:szCs w:val="32"/>
        </w:rPr>
        <w:t>在</w:t>
      </w:r>
      <w:r>
        <w:rPr>
          <w:rFonts w:eastAsia="仿宋_GB2312"/>
          <w:sz w:val="32"/>
          <w:szCs w:val="32"/>
        </w:rPr>
        <w:t>不动产</w:t>
      </w:r>
      <w:r>
        <w:rPr>
          <w:rFonts w:eastAsia="仿宋_GB2312"/>
          <w:kern w:val="0"/>
          <w:sz w:val="32"/>
          <w:szCs w:val="32"/>
        </w:rPr>
        <w:t>基金份额发售中多次使用。</w:t>
      </w:r>
    </w:p>
    <w:p w14:paraId="71DD067E">
      <w:pPr>
        <w:pStyle w:val="147"/>
        <w:widowControl/>
        <w:numPr>
          <w:ilvl w:val="0"/>
          <w:numId w:val="0"/>
        </w:numPr>
        <w:tabs>
          <w:tab w:val="left" w:pos="0"/>
        </w:tabs>
        <w:adjustRightInd w:val="0"/>
        <w:snapToGrid w:val="0"/>
        <w:spacing w:line="560" w:lineRule="exact"/>
        <w:ind w:left="0" w:leftChars="0" w:firstLine="652" w:firstLineChars="0"/>
        <w:rPr>
          <w:rFonts w:eastAsia="仿宋_GB2312"/>
          <w:sz w:val="32"/>
          <w:szCs w:val="32"/>
        </w:rPr>
      </w:pPr>
      <w:r>
        <w:rPr>
          <w:rFonts w:hint="eastAsia" w:ascii="仿宋_GB2312" w:hAnsi="仿宋_GB2312" w:eastAsia="仿宋_GB2312" w:cs="仿宋_GB2312"/>
          <w:b/>
          <w:bCs/>
          <w:kern w:val="2"/>
          <w:sz w:val="32"/>
          <w:szCs w:val="32"/>
          <w:lang w:val="zh-CN" w:eastAsia="zh-CN" w:bidi="ar-SA"/>
        </w:rPr>
        <w:t xml:space="preserve">第十四条 </w:t>
      </w:r>
      <w:r>
        <w:rPr>
          <w:rFonts w:eastAsia="仿宋_GB2312"/>
          <w:sz w:val="32"/>
          <w:szCs w:val="32"/>
        </w:rPr>
        <w:t>基金管理人申请发售不动产基金的，</w:t>
      </w:r>
      <w:r>
        <w:rPr>
          <w:rFonts w:hint="eastAsia" w:eastAsia="仿宋_GB2312"/>
          <w:sz w:val="32"/>
          <w:szCs w:val="32"/>
        </w:rPr>
        <w:t>应当</w:t>
      </w:r>
      <w:r>
        <w:rPr>
          <w:rFonts w:eastAsia="仿宋_GB2312"/>
          <w:sz w:val="32"/>
          <w:szCs w:val="32"/>
        </w:rPr>
        <w:t>向本所提交下列材料：</w:t>
      </w:r>
    </w:p>
    <w:p w14:paraId="474F0B1B">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（一）发售申请；</w:t>
      </w:r>
    </w:p>
    <w:p w14:paraId="3E69E40C">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（二）中国证监会准予注册的批文复印件；</w:t>
      </w:r>
    </w:p>
    <w:p w14:paraId="7F5E8702">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（三）发售方案，包括但不限于询价日、募集期、基金份额初始发售数量、</w:t>
      </w:r>
      <w:r>
        <w:rPr>
          <w:rFonts w:hint="eastAsia" w:eastAsia="仿宋_GB2312"/>
          <w:kern w:val="0"/>
          <w:sz w:val="32"/>
          <w:szCs w:val="32"/>
        </w:rPr>
        <w:t>各类</w:t>
      </w:r>
      <w:r>
        <w:rPr>
          <w:rFonts w:eastAsia="仿宋_GB2312"/>
          <w:kern w:val="0"/>
          <w:sz w:val="32"/>
          <w:szCs w:val="32"/>
        </w:rPr>
        <w:t>战略投资者拟认购数量</w:t>
      </w:r>
      <w:r>
        <w:rPr>
          <w:rFonts w:hint="eastAsia" w:eastAsia="仿宋_GB2312"/>
          <w:kern w:val="0"/>
          <w:sz w:val="32"/>
          <w:szCs w:val="32"/>
        </w:rPr>
        <w:t>和</w:t>
      </w:r>
      <w:r>
        <w:rPr>
          <w:rFonts w:eastAsia="仿宋_GB2312"/>
          <w:kern w:val="0"/>
          <w:sz w:val="32"/>
          <w:szCs w:val="32"/>
        </w:rPr>
        <w:t>认购方式、网下初始发售份额数量、网下投资者条件和范围、路演推介和网下询价安排、基金份额询价区间（</w:t>
      </w:r>
      <w:r>
        <w:rPr>
          <w:rFonts w:hint="eastAsia" w:eastAsia="仿宋_GB2312"/>
          <w:kern w:val="0"/>
          <w:sz w:val="32"/>
          <w:szCs w:val="32"/>
        </w:rPr>
        <w:t>如</w:t>
      </w:r>
      <w:r>
        <w:rPr>
          <w:rFonts w:eastAsia="仿宋_GB2312"/>
          <w:kern w:val="0"/>
          <w:sz w:val="32"/>
          <w:szCs w:val="32"/>
        </w:rPr>
        <w:t>有）、定价方式、定价程序、配售原则、配售方式、公众投资者初始发售份额数量、销售机构、认购方式、认购费用等内容；</w:t>
      </w:r>
    </w:p>
    <w:p w14:paraId="686E5215">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（四）</w:t>
      </w:r>
      <w:r>
        <w:rPr>
          <w:rFonts w:hint="eastAsia" w:eastAsia="仿宋_GB2312"/>
          <w:kern w:val="0"/>
          <w:sz w:val="32"/>
          <w:szCs w:val="32"/>
        </w:rPr>
        <w:t>有关</w:t>
      </w:r>
      <w:r>
        <w:rPr>
          <w:rFonts w:eastAsia="仿宋_GB2312"/>
          <w:kern w:val="0"/>
          <w:sz w:val="32"/>
          <w:szCs w:val="32"/>
        </w:rPr>
        <w:t>法律文件，包括询价公告、招募说明书、基金产品资料概要、基金合同、托管协议等；</w:t>
      </w:r>
    </w:p>
    <w:p w14:paraId="6B4FE14B">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（五）本所要求的其他材料。</w:t>
      </w:r>
    </w:p>
    <w:p w14:paraId="7282E923">
      <w:pPr>
        <w:pStyle w:val="147"/>
        <w:widowControl/>
        <w:numPr>
          <w:ilvl w:val="0"/>
          <w:numId w:val="0"/>
        </w:numPr>
        <w:tabs>
          <w:tab w:val="left" w:pos="0"/>
        </w:tabs>
        <w:adjustRightInd w:val="0"/>
        <w:snapToGrid w:val="0"/>
        <w:spacing w:line="560" w:lineRule="exact"/>
        <w:ind w:left="0" w:leftChars="0" w:firstLine="652" w:firstLineChars="0"/>
        <w:rPr>
          <w:rFonts w:eastAsia="仿宋_GB2312"/>
          <w:sz w:val="32"/>
          <w:szCs w:val="32"/>
        </w:rPr>
      </w:pPr>
      <w:r>
        <w:rPr>
          <w:rFonts w:hint="eastAsia" w:ascii="仿宋_GB2312" w:hAnsi="仿宋_GB2312" w:eastAsia="仿宋_GB2312" w:cs="仿宋_GB2312"/>
          <w:b/>
          <w:bCs/>
          <w:kern w:val="2"/>
          <w:sz w:val="32"/>
          <w:szCs w:val="32"/>
          <w:lang w:val="zh-CN" w:eastAsia="zh-CN" w:bidi="ar-SA"/>
        </w:rPr>
        <w:t xml:space="preserve">第十五条 </w:t>
      </w:r>
      <w:r>
        <w:rPr>
          <w:rFonts w:eastAsia="仿宋_GB2312"/>
          <w:sz w:val="32"/>
          <w:szCs w:val="32"/>
        </w:rPr>
        <w:t>本所在收到基金管理人的发售申请后5个工作日内</w:t>
      </w:r>
      <w:r>
        <w:rPr>
          <w:rFonts w:hint="eastAsia" w:eastAsia="仿宋_GB2312"/>
          <w:sz w:val="32"/>
          <w:szCs w:val="32"/>
          <w:lang w:val="en-US"/>
        </w:rPr>
        <w:t>表示</w:t>
      </w:r>
      <w:r>
        <w:rPr>
          <w:rFonts w:eastAsia="仿宋_GB2312"/>
          <w:sz w:val="32"/>
          <w:szCs w:val="32"/>
        </w:rPr>
        <w:t>无异议的，基金管理人</w:t>
      </w:r>
      <w:r>
        <w:rPr>
          <w:rFonts w:hint="eastAsia" w:eastAsia="仿宋_GB2312"/>
          <w:sz w:val="32"/>
          <w:szCs w:val="32"/>
        </w:rPr>
        <w:t>应当</w:t>
      </w:r>
      <w:r>
        <w:rPr>
          <w:rFonts w:eastAsia="仿宋_GB2312"/>
          <w:sz w:val="32"/>
          <w:szCs w:val="32"/>
        </w:rPr>
        <w:t>通过本所网站</w:t>
      </w:r>
      <w:r>
        <w:rPr>
          <w:rFonts w:hint="eastAsia" w:eastAsia="仿宋_GB2312"/>
          <w:sz w:val="32"/>
          <w:szCs w:val="32"/>
        </w:rPr>
        <w:t>或者</w:t>
      </w:r>
      <w:r>
        <w:rPr>
          <w:rFonts w:eastAsia="仿宋_GB2312"/>
          <w:sz w:val="32"/>
          <w:szCs w:val="32"/>
        </w:rPr>
        <w:t>本所认可的其他方式披露不动产基金询价公告、招募说明书、基金产品资料概要、基金合同、托管协议等有关文件。</w:t>
      </w:r>
    </w:p>
    <w:p w14:paraId="2336DD53">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基金管理人报送的发售申请材料不符合本指引规定</w:t>
      </w:r>
      <w:r>
        <w:rPr>
          <w:rFonts w:hint="eastAsia" w:eastAsia="仿宋_GB2312"/>
          <w:kern w:val="0"/>
          <w:sz w:val="32"/>
          <w:szCs w:val="32"/>
        </w:rPr>
        <w:t>或者</w:t>
      </w:r>
      <w:r>
        <w:rPr>
          <w:rFonts w:eastAsia="仿宋_GB2312"/>
          <w:kern w:val="0"/>
          <w:sz w:val="32"/>
          <w:szCs w:val="32"/>
        </w:rPr>
        <w:t>其他</w:t>
      </w:r>
      <w:r>
        <w:rPr>
          <w:rFonts w:hint="eastAsia" w:eastAsia="仿宋_GB2312"/>
          <w:kern w:val="0"/>
          <w:sz w:val="32"/>
          <w:szCs w:val="32"/>
        </w:rPr>
        <w:t>有关</w:t>
      </w:r>
      <w:r>
        <w:rPr>
          <w:rFonts w:eastAsia="仿宋_GB2312"/>
          <w:kern w:val="0"/>
          <w:sz w:val="32"/>
          <w:szCs w:val="32"/>
        </w:rPr>
        <w:t>要求的，应当按照本所要求予以补正，补正时间不计入前款规定的5个工作日内。</w:t>
      </w:r>
    </w:p>
    <w:p w14:paraId="0AD58B81">
      <w:pPr>
        <w:pStyle w:val="147"/>
        <w:widowControl/>
        <w:numPr>
          <w:ilvl w:val="0"/>
          <w:numId w:val="0"/>
        </w:numPr>
        <w:tabs>
          <w:tab w:val="left" w:pos="0"/>
        </w:tabs>
        <w:adjustRightInd w:val="0"/>
        <w:snapToGrid w:val="0"/>
        <w:spacing w:line="560" w:lineRule="exact"/>
        <w:ind w:left="0" w:leftChars="0" w:firstLine="652" w:firstLineChars="0"/>
        <w:rPr>
          <w:rFonts w:eastAsia="仿宋_GB2312"/>
          <w:sz w:val="32"/>
          <w:szCs w:val="32"/>
        </w:rPr>
      </w:pPr>
      <w:r>
        <w:rPr>
          <w:rFonts w:hint="eastAsia" w:ascii="仿宋_GB2312" w:hAnsi="仿宋_GB2312" w:eastAsia="仿宋_GB2312" w:cs="仿宋_GB2312"/>
          <w:b/>
          <w:bCs/>
          <w:kern w:val="2"/>
          <w:sz w:val="32"/>
          <w:szCs w:val="32"/>
          <w:lang w:val="zh-CN" w:eastAsia="zh-CN" w:bidi="ar-SA"/>
        </w:rPr>
        <w:t xml:space="preserve">第十六条 </w:t>
      </w:r>
      <w:r>
        <w:rPr>
          <w:rFonts w:eastAsia="仿宋_GB2312"/>
          <w:sz w:val="32"/>
          <w:szCs w:val="32"/>
        </w:rPr>
        <w:t>基金管理人、财务顾问应当确定参与询价的网下投资者条件、有效报价条件、配售原则和配售方式，并按照事先确定的配售原则，在有效报价的网下投资者中选择配售对象。</w:t>
      </w:r>
    </w:p>
    <w:p w14:paraId="3D5578E1">
      <w:pPr>
        <w:pStyle w:val="152"/>
        <w:widowControl/>
        <w:topLinePunct/>
        <w:adjustRightInd w:val="0"/>
        <w:snapToGrid w:val="0"/>
        <w:spacing w:line="540" w:lineRule="exact"/>
        <w:ind w:firstLine="600"/>
        <w:rPr>
          <w:rFonts w:eastAsia="仿宋_GB2312"/>
          <w:sz w:val="32"/>
          <w:szCs w:val="32"/>
        </w:rPr>
      </w:pPr>
      <w:r>
        <w:rPr>
          <w:rFonts w:eastAsia="仿宋_GB2312"/>
          <w:sz w:val="32"/>
          <w:szCs w:val="32"/>
        </w:rPr>
        <w:t>基金管理人、财务顾问在确定网下投资者配售原则</w:t>
      </w:r>
      <w:r>
        <w:rPr>
          <w:rFonts w:hint="eastAsia" w:eastAsia="仿宋_GB2312"/>
          <w:sz w:val="32"/>
          <w:szCs w:val="32"/>
        </w:rPr>
        <w:t>时</w:t>
      </w:r>
      <w:r>
        <w:rPr>
          <w:rFonts w:eastAsia="仿宋_GB2312"/>
          <w:sz w:val="32"/>
          <w:szCs w:val="32"/>
        </w:rPr>
        <w:t>，</w:t>
      </w:r>
      <w:r>
        <w:rPr>
          <w:rFonts w:hint="eastAsia" w:eastAsia="仿宋_GB2312"/>
          <w:sz w:val="32"/>
          <w:szCs w:val="32"/>
        </w:rPr>
        <w:t>应当优先向</w:t>
      </w:r>
      <w:r>
        <w:rPr>
          <w:rFonts w:eastAsia="仿宋_GB2312"/>
          <w:sz w:val="32"/>
          <w:szCs w:val="32"/>
        </w:rPr>
        <w:t>认可</w:t>
      </w:r>
      <w:r>
        <w:rPr>
          <w:rFonts w:hint="eastAsia" w:eastAsia="仿宋_GB2312"/>
          <w:sz w:val="32"/>
          <w:szCs w:val="32"/>
        </w:rPr>
        <w:t>不动产基金</w:t>
      </w:r>
      <w:r>
        <w:rPr>
          <w:rFonts w:eastAsia="仿宋_GB2312"/>
          <w:sz w:val="32"/>
          <w:szCs w:val="32"/>
        </w:rPr>
        <w:t>长期投资价值的</w:t>
      </w:r>
      <w:r>
        <w:rPr>
          <w:rFonts w:hint="eastAsia" w:eastAsia="仿宋_GB2312"/>
          <w:sz w:val="32"/>
          <w:szCs w:val="32"/>
        </w:rPr>
        <w:t>网下</w:t>
      </w:r>
      <w:r>
        <w:rPr>
          <w:rFonts w:eastAsia="仿宋_GB2312"/>
          <w:sz w:val="32"/>
          <w:szCs w:val="32"/>
        </w:rPr>
        <w:t>投资者</w:t>
      </w:r>
      <w:r>
        <w:rPr>
          <w:rFonts w:hint="eastAsia" w:eastAsia="仿宋_GB2312"/>
          <w:sz w:val="32"/>
          <w:szCs w:val="32"/>
        </w:rPr>
        <w:t>配售</w:t>
      </w:r>
      <w:r>
        <w:rPr>
          <w:rFonts w:eastAsia="仿宋_GB2312"/>
          <w:sz w:val="32"/>
          <w:szCs w:val="32"/>
        </w:rPr>
        <w:t>。</w:t>
      </w:r>
    </w:p>
    <w:p w14:paraId="130B1F3E">
      <w:pPr>
        <w:pStyle w:val="152"/>
        <w:widowControl/>
        <w:topLinePunct/>
        <w:spacing w:line="540" w:lineRule="exact"/>
        <w:ind w:firstLine="600"/>
        <w:rPr>
          <w:rFonts w:eastAsia="仿宋_GB2312"/>
          <w:sz w:val="32"/>
          <w:szCs w:val="32"/>
        </w:rPr>
      </w:pPr>
      <w:r>
        <w:rPr>
          <w:rFonts w:hint="eastAsia" w:eastAsia="仿宋_GB2312"/>
          <w:sz w:val="32"/>
          <w:szCs w:val="32"/>
        </w:rPr>
        <w:t>基金管理人、财务顾问可以在询价公告中约定一定比例的高价剔除机制。</w:t>
      </w:r>
    </w:p>
    <w:p w14:paraId="2CBA3649">
      <w:pPr>
        <w:widowControl/>
        <w:adjustRightInd w:val="0"/>
        <w:snapToGrid w:val="0"/>
        <w:spacing w:line="560" w:lineRule="exact"/>
        <w:ind w:firstLine="640" w:firstLineChars="200"/>
        <w:rPr>
          <w:rFonts w:eastAsia="仿宋_GB2312"/>
          <w:kern w:val="0"/>
          <w:sz w:val="32"/>
          <w:szCs w:val="32"/>
        </w:rPr>
      </w:pPr>
      <w:r>
        <w:rPr>
          <w:rFonts w:eastAsia="仿宋_GB2312"/>
          <w:kern w:val="0"/>
          <w:sz w:val="32"/>
          <w:szCs w:val="32"/>
        </w:rPr>
        <w:t>原始权益人及其关联方、基金管理人、财务顾问、战略投资者以及其他与定价存在利益冲突的主体不得参与网下询价，但基金管理人</w:t>
      </w:r>
      <w:r>
        <w:rPr>
          <w:rFonts w:hint="eastAsia" w:eastAsia="仿宋_GB2312"/>
          <w:kern w:val="0"/>
          <w:sz w:val="32"/>
          <w:szCs w:val="32"/>
        </w:rPr>
        <w:t>或者</w:t>
      </w:r>
      <w:r>
        <w:rPr>
          <w:rFonts w:eastAsia="仿宋_GB2312"/>
          <w:kern w:val="0"/>
          <w:sz w:val="32"/>
          <w:szCs w:val="32"/>
        </w:rPr>
        <w:t>财务顾问管理的公募证券投资基金、全国社会保障基金、基本养老保险基金和年金基金除外。</w:t>
      </w:r>
    </w:p>
    <w:p w14:paraId="7EC16129">
      <w:pPr>
        <w:pStyle w:val="147"/>
        <w:widowControl/>
        <w:numPr>
          <w:ilvl w:val="0"/>
          <w:numId w:val="0"/>
        </w:numPr>
        <w:tabs>
          <w:tab w:val="left" w:pos="0"/>
        </w:tabs>
        <w:adjustRightInd w:val="0"/>
        <w:snapToGrid w:val="0"/>
        <w:spacing w:line="560" w:lineRule="exact"/>
        <w:ind w:left="0" w:leftChars="0" w:firstLine="652" w:firstLineChars="0"/>
        <w:rPr>
          <w:rFonts w:eastAsia="仿宋_GB2312"/>
          <w:sz w:val="32"/>
          <w:szCs w:val="32"/>
        </w:rPr>
      </w:pPr>
      <w:r>
        <w:rPr>
          <w:rFonts w:hint="eastAsia" w:ascii="仿宋_GB2312" w:hAnsi="仿宋_GB2312" w:eastAsia="仿宋_GB2312" w:cs="仿宋_GB2312"/>
          <w:b/>
          <w:bCs/>
          <w:kern w:val="2"/>
          <w:sz w:val="32"/>
          <w:szCs w:val="32"/>
          <w:lang w:val="zh-CN" w:eastAsia="zh-CN" w:bidi="ar-SA"/>
        </w:rPr>
        <w:t xml:space="preserve">第十七条 </w:t>
      </w:r>
      <w:r>
        <w:rPr>
          <w:rFonts w:eastAsia="仿宋_GB2312"/>
          <w:sz w:val="32"/>
          <w:szCs w:val="32"/>
        </w:rPr>
        <w:t>网下投资者及其配售对象应当在询价日前</w:t>
      </w:r>
      <w:r>
        <w:rPr>
          <w:rFonts w:hint="eastAsia" w:eastAsia="仿宋_GB2312"/>
          <w:sz w:val="32"/>
          <w:szCs w:val="32"/>
          <w:lang w:val="en-US"/>
        </w:rPr>
        <w:t>1</w:t>
      </w:r>
      <w:r>
        <w:rPr>
          <w:rFonts w:eastAsia="仿宋_GB2312"/>
          <w:sz w:val="32"/>
          <w:szCs w:val="32"/>
        </w:rPr>
        <w:t>交易日12</w:t>
      </w:r>
      <w:r>
        <w:rPr>
          <w:rFonts w:hint="eastAsia" w:eastAsia="仿宋_GB2312"/>
          <w:sz w:val="32"/>
          <w:szCs w:val="32"/>
          <w:lang w:val="en-US"/>
        </w:rPr>
        <w:t>:</w:t>
      </w:r>
      <w:r>
        <w:rPr>
          <w:rFonts w:eastAsia="仿宋_GB2312"/>
          <w:sz w:val="32"/>
          <w:szCs w:val="32"/>
        </w:rPr>
        <w:t>00前在中国证券业协会完成注册。本所从中国证券业协会获取网下投资者及其配售对象的相关信息。</w:t>
      </w:r>
    </w:p>
    <w:p w14:paraId="5BB96F82">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基金管理人、财务顾问</w:t>
      </w:r>
      <w:r>
        <w:rPr>
          <w:rFonts w:hint="eastAsia" w:eastAsia="仿宋_GB2312"/>
          <w:kern w:val="0"/>
          <w:sz w:val="32"/>
          <w:szCs w:val="32"/>
        </w:rPr>
        <w:t>应当</w:t>
      </w:r>
      <w:r>
        <w:rPr>
          <w:rFonts w:eastAsia="仿宋_GB2312"/>
          <w:kern w:val="0"/>
          <w:sz w:val="32"/>
          <w:szCs w:val="32"/>
        </w:rPr>
        <w:t>根据公告的询价条件，对网下投资者的资格进行审核，并向网下发行电子平台确认拟参与该次网下发售的网下投资者</w:t>
      </w:r>
      <w:r>
        <w:rPr>
          <w:rFonts w:hint="eastAsia" w:eastAsia="仿宋_GB2312"/>
          <w:kern w:val="0"/>
          <w:sz w:val="32"/>
          <w:szCs w:val="32"/>
        </w:rPr>
        <w:t>以及</w:t>
      </w:r>
      <w:r>
        <w:rPr>
          <w:rFonts w:eastAsia="仿宋_GB2312"/>
          <w:kern w:val="0"/>
          <w:sz w:val="32"/>
          <w:szCs w:val="32"/>
        </w:rPr>
        <w:t>配售对象的相关信息。</w:t>
      </w:r>
    </w:p>
    <w:p w14:paraId="73F7B3C0">
      <w:pPr>
        <w:pStyle w:val="147"/>
        <w:widowControl/>
        <w:numPr>
          <w:ilvl w:val="0"/>
          <w:numId w:val="0"/>
        </w:numPr>
        <w:tabs>
          <w:tab w:val="left" w:pos="0"/>
        </w:tabs>
        <w:adjustRightInd w:val="0"/>
        <w:snapToGrid w:val="0"/>
        <w:spacing w:line="560" w:lineRule="exact"/>
        <w:ind w:left="0" w:leftChars="0" w:firstLine="652" w:firstLineChars="0"/>
        <w:rPr>
          <w:rFonts w:eastAsia="仿宋_GB2312"/>
          <w:sz w:val="32"/>
          <w:szCs w:val="32"/>
        </w:rPr>
      </w:pPr>
      <w:r>
        <w:rPr>
          <w:rFonts w:hint="eastAsia" w:ascii="仿宋_GB2312" w:hAnsi="仿宋_GB2312" w:eastAsia="仿宋_GB2312" w:cs="仿宋_GB2312"/>
          <w:b/>
          <w:bCs/>
          <w:kern w:val="2"/>
          <w:sz w:val="32"/>
          <w:szCs w:val="32"/>
          <w:lang w:val="zh-CN" w:eastAsia="zh-CN" w:bidi="ar-SA"/>
        </w:rPr>
        <w:t xml:space="preserve">第十八条 </w:t>
      </w:r>
      <w:r>
        <w:rPr>
          <w:rFonts w:eastAsia="仿宋_GB2312"/>
          <w:sz w:val="32"/>
          <w:szCs w:val="32"/>
        </w:rPr>
        <w:t>不动产基金</w:t>
      </w:r>
      <w:r>
        <w:rPr>
          <w:rFonts w:hint="eastAsia" w:eastAsia="仿宋_GB2312"/>
          <w:sz w:val="32"/>
          <w:szCs w:val="32"/>
        </w:rPr>
        <w:t>设置</w:t>
      </w:r>
      <w:r>
        <w:rPr>
          <w:rFonts w:eastAsia="仿宋_GB2312"/>
          <w:sz w:val="32"/>
          <w:szCs w:val="32"/>
        </w:rPr>
        <w:t>询价区间的，基金管理人和财务顾问应当根据不动产项目的评估情况和市场情况，合理确定询价区间，并在询价公告中披露。</w:t>
      </w:r>
    </w:p>
    <w:p w14:paraId="00B7D1AD">
      <w:pPr>
        <w:pStyle w:val="147"/>
        <w:widowControl/>
        <w:numPr>
          <w:ilvl w:val="0"/>
          <w:numId w:val="0"/>
        </w:numPr>
        <w:tabs>
          <w:tab w:val="left" w:pos="0"/>
        </w:tabs>
        <w:adjustRightInd w:val="0"/>
        <w:snapToGrid w:val="0"/>
        <w:spacing w:line="560" w:lineRule="exact"/>
        <w:ind w:left="0" w:leftChars="0" w:firstLine="652" w:firstLineChars="0"/>
        <w:rPr>
          <w:rFonts w:eastAsia="仿宋_GB2312"/>
          <w:sz w:val="32"/>
          <w:szCs w:val="32"/>
        </w:rPr>
      </w:pPr>
      <w:r>
        <w:rPr>
          <w:rFonts w:hint="eastAsia" w:ascii="仿宋_GB2312" w:hAnsi="仿宋_GB2312" w:eastAsia="仿宋_GB2312" w:cs="仿宋_GB2312"/>
          <w:b/>
          <w:bCs/>
          <w:kern w:val="2"/>
          <w:sz w:val="32"/>
          <w:szCs w:val="32"/>
          <w:lang w:val="zh-CN" w:eastAsia="zh-CN" w:bidi="ar-SA"/>
        </w:rPr>
        <w:t xml:space="preserve">第十九条 </w:t>
      </w:r>
      <w:r>
        <w:rPr>
          <w:rFonts w:eastAsia="仿宋_GB2312"/>
          <w:sz w:val="32"/>
          <w:szCs w:val="32"/>
        </w:rPr>
        <w:t>网下询价时间原则上为1个交易日。基金管理人</w:t>
      </w:r>
      <w:r>
        <w:rPr>
          <w:rFonts w:hint="eastAsia" w:eastAsia="仿宋_GB2312"/>
          <w:sz w:val="32"/>
          <w:szCs w:val="32"/>
        </w:rPr>
        <w:t>或者</w:t>
      </w:r>
      <w:r>
        <w:rPr>
          <w:rFonts w:eastAsia="仿宋_GB2312"/>
          <w:sz w:val="32"/>
          <w:szCs w:val="32"/>
        </w:rPr>
        <w:t>财务顾问应当在本所规定的时间内，在网下发行电子平台上确认基金代码、名称等相关询价参数，并通过网下发行电子平台确认拟参与网下发售的配售对象名称、场内证券账户</w:t>
      </w:r>
      <w:r>
        <w:rPr>
          <w:rFonts w:hint="eastAsia" w:eastAsia="仿宋_GB2312"/>
          <w:sz w:val="32"/>
          <w:szCs w:val="32"/>
        </w:rPr>
        <w:t>或者</w:t>
      </w:r>
      <w:r>
        <w:rPr>
          <w:rFonts w:eastAsia="仿宋_GB2312"/>
          <w:sz w:val="32"/>
          <w:szCs w:val="32"/>
        </w:rPr>
        <w:t>场外基金账户等相关信息，同时剔除不符合本指引</w:t>
      </w:r>
      <w:r>
        <w:rPr>
          <w:rFonts w:hint="eastAsia" w:eastAsia="仿宋_GB2312"/>
          <w:sz w:val="32"/>
          <w:szCs w:val="32"/>
        </w:rPr>
        <w:t>以及</w:t>
      </w:r>
      <w:r>
        <w:rPr>
          <w:rFonts w:eastAsia="仿宋_GB2312"/>
          <w:sz w:val="32"/>
          <w:szCs w:val="32"/>
        </w:rPr>
        <w:t>询价公告规定的网下投资者及其配售对象账户，完成询价准备的确认工作。</w:t>
      </w:r>
    </w:p>
    <w:p w14:paraId="26F39651">
      <w:pPr>
        <w:pStyle w:val="147"/>
        <w:widowControl/>
        <w:numPr>
          <w:ilvl w:val="0"/>
          <w:numId w:val="0"/>
        </w:numPr>
        <w:tabs>
          <w:tab w:val="left" w:pos="0"/>
        </w:tabs>
        <w:adjustRightInd w:val="0"/>
        <w:snapToGrid w:val="0"/>
        <w:spacing w:line="560" w:lineRule="exact"/>
        <w:ind w:left="0" w:leftChars="0" w:firstLine="652" w:firstLineChars="0"/>
        <w:rPr>
          <w:rFonts w:eastAsia="仿宋_GB2312"/>
          <w:sz w:val="32"/>
          <w:szCs w:val="32"/>
        </w:rPr>
      </w:pPr>
      <w:r>
        <w:rPr>
          <w:rFonts w:hint="eastAsia" w:ascii="仿宋_GB2312" w:hAnsi="仿宋_GB2312" w:eastAsia="仿宋_GB2312" w:cs="仿宋_GB2312"/>
          <w:b/>
          <w:bCs/>
          <w:kern w:val="2"/>
          <w:sz w:val="32"/>
          <w:szCs w:val="32"/>
          <w:lang w:val="zh-CN" w:eastAsia="zh-CN" w:bidi="ar-SA"/>
        </w:rPr>
        <w:t xml:space="preserve">第二十条 </w:t>
      </w:r>
      <w:r>
        <w:rPr>
          <w:rFonts w:hint="eastAsia" w:eastAsia="仿宋_GB2312"/>
          <w:sz w:val="32"/>
          <w:szCs w:val="32"/>
        </w:rPr>
        <w:t>基金管理人、财务顾问应当建立与投资者的沟通机制，推动网下投资者在充分了解项目基本情况、估值情况、所属市场和行业概况、发售方案等相关内容的基础上参与询价。</w:t>
      </w:r>
    </w:p>
    <w:p w14:paraId="69DA6B4E">
      <w:pPr>
        <w:pStyle w:val="147"/>
        <w:widowControl/>
        <w:tabs>
          <w:tab w:val="left" w:pos="0"/>
        </w:tabs>
        <w:adjustRightInd w:val="0"/>
        <w:snapToGrid w:val="0"/>
        <w:spacing w:line="560" w:lineRule="exact"/>
        <w:ind w:firstLine="640" w:firstLineChars="200"/>
        <w:rPr>
          <w:rFonts w:eastAsia="仿宋_GB2312"/>
          <w:sz w:val="32"/>
          <w:szCs w:val="32"/>
        </w:rPr>
      </w:pPr>
      <w:r>
        <w:rPr>
          <w:rFonts w:hint="eastAsia" w:eastAsia="仿宋_GB2312"/>
          <w:sz w:val="32"/>
          <w:szCs w:val="32"/>
        </w:rPr>
        <w:t>参与询价</w:t>
      </w:r>
      <w:r>
        <w:rPr>
          <w:rFonts w:eastAsia="仿宋_GB2312"/>
          <w:sz w:val="32"/>
          <w:szCs w:val="32"/>
        </w:rPr>
        <w:t>的网下投资者应当根据不动产项目评估情况，遵循独立、客观、诚信的原则，合理报价，不得采取串通合谋、协商报价等方式故意压低</w:t>
      </w:r>
      <w:r>
        <w:rPr>
          <w:rFonts w:hint="eastAsia" w:eastAsia="仿宋_GB2312"/>
          <w:sz w:val="32"/>
          <w:szCs w:val="32"/>
        </w:rPr>
        <w:t>或者</w:t>
      </w:r>
      <w:r>
        <w:rPr>
          <w:rFonts w:eastAsia="仿宋_GB2312"/>
          <w:sz w:val="32"/>
          <w:szCs w:val="32"/>
        </w:rPr>
        <w:t>抬高价格，不得有其他违反公平竞争、破坏市场秩序等行为。</w:t>
      </w:r>
    </w:p>
    <w:p w14:paraId="7B53786B">
      <w:pPr>
        <w:pStyle w:val="147"/>
        <w:widowControl/>
        <w:numPr>
          <w:ilvl w:val="0"/>
          <w:numId w:val="0"/>
        </w:numPr>
        <w:tabs>
          <w:tab w:val="left" w:pos="0"/>
        </w:tabs>
        <w:adjustRightInd w:val="0"/>
        <w:snapToGrid w:val="0"/>
        <w:spacing w:line="560" w:lineRule="exact"/>
        <w:ind w:left="0" w:leftChars="0" w:firstLine="652" w:firstLineChars="0"/>
        <w:rPr>
          <w:rFonts w:eastAsia="仿宋_GB2312"/>
          <w:sz w:val="32"/>
          <w:szCs w:val="32"/>
        </w:rPr>
      </w:pPr>
      <w:bookmarkStart w:id="1" w:name="_Ref49208110"/>
      <w:r>
        <w:rPr>
          <w:rFonts w:hint="eastAsia" w:ascii="仿宋_GB2312" w:hAnsi="仿宋_GB2312" w:eastAsia="仿宋_GB2312" w:cs="仿宋_GB2312"/>
          <w:b/>
          <w:bCs/>
          <w:kern w:val="2"/>
          <w:sz w:val="32"/>
          <w:szCs w:val="32"/>
          <w:lang w:val="zh-CN" w:eastAsia="zh-CN" w:bidi="ar-SA"/>
        </w:rPr>
        <w:t xml:space="preserve">第二十一条 </w:t>
      </w:r>
      <w:r>
        <w:rPr>
          <w:rFonts w:eastAsia="仿宋_GB2312"/>
          <w:sz w:val="32"/>
          <w:szCs w:val="32"/>
        </w:rPr>
        <w:t>询价期间，网下投资者及其管理的配售对象的报价应当</w:t>
      </w:r>
      <w:r>
        <w:rPr>
          <w:rFonts w:hint="eastAsia" w:eastAsia="仿宋_GB2312"/>
          <w:sz w:val="32"/>
          <w:szCs w:val="32"/>
          <w:lang w:val="en-US"/>
        </w:rPr>
        <w:t>包括</w:t>
      </w:r>
      <w:r>
        <w:rPr>
          <w:rFonts w:eastAsia="仿宋_GB2312"/>
          <w:sz w:val="32"/>
          <w:szCs w:val="32"/>
        </w:rPr>
        <w:t>每份价格和该价格对应的拟认购数量，填报的拟认购数量不得超过网下初始发售总量</w:t>
      </w:r>
      <w:bookmarkEnd w:id="1"/>
      <w:r>
        <w:rPr>
          <w:rFonts w:eastAsia="仿宋_GB2312"/>
          <w:sz w:val="32"/>
          <w:szCs w:val="32"/>
        </w:rPr>
        <w:t>，且同一网下投资者全部报价中的不同拟认购价格不得超过3个。</w:t>
      </w:r>
    </w:p>
    <w:p w14:paraId="4C3FAABD">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网下投资者为拟参与报价的全部配售对象录入报价记录后，应当一次性提交。网下投资者可以多次提交报价记录，但以最后一次提交的全部报价记录为准。</w:t>
      </w:r>
    </w:p>
    <w:p w14:paraId="4185F6E4">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网下发行电子平台记录本次发售的每一个报价情况，基金管理人</w:t>
      </w:r>
      <w:r>
        <w:rPr>
          <w:rFonts w:hint="eastAsia" w:eastAsia="仿宋_GB2312"/>
          <w:kern w:val="0"/>
          <w:sz w:val="32"/>
          <w:szCs w:val="32"/>
        </w:rPr>
        <w:t>或者</w:t>
      </w:r>
      <w:r>
        <w:rPr>
          <w:rFonts w:eastAsia="仿宋_GB2312"/>
          <w:kern w:val="0"/>
          <w:sz w:val="32"/>
          <w:szCs w:val="32"/>
        </w:rPr>
        <w:t>财务顾问</w:t>
      </w:r>
      <w:r>
        <w:rPr>
          <w:rFonts w:hint="eastAsia" w:eastAsia="仿宋_GB2312"/>
          <w:kern w:val="0"/>
          <w:sz w:val="32"/>
          <w:szCs w:val="32"/>
        </w:rPr>
        <w:t>可以</w:t>
      </w:r>
      <w:r>
        <w:rPr>
          <w:rFonts w:eastAsia="仿宋_GB2312"/>
          <w:kern w:val="0"/>
          <w:sz w:val="32"/>
          <w:szCs w:val="32"/>
        </w:rPr>
        <w:t>实时查询和获取询价的报价情况。询价截止后，基金管理人</w:t>
      </w:r>
      <w:r>
        <w:rPr>
          <w:rFonts w:hint="eastAsia" w:eastAsia="仿宋_GB2312"/>
          <w:kern w:val="0"/>
          <w:sz w:val="32"/>
          <w:szCs w:val="32"/>
        </w:rPr>
        <w:t>或者</w:t>
      </w:r>
      <w:r>
        <w:rPr>
          <w:rFonts w:eastAsia="仿宋_GB2312"/>
          <w:kern w:val="0"/>
          <w:sz w:val="32"/>
          <w:szCs w:val="32"/>
        </w:rPr>
        <w:t>财务顾问可以从网下发行电子平台获取询价报价情况。</w:t>
      </w:r>
    </w:p>
    <w:p w14:paraId="4B5D67B0">
      <w:pPr>
        <w:pStyle w:val="147"/>
        <w:widowControl/>
        <w:numPr>
          <w:ilvl w:val="0"/>
          <w:numId w:val="0"/>
        </w:numPr>
        <w:tabs>
          <w:tab w:val="left" w:pos="0"/>
        </w:tabs>
        <w:adjustRightInd w:val="0"/>
        <w:snapToGrid w:val="0"/>
        <w:spacing w:line="560" w:lineRule="exact"/>
        <w:ind w:left="0" w:leftChars="0" w:firstLine="652" w:firstLineChars="0"/>
        <w:rPr>
          <w:rFonts w:eastAsia="仿宋_GB2312"/>
          <w:sz w:val="32"/>
          <w:szCs w:val="32"/>
        </w:rPr>
      </w:pPr>
      <w:r>
        <w:rPr>
          <w:rFonts w:hint="eastAsia" w:ascii="仿宋_GB2312" w:hAnsi="仿宋_GB2312" w:eastAsia="仿宋_GB2312" w:cs="仿宋_GB2312"/>
          <w:b/>
          <w:bCs/>
          <w:kern w:val="2"/>
          <w:sz w:val="32"/>
          <w:szCs w:val="32"/>
          <w:lang w:val="zh-CN" w:eastAsia="zh-CN" w:bidi="ar-SA"/>
        </w:rPr>
        <w:t xml:space="preserve">第二十二条 </w:t>
      </w:r>
      <w:r>
        <w:rPr>
          <w:rFonts w:eastAsia="仿宋_GB2312"/>
          <w:sz w:val="32"/>
          <w:szCs w:val="32"/>
        </w:rPr>
        <w:t>网下投资者提交的拟认购数量合计低于网下初始发售总量的，基金管理人、财务顾问应当中止发售，并发布中止发售公告。</w:t>
      </w:r>
    </w:p>
    <w:p w14:paraId="595FA320">
      <w:pPr>
        <w:widowControl/>
        <w:adjustRightInd w:val="0"/>
        <w:snapToGrid w:val="0"/>
        <w:spacing w:line="560" w:lineRule="exact"/>
        <w:ind w:firstLine="640" w:firstLineChars="200"/>
        <w:rPr>
          <w:rFonts w:eastAsia="仿宋_GB2312"/>
          <w:kern w:val="0"/>
          <w:sz w:val="32"/>
          <w:szCs w:val="32"/>
        </w:rPr>
      </w:pPr>
      <w:r>
        <w:rPr>
          <w:rFonts w:eastAsia="仿宋_GB2312"/>
          <w:kern w:val="0"/>
          <w:sz w:val="32"/>
          <w:szCs w:val="32"/>
        </w:rPr>
        <w:t>中止发售后，在中国证监会同意注册决定的有效期内，基金管理人</w:t>
      </w:r>
      <w:r>
        <w:rPr>
          <w:rFonts w:hint="eastAsia" w:eastAsia="仿宋_GB2312"/>
          <w:kern w:val="0"/>
          <w:sz w:val="32"/>
          <w:szCs w:val="32"/>
        </w:rPr>
        <w:t>可以</w:t>
      </w:r>
      <w:r>
        <w:rPr>
          <w:rFonts w:eastAsia="仿宋_GB2312"/>
          <w:kern w:val="0"/>
          <w:sz w:val="32"/>
          <w:szCs w:val="32"/>
        </w:rPr>
        <w:t>重新启动发售。</w:t>
      </w:r>
    </w:p>
    <w:p w14:paraId="4501FACF">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除规定的中止发售情形外，基金管理人、财务顾问还可以约定中止发售的其他具体情形并事先披露。</w:t>
      </w:r>
    </w:p>
    <w:p w14:paraId="77FFBE86">
      <w:pPr>
        <w:pStyle w:val="147"/>
        <w:widowControl/>
        <w:numPr>
          <w:ilvl w:val="0"/>
          <w:numId w:val="0"/>
        </w:numPr>
        <w:tabs>
          <w:tab w:val="left" w:pos="0"/>
        </w:tabs>
        <w:adjustRightInd w:val="0"/>
        <w:snapToGrid w:val="0"/>
        <w:spacing w:line="560" w:lineRule="exact"/>
        <w:ind w:left="0" w:leftChars="0" w:firstLine="652" w:firstLineChars="0"/>
        <w:rPr>
          <w:rFonts w:eastAsia="仿宋_GB2312"/>
          <w:sz w:val="32"/>
          <w:szCs w:val="32"/>
        </w:rPr>
      </w:pPr>
      <w:r>
        <w:rPr>
          <w:rFonts w:hint="eastAsia" w:ascii="仿宋_GB2312" w:hAnsi="仿宋_GB2312" w:eastAsia="仿宋_GB2312" w:cs="仿宋_GB2312"/>
          <w:b/>
          <w:bCs/>
          <w:kern w:val="2"/>
          <w:sz w:val="32"/>
          <w:szCs w:val="32"/>
          <w:lang w:val="zh-CN" w:eastAsia="zh-CN" w:bidi="ar-SA"/>
        </w:rPr>
        <w:t xml:space="preserve">第二十三条 </w:t>
      </w:r>
      <w:r>
        <w:rPr>
          <w:rFonts w:eastAsia="仿宋_GB2312"/>
          <w:sz w:val="32"/>
          <w:szCs w:val="32"/>
        </w:rPr>
        <w:t>报价截止后，基金管理人</w:t>
      </w:r>
      <w:r>
        <w:rPr>
          <w:rFonts w:hint="eastAsia" w:eastAsia="仿宋_GB2312"/>
          <w:sz w:val="32"/>
          <w:szCs w:val="32"/>
        </w:rPr>
        <w:t>或者</w:t>
      </w:r>
      <w:r>
        <w:rPr>
          <w:rFonts w:eastAsia="仿宋_GB2312"/>
          <w:sz w:val="32"/>
          <w:szCs w:val="32"/>
        </w:rPr>
        <w:t>财务顾问应当根据事先确定并公告的条件，剔除不符合条件的报价及其对应的拟认购数量。</w:t>
      </w:r>
    </w:p>
    <w:p w14:paraId="293D0707">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剔除不符合条件的报价后，基金管理人、财务顾问应当根据所有网下投资者报价的中位数和加权平均数，并结合公募证券投资基金、公募理财产品、社保基金、养老金、企业年金基金、保险资金、合格境外机构投资者资金等配售对象的报价情况，审慎合理确定认购价格。</w:t>
      </w:r>
    </w:p>
    <w:p w14:paraId="25436432">
      <w:pPr>
        <w:pStyle w:val="147"/>
        <w:widowControl/>
        <w:numPr>
          <w:ilvl w:val="0"/>
          <w:numId w:val="0"/>
        </w:numPr>
        <w:tabs>
          <w:tab w:val="left" w:pos="0"/>
        </w:tabs>
        <w:adjustRightInd w:val="0"/>
        <w:snapToGrid w:val="0"/>
        <w:spacing w:line="560" w:lineRule="exact"/>
        <w:ind w:left="0" w:leftChars="0" w:firstLine="652" w:firstLineChars="0"/>
        <w:rPr>
          <w:rFonts w:eastAsia="仿宋_GB2312"/>
          <w:sz w:val="32"/>
          <w:szCs w:val="32"/>
        </w:rPr>
      </w:pPr>
      <w:r>
        <w:rPr>
          <w:rFonts w:hint="eastAsia" w:ascii="仿宋_GB2312" w:hAnsi="仿宋_GB2312" w:eastAsia="仿宋_GB2312" w:cs="仿宋_GB2312"/>
          <w:b/>
          <w:bCs/>
          <w:kern w:val="2"/>
          <w:sz w:val="32"/>
          <w:szCs w:val="32"/>
          <w:lang w:val="zh-CN" w:eastAsia="zh-CN" w:bidi="ar-SA"/>
        </w:rPr>
        <w:t xml:space="preserve">第二十四条 </w:t>
      </w:r>
      <w:r>
        <w:rPr>
          <w:rFonts w:eastAsia="仿宋_GB2312"/>
          <w:sz w:val="32"/>
          <w:szCs w:val="32"/>
        </w:rPr>
        <w:t>基金管理人、财务顾问确定的认购价格高于本指引</w:t>
      </w:r>
      <w:r>
        <w:rPr>
          <w:rFonts w:hint="eastAsia" w:eastAsia="仿宋_GB2312"/>
          <w:b w:val="0"/>
          <w:bCs/>
          <w:sz w:val="32"/>
          <w:szCs w:val="32"/>
          <w:lang w:eastAsia="zh-CN"/>
        </w:rPr>
        <w:t>第二十三条</w:t>
      </w:r>
      <w:r>
        <w:rPr>
          <w:rFonts w:eastAsia="仿宋_GB2312"/>
          <w:sz w:val="32"/>
          <w:szCs w:val="32"/>
        </w:rPr>
        <w:t>规定的中位数和加权平均数的孰低值的，基金管理人、财务顾问</w:t>
      </w:r>
      <w:r>
        <w:rPr>
          <w:rFonts w:hint="eastAsia" w:eastAsia="仿宋_GB2312"/>
          <w:sz w:val="32"/>
          <w:szCs w:val="32"/>
        </w:rPr>
        <w:t>应当</w:t>
      </w:r>
      <w:r>
        <w:rPr>
          <w:rFonts w:eastAsia="仿宋_GB2312"/>
          <w:sz w:val="32"/>
          <w:szCs w:val="32"/>
        </w:rPr>
        <w:t>至少在基金份额认购首日前5个工作日发布投资风险特别公告，并在公告中披露超过的原因，以及各类网下投资者报价与认购价格的差异情况，同时提请投资者关注投资风险，理性作出投资决策。</w:t>
      </w:r>
    </w:p>
    <w:p w14:paraId="2567A509">
      <w:pPr>
        <w:adjustRightInd w:val="0"/>
        <w:snapToGrid w:val="0"/>
        <w:spacing w:line="560" w:lineRule="exact"/>
        <w:jc w:val="center"/>
        <w:outlineLvl w:val="0"/>
        <w:rPr>
          <w:rFonts w:hint="eastAsia" w:ascii="黑体" w:hAnsi="黑体" w:eastAsia="黑体" w:cs="黑体"/>
          <w:bCs/>
          <w:sz w:val="32"/>
          <w:szCs w:val="32"/>
          <w:lang w:val="zh-CN"/>
        </w:rPr>
      </w:pPr>
      <w:r>
        <w:rPr>
          <w:rFonts w:hint="eastAsia" w:ascii="黑体" w:hAnsi="黑体" w:eastAsia="黑体" w:cs="黑体"/>
          <w:bCs/>
          <w:sz w:val="32"/>
          <w:szCs w:val="32"/>
          <w:lang w:val="zh-CN"/>
        </w:rPr>
        <w:t>第三章  战略配售</w:t>
      </w:r>
    </w:p>
    <w:p w14:paraId="14332011">
      <w:pPr>
        <w:pStyle w:val="147"/>
        <w:widowControl/>
        <w:numPr>
          <w:ilvl w:val="0"/>
          <w:numId w:val="0"/>
        </w:numPr>
        <w:tabs>
          <w:tab w:val="left" w:pos="0"/>
        </w:tabs>
        <w:adjustRightInd w:val="0"/>
        <w:snapToGrid w:val="0"/>
        <w:spacing w:line="560" w:lineRule="exact"/>
        <w:ind w:left="0" w:leftChars="0" w:firstLine="652" w:firstLineChars="0"/>
        <w:rPr>
          <w:rFonts w:eastAsia="仿宋_GB2312"/>
          <w:sz w:val="32"/>
          <w:szCs w:val="32"/>
        </w:rPr>
      </w:pPr>
      <w:r>
        <w:rPr>
          <w:rFonts w:hint="eastAsia" w:ascii="仿宋_GB2312" w:hAnsi="仿宋_GB2312" w:eastAsia="仿宋_GB2312" w:cs="仿宋_GB2312"/>
          <w:b/>
          <w:bCs/>
          <w:kern w:val="2"/>
          <w:sz w:val="32"/>
          <w:szCs w:val="32"/>
          <w:lang w:val="zh-CN" w:eastAsia="zh-CN" w:bidi="ar-SA"/>
        </w:rPr>
        <w:t xml:space="preserve">第二十五条 </w:t>
      </w:r>
      <w:r>
        <w:rPr>
          <w:rFonts w:hint="eastAsia" w:eastAsia="仿宋_GB2312"/>
          <w:sz w:val="32"/>
          <w:szCs w:val="32"/>
        </w:rPr>
        <w:t>基金管理人、财务顾问应当结合产品规模、行业特征、原始权益人及其同一控制下的关联方自持比例等情况合理确定战略配售规模，优化投资者结构，保障不动产基金首次发售上市后流通份额合理充裕。</w:t>
      </w:r>
    </w:p>
    <w:p w14:paraId="0861DED5">
      <w:pPr>
        <w:pStyle w:val="147"/>
        <w:widowControl/>
        <w:numPr>
          <w:ilvl w:val="0"/>
          <w:numId w:val="0"/>
        </w:numPr>
        <w:tabs>
          <w:tab w:val="left" w:pos="0"/>
        </w:tabs>
        <w:adjustRightInd w:val="0"/>
        <w:snapToGrid w:val="0"/>
        <w:spacing w:line="560" w:lineRule="exact"/>
        <w:ind w:left="0" w:leftChars="0" w:firstLine="652" w:firstLineChars="0"/>
        <w:rPr>
          <w:rFonts w:eastAsia="仿宋_GB2312"/>
          <w:sz w:val="32"/>
          <w:szCs w:val="32"/>
        </w:rPr>
      </w:pPr>
      <w:r>
        <w:rPr>
          <w:rFonts w:hint="eastAsia" w:ascii="仿宋_GB2312" w:hAnsi="仿宋_GB2312" w:eastAsia="仿宋_GB2312" w:cs="仿宋_GB2312"/>
          <w:b/>
          <w:bCs/>
          <w:kern w:val="2"/>
          <w:sz w:val="32"/>
          <w:szCs w:val="32"/>
          <w:lang w:val="zh-CN" w:eastAsia="zh-CN" w:bidi="ar-SA"/>
        </w:rPr>
        <w:t xml:space="preserve">第二十六条 </w:t>
      </w:r>
      <w:r>
        <w:rPr>
          <w:rFonts w:eastAsia="仿宋_GB2312"/>
          <w:sz w:val="32"/>
          <w:szCs w:val="32"/>
        </w:rPr>
        <w:t>不动产项目原始权益人</w:t>
      </w:r>
      <w:r>
        <w:rPr>
          <w:rFonts w:hint="eastAsia" w:eastAsia="仿宋_GB2312"/>
          <w:sz w:val="32"/>
          <w:szCs w:val="32"/>
        </w:rPr>
        <w:t>及其</w:t>
      </w:r>
      <w:r>
        <w:rPr>
          <w:rFonts w:eastAsia="仿宋_GB2312"/>
          <w:sz w:val="32"/>
          <w:szCs w:val="32"/>
        </w:rPr>
        <w:t>同一控制下的关联方，以及符合</w:t>
      </w:r>
      <w:r>
        <w:rPr>
          <w:rFonts w:hint="eastAsia" w:eastAsia="仿宋_GB2312"/>
          <w:sz w:val="32"/>
          <w:szCs w:val="32"/>
        </w:rPr>
        <w:t>中国证券业协会有关</w:t>
      </w:r>
      <w:r>
        <w:rPr>
          <w:rFonts w:eastAsia="仿宋_GB2312"/>
          <w:sz w:val="32"/>
          <w:szCs w:val="32"/>
        </w:rPr>
        <w:t>规定的专业机构投资者，可以参与不动产</w:t>
      </w:r>
      <w:r>
        <w:rPr>
          <w:rFonts w:hint="eastAsia" w:eastAsia="仿宋_GB2312"/>
          <w:sz w:val="32"/>
          <w:szCs w:val="32"/>
        </w:rPr>
        <w:t>基</w:t>
      </w:r>
      <w:r>
        <w:rPr>
          <w:rFonts w:eastAsia="仿宋_GB2312"/>
          <w:sz w:val="32"/>
          <w:szCs w:val="32"/>
        </w:rPr>
        <w:t>金的战略配售。</w:t>
      </w:r>
    </w:p>
    <w:p w14:paraId="2DAE3CC4">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参与本次战略配售的投资者不得参与本次</w:t>
      </w:r>
      <w:r>
        <w:rPr>
          <w:rFonts w:eastAsia="仿宋_GB2312"/>
          <w:sz w:val="32"/>
          <w:szCs w:val="32"/>
        </w:rPr>
        <w:t>不动产</w:t>
      </w:r>
      <w:r>
        <w:rPr>
          <w:rFonts w:eastAsia="仿宋_GB2312"/>
          <w:kern w:val="0"/>
          <w:sz w:val="32"/>
          <w:szCs w:val="32"/>
        </w:rPr>
        <w:t>基金份额网下询价，但依法设立且未参与本次战略配售的证券投资基金、理财产品和其他资产管理产品除外。</w:t>
      </w:r>
    </w:p>
    <w:p w14:paraId="105DE533">
      <w:pPr>
        <w:pStyle w:val="147"/>
        <w:widowControl/>
        <w:numPr>
          <w:ilvl w:val="0"/>
          <w:numId w:val="0"/>
        </w:numPr>
        <w:tabs>
          <w:tab w:val="left" w:pos="0"/>
        </w:tabs>
        <w:adjustRightInd w:val="0"/>
        <w:snapToGrid w:val="0"/>
        <w:spacing w:line="560" w:lineRule="exact"/>
        <w:ind w:left="0" w:leftChars="0" w:firstLine="652" w:firstLineChars="0"/>
        <w:rPr>
          <w:rFonts w:eastAsia="仿宋_GB2312"/>
          <w:sz w:val="32"/>
          <w:szCs w:val="32"/>
        </w:rPr>
      </w:pPr>
      <w:r>
        <w:rPr>
          <w:rFonts w:hint="eastAsia" w:ascii="仿宋_GB2312" w:hAnsi="仿宋_GB2312" w:eastAsia="仿宋_GB2312" w:cs="仿宋_GB2312"/>
          <w:b/>
          <w:bCs/>
          <w:kern w:val="2"/>
          <w:sz w:val="32"/>
          <w:szCs w:val="32"/>
          <w:lang w:val="zh-CN" w:eastAsia="zh-CN" w:bidi="ar-SA"/>
        </w:rPr>
        <w:t xml:space="preserve">第二十七条 </w:t>
      </w:r>
      <w:r>
        <w:rPr>
          <w:rFonts w:eastAsia="仿宋_GB2312"/>
          <w:sz w:val="32"/>
          <w:szCs w:val="32"/>
        </w:rPr>
        <w:t>参与战略配售的专业机构投资者应当具备良好的市场声誉和影响力，具有较强资金实力，认可不动产</w:t>
      </w:r>
      <w:r>
        <w:rPr>
          <w:rFonts w:hint="eastAsia" w:eastAsia="仿宋_GB2312"/>
          <w:sz w:val="32"/>
          <w:szCs w:val="32"/>
        </w:rPr>
        <w:t>基</w:t>
      </w:r>
      <w:r>
        <w:rPr>
          <w:rFonts w:eastAsia="仿宋_GB2312"/>
          <w:sz w:val="32"/>
          <w:szCs w:val="32"/>
        </w:rPr>
        <w:t>金长期投资价值。本所鼓励下列专业投资者和配售对象参与不动产基金的战略配售：</w:t>
      </w:r>
    </w:p>
    <w:p w14:paraId="7D2E9FA1">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（一）与原始权益人经营业务具有战略合作关系</w:t>
      </w:r>
      <w:r>
        <w:rPr>
          <w:rFonts w:hint="eastAsia" w:eastAsia="仿宋_GB2312"/>
          <w:kern w:val="0"/>
          <w:sz w:val="32"/>
          <w:szCs w:val="32"/>
        </w:rPr>
        <w:t>或者</w:t>
      </w:r>
      <w:r>
        <w:rPr>
          <w:rFonts w:eastAsia="仿宋_GB2312"/>
          <w:kern w:val="0"/>
          <w:sz w:val="32"/>
          <w:szCs w:val="32"/>
        </w:rPr>
        <w:t>长期合作愿景的大型企业</w:t>
      </w:r>
      <w:r>
        <w:rPr>
          <w:rFonts w:hint="eastAsia" w:eastAsia="仿宋_GB2312"/>
          <w:kern w:val="0"/>
          <w:sz w:val="32"/>
          <w:szCs w:val="32"/>
        </w:rPr>
        <w:t>或者</w:t>
      </w:r>
      <w:r>
        <w:rPr>
          <w:rFonts w:eastAsia="仿宋_GB2312"/>
          <w:kern w:val="0"/>
          <w:sz w:val="32"/>
          <w:szCs w:val="32"/>
        </w:rPr>
        <w:t>其下属企业；</w:t>
      </w:r>
    </w:p>
    <w:p w14:paraId="00AED5FC">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（二）具有长期投资意愿的大型保险公司</w:t>
      </w:r>
      <w:r>
        <w:rPr>
          <w:rFonts w:hint="eastAsia" w:eastAsia="仿宋_GB2312"/>
          <w:kern w:val="0"/>
          <w:sz w:val="32"/>
          <w:szCs w:val="32"/>
        </w:rPr>
        <w:t>或者</w:t>
      </w:r>
      <w:r>
        <w:rPr>
          <w:rFonts w:eastAsia="仿宋_GB2312"/>
          <w:kern w:val="0"/>
          <w:sz w:val="32"/>
          <w:szCs w:val="32"/>
        </w:rPr>
        <w:t>其下属企业、国家级大型投资基金</w:t>
      </w:r>
      <w:r>
        <w:rPr>
          <w:rFonts w:hint="eastAsia" w:eastAsia="仿宋_GB2312"/>
          <w:kern w:val="0"/>
          <w:sz w:val="32"/>
          <w:szCs w:val="32"/>
        </w:rPr>
        <w:t>或者</w:t>
      </w:r>
      <w:r>
        <w:rPr>
          <w:rFonts w:eastAsia="仿宋_GB2312"/>
          <w:kern w:val="0"/>
          <w:sz w:val="32"/>
          <w:szCs w:val="32"/>
        </w:rPr>
        <w:t>其下属企业；</w:t>
      </w:r>
    </w:p>
    <w:p w14:paraId="4E53C6A4">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（三）主要投资策略包括投资长期限、高分红类资产的证券投资基金</w:t>
      </w:r>
      <w:r>
        <w:rPr>
          <w:rFonts w:hint="eastAsia" w:eastAsia="仿宋_GB2312"/>
          <w:kern w:val="0"/>
          <w:sz w:val="32"/>
          <w:szCs w:val="32"/>
        </w:rPr>
        <w:t>或者</w:t>
      </w:r>
      <w:r>
        <w:rPr>
          <w:rFonts w:eastAsia="仿宋_GB2312"/>
          <w:kern w:val="0"/>
          <w:sz w:val="32"/>
          <w:szCs w:val="32"/>
        </w:rPr>
        <w:t>其他资管产品；</w:t>
      </w:r>
    </w:p>
    <w:p w14:paraId="7EF84DDA">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（四）具有丰富</w:t>
      </w:r>
      <w:r>
        <w:rPr>
          <w:rFonts w:eastAsia="仿宋_GB2312"/>
          <w:sz w:val="32"/>
          <w:szCs w:val="32"/>
        </w:rPr>
        <w:t>不动产</w:t>
      </w:r>
      <w:r>
        <w:rPr>
          <w:rFonts w:eastAsia="仿宋_GB2312"/>
          <w:kern w:val="0"/>
          <w:sz w:val="32"/>
          <w:szCs w:val="32"/>
        </w:rPr>
        <w:t>项目投资经验的</w:t>
      </w:r>
      <w:r>
        <w:rPr>
          <w:rFonts w:eastAsia="仿宋_GB2312"/>
          <w:sz w:val="32"/>
          <w:szCs w:val="32"/>
        </w:rPr>
        <w:t>不动产</w:t>
      </w:r>
      <w:r>
        <w:rPr>
          <w:rFonts w:eastAsia="仿宋_GB2312"/>
          <w:kern w:val="0"/>
          <w:sz w:val="32"/>
          <w:szCs w:val="32"/>
        </w:rPr>
        <w:t>投资机构、政府专项基金、产业投资基金等专业机构投资者；</w:t>
      </w:r>
    </w:p>
    <w:p w14:paraId="16CFAC6B">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（五）原始权益人及其相关子公司；</w:t>
      </w:r>
    </w:p>
    <w:p w14:paraId="3816410A">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（六）原始权益人与同一控制下关联方的董事、监事</w:t>
      </w:r>
      <w:r>
        <w:rPr>
          <w:rFonts w:hint="eastAsia" w:eastAsia="仿宋_GB2312"/>
          <w:kern w:val="0"/>
          <w:sz w:val="32"/>
          <w:szCs w:val="32"/>
        </w:rPr>
        <w:t>和</w:t>
      </w:r>
      <w:r>
        <w:rPr>
          <w:rFonts w:eastAsia="仿宋_GB2312"/>
          <w:kern w:val="0"/>
          <w:sz w:val="32"/>
          <w:szCs w:val="32"/>
        </w:rPr>
        <w:t>高级管理人员参与本次战略配售设立的专项资产管理计划。</w:t>
      </w:r>
    </w:p>
    <w:p w14:paraId="48C9F100">
      <w:pPr>
        <w:pStyle w:val="147"/>
        <w:widowControl/>
        <w:numPr>
          <w:ilvl w:val="0"/>
          <w:numId w:val="0"/>
        </w:numPr>
        <w:tabs>
          <w:tab w:val="left" w:pos="0"/>
        </w:tabs>
        <w:adjustRightInd w:val="0"/>
        <w:snapToGrid w:val="0"/>
        <w:spacing w:line="560" w:lineRule="exact"/>
        <w:ind w:left="0" w:leftChars="0" w:firstLine="652" w:firstLineChars="0"/>
        <w:rPr>
          <w:rFonts w:eastAsia="仿宋_GB2312"/>
          <w:kern w:val="0"/>
          <w:sz w:val="32"/>
          <w:szCs w:val="32"/>
        </w:rPr>
      </w:pPr>
      <w:r>
        <w:rPr>
          <w:rFonts w:hint="eastAsia" w:ascii="仿宋_GB2312" w:hAnsi="仿宋_GB2312" w:eastAsia="仿宋_GB2312" w:cs="仿宋_GB2312"/>
          <w:b/>
          <w:bCs/>
          <w:kern w:val="0"/>
          <w:sz w:val="32"/>
          <w:szCs w:val="32"/>
          <w:lang w:val="zh-CN" w:eastAsia="zh-CN" w:bidi="ar-SA"/>
        </w:rPr>
        <w:t xml:space="preserve">第二十八条 </w:t>
      </w:r>
      <w:r>
        <w:rPr>
          <w:rFonts w:eastAsia="仿宋_GB2312"/>
          <w:sz w:val="32"/>
          <w:szCs w:val="32"/>
        </w:rPr>
        <w:t>原始权益人与同一控制下关联方的董事、监事</w:t>
      </w:r>
      <w:r>
        <w:rPr>
          <w:rFonts w:hint="eastAsia" w:eastAsia="仿宋_GB2312"/>
          <w:sz w:val="32"/>
          <w:szCs w:val="32"/>
          <w:lang w:val="en-US"/>
        </w:rPr>
        <w:t>和</w:t>
      </w:r>
      <w:r>
        <w:rPr>
          <w:rFonts w:eastAsia="仿宋_GB2312"/>
          <w:sz w:val="32"/>
          <w:szCs w:val="32"/>
        </w:rPr>
        <w:t>高级管理人员设立专项资产管理计划参与本次战略配售的，应当在招募说明书</w:t>
      </w:r>
      <w:r>
        <w:rPr>
          <w:rFonts w:hint="eastAsia" w:eastAsia="仿宋_GB2312"/>
          <w:sz w:val="32"/>
          <w:szCs w:val="32"/>
        </w:rPr>
        <w:t>或者</w:t>
      </w:r>
      <w:r>
        <w:rPr>
          <w:rFonts w:eastAsia="仿宋_GB2312"/>
          <w:sz w:val="32"/>
          <w:szCs w:val="32"/>
        </w:rPr>
        <w:t>询价公告中披露专项资产管理计划的具体名称、设立时间、募集资金规模、管理人、实际支配主体</w:t>
      </w:r>
      <w:r>
        <w:rPr>
          <w:rFonts w:hint="eastAsia" w:eastAsia="仿宋_GB2312"/>
          <w:sz w:val="32"/>
          <w:szCs w:val="32"/>
        </w:rPr>
        <w:t>，</w:t>
      </w:r>
      <w:r>
        <w:rPr>
          <w:rFonts w:eastAsia="仿宋_GB2312"/>
          <w:sz w:val="32"/>
          <w:szCs w:val="32"/>
        </w:rPr>
        <w:t>以及参与人姓名、职务与比例等。</w:t>
      </w:r>
    </w:p>
    <w:p w14:paraId="062F7B13">
      <w:pPr>
        <w:pStyle w:val="147"/>
        <w:widowControl/>
        <w:numPr>
          <w:ilvl w:val="0"/>
          <w:numId w:val="0"/>
        </w:numPr>
        <w:tabs>
          <w:tab w:val="left" w:pos="0"/>
        </w:tabs>
        <w:adjustRightInd w:val="0"/>
        <w:snapToGrid w:val="0"/>
        <w:spacing w:line="560" w:lineRule="exact"/>
        <w:ind w:left="0" w:leftChars="0" w:firstLine="652" w:firstLineChars="0"/>
        <w:rPr>
          <w:rFonts w:eastAsia="仿宋_GB2312"/>
          <w:sz w:val="32"/>
          <w:szCs w:val="32"/>
        </w:rPr>
      </w:pPr>
      <w:r>
        <w:rPr>
          <w:rFonts w:hint="eastAsia" w:ascii="仿宋_GB2312" w:hAnsi="仿宋_GB2312" w:eastAsia="仿宋_GB2312" w:cs="仿宋_GB2312"/>
          <w:b/>
          <w:bCs/>
          <w:kern w:val="2"/>
          <w:sz w:val="32"/>
          <w:szCs w:val="32"/>
          <w:lang w:val="zh-CN" w:eastAsia="zh-CN" w:bidi="ar-SA"/>
        </w:rPr>
        <w:t xml:space="preserve">第二十九条 </w:t>
      </w:r>
      <w:r>
        <w:rPr>
          <w:rFonts w:eastAsia="仿宋_GB2312"/>
          <w:sz w:val="32"/>
          <w:szCs w:val="32"/>
        </w:rPr>
        <w:t>基金管理人应当</w:t>
      </w:r>
      <w:r>
        <w:rPr>
          <w:rFonts w:hint="eastAsia" w:eastAsia="仿宋_GB2312"/>
          <w:sz w:val="32"/>
          <w:szCs w:val="32"/>
        </w:rPr>
        <w:t>在询价日前与战略投资者</w:t>
      </w:r>
      <w:r>
        <w:rPr>
          <w:rFonts w:eastAsia="仿宋_GB2312"/>
          <w:sz w:val="32"/>
          <w:szCs w:val="32"/>
        </w:rPr>
        <w:t>签署配售协议。</w:t>
      </w:r>
    </w:p>
    <w:p w14:paraId="669134DB">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基金管理人、财务顾问应当在招募说明书</w:t>
      </w:r>
      <w:r>
        <w:rPr>
          <w:rFonts w:hint="eastAsia" w:eastAsia="仿宋_GB2312"/>
          <w:kern w:val="0"/>
          <w:sz w:val="32"/>
          <w:szCs w:val="32"/>
        </w:rPr>
        <w:t>和</w:t>
      </w:r>
      <w:r>
        <w:rPr>
          <w:rFonts w:eastAsia="仿宋_GB2312"/>
          <w:kern w:val="0"/>
          <w:sz w:val="32"/>
          <w:szCs w:val="32"/>
        </w:rPr>
        <w:t>询价公告中披露战略投资者选取标准、向战略投资者配售的基金份额数量、占本次基金发售数量的比例</w:t>
      </w:r>
      <w:r>
        <w:rPr>
          <w:rFonts w:hint="eastAsia" w:eastAsia="仿宋_GB2312"/>
          <w:kern w:val="0"/>
          <w:sz w:val="32"/>
          <w:szCs w:val="32"/>
        </w:rPr>
        <w:t>，</w:t>
      </w:r>
      <w:r>
        <w:rPr>
          <w:rFonts w:eastAsia="仿宋_GB2312"/>
          <w:kern w:val="0"/>
          <w:sz w:val="32"/>
          <w:szCs w:val="32"/>
        </w:rPr>
        <w:t>以及限售期安排等。</w:t>
      </w:r>
    </w:p>
    <w:p w14:paraId="6BA5B529">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基金管理人、财务顾问应当在发售公告中披露战略投资者名称、承诺认购的基金份额数量</w:t>
      </w:r>
      <w:r>
        <w:rPr>
          <w:rFonts w:hint="eastAsia" w:eastAsia="仿宋_GB2312"/>
          <w:kern w:val="0"/>
          <w:sz w:val="32"/>
          <w:szCs w:val="32"/>
        </w:rPr>
        <w:t>、</w:t>
      </w:r>
      <w:r>
        <w:rPr>
          <w:rFonts w:eastAsia="仿宋_GB2312"/>
          <w:kern w:val="0"/>
          <w:sz w:val="32"/>
          <w:szCs w:val="32"/>
        </w:rPr>
        <w:t>限售期安排</w:t>
      </w:r>
      <w:r>
        <w:rPr>
          <w:rFonts w:hint="eastAsia" w:eastAsia="仿宋_GB2312"/>
          <w:kern w:val="0"/>
          <w:sz w:val="32"/>
          <w:szCs w:val="32"/>
        </w:rPr>
        <w:t>，以及</w:t>
      </w:r>
      <w:r>
        <w:rPr>
          <w:rFonts w:eastAsia="仿宋_GB2312"/>
          <w:kern w:val="0"/>
          <w:sz w:val="32"/>
          <w:szCs w:val="32"/>
        </w:rPr>
        <w:t>原始权益人初始持有</w:t>
      </w:r>
      <w:r>
        <w:rPr>
          <w:rFonts w:eastAsia="仿宋_GB2312"/>
          <w:sz w:val="32"/>
          <w:szCs w:val="32"/>
        </w:rPr>
        <w:t>不动产</w:t>
      </w:r>
      <w:r>
        <w:rPr>
          <w:rFonts w:eastAsia="仿宋_GB2312"/>
          <w:kern w:val="0"/>
          <w:sz w:val="32"/>
          <w:szCs w:val="32"/>
        </w:rPr>
        <w:t>项目权益的比例等。</w:t>
      </w:r>
    </w:p>
    <w:p w14:paraId="4F23CC8C">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基金管理人、财务顾问应当在基金合同生效公告中披露最终获配的战略投资者名称、基金份额数量</w:t>
      </w:r>
      <w:r>
        <w:rPr>
          <w:rFonts w:hint="eastAsia" w:eastAsia="仿宋_GB2312"/>
          <w:kern w:val="0"/>
          <w:sz w:val="32"/>
          <w:szCs w:val="32"/>
        </w:rPr>
        <w:t>，</w:t>
      </w:r>
      <w:r>
        <w:rPr>
          <w:rFonts w:eastAsia="仿宋_GB2312"/>
          <w:kern w:val="0"/>
          <w:sz w:val="32"/>
          <w:szCs w:val="32"/>
        </w:rPr>
        <w:t>以及限售期安排等。</w:t>
      </w:r>
    </w:p>
    <w:p w14:paraId="2B6AEB01">
      <w:pPr>
        <w:pStyle w:val="147"/>
        <w:numPr>
          <w:ilvl w:val="0"/>
          <w:numId w:val="0"/>
        </w:numPr>
        <w:tabs>
          <w:tab w:val="left" w:pos="0"/>
        </w:tabs>
        <w:adjustRightInd w:val="0"/>
        <w:snapToGrid w:val="0"/>
        <w:spacing w:line="560" w:lineRule="exact"/>
        <w:ind w:left="0" w:leftChars="0" w:firstLine="652" w:firstLineChars="0"/>
        <w:rPr>
          <w:rFonts w:eastAsia="仿宋_GB2312"/>
          <w:kern w:val="0"/>
          <w:sz w:val="32"/>
          <w:szCs w:val="32"/>
        </w:rPr>
      </w:pPr>
      <w:r>
        <w:rPr>
          <w:rFonts w:hint="eastAsia" w:ascii="仿宋_GB2312" w:hAnsi="仿宋_GB2312" w:eastAsia="仿宋_GB2312" w:cs="仿宋_GB2312"/>
          <w:b/>
          <w:bCs/>
          <w:kern w:val="0"/>
          <w:sz w:val="32"/>
          <w:szCs w:val="32"/>
          <w:lang w:val="zh-CN" w:eastAsia="zh-CN" w:bidi="ar-SA"/>
        </w:rPr>
        <w:t xml:space="preserve">第三十条 </w:t>
      </w:r>
      <w:r>
        <w:rPr>
          <w:rFonts w:eastAsia="仿宋_GB2312"/>
          <w:sz w:val="32"/>
          <w:szCs w:val="32"/>
        </w:rPr>
        <w:t>战略投资者不得接受他人委托或者委托他人参与不动产基金战略配售，但依法设立并符合特定投资目的的证券投资基金、公募理财产品等资管产品，以及全国社会保障基金、基本养老保险基金、年金基金等除外。</w:t>
      </w:r>
    </w:p>
    <w:p w14:paraId="3FC65E87">
      <w:pPr>
        <w:pStyle w:val="147"/>
        <w:numPr>
          <w:ilvl w:val="0"/>
          <w:numId w:val="0"/>
        </w:numPr>
        <w:tabs>
          <w:tab w:val="left" w:pos="0"/>
        </w:tabs>
        <w:adjustRightInd w:val="0"/>
        <w:snapToGrid w:val="0"/>
        <w:spacing w:line="560" w:lineRule="exact"/>
        <w:ind w:left="0" w:leftChars="0" w:firstLine="652" w:firstLineChars="0"/>
        <w:rPr>
          <w:rFonts w:eastAsia="仿宋_GB2312"/>
          <w:sz w:val="32"/>
          <w:szCs w:val="32"/>
        </w:rPr>
      </w:pPr>
      <w:r>
        <w:rPr>
          <w:rFonts w:hint="eastAsia" w:ascii="仿宋_GB2312" w:hAnsi="仿宋_GB2312" w:eastAsia="仿宋_GB2312" w:cs="仿宋_GB2312"/>
          <w:b/>
          <w:bCs/>
          <w:kern w:val="2"/>
          <w:sz w:val="32"/>
          <w:szCs w:val="32"/>
          <w:lang w:val="zh-CN" w:eastAsia="zh-CN" w:bidi="ar-SA"/>
        </w:rPr>
        <w:t xml:space="preserve">第三十一条 </w:t>
      </w:r>
      <w:r>
        <w:rPr>
          <w:rFonts w:eastAsia="仿宋_GB2312"/>
          <w:sz w:val="32"/>
          <w:szCs w:val="32"/>
        </w:rPr>
        <w:t>基金管理人、财务顾问向战略投资者配售基金份额的，不得</w:t>
      </w:r>
      <w:r>
        <w:rPr>
          <w:rFonts w:hint="eastAsia" w:eastAsia="仿宋_GB2312"/>
          <w:sz w:val="32"/>
          <w:szCs w:val="32"/>
          <w:lang w:val="en-US"/>
        </w:rPr>
        <w:t>实施</w:t>
      </w:r>
      <w:r>
        <w:rPr>
          <w:rFonts w:eastAsia="仿宋_GB2312"/>
          <w:sz w:val="32"/>
          <w:szCs w:val="32"/>
        </w:rPr>
        <w:t>承诺基金上市后价格上涨、承销费用分成、聘请关联人员任职等直接</w:t>
      </w:r>
      <w:r>
        <w:rPr>
          <w:rFonts w:hint="eastAsia" w:eastAsia="仿宋_GB2312"/>
          <w:sz w:val="32"/>
          <w:szCs w:val="32"/>
        </w:rPr>
        <w:t>或者</w:t>
      </w:r>
      <w:r>
        <w:rPr>
          <w:rFonts w:eastAsia="仿宋_GB2312"/>
          <w:sz w:val="32"/>
          <w:szCs w:val="32"/>
        </w:rPr>
        <w:t>间接的利益输送行为。</w:t>
      </w:r>
    </w:p>
    <w:p w14:paraId="382540BA">
      <w:pPr>
        <w:pStyle w:val="147"/>
        <w:widowControl/>
        <w:numPr>
          <w:ilvl w:val="0"/>
          <w:numId w:val="0"/>
        </w:numPr>
        <w:tabs>
          <w:tab w:val="left" w:pos="0"/>
        </w:tabs>
        <w:adjustRightInd w:val="0"/>
        <w:snapToGrid w:val="0"/>
        <w:spacing w:line="560" w:lineRule="exact"/>
        <w:ind w:left="0" w:leftChars="0" w:firstLine="652" w:firstLineChars="0"/>
        <w:rPr>
          <w:rFonts w:eastAsia="仿宋_GB2312"/>
          <w:sz w:val="32"/>
          <w:szCs w:val="32"/>
        </w:rPr>
      </w:pPr>
      <w:r>
        <w:rPr>
          <w:rFonts w:hint="eastAsia" w:ascii="仿宋_GB2312" w:hAnsi="仿宋_GB2312" w:eastAsia="仿宋_GB2312" w:cs="仿宋_GB2312"/>
          <w:b/>
          <w:bCs/>
          <w:kern w:val="2"/>
          <w:sz w:val="32"/>
          <w:szCs w:val="32"/>
          <w:lang w:val="zh-CN" w:eastAsia="zh-CN" w:bidi="ar-SA"/>
        </w:rPr>
        <w:t xml:space="preserve">第三十二条 </w:t>
      </w:r>
      <w:r>
        <w:rPr>
          <w:rFonts w:eastAsia="仿宋_GB2312"/>
          <w:sz w:val="32"/>
          <w:szCs w:val="32"/>
        </w:rPr>
        <w:t>基金管理人、财务顾问应当对战略投资者的选取标准、配售资格，以及是否存在本指引</w:t>
      </w:r>
      <w:r>
        <w:rPr>
          <w:rFonts w:hint="eastAsia" w:eastAsia="仿宋_GB2312"/>
          <w:b w:val="0"/>
          <w:bCs/>
          <w:sz w:val="32"/>
          <w:szCs w:val="32"/>
          <w:lang w:eastAsia="zh-CN"/>
        </w:rPr>
        <w:t>第三十条</w:t>
      </w:r>
      <w:r>
        <w:rPr>
          <w:rFonts w:hint="eastAsia" w:eastAsia="仿宋_GB2312"/>
          <w:b w:val="0"/>
          <w:bCs/>
          <w:sz w:val="32"/>
          <w:szCs w:val="32"/>
        </w:rPr>
        <w:t>、</w:t>
      </w:r>
      <w:r>
        <w:rPr>
          <w:rFonts w:hint="eastAsia" w:eastAsia="仿宋_GB2312"/>
          <w:b w:val="0"/>
          <w:bCs/>
          <w:sz w:val="32"/>
          <w:szCs w:val="32"/>
          <w:lang w:eastAsia="zh-CN"/>
        </w:rPr>
        <w:t>第三十一条</w:t>
      </w:r>
      <w:r>
        <w:rPr>
          <w:rFonts w:eastAsia="仿宋_GB2312"/>
          <w:sz w:val="32"/>
          <w:szCs w:val="32"/>
        </w:rPr>
        <w:t>规定的禁止性情形进行核查。</w:t>
      </w:r>
    </w:p>
    <w:p w14:paraId="0830F7B1">
      <w:pPr>
        <w:widowControl/>
        <w:adjustRightInd w:val="0"/>
        <w:snapToGrid w:val="0"/>
        <w:spacing w:line="560" w:lineRule="exact"/>
        <w:ind w:firstLine="640" w:firstLineChars="200"/>
        <w:rPr>
          <w:rFonts w:eastAsia="仿宋_GB2312"/>
          <w:kern w:val="0"/>
          <w:sz w:val="32"/>
          <w:szCs w:val="32"/>
        </w:rPr>
      </w:pPr>
      <w:r>
        <w:rPr>
          <w:rFonts w:eastAsia="仿宋_GB2312"/>
          <w:kern w:val="0"/>
          <w:sz w:val="32"/>
          <w:szCs w:val="32"/>
        </w:rPr>
        <w:t>基金管理人应当就核查事项出具文件，并聘请律师事务所出具法律意见书。核查文件</w:t>
      </w:r>
      <w:r>
        <w:rPr>
          <w:rFonts w:hint="eastAsia" w:eastAsia="仿宋_GB2312"/>
          <w:kern w:val="0"/>
          <w:sz w:val="32"/>
          <w:szCs w:val="32"/>
        </w:rPr>
        <w:t>和</w:t>
      </w:r>
      <w:r>
        <w:rPr>
          <w:rFonts w:eastAsia="仿宋_GB2312"/>
          <w:kern w:val="0"/>
          <w:sz w:val="32"/>
          <w:szCs w:val="32"/>
        </w:rPr>
        <w:t>法律意见书应当与发售公告一并披露。</w:t>
      </w:r>
    </w:p>
    <w:p w14:paraId="599AE5CA">
      <w:pPr>
        <w:pStyle w:val="147"/>
        <w:widowControl/>
        <w:numPr>
          <w:ilvl w:val="0"/>
          <w:numId w:val="0"/>
        </w:numPr>
        <w:tabs>
          <w:tab w:val="left" w:pos="0"/>
        </w:tabs>
        <w:adjustRightInd w:val="0"/>
        <w:snapToGrid w:val="0"/>
        <w:spacing w:line="560" w:lineRule="exact"/>
        <w:ind w:left="0" w:leftChars="0" w:firstLine="652" w:firstLineChars="0"/>
        <w:rPr>
          <w:rFonts w:eastAsia="仿宋_GB2312"/>
          <w:sz w:val="32"/>
          <w:szCs w:val="32"/>
        </w:rPr>
      </w:pPr>
      <w:r>
        <w:rPr>
          <w:rFonts w:hint="eastAsia" w:ascii="仿宋_GB2312" w:hAnsi="仿宋_GB2312" w:eastAsia="仿宋_GB2312" w:cs="仿宋_GB2312"/>
          <w:b/>
          <w:bCs/>
          <w:kern w:val="2"/>
          <w:sz w:val="32"/>
          <w:szCs w:val="32"/>
          <w:lang w:val="zh-CN" w:eastAsia="zh-CN" w:bidi="ar-SA"/>
        </w:rPr>
        <w:t xml:space="preserve">第三十三条 </w:t>
      </w:r>
      <w:r>
        <w:rPr>
          <w:rFonts w:eastAsia="仿宋_GB2312"/>
          <w:sz w:val="32"/>
          <w:szCs w:val="32"/>
        </w:rPr>
        <w:t>募集期结束前，战略投资者应当在约定的期限内，以认购价格认购其承诺认购的基金份额数量。参与战略配售的原始权益人可以用现金或者中国证监会认可的其他对价进行认购。</w:t>
      </w:r>
    </w:p>
    <w:p w14:paraId="266E61D5">
      <w:pPr>
        <w:widowControl/>
        <w:adjustRightInd w:val="0"/>
        <w:snapToGrid w:val="0"/>
        <w:spacing w:line="560" w:lineRule="exact"/>
        <w:ind w:firstLine="640" w:firstLineChars="200"/>
        <w:rPr>
          <w:rFonts w:eastAsia="仿宋_GB2312"/>
          <w:kern w:val="0"/>
          <w:sz w:val="32"/>
          <w:szCs w:val="32"/>
        </w:rPr>
      </w:pPr>
      <w:r>
        <w:rPr>
          <w:rFonts w:eastAsia="仿宋_GB2312"/>
          <w:kern w:val="0"/>
          <w:sz w:val="32"/>
          <w:szCs w:val="32"/>
        </w:rPr>
        <w:t>战略投资者应当按照</w:t>
      </w:r>
      <w:r>
        <w:rPr>
          <w:rFonts w:hint="eastAsia" w:eastAsia="仿宋_GB2312"/>
          <w:sz w:val="32"/>
          <w:szCs w:val="32"/>
        </w:rPr>
        <w:t>有关</w:t>
      </w:r>
      <w:r>
        <w:rPr>
          <w:rFonts w:eastAsia="仿宋_GB2312"/>
          <w:kern w:val="0"/>
          <w:sz w:val="32"/>
          <w:szCs w:val="32"/>
        </w:rPr>
        <w:t>规定，承诺持有的基金份额在规定的持有期限内不得转让、交易。</w:t>
      </w:r>
    </w:p>
    <w:p w14:paraId="73ABEDFC">
      <w:pPr>
        <w:adjustRightInd w:val="0"/>
        <w:snapToGrid w:val="0"/>
        <w:spacing w:line="560" w:lineRule="exact"/>
        <w:jc w:val="center"/>
        <w:outlineLvl w:val="0"/>
        <w:rPr>
          <w:rFonts w:hint="eastAsia" w:ascii="黑体" w:hAnsi="黑体" w:eastAsia="黑体" w:cs="黑体"/>
          <w:bCs/>
          <w:sz w:val="32"/>
          <w:szCs w:val="32"/>
          <w:lang w:val="zh-CN"/>
        </w:rPr>
      </w:pPr>
      <w:r>
        <w:rPr>
          <w:rFonts w:hint="eastAsia" w:ascii="黑体" w:hAnsi="黑体" w:eastAsia="黑体" w:cs="黑体"/>
          <w:bCs/>
          <w:sz w:val="32"/>
          <w:szCs w:val="32"/>
          <w:lang w:val="zh-CN"/>
        </w:rPr>
        <w:t>第四章  网下和公众投资者认购</w:t>
      </w:r>
    </w:p>
    <w:p w14:paraId="25D5D2EF">
      <w:pPr>
        <w:pStyle w:val="147"/>
        <w:widowControl/>
        <w:numPr>
          <w:ilvl w:val="0"/>
          <w:numId w:val="0"/>
        </w:numPr>
        <w:tabs>
          <w:tab w:val="left" w:pos="0"/>
        </w:tabs>
        <w:adjustRightInd w:val="0"/>
        <w:snapToGrid w:val="0"/>
        <w:spacing w:line="560" w:lineRule="exact"/>
        <w:ind w:left="0" w:leftChars="0" w:firstLine="652" w:firstLineChars="0"/>
        <w:rPr>
          <w:rFonts w:eastAsia="仿宋_GB2312"/>
          <w:sz w:val="32"/>
          <w:szCs w:val="32"/>
        </w:rPr>
      </w:pPr>
      <w:r>
        <w:rPr>
          <w:rFonts w:hint="eastAsia" w:ascii="仿宋_GB2312" w:hAnsi="仿宋_GB2312" w:eastAsia="仿宋_GB2312" w:cs="仿宋_GB2312"/>
          <w:b/>
          <w:bCs/>
          <w:kern w:val="2"/>
          <w:sz w:val="32"/>
          <w:szCs w:val="32"/>
          <w:lang w:val="zh-CN" w:eastAsia="zh-CN" w:bidi="ar-SA"/>
        </w:rPr>
        <w:t xml:space="preserve">第三十四条 </w:t>
      </w:r>
      <w:r>
        <w:rPr>
          <w:rFonts w:eastAsia="仿宋_GB2312"/>
          <w:sz w:val="32"/>
          <w:szCs w:val="32"/>
        </w:rPr>
        <w:t>网下询价结束后，网下投资者</w:t>
      </w:r>
      <w:r>
        <w:rPr>
          <w:rFonts w:hint="eastAsia" w:eastAsia="仿宋_GB2312"/>
          <w:sz w:val="32"/>
          <w:szCs w:val="32"/>
        </w:rPr>
        <w:t>和</w:t>
      </w:r>
      <w:r>
        <w:rPr>
          <w:rFonts w:eastAsia="仿宋_GB2312"/>
          <w:sz w:val="32"/>
          <w:szCs w:val="32"/>
        </w:rPr>
        <w:t>公众投资者应当以询价确定的认购价格参与不动产基金份额认购。</w:t>
      </w:r>
    </w:p>
    <w:p w14:paraId="1709F45E">
      <w:pPr>
        <w:pStyle w:val="147"/>
        <w:widowControl/>
        <w:numPr>
          <w:ilvl w:val="0"/>
          <w:numId w:val="0"/>
        </w:numPr>
        <w:tabs>
          <w:tab w:val="left" w:pos="0"/>
        </w:tabs>
        <w:adjustRightInd w:val="0"/>
        <w:snapToGrid w:val="0"/>
        <w:spacing w:line="560" w:lineRule="exact"/>
        <w:ind w:left="0" w:leftChars="0" w:firstLine="652" w:firstLineChars="0"/>
        <w:rPr>
          <w:rFonts w:eastAsia="仿宋_GB2312"/>
          <w:sz w:val="32"/>
          <w:szCs w:val="32"/>
        </w:rPr>
      </w:pPr>
      <w:r>
        <w:rPr>
          <w:rFonts w:hint="eastAsia" w:ascii="仿宋_GB2312" w:hAnsi="仿宋_GB2312" w:eastAsia="仿宋_GB2312" w:cs="仿宋_GB2312"/>
          <w:b/>
          <w:bCs/>
          <w:kern w:val="2"/>
          <w:sz w:val="32"/>
          <w:szCs w:val="32"/>
          <w:lang w:val="zh-CN" w:eastAsia="zh-CN" w:bidi="ar-SA"/>
        </w:rPr>
        <w:t xml:space="preserve">第三十五条 </w:t>
      </w:r>
      <w:r>
        <w:rPr>
          <w:rFonts w:eastAsia="仿宋_GB2312"/>
          <w:sz w:val="32"/>
          <w:szCs w:val="32"/>
        </w:rPr>
        <w:t>基金管理人应当在基金份额认购首日的3日前披露基金份额的发售公告。</w:t>
      </w:r>
    </w:p>
    <w:p w14:paraId="73F06FF2">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发售公告</w:t>
      </w:r>
      <w:r>
        <w:rPr>
          <w:rFonts w:hint="eastAsia" w:eastAsia="仿宋_GB2312"/>
          <w:kern w:val="0"/>
          <w:sz w:val="32"/>
          <w:szCs w:val="32"/>
        </w:rPr>
        <w:t>应当</w:t>
      </w:r>
      <w:r>
        <w:rPr>
          <w:rFonts w:eastAsia="仿宋_GB2312"/>
          <w:kern w:val="0"/>
          <w:sz w:val="32"/>
          <w:szCs w:val="32"/>
        </w:rPr>
        <w:t>披露投资者详细报价情况、认购价格及其确定过程、募集期起止日、基金份额发售数量、网下发售份额数量、公众投资者发售份额数量、回拨机制、销售机构、认购方式、认购费用，以及以认购价格计算的</w:t>
      </w:r>
      <w:r>
        <w:rPr>
          <w:rFonts w:hint="eastAsia" w:eastAsia="仿宋_GB2312"/>
          <w:kern w:val="0"/>
          <w:sz w:val="32"/>
          <w:szCs w:val="32"/>
        </w:rPr>
        <w:t>基金规模和</w:t>
      </w:r>
      <w:r>
        <w:rPr>
          <w:rFonts w:eastAsia="仿宋_GB2312"/>
          <w:kern w:val="0"/>
          <w:sz w:val="32"/>
          <w:szCs w:val="32"/>
        </w:rPr>
        <w:t>预期收益测算等内容。</w:t>
      </w:r>
    </w:p>
    <w:p w14:paraId="6A0380C9">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本条第二款规定的详细报价情况应当包括每个投资者名称、配售对象信息、认购价格</w:t>
      </w:r>
      <w:r>
        <w:rPr>
          <w:rFonts w:hint="eastAsia" w:eastAsia="仿宋_GB2312"/>
          <w:kern w:val="0"/>
          <w:sz w:val="32"/>
          <w:szCs w:val="32"/>
        </w:rPr>
        <w:t>和</w:t>
      </w:r>
      <w:r>
        <w:rPr>
          <w:rFonts w:eastAsia="仿宋_GB2312"/>
          <w:kern w:val="0"/>
          <w:sz w:val="32"/>
          <w:szCs w:val="32"/>
        </w:rPr>
        <w:t>对应的拟认购数量，以及所有网下投资者报价的中位数和加权平均数。</w:t>
      </w:r>
    </w:p>
    <w:p w14:paraId="23709230">
      <w:pPr>
        <w:pStyle w:val="147"/>
        <w:widowControl/>
        <w:numPr>
          <w:ilvl w:val="0"/>
          <w:numId w:val="0"/>
        </w:numPr>
        <w:tabs>
          <w:tab w:val="left" w:pos="0"/>
        </w:tabs>
        <w:adjustRightInd w:val="0"/>
        <w:snapToGrid w:val="0"/>
        <w:spacing w:line="560" w:lineRule="exact"/>
        <w:ind w:left="0" w:leftChars="0" w:firstLine="652" w:firstLineChars="0"/>
        <w:rPr>
          <w:rFonts w:eastAsia="仿宋_GB2312"/>
          <w:kern w:val="0"/>
          <w:sz w:val="32"/>
          <w:szCs w:val="32"/>
        </w:rPr>
      </w:pPr>
      <w:r>
        <w:rPr>
          <w:rFonts w:hint="eastAsia" w:ascii="仿宋_GB2312" w:hAnsi="仿宋_GB2312" w:eastAsia="仿宋_GB2312" w:cs="仿宋_GB2312"/>
          <w:b/>
          <w:bCs/>
          <w:kern w:val="0"/>
          <w:sz w:val="32"/>
          <w:szCs w:val="32"/>
          <w:lang w:val="zh-CN" w:eastAsia="zh-CN" w:bidi="ar-SA"/>
        </w:rPr>
        <w:t xml:space="preserve">第三十六条 </w:t>
      </w:r>
      <w:r>
        <w:rPr>
          <w:rFonts w:eastAsia="仿宋_GB2312"/>
          <w:sz w:val="32"/>
          <w:szCs w:val="32"/>
        </w:rPr>
        <w:t>网下投资者和公众投资者</w:t>
      </w:r>
      <w:r>
        <w:rPr>
          <w:rFonts w:hint="eastAsia" w:eastAsia="仿宋_GB2312"/>
          <w:sz w:val="32"/>
          <w:szCs w:val="32"/>
        </w:rPr>
        <w:t>应当</w:t>
      </w:r>
      <w:r>
        <w:rPr>
          <w:rFonts w:eastAsia="仿宋_GB2312"/>
          <w:sz w:val="32"/>
          <w:szCs w:val="32"/>
        </w:rPr>
        <w:t>在募集期内认购，募集期原则上不得超过5个交易日。</w:t>
      </w:r>
    </w:p>
    <w:p w14:paraId="30A4F5E2">
      <w:pPr>
        <w:pStyle w:val="147"/>
        <w:widowControl/>
        <w:numPr>
          <w:ilvl w:val="0"/>
          <w:numId w:val="0"/>
        </w:numPr>
        <w:tabs>
          <w:tab w:val="left" w:pos="0"/>
        </w:tabs>
        <w:adjustRightInd w:val="0"/>
        <w:snapToGrid w:val="0"/>
        <w:spacing w:line="560" w:lineRule="exact"/>
        <w:ind w:left="0" w:leftChars="0" w:firstLine="652" w:firstLineChars="0"/>
        <w:rPr>
          <w:rFonts w:eastAsia="仿宋_GB2312"/>
          <w:sz w:val="32"/>
          <w:szCs w:val="32"/>
        </w:rPr>
      </w:pPr>
      <w:r>
        <w:rPr>
          <w:rFonts w:hint="eastAsia" w:ascii="仿宋_GB2312" w:hAnsi="仿宋_GB2312" w:eastAsia="仿宋_GB2312" w:cs="仿宋_GB2312"/>
          <w:b/>
          <w:bCs/>
          <w:kern w:val="2"/>
          <w:sz w:val="32"/>
          <w:szCs w:val="32"/>
          <w:lang w:val="zh-CN" w:eastAsia="zh-CN" w:bidi="ar-SA"/>
        </w:rPr>
        <w:t xml:space="preserve">第三十七条 </w:t>
      </w:r>
      <w:r>
        <w:rPr>
          <w:rFonts w:eastAsia="仿宋_GB2312"/>
          <w:sz w:val="32"/>
          <w:szCs w:val="32"/>
        </w:rPr>
        <w:t>基金份额认购价格确定后，询价阶段提供有效报价的投资者方可参与网下认购。</w:t>
      </w:r>
    </w:p>
    <w:p w14:paraId="4379ACA7">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有效报价是指网下投资者提交的不低于基金管理人</w:t>
      </w:r>
      <w:r>
        <w:rPr>
          <w:rFonts w:hint="eastAsia" w:eastAsia="仿宋_GB2312"/>
          <w:kern w:val="0"/>
          <w:sz w:val="32"/>
          <w:szCs w:val="32"/>
        </w:rPr>
        <w:t>、</w:t>
      </w:r>
      <w:r>
        <w:rPr>
          <w:rFonts w:eastAsia="仿宋_GB2312"/>
          <w:kern w:val="0"/>
          <w:sz w:val="32"/>
          <w:szCs w:val="32"/>
        </w:rPr>
        <w:t>财务顾问确定的认购价格，同时符合基金管理人、财务顾问事先确定且公告的其他条件的报价。</w:t>
      </w:r>
    </w:p>
    <w:p w14:paraId="2DE15C6F">
      <w:pPr>
        <w:pStyle w:val="147"/>
        <w:widowControl/>
        <w:numPr>
          <w:ilvl w:val="0"/>
          <w:numId w:val="0"/>
        </w:numPr>
        <w:tabs>
          <w:tab w:val="left" w:pos="0"/>
        </w:tabs>
        <w:adjustRightInd w:val="0"/>
        <w:snapToGrid w:val="0"/>
        <w:spacing w:line="560" w:lineRule="exact"/>
        <w:ind w:left="0" w:leftChars="0" w:firstLine="652" w:firstLineChars="0"/>
        <w:rPr>
          <w:rFonts w:eastAsia="仿宋_GB2312"/>
          <w:sz w:val="32"/>
          <w:szCs w:val="32"/>
        </w:rPr>
      </w:pPr>
      <w:r>
        <w:rPr>
          <w:rFonts w:hint="eastAsia" w:ascii="仿宋_GB2312" w:hAnsi="仿宋_GB2312" w:eastAsia="仿宋_GB2312" w:cs="仿宋_GB2312"/>
          <w:b/>
          <w:bCs/>
          <w:kern w:val="2"/>
          <w:sz w:val="32"/>
          <w:szCs w:val="32"/>
          <w:lang w:val="zh-CN" w:eastAsia="zh-CN" w:bidi="ar-SA"/>
        </w:rPr>
        <w:t xml:space="preserve">第三十八条 </w:t>
      </w:r>
      <w:r>
        <w:rPr>
          <w:rFonts w:eastAsia="仿宋_GB2312"/>
          <w:sz w:val="32"/>
          <w:szCs w:val="32"/>
        </w:rPr>
        <w:t>基金管理人</w:t>
      </w:r>
      <w:r>
        <w:rPr>
          <w:rFonts w:hint="eastAsia" w:eastAsia="仿宋_GB2312"/>
          <w:sz w:val="32"/>
          <w:szCs w:val="32"/>
        </w:rPr>
        <w:t>或者</w:t>
      </w:r>
      <w:r>
        <w:rPr>
          <w:rFonts w:eastAsia="仿宋_GB2312"/>
          <w:sz w:val="32"/>
          <w:szCs w:val="32"/>
        </w:rPr>
        <w:t>财务顾问</w:t>
      </w:r>
      <w:r>
        <w:rPr>
          <w:rFonts w:hint="eastAsia" w:eastAsia="仿宋_GB2312"/>
          <w:sz w:val="32"/>
          <w:szCs w:val="32"/>
        </w:rPr>
        <w:t>应当</w:t>
      </w:r>
      <w:r>
        <w:rPr>
          <w:rFonts w:eastAsia="仿宋_GB2312"/>
          <w:sz w:val="32"/>
          <w:szCs w:val="32"/>
        </w:rPr>
        <w:t>于基金份额认购首日前，通过网下发行电子平台录入并提交确定的基金份额认购价格、网下发售基金份额总量等认购参数，并在认购开始前完成相关参数确认。</w:t>
      </w:r>
    </w:p>
    <w:p w14:paraId="39A3D907">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网下发售基金份额总量由基金管理人、财务顾问根据预先披露的发售方案对网下初始发售份额总量</w:t>
      </w:r>
      <w:r>
        <w:rPr>
          <w:rFonts w:hint="eastAsia" w:eastAsia="仿宋_GB2312"/>
          <w:kern w:val="0"/>
          <w:sz w:val="32"/>
          <w:szCs w:val="32"/>
        </w:rPr>
        <w:t>进行</w:t>
      </w:r>
      <w:r>
        <w:rPr>
          <w:rFonts w:eastAsia="仿宋_GB2312"/>
          <w:kern w:val="0"/>
          <w:sz w:val="32"/>
          <w:szCs w:val="32"/>
        </w:rPr>
        <w:t>调整后确定。</w:t>
      </w:r>
    </w:p>
    <w:p w14:paraId="5DC9BF0D">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网下发行</w:t>
      </w:r>
      <w:bookmarkStart w:id="2" w:name="_GoBack"/>
      <w:bookmarkEnd w:id="2"/>
      <w:r>
        <w:rPr>
          <w:rFonts w:eastAsia="仿宋_GB2312"/>
          <w:kern w:val="0"/>
          <w:sz w:val="32"/>
          <w:szCs w:val="32"/>
        </w:rPr>
        <w:t>电子平台将自动剔除配售对象不符合</w:t>
      </w:r>
      <w:r>
        <w:rPr>
          <w:rFonts w:hint="eastAsia" w:eastAsia="仿宋_GB2312"/>
          <w:b w:val="0"/>
          <w:bCs/>
          <w:kern w:val="0"/>
          <w:sz w:val="32"/>
          <w:szCs w:val="32"/>
          <w:lang w:eastAsia="zh-CN"/>
        </w:rPr>
        <w:t>第三十七条</w:t>
      </w:r>
      <w:r>
        <w:rPr>
          <w:rFonts w:eastAsia="仿宋_GB2312"/>
          <w:kern w:val="0"/>
          <w:sz w:val="32"/>
          <w:szCs w:val="32"/>
        </w:rPr>
        <w:t>规定的询价报价及其对应的拟认购数量。</w:t>
      </w:r>
    </w:p>
    <w:p w14:paraId="1FB349F0">
      <w:pPr>
        <w:pStyle w:val="147"/>
        <w:widowControl/>
        <w:numPr>
          <w:ilvl w:val="0"/>
          <w:numId w:val="0"/>
        </w:numPr>
        <w:tabs>
          <w:tab w:val="left" w:pos="0"/>
        </w:tabs>
        <w:adjustRightInd w:val="0"/>
        <w:snapToGrid w:val="0"/>
        <w:spacing w:line="560" w:lineRule="exact"/>
        <w:ind w:left="0" w:leftChars="0" w:firstLine="652" w:firstLineChars="0"/>
        <w:rPr>
          <w:rFonts w:eastAsia="仿宋_GB2312"/>
          <w:sz w:val="32"/>
          <w:szCs w:val="32"/>
        </w:rPr>
      </w:pPr>
      <w:r>
        <w:rPr>
          <w:rFonts w:hint="eastAsia" w:ascii="仿宋_GB2312" w:hAnsi="仿宋_GB2312" w:eastAsia="仿宋_GB2312" w:cs="仿宋_GB2312"/>
          <w:b/>
          <w:bCs/>
          <w:kern w:val="2"/>
          <w:sz w:val="32"/>
          <w:szCs w:val="32"/>
          <w:lang w:val="zh-CN" w:eastAsia="zh-CN" w:bidi="ar-SA"/>
        </w:rPr>
        <w:t xml:space="preserve">第三十九条 </w:t>
      </w:r>
      <w:r>
        <w:rPr>
          <w:rFonts w:eastAsia="仿宋_GB2312"/>
          <w:sz w:val="32"/>
          <w:szCs w:val="32"/>
        </w:rPr>
        <w:t>网下投资者应当通过本所网下发行电子平台向基金管理人提交认购申请。本所接受网下投资者认购申请的时间为募集期内的每个交易日的9</w:t>
      </w:r>
      <w:r>
        <w:rPr>
          <w:rFonts w:hint="eastAsia" w:eastAsia="仿宋_GB2312"/>
          <w:sz w:val="32"/>
          <w:szCs w:val="32"/>
          <w:lang w:val="en-US"/>
        </w:rPr>
        <w:t>:</w:t>
      </w:r>
      <w:r>
        <w:rPr>
          <w:rFonts w:eastAsia="仿宋_GB2312"/>
          <w:sz w:val="32"/>
          <w:szCs w:val="32"/>
        </w:rPr>
        <w:t>00-15:00。</w:t>
      </w:r>
    </w:p>
    <w:p w14:paraId="3C284B76">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网下投资者认购时，应当按照确定的认购价格填报</w:t>
      </w:r>
      <w:r>
        <w:rPr>
          <w:rFonts w:hint="eastAsia" w:eastAsia="仿宋_GB2312"/>
          <w:kern w:val="0"/>
          <w:sz w:val="32"/>
          <w:szCs w:val="32"/>
        </w:rPr>
        <w:t>1</w:t>
      </w:r>
      <w:r>
        <w:rPr>
          <w:rFonts w:eastAsia="仿宋_GB2312"/>
          <w:kern w:val="0"/>
          <w:sz w:val="32"/>
          <w:szCs w:val="32"/>
        </w:rPr>
        <w:t>个认购数量，其填报的认购数量不得低于询价阶段填报的</w:t>
      </w:r>
      <w:r>
        <w:rPr>
          <w:rFonts w:hint="eastAsia" w:eastAsia="仿宋_GB2312"/>
          <w:kern w:val="0"/>
          <w:sz w:val="32"/>
          <w:szCs w:val="32"/>
        </w:rPr>
        <w:t>“</w:t>
      </w:r>
      <w:r>
        <w:rPr>
          <w:rFonts w:eastAsia="仿宋_GB2312"/>
          <w:kern w:val="0"/>
          <w:sz w:val="32"/>
          <w:szCs w:val="32"/>
        </w:rPr>
        <w:t>拟认购数量</w:t>
      </w:r>
      <w:r>
        <w:rPr>
          <w:rFonts w:hint="eastAsia" w:eastAsia="仿宋_GB2312"/>
          <w:kern w:val="0"/>
          <w:sz w:val="32"/>
          <w:szCs w:val="32"/>
        </w:rPr>
        <w:t>”</w:t>
      </w:r>
      <w:r>
        <w:rPr>
          <w:rFonts w:eastAsia="仿宋_GB2312"/>
          <w:kern w:val="0"/>
          <w:sz w:val="32"/>
          <w:szCs w:val="32"/>
        </w:rPr>
        <w:t>，不得高于基金管理人、财务顾问确定的每个配售对象认购数量上限，且不得高于网下发售份额总量。</w:t>
      </w:r>
    </w:p>
    <w:p w14:paraId="70E3CE72">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基金管理人可以通过网下发行电子平台获取网下投资者的认购申请。</w:t>
      </w:r>
    </w:p>
    <w:p w14:paraId="6E73F0C9">
      <w:pPr>
        <w:pStyle w:val="147"/>
        <w:widowControl/>
        <w:numPr>
          <w:ilvl w:val="0"/>
          <w:numId w:val="0"/>
        </w:numPr>
        <w:tabs>
          <w:tab w:val="left" w:pos="0"/>
        </w:tabs>
        <w:adjustRightInd w:val="0"/>
        <w:snapToGrid w:val="0"/>
        <w:spacing w:line="560" w:lineRule="exact"/>
        <w:ind w:left="0" w:leftChars="0" w:firstLine="652" w:firstLineChars="0"/>
        <w:rPr>
          <w:rFonts w:eastAsia="仿宋_GB2312"/>
          <w:kern w:val="0"/>
          <w:sz w:val="32"/>
          <w:szCs w:val="32"/>
        </w:rPr>
      </w:pPr>
      <w:r>
        <w:rPr>
          <w:rFonts w:hint="eastAsia" w:ascii="仿宋_GB2312" w:hAnsi="仿宋_GB2312" w:eastAsia="仿宋_GB2312" w:cs="仿宋_GB2312"/>
          <w:b/>
          <w:bCs/>
          <w:kern w:val="0"/>
          <w:sz w:val="32"/>
          <w:szCs w:val="32"/>
          <w:lang w:val="zh-CN" w:eastAsia="zh-CN" w:bidi="ar-SA"/>
        </w:rPr>
        <w:t xml:space="preserve">第四十条 </w:t>
      </w:r>
      <w:r>
        <w:rPr>
          <w:rFonts w:eastAsia="仿宋_GB2312"/>
          <w:sz w:val="32"/>
          <w:szCs w:val="32"/>
        </w:rPr>
        <w:t>网下投资者提交认购申请后，应当在募集期内通过基金管理人完成认购资金的</w:t>
      </w:r>
      <w:r>
        <w:rPr>
          <w:rFonts w:hint="eastAsia" w:eastAsia="仿宋_GB2312"/>
          <w:sz w:val="32"/>
          <w:szCs w:val="32"/>
          <w:lang w:val="en-US"/>
        </w:rPr>
        <w:t>交付</w:t>
      </w:r>
      <w:r>
        <w:rPr>
          <w:rFonts w:eastAsia="仿宋_GB2312"/>
          <w:sz w:val="32"/>
          <w:szCs w:val="32"/>
        </w:rPr>
        <w:t>，并通过中国结算登记份额。</w:t>
      </w:r>
    </w:p>
    <w:p w14:paraId="70E93525">
      <w:pPr>
        <w:pStyle w:val="147"/>
        <w:widowControl/>
        <w:numPr>
          <w:ilvl w:val="0"/>
          <w:numId w:val="0"/>
        </w:numPr>
        <w:tabs>
          <w:tab w:val="left" w:pos="0"/>
        </w:tabs>
        <w:adjustRightInd w:val="0"/>
        <w:snapToGrid w:val="0"/>
        <w:spacing w:line="560" w:lineRule="exact"/>
        <w:ind w:left="0" w:leftChars="0" w:firstLine="652" w:firstLineChars="0"/>
        <w:rPr>
          <w:rFonts w:eastAsia="仿宋_GB2312"/>
          <w:sz w:val="32"/>
          <w:szCs w:val="32"/>
        </w:rPr>
      </w:pPr>
      <w:r>
        <w:rPr>
          <w:rFonts w:hint="eastAsia" w:ascii="仿宋_GB2312" w:hAnsi="仿宋_GB2312" w:eastAsia="仿宋_GB2312" w:cs="仿宋_GB2312"/>
          <w:b/>
          <w:bCs/>
          <w:kern w:val="2"/>
          <w:sz w:val="32"/>
          <w:szCs w:val="32"/>
          <w:lang w:val="zh-CN" w:eastAsia="zh-CN" w:bidi="ar-SA"/>
        </w:rPr>
        <w:t xml:space="preserve">第四十一条 </w:t>
      </w:r>
      <w:r>
        <w:rPr>
          <w:rFonts w:eastAsia="仿宋_GB2312"/>
          <w:sz w:val="32"/>
          <w:szCs w:val="32"/>
        </w:rPr>
        <w:t>基金管理人、财务顾问在办理不动产基金网下询价、定价、配售等业务活动中，应当勤勉尽责，做好网下投资者核查和监测工作，并对网下投资者是否存在</w:t>
      </w:r>
      <w:r>
        <w:rPr>
          <w:rFonts w:hint="eastAsia" w:eastAsia="仿宋_GB2312"/>
          <w:sz w:val="32"/>
          <w:szCs w:val="32"/>
        </w:rPr>
        <w:t>有关</w:t>
      </w:r>
      <w:r>
        <w:rPr>
          <w:rFonts w:eastAsia="仿宋_GB2312"/>
          <w:sz w:val="32"/>
          <w:szCs w:val="32"/>
        </w:rPr>
        <w:t>法律法规、中国证券业协会自律规则</w:t>
      </w:r>
      <w:r>
        <w:rPr>
          <w:rFonts w:hint="eastAsia" w:eastAsia="仿宋_GB2312"/>
          <w:sz w:val="32"/>
          <w:szCs w:val="32"/>
        </w:rPr>
        <w:t>以及</w:t>
      </w:r>
      <w:r>
        <w:rPr>
          <w:rFonts w:eastAsia="仿宋_GB2312"/>
          <w:sz w:val="32"/>
          <w:szCs w:val="32"/>
        </w:rPr>
        <w:t>本所有关规定的禁止情形进行核查。</w:t>
      </w:r>
    </w:p>
    <w:p w14:paraId="3DA8BC76">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基金管理人、财务顾问发现网下投资者存在</w:t>
      </w:r>
      <w:r>
        <w:rPr>
          <w:rFonts w:eastAsia="仿宋_GB2312"/>
          <w:sz w:val="32"/>
          <w:szCs w:val="32"/>
        </w:rPr>
        <w:t>前款规定</w:t>
      </w:r>
      <w:r>
        <w:rPr>
          <w:rFonts w:eastAsia="仿宋_GB2312"/>
          <w:kern w:val="0"/>
          <w:sz w:val="32"/>
          <w:szCs w:val="32"/>
        </w:rPr>
        <w:t>情形的，</w:t>
      </w:r>
      <w:r>
        <w:rPr>
          <w:rFonts w:hint="eastAsia" w:eastAsia="仿宋_GB2312"/>
          <w:kern w:val="0"/>
          <w:sz w:val="32"/>
          <w:szCs w:val="32"/>
        </w:rPr>
        <w:t>应当</w:t>
      </w:r>
      <w:r>
        <w:rPr>
          <w:rFonts w:eastAsia="仿宋_GB2312"/>
          <w:kern w:val="0"/>
          <w:sz w:val="32"/>
          <w:szCs w:val="32"/>
        </w:rPr>
        <w:t>将其报价</w:t>
      </w:r>
      <w:r>
        <w:rPr>
          <w:rFonts w:hint="eastAsia" w:eastAsia="仿宋_GB2312"/>
          <w:kern w:val="0"/>
          <w:sz w:val="32"/>
          <w:szCs w:val="32"/>
        </w:rPr>
        <w:t>或者</w:t>
      </w:r>
      <w:r>
        <w:rPr>
          <w:rFonts w:eastAsia="仿宋_GB2312"/>
          <w:kern w:val="0"/>
          <w:sz w:val="32"/>
          <w:szCs w:val="32"/>
        </w:rPr>
        <w:t>认购行为认定为无效并予以剔除，并将有关情况报告本所。本所将公开通报</w:t>
      </w:r>
      <w:r>
        <w:rPr>
          <w:rFonts w:hint="eastAsia" w:eastAsia="仿宋_GB2312"/>
          <w:kern w:val="0"/>
          <w:sz w:val="32"/>
          <w:szCs w:val="32"/>
        </w:rPr>
        <w:t>有关</w:t>
      </w:r>
      <w:r>
        <w:rPr>
          <w:rFonts w:eastAsia="仿宋_GB2312"/>
          <w:kern w:val="0"/>
          <w:sz w:val="32"/>
          <w:szCs w:val="32"/>
        </w:rPr>
        <w:t>情况，并建议中国证券业协会对该网下投资者采取列入网下投资者</w:t>
      </w:r>
      <w:r>
        <w:rPr>
          <w:rFonts w:hint="eastAsia" w:eastAsia="仿宋_GB2312"/>
          <w:kern w:val="0"/>
          <w:sz w:val="32"/>
          <w:szCs w:val="32"/>
        </w:rPr>
        <w:t>限制名单</w:t>
      </w:r>
      <w:r>
        <w:rPr>
          <w:rFonts w:eastAsia="仿宋_GB2312"/>
          <w:kern w:val="0"/>
          <w:sz w:val="32"/>
          <w:szCs w:val="32"/>
        </w:rPr>
        <w:t>等自律管理措施。</w:t>
      </w:r>
    </w:p>
    <w:p w14:paraId="0D52C3A0">
      <w:pPr>
        <w:pStyle w:val="147"/>
        <w:numPr>
          <w:ilvl w:val="0"/>
          <w:numId w:val="0"/>
        </w:numPr>
        <w:tabs>
          <w:tab w:val="left" w:pos="0"/>
        </w:tabs>
        <w:adjustRightInd w:val="0"/>
        <w:snapToGrid w:val="0"/>
        <w:spacing w:line="560" w:lineRule="exact"/>
        <w:ind w:left="0" w:leftChars="0" w:firstLine="652" w:firstLineChars="0"/>
        <w:rPr>
          <w:rFonts w:eastAsia="仿宋_GB2312"/>
          <w:sz w:val="32"/>
          <w:szCs w:val="32"/>
        </w:rPr>
      </w:pPr>
      <w:r>
        <w:rPr>
          <w:rFonts w:hint="eastAsia" w:ascii="仿宋_GB2312" w:hAnsi="仿宋_GB2312" w:eastAsia="仿宋_GB2312" w:cs="仿宋_GB2312"/>
          <w:b/>
          <w:bCs/>
          <w:kern w:val="2"/>
          <w:sz w:val="32"/>
          <w:szCs w:val="32"/>
          <w:lang w:val="zh-CN" w:eastAsia="zh-CN" w:bidi="ar-SA"/>
        </w:rPr>
        <w:t xml:space="preserve">第四十二条 </w:t>
      </w:r>
      <w:r>
        <w:rPr>
          <w:rFonts w:eastAsia="仿宋_GB2312"/>
          <w:sz w:val="32"/>
          <w:szCs w:val="32"/>
        </w:rPr>
        <w:t>参与网下询价的配售对象及其关联账户不得再通过面向公众投资者发售部分认购基金份额。基金管理人</w:t>
      </w:r>
      <w:r>
        <w:rPr>
          <w:rFonts w:hint="eastAsia" w:eastAsia="仿宋_GB2312"/>
          <w:sz w:val="32"/>
          <w:szCs w:val="32"/>
        </w:rPr>
        <w:t>应当</w:t>
      </w:r>
      <w:r>
        <w:rPr>
          <w:rFonts w:eastAsia="仿宋_GB2312"/>
          <w:sz w:val="32"/>
          <w:szCs w:val="32"/>
        </w:rPr>
        <w:t>拒绝网下投资者参与的公众发售认购申请。</w:t>
      </w:r>
    </w:p>
    <w:p w14:paraId="3B2792EA">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配售对象关联账户是指与配售对象场内证券账户</w:t>
      </w:r>
      <w:r>
        <w:rPr>
          <w:rFonts w:hint="eastAsia" w:eastAsia="仿宋_GB2312"/>
          <w:kern w:val="0"/>
          <w:sz w:val="32"/>
          <w:szCs w:val="32"/>
        </w:rPr>
        <w:t>或者</w:t>
      </w:r>
      <w:r>
        <w:rPr>
          <w:rFonts w:eastAsia="仿宋_GB2312"/>
          <w:kern w:val="0"/>
          <w:sz w:val="32"/>
          <w:szCs w:val="32"/>
        </w:rPr>
        <w:t>场外基金账户注册资料中的</w:t>
      </w:r>
      <w:r>
        <w:rPr>
          <w:rFonts w:hint="eastAsia" w:eastAsia="仿宋_GB2312"/>
          <w:kern w:val="0"/>
          <w:sz w:val="32"/>
          <w:szCs w:val="32"/>
        </w:rPr>
        <w:t>“</w:t>
      </w:r>
      <w:r>
        <w:rPr>
          <w:rFonts w:eastAsia="仿宋_GB2312"/>
          <w:kern w:val="0"/>
          <w:sz w:val="32"/>
          <w:szCs w:val="32"/>
        </w:rPr>
        <w:t>账户持有人名称</w:t>
      </w:r>
      <w:r>
        <w:rPr>
          <w:rFonts w:hint="eastAsia" w:eastAsia="仿宋_GB2312"/>
          <w:kern w:val="0"/>
          <w:sz w:val="32"/>
          <w:szCs w:val="32"/>
        </w:rPr>
        <w:t>”“</w:t>
      </w:r>
      <w:r>
        <w:rPr>
          <w:rFonts w:eastAsia="仿宋_GB2312"/>
          <w:kern w:val="0"/>
          <w:sz w:val="32"/>
          <w:szCs w:val="32"/>
        </w:rPr>
        <w:t>有效身份证明文件号码</w:t>
      </w:r>
      <w:r>
        <w:rPr>
          <w:rFonts w:hint="eastAsia" w:eastAsia="仿宋_GB2312"/>
          <w:kern w:val="0"/>
          <w:sz w:val="32"/>
          <w:szCs w:val="32"/>
        </w:rPr>
        <w:t>”</w:t>
      </w:r>
      <w:r>
        <w:rPr>
          <w:rFonts w:eastAsia="仿宋_GB2312"/>
          <w:kern w:val="0"/>
          <w:sz w:val="32"/>
          <w:szCs w:val="32"/>
        </w:rPr>
        <w:t>均相同的账户。</w:t>
      </w:r>
    </w:p>
    <w:p w14:paraId="783BE0EA">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证券公司客户定向资产管理专用账户以及企业年金账户注册资料中</w:t>
      </w:r>
      <w:r>
        <w:rPr>
          <w:rFonts w:hint="eastAsia" w:eastAsia="仿宋_GB2312"/>
          <w:kern w:val="0"/>
          <w:sz w:val="32"/>
          <w:szCs w:val="32"/>
        </w:rPr>
        <w:t>“</w:t>
      </w:r>
      <w:r>
        <w:rPr>
          <w:rFonts w:eastAsia="仿宋_GB2312"/>
          <w:kern w:val="0"/>
          <w:sz w:val="32"/>
          <w:szCs w:val="32"/>
        </w:rPr>
        <w:t>账户持有人名称</w:t>
      </w:r>
      <w:r>
        <w:rPr>
          <w:rFonts w:hint="eastAsia" w:eastAsia="仿宋_GB2312"/>
          <w:kern w:val="0"/>
          <w:sz w:val="32"/>
          <w:szCs w:val="32"/>
        </w:rPr>
        <w:t>”“</w:t>
      </w:r>
      <w:r>
        <w:rPr>
          <w:rFonts w:eastAsia="仿宋_GB2312"/>
          <w:kern w:val="0"/>
          <w:sz w:val="32"/>
          <w:szCs w:val="32"/>
        </w:rPr>
        <w:t>有效身份证明文件号码</w:t>
      </w:r>
      <w:r>
        <w:rPr>
          <w:rFonts w:hint="eastAsia" w:eastAsia="仿宋_GB2312"/>
          <w:kern w:val="0"/>
          <w:sz w:val="32"/>
          <w:szCs w:val="32"/>
        </w:rPr>
        <w:t>”</w:t>
      </w:r>
      <w:r>
        <w:rPr>
          <w:rFonts w:eastAsia="仿宋_GB2312"/>
          <w:kern w:val="0"/>
          <w:sz w:val="32"/>
          <w:szCs w:val="32"/>
        </w:rPr>
        <w:t>均相同的，不受上述限制。</w:t>
      </w:r>
    </w:p>
    <w:p w14:paraId="2C305CE8">
      <w:pPr>
        <w:pStyle w:val="147"/>
        <w:widowControl/>
        <w:numPr>
          <w:ilvl w:val="0"/>
          <w:numId w:val="0"/>
        </w:numPr>
        <w:tabs>
          <w:tab w:val="left" w:pos="0"/>
        </w:tabs>
        <w:adjustRightInd w:val="0"/>
        <w:snapToGrid w:val="0"/>
        <w:spacing w:line="560" w:lineRule="exact"/>
        <w:ind w:left="0" w:leftChars="0" w:firstLine="652" w:firstLineChars="0"/>
        <w:rPr>
          <w:rFonts w:eastAsia="仿宋_GB2312"/>
          <w:sz w:val="32"/>
          <w:szCs w:val="32"/>
        </w:rPr>
      </w:pPr>
      <w:r>
        <w:rPr>
          <w:rFonts w:hint="eastAsia" w:ascii="仿宋_GB2312" w:hAnsi="仿宋_GB2312" w:eastAsia="仿宋_GB2312" w:cs="仿宋_GB2312"/>
          <w:b/>
          <w:bCs/>
          <w:kern w:val="2"/>
          <w:sz w:val="32"/>
          <w:szCs w:val="32"/>
          <w:lang w:val="zh-CN" w:eastAsia="zh-CN" w:bidi="ar-SA"/>
        </w:rPr>
        <w:t xml:space="preserve">第四十三条 </w:t>
      </w:r>
      <w:r>
        <w:rPr>
          <w:rFonts w:hint="eastAsia" w:eastAsia="仿宋_GB2312"/>
          <w:sz w:val="32"/>
          <w:szCs w:val="32"/>
        </w:rPr>
        <w:t>基金管理人、财务顾问可以根据不动产基金路演情况，合理审慎约定上市特定期限内网下投资者可以交易的份额比例。</w:t>
      </w:r>
    </w:p>
    <w:p w14:paraId="5668F956">
      <w:pPr>
        <w:pStyle w:val="147"/>
        <w:numPr>
          <w:ilvl w:val="0"/>
          <w:numId w:val="0"/>
        </w:numPr>
        <w:tabs>
          <w:tab w:val="left" w:pos="0"/>
        </w:tabs>
        <w:adjustRightInd w:val="0"/>
        <w:snapToGrid w:val="0"/>
        <w:spacing w:line="560" w:lineRule="exact"/>
        <w:ind w:left="0" w:leftChars="0" w:firstLine="652" w:firstLineChars="0"/>
        <w:rPr>
          <w:rFonts w:eastAsia="仿宋_GB2312"/>
          <w:sz w:val="32"/>
          <w:szCs w:val="32"/>
        </w:rPr>
      </w:pPr>
      <w:r>
        <w:rPr>
          <w:rFonts w:hint="eastAsia" w:ascii="仿宋_GB2312" w:hAnsi="仿宋_GB2312" w:eastAsia="仿宋_GB2312" w:cs="仿宋_GB2312"/>
          <w:b/>
          <w:bCs/>
          <w:kern w:val="2"/>
          <w:sz w:val="32"/>
          <w:szCs w:val="32"/>
          <w:lang w:val="zh-CN" w:eastAsia="zh-CN" w:bidi="ar-SA"/>
        </w:rPr>
        <w:t xml:space="preserve">第四十四条 </w:t>
      </w:r>
      <w:r>
        <w:rPr>
          <w:rFonts w:eastAsia="仿宋_GB2312"/>
          <w:sz w:val="32"/>
          <w:szCs w:val="32"/>
        </w:rPr>
        <w:t>募集期内，公众投资者可以通过场内证券经营机构</w:t>
      </w:r>
      <w:r>
        <w:rPr>
          <w:rFonts w:hint="eastAsia" w:eastAsia="仿宋_GB2312"/>
          <w:sz w:val="32"/>
          <w:szCs w:val="32"/>
        </w:rPr>
        <w:t>或者</w:t>
      </w:r>
      <w:r>
        <w:rPr>
          <w:rFonts w:eastAsia="仿宋_GB2312"/>
          <w:sz w:val="32"/>
          <w:szCs w:val="32"/>
        </w:rPr>
        <w:t>基金管理人及其委托的场外基金销售机构认购基金份额。</w:t>
      </w:r>
    </w:p>
    <w:p w14:paraId="143235E8">
      <w:pPr>
        <w:pStyle w:val="147"/>
        <w:numPr>
          <w:ilvl w:val="0"/>
          <w:numId w:val="0"/>
        </w:numPr>
        <w:tabs>
          <w:tab w:val="left" w:pos="0"/>
        </w:tabs>
        <w:adjustRightInd w:val="0"/>
        <w:snapToGrid w:val="0"/>
        <w:spacing w:line="560" w:lineRule="exact"/>
        <w:ind w:left="0" w:leftChars="0" w:firstLine="652" w:firstLineChars="0"/>
        <w:rPr>
          <w:rFonts w:eastAsia="仿宋_GB2312"/>
          <w:sz w:val="32"/>
          <w:szCs w:val="32"/>
        </w:rPr>
      </w:pPr>
      <w:r>
        <w:rPr>
          <w:rFonts w:hint="eastAsia" w:ascii="仿宋_GB2312" w:hAnsi="仿宋_GB2312" w:eastAsia="仿宋_GB2312" w:cs="仿宋_GB2312"/>
          <w:b/>
          <w:bCs/>
          <w:kern w:val="2"/>
          <w:sz w:val="32"/>
          <w:szCs w:val="32"/>
          <w:lang w:val="zh-CN" w:eastAsia="zh-CN" w:bidi="ar-SA"/>
        </w:rPr>
        <w:t xml:space="preserve">第四十五条 </w:t>
      </w:r>
      <w:r>
        <w:rPr>
          <w:rFonts w:eastAsia="仿宋_GB2312"/>
          <w:sz w:val="32"/>
          <w:szCs w:val="32"/>
        </w:rPr>
        <w:t>募集期届满，公众投资者认购份额不足的，基金管理人和财务顾问可以将公众投资者部分向网下发售部分进行回拨。网下投资者认购数量低于网下最低发售数量的，不得向公众投资者回拨。</w:t>
      </w:r>
    </w:p>
    <w:p w14:paraId="654ABAB4">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网下投资者认购数量高于网下最低发售数量，且公众投资者有效认购倍数较高的，网下发售部分可以向公众投资者回拨。回拨后的网下发售比例，不得低于本次公开发售数量扣除向战略投资者配售部分后的70%。</w:t>
      </w:r>
    </w:p>
    <w:p w14:paraId="7EE978C8">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基金管理人、财务顾问</w:t>
      </w:r>
      <w:r>
        <w:rPr>
          <w:rFonts w:hint="eastAsia" w:eastAsia="仿宋_GB2312"/>
          <w:kern w:val="0"/>
          <w:sz w:val="32"/>
          <w:szCs w:val="32"/>
        </w:rPr>
        <w:t>应当</w:t>
      </w:r>
      <w:r>
        <w:rPr>
          <w:rFonts w:eastAsia="仿宋_GB2312"/>
          <w:kern w:val="0"/>
          <w:sz w:val="32"/>
          <w:szCs w:val="32"/>
        </w:rPr>
        <w:t>在募集期届满后的次一个交易日（</w:t>
      </w:r>
      <w:r>
        <w:rPr>
          <w:rFonts w:hint="eastAsia" w:eastAsia="仿宋_GB2312"/>
          <w:kern w:val="0"/>
          <w:sz w:val="32"/>
          <w:szCs w:val="32"/>
        </w:rPr>
        <w:t>或者</w:t>
      </w:r>
      <w:r>
        <w:rPr>
          <w:rFonts w:eastAsia="仿宋_GB2312"/>
          <w:kern w:val="0"/>
          <w:sz w:val="32"/>
          <w:szCs w:val="32"/>
        </w:rPr>
        <w:t>指定交易日）日终前，将公众投资者发售与网下发售之间的回拨份额通知本所并公告。未在规定时间内通知本所并公告的，基金管理人、财务顾问</w:t>
      </w:r>
      <w:r>
        <w:rPr>
          <w:rFonts w:hint="eastAsia" w:eastAsia="仿宋_GB2312"/>
          <w:kern w:val="0"/>
          <w:sz w:val="32"/>
          <w:szCs w:val="32"/>
        </w:rPr>
        <w:t>应当</w:t>
      </w:r>
      <w:r>
        <w:rPr>
          <w:rFonts w:eastAsia="仿宋_GB2312"/>
          <w:kern w:val="0"/>
          <w:sz w:val="32"/>
          <w:szCs w:val="32"/>
        </w:rPr>
        <w:t>根据发售公告确定的公众投资者、网下投资者发售量进行份额配售。</w:t>
      </w:r>
    </w:p>
    <w:p w14:paraId="5DCB985A">
      <w:pPr>
        <w:pStyle w:val="147"/>
        <w:widowControl/>
        <w:numPr>
          <w:ilvl w:val="0"/>
          <w:numId w:val="0"/>
        </w:numPr>
        <w:tabs>
          <w:tab w:val="left" w:pos="0"/>
        </w:tabs>
        <w:adjustRightInd w:val="0"/>
        <w:snapToGrid w:val="0"/>
        <w:spacing w:line="560" w:lineRule="exact"/>
        <w:ind w:left="0" w:leftChars="0" w:firstLine="652" w:firstLineChars="0"/>
        <w:rPr>
          <w:rFonts w:eastAsia="仿宋_GB2312"/>
          <w:sz w:val="32"/>
          <w:szCs w:val="32"/>
        </w:rPr>
      </w:pPr>
      <w:r>
        <w:rPr>
          <w:rFonts w:hint="eastAsia" w:ascii="仿宋_GB2312" w:hAnsi="仿宋_GB2312" w:eastAsia="仿宋_GB2312" w:cs="仿宋_GB2312"/>
          <w:b/>
          <w:bCs/>
          <w:kern w:val="2"/>
          <w:sz w:val="32"/>
          <w:szCs w:val="32"/>
          <w:lang w:val="zh-CN" w:eastAsia="zh-CN" w:bidi="ar-SA"/>
        </w:rPr>
        <w:t xml:space="preserve">第四十六条 </w:t>
      </w:r>
      <w:r>
        <w:rPr>
          <w:rFonts w:eastAsia="仿宋_GB2312"/>
          <w:sz w:val="32"/>
          <w:szCs w:val="32"/>
        </w:rPr>
        <w:t>基金管理人、财务顾问按照事先确定的配售原则在有效认购的网下投资者中选择配售基金份额的对象。面向公众投资者发售部分应当按照相同比例</w:t>
      </w:r>
      <w:r>
        <w:rPr>
          <w:rFonts w:hint="eastAsia" w:eastAsia="仿宋_GB2312"/>
          <w:sz w:val="32"/>
          <w:szCs w:val="32"/>
        </w:rPr>
        <w:t>或者</w:t>
      </w:r>
      <w:r>
        <w:rPr>
          <w:rFonts w:eastAsia="仿宋_GB2312"/>
          <w:sz w:val="32"/>
          <w:szCs w:val="32"/>
        </w:rPr>
        <w:t>本所认可的方式进行配售。</w:t>
      </w:r>
    </w:p>
    <w:p w14:paraId="66A08CBC">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基金管理人</w:t>
      </w:r>
      <w:r>
        <w:rPr>
          <w:rFonts w:hint="eastAsia" w:eastAsia="仿宋_GB2312"/>
          <w:kern w:val="0"/>
          <w:sz w:val="32"/>
          <w:szCs w:val="32"/>
        </w:rPr>
        <w:t>或者</w:t>
      </w:r>
      <w:r>
        <w:rPr>
          <w:rFonts w:eastAsia="仿宋_GB2312"/>
          <w:kern w:val="0"/>
          <w:sz w:val="32"/>
          <w:szCs w:val="32"/>
        </w:rPr>
        <w:t>财务顾问</w:t>
      </w:r>
      <w:r>
        <w:rPr>
          <w:rFonts w:hint="eastAsia" w:eastAsia="仿宋_GB2312"/>
          <w:kern w:val="0"/>
          <w:sz w:val="32"/>
          <w:szCs w:val="32"/>
        </w:rPr>
        <w:t>应当</w:t>
      </w:r>
      <w:r>
        <w:rPr>
          <w:rFonts w:eastAsia="仿宋_GB2312"/>
          <w:kern w:val="0"/>
          <w:sz w:val="32"/>
          <w:szCs w:val="32"/>
        </w:rPr>
        <w:t>于募集期届满后的次一个交易日（</w:t>
      </w:r>
      <w:r>
        <w:rPr>
          <w:rFonts w:hint="eastAsia" w:eastAsia="仿宋_GB2312"/>
          <w:kern w:val="0"/>
          <w:sz w:val="32"/>
          <w:szCs w:val="32"/>
        </w:rPr>
        <w:t>或者</w:t>
      </w:r>
      <w:r>
        <w:rPr>
          <w:rFonts w:eastAsia="仿宋_GB2312"/>
          <w:kern w:val="0"/>
          <w:sz w:val="32"/>
          <w:szCs w:val="32"/>
        </w:rPr>
        <w:t>指定交易日）15</w:t>
      </w:r>
      <w:r>
        <w:rPr>
          <w:rFonts w:hint="eastAsia" w:eastAsia="仿宋_GB2312"/>
          <w:kern w:val="0"/>
          <w:sz w:val="32"/>
          <w:szCs w:val="32"/>
        </w:rPr>
        <w:t>:</w:t>
      </w:r>
      <w:r>
        <w:rPr>
          <w:rFonts w:eastAsia="仿宋_GB2312"/>
          <w:kern w:val="0"/>
          <w:sz w:val="32"/>
          <w:szCs w:val="32"/>
        </w:rPr>
        <w:t>00前，将网下投资者各配售对象获配情况，包括获配份额、配售款、场内证券账户</w:t>
      </w:r>
      <w:r>
        <w:rPr>
          <w:rFonts w:hint="eastAsia" w:eastAsia="仿宋_GB2312"/>
          <w:kern w:val="0"/>
          <w:sz w:val="32"/>
          <w:szCs w:val="32"/>
        </w:rPr>
        <w:t>或者</w:t>
      </w:r>
      <w:r>
        <w:rPr>
          <w:rFonts w:eastAsia="仿宋_GB2312"/>
          <w:kern w:val="0"/>
          <w:sz w:val="32"/>
          <w:szCs w:val="32"/>
        </w:rPr>
        <w:t>场外基金账户、应退认购款、配售对象证件代码等数据上传至网下发行电子平台。各配售对象</w:t>
      </w:r>
      <w:r>
        <w:rPr>
          <w:rFonts w:hint="eastAsia" w:eastAsia="仿宋_GB2312"/>
          <w:kern w:val="0"/>
          <w:sz w:val="32"/>
          <w:szCs w:val="32"/>
        </w:rPr>
        <w:t>可以</w:t>
      </w:r>
      <w:r>
        <w:rPr>
          <w:rFonts w:eastAsia="仿宋_GB2312"/>
          <w:kern w:val="0"/>
          <w:sz w:val="32"/>
          <w:szCs w:val="32"/>
        </w:rPr>
        <w:t>通过网下发行电子平台查询其网下获配情况。</w:t>
      </w:r>
    </w:p>
    <w:p w14:paraId="3843F28C">
      <w:pPr>
        <w:pStyle w:val="147"/>
        <w:widowControl/>
        <w:numPr>
          <w:ilvl w:val="0"/>
          <w:numId w:val="0"/>
        </w:numPr>
        <w:tabs>
          <w:tab w:val="left" w:pos="0"/>
        </w:tabs>
        <w:adjustRightInd w:val="0"/>
        <w:snapToGrid w:val="0"/>
        <w:spacing w:line="560" w:lineRule="exact"/>
        <w:ind w:left="0" w:leftChars="0" w:firstLine="652" w:firstLineChars="0"/>
        <w:rPr>
          <w:rFonts w:eastAsia="仿宋_GB2312"/>
          <w:sz w:val="32"/>
          <w:szCs w:val="32"/>
        </w:rPr>
      </w:pPr>
      <w:r>
        <w:rPr>
          <w:rFonts w:hint="eastAsia" w:ascii="仿宋_GB2312" w:hAnsi="仿宋_GB2312" w:eastAsia="仿宋_GB2312" w:cs="仿宋_GB2312"/>
          <w:b/>
          <w:bCs/>
          <w:kern w:val="2"/>
          <w:sz w:val="32"/>
          <w:szCs w:val="32"/>
          <w:lang w:val="zh-CN" w:eastAsia="zh-CN" w:bidi="ar-SA"/>
        </w:rPr>
        <w:t xml:space="preserve">第四十七条 </w:t>
      </w:r>
      <w:r>
        <w:rPr>
          <w:rFonts w:eastAsia="仿宋_GB2312"/>
          <w:sz w:val="32"/>
          <w:szCs w:val="32"/>
        </w:rPr>
        <w:t>基金管理人应当在基金合同生效的次日披露基金合同生效公告。基金管理人应当在公告中披露最终向战略配售投资者、网下投资者和公众投资者发售的基金份额数量及其比例，</w:t>
      </w:r>
      <w:r>
        <w:rPr>
          <w:rFonts w:eastAsia="仿宋_GB2312"/>
          <w:bCs/>
          <w:sz w:val="32"/>
          <w:szCs w:val="32"/>
        </w:rPr>
        <w:t>获配机构投资者名称</w:t>
      </w:r>
      <w:r>
        <w:rPr>
          <w:rFonts w:hint="eastAsia" w:eastAsia="仿宋_GB2312"/>
          <w:bCs/>
          <w:sz w:val="32"/>
          <w:szCs w:val="32"/>
        </w:rPr>
        <w:t>，</w:t>
      </w:r>
      <w:r>
        <w:rPr>
          <w:rFonts w:eastAsia="仿宋_GB2312"/>
          <w:bCs/>
          <w:sz w:val="32"/>
          <w:szCs w:val="32"/>
        </w:rPr>
        <w:t>以及每个获配投资者的报价、认购数量和获配数量等，并明确说明自主配售的结果是否符合事先公布的配售原则。对于提供有效报价但未参与认购，</w:t>
      </w:r>
      <w:r>
        <w:rPr>
          <w:rFonts w:hint="eastAsia" w:eastAsia="仿宋_GB2312"/>
          <w:bCs/>
          <w:sz w:val="32"/>
          <w:szCs w:val="32"/>
        </w:rPr>
        <w:t>或者</w:t>
      </w:r>
      <w:r>
        <w:rPr>
          <w:rFonts w:eastAsia="仿宋_GB2312"/>
          <w:bCs/>
          <w:sz w:val="32"/>
          <w:szCs w:val="32"/>
        </w:rPr>
        <w:t>实际认购数量明显少于报价时拟认购数量的投资者</w:t>
      </w:r>
      <w:r>
        <w:rPr>
          <w:rFonts w:hint="eastAsia" w:eastAsia="仿宋_GB2312"/>
          <w:bCs/>
          <w:sz w:val="32"/>
          <w:szCs w:val="32"/>
        </w:rPr>
        <w:t>应当</w:t>
      </w:r>
      <w:r>
        <w:rPr>
          <w:rFonts w:eastAsia="仿宋_GB2312"/>
          <w:bCs/>
          <w:sz w:val="32"/>
          <w:szCs w:val="32"/>
        </w:rPr>
        <w:t>列表公示并着重说明。</w:t>
      </w:r>
    </w:p>
    <w:p w14:paraId="21BCAE11">
      <w:pPr>
        <w:pStyle w:val="147"/>
        <w:widowControl/>
        <w:numPr>
          <w:ilvl w:val="0"/>
          <w:numId w:val="0"/>
        </w:numPr>
        <w:tabs>
          <w:tab w:val="left" w:pos="0"/>
        </w:tabs>
        <w:adjustRightInd w:val="0"/>
        <w:snapToGrid w:val="0"/>
        <w:spacing w:line="560" w:lineRule="exact"/>
        <w:ind w:left="0" w:leftChars="0" w:firstLine="652" w:firstLineChars="0"/>
        <w:rPr>
          <w:rFonts w:eastAsia="仿宋_GB2312"/>
          <w:sz w:val="32"/>
          <w:szCs w:val="32"/>
        </w:rPr>
      </w:pPr>
      <w:r>
        <w:rPr>
          <w:rFonts w:hint="eastAsia" w:ascii="仿宋_GB2312" w:hAnsi="仿宋_GB2312" w:eastAsia="仿宋_GB2312" w:cs="仿宋_GB2312"/>
          <w:b/>
          <w:bCs/>
          <w:kern w:val="2"/>
          <w:sz w:val="32"/>
          <w:szCs w:val="32"/>
          <w:lang w:val="zh-CN" w:eastAsia="zh-CN" w:bidi="ar-SA"/>
        </w:rPr>
        <w:t xml:space="preserve">第四十八条 </w:t>
      </w:r>
      <w:r>
        <w:rPr>
          <w:rFonts w:eastAsia="仿宋_GB2312"/>
          <w:sz w:val="32"/>
          <w:szCs w:val="32"/>
        </w:rPr>
        <w:t>基金募集期届满，出现下列情形的，不动产基金募集失败：</w:t>
      </w:r>
    </w:p>
    <w:p w14:paraId="5E6E8768">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（一）基金份额总额未达到准予注册规模的80%；</w:t>
      </w:r>
    </w:p>
    <w:p w14:paraId="514D9AB0">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（二）募集资金规模不足2亿元，</w:t>
      </w:r>
      <w:r>
        <w:rPr>
          <w:rFonts w:hint="eastAsia" w:eastAsia="仿宋_GB2312"/>
          <w:kern w:val="0"/>
          <w:sz w:val="32"/>
          <w:szCs w:val="32"/>
        </w:rPr>
        <w:t>或者</w:t>
      </w:r>
      <w:r>
        <w:rPr>
          <w:rFonts w:eastAsia="仿宋_GB2312"/>
          <w:kern w:val="0"/>
          <w:sz w:val="32"/>
          <w:szCs w:val="32"/>
        </w:rPr>
        <w:t>投资人少于1000人；</w:t>
      </w:r>
    </w:p>
    <w:p w14:paraId="29344015">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（三）原始权益人</w:t>
      </w:r>
      <w:r>
        <w:rPr>
          <w:rFonts w:hint="eastAsia" w:eastAsia="仿宋_GB2312"/>
          <w:kern w:val="0"/>
          <w:sz w:val="32"/>
          <w:szCs w:val="32"/>
        </w:rPr>
        <w:t>或者</w:t>
      </w:r>
      <w:r>
        <w:rPr>
          <w:rFonts w:eastAsia="仿宋_GB2312"/>
          <w:kern w:val="0"/>
          <w:sz w:val="32"/>
          <w:szCs w:val="32"/>
        </w:rPr>
        <w:t>其同一控制下的关联方未按</w:t>
      </w:r>
      <w:r>
        <w:rPr>
          <w:rFonts w:hint="eastAsia" w:eastAsia="仿宋_GB2312"/>
          <w:kern w:val="0"/>
          <w:sz w:val="32"/>
          <w:szCs w:val="32"/>
        </w:rPr>
        <w:t>照</w:t>
      </w:r>
      <w:r>
        <w:rPr>
          <w:rFonts w:eastAsia="仿宋_GB2312"/>
          <w:kern w:val="0"/>
          <w:sz w:val="32"/>
          <w:szCs w:val="32"/>
        </w:rPr>
        <w:t>规定参与战略配售；</w:t>
      </w:r>
    </w:p>
    <w:p w14:paraId="548B3FEB">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（四）扣除战略配售部分后，网下发售比例低于本次公开发售数量的70%；</w:t>
      </w:r>
    </w:p>
    <w:p w14:paraId="7D1FEF7C">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（五）导致基金募集失败的其他情形。</w:t>
      </w:r>
    </w:p>
    <w:p w14:paraId="4D337570">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基金募集失败的，基金管理人应当在募集期届满后30日内返还投资者已</w:t>
      </w:r>
      <w:r>
        <w:rPr>
          <w:rFonts w:hint="eastAsia" w:eastAsia="仿宋_GB2312"/>
          <w:kern w:val="0"/>
          <w:sz w:val="32"/>
          <w:szCs w:val="32"/>
        </w:rPr>
        <w:t>交付</w:t>
      </w:r>
      <w:r>
        <w:rPr>
          <w:rFonts w:eastAsia="仿宋_GB2312"/>
          <w:kern w:val="0"/>
          <w:sz w:val="32"/>
          <w:szCs w:val="32"/>
        </w:rPr>
        <w:t>的款项，并加计银行同期存款利息。</w:t>
      </w:r>
    </w:p>
    <w:p w14:paraId="4A2D1A3C">
      <w:pPr>
        <w:adjustRightInd w:val="0"/>
        <w:snapToGrid w:val="0"/>
        <w:spacing w:line="560" w:lineRule="exact"/>
        <w:jc w:val="center"/>
        <w:outlineLvl w:val="0"/>
        <w:rPr>
          <w:rFonts w:hint="eastAsia" w:ascii="黑体" w:hAnsi="黑体" w:eastAsia="黑体" w:cs="黑体"/>
          <w:bCs/>
          <w:sz w:val="32"/>
          <w:szCs w:val="32"/>
          <w:lang w:val="zh-CN"/>
        </w:rPr>
      </w:pPr>
      <w:r>
        <w:rPr>
          <w:rFonts w:hint="eastAsia" w:ascii="黑体" w:hAnsi="黑体" w:eastAsia="黑体" w:cs="黑体"/>
          <w:bCs/>
          <w:sz w:val="32"/>
          <w:szCs w:val="32"/>
          <w:lang w:val="zh-CN"/>
        </w:rPr>
        <w:t>第五章  基金份额确认</w:t>
      </w:r>
    </w:p>
    <w:p w14:paraId="3F5453C0">
      <w:pPr>
        <w:pStyle w:val="147"/>
        <w:widowControl/>
        <w:numPr>
          <w:ilvl w:val="0"/>
          <w:numId w:val="0"/>
        </w:numPr>
        <w:tabs>
          <w:tab w:val="left" w:pos="0"/>
        </w:tabs>
        <w:adjustRightInd w:val="0"/>
        <w:snapToGrid w:val="0"/>
        <w:spacing w:line="560" w:lineRule="exact"/>
        <w:ind w:left="0" w:leftChars="0" w:firstLine="652" w:firstLineChars="0"/>
        <w:rPr>
          <w:rFonts w:eastAsia="仿宋_GB2312"/>
          <w:sz w:val="32"/>
          <w:szCs w:val="32"/>
        </w:rPr>
      </w:pPr>
      <w:r>
        <w:rPr>
          <w:rFonts w:hint="eastAsia" w:ascii="仿宋_GB2312" w:hAnsi="仿宋_GB2312" w:eastAsia="仿宋_GB2312" w:cs="仿宋_GB2312"/>
          <w:b/>
          <w:bCs/>
          <w:kern w:val="2"/>
          <w:sz w:val="32"/>
          <w:szCs w:val="32"/>
          <w:lang w:val="zh-CN" w:eastAsia="zh-CN" w:bidi="ar-SA"/>
        </w:rPr>
        <w:t xml:space="preserve">第四十九条 </w:t>
      </w:r>
      <w:r>
        <w:rPr>
          <w:rFonts w:eastAsia="仿宋_GB2312"/>
          <w:sz w:val="32"/>
          <w:szCs w:val="32"/>
        </w:rPr>
        <w:t>基金管理人应当按照</w:t>
      </w:r>
      <w:r>
        <w:rPr>
          <w:rFonts w:hint="eastAsia" w:eastAsia="仿宋_GB2312"/>
          <w:sz w:val="32"/>
          <w:szCs w:val="32"/>
        </w:rPr>
        <w:t>有关</w:t>
      </w:r>
      <w:r>
        <w:rPr>
          <w:rFonts w:eastAsia="仿宋_GB2312"/>
          <w:sz w:val="32"/>
          <w:szCs w:val="32"/>
        </w:rPr>
        <w:t>规定确认战略投资者认缴情况，以及公众投资者和网下投资者的最终配售情况，并完成相关募集结束处理。</w:t>
      </w:r>
    </w:p>
    <w:p w14:paraId="211DD26E">
      <w:pPr>
        <w:pStyle w:val="147"/>
        <w:widowControl/>
        <w:numPr>
          <w:ilvl w:val="0"/>
          <w:numId w:val="0"/>
        </w:numPr>
        <w:tabs>
          <w:tab w:val="left" w:pos="0"/>
        </w:tabs>
        <w:adjustRightInd w:val="0"/>
        <w:snapToGrid w:val="0"/>
        <w:spacing w:line="560" w:lineRule="exact"/>
        <w:ind w:left="0" w:leftChars="0" w:firstLine="652" w:firstLineChars="0"/>
        <w:rPr>
          <w:rFonts w:eastAsia="仿宋_GB2312"/>
          <w:sz w:val="32"/>
          <w:szCs w:val="32"/>
        </w:rPr>
      </w:pPr>
      <w:r>
        <w:rPr>
          <w:rFonts w:hint="eastAsia" w:ascii="仿宋_GB2312" w:hAnsi="仿宋_GB2312" w:eastAsia="仿宋_GB2312" w:cs="仿宋_GB2312"/>
          <w:b/>
          <w:bCs/>
          <w:kern w:val="2"/>
          <w:sz w:val="32"/>
          <w:szCs w:val="32"/>
          <w:lang w:val="zh-CN" w:eastAsia="zh-CN" w:bidi="ar-SA"/>
        </w:rPr>
        <w:t xml:space="preserve">第五十条 </w:t>
      </w:r>
      <w:r>
        <w:rPr>
          <w:rFonts w:eastAsia="仿宋_GB2312"/>
          <w:sz w:val="32"/>
          <w:szCs w:val="32"/>
        </w:rPr>
        <w:t>募集期结束前，基金份额总额未达到募集规模的，应当根据基金管理人、财务顾问和原始权益人事先确定并披露的方式处理。</w:t>
      </w:r>
    </w:p>
    <w:p w14:paraId="101E8C19">
      <w:pPr>
        <w:pStyle w:val="147"/>
        <w:widowControl/>
        <w:numPr>
          <w:ilvl w:val="0"/>
          <w:numId w:val="0"/>
        </w:numPr>
        <w:tabs>
          <w:tab w:val="left" w:pos="0"/>
        </w:tabs>
        <w:adjustRightInd w:val="0"/>
        <w:snapToGrid w:val="0"/>
        <w:spacing w:line="560" w:lineRule="exact"/>
        <w:ind w:left="0" w:leftChars="0" w:firstLine="652" w:firstLineChars="0"/>
        <w:rPr>
          <w:rFonts w:eastAsia="仿宋_GB2312"/>
          <w:sz w:val="32"/>
          <w:szCs w:val="32"/>
        </w:rPr>
      </w:pPr>
      <w:r>
        <w:rPr>
          <w:rFonts w:hint="eastAsia" w:ascii="仿宋_GB2312" w:hAnsi="仿宋_GB2312" w:eastAsia="仿宋_GB2312" w:cs="仿宋_GB2312"/>
          <w:b/>
          <w:bCs/>
          <w:kern w:val="2"/>
          <w:sz w:val="32"/>
          <w:szCs w:val="32"/>
          <w:lang w:val="zh-CN" w:eastAsia="zh-CN" w:bidi="ar-SA"/>
        </w:rPr>
        <w:t xml:space="preserve">第五十一条 </w:t>
      </w:r>
      <w:r>
        <w:rPr>
          <w:rFonts w:eastAsia="仿宋_GB2312"/>
          <w:sz w:val="32"/>
          <w:szCs w:val="32"/>
        </w:rPr>
        <w:t>投资者认购缴款结束后，基金管理人、财务顾问应当聘请符合</w:t>
      </w:r>
      <w:r>
        <w:rPr>
          <w:rFonts w:hint="eastAsia" w:eastAsia="仿宋_GB2312"/>
          <w:sz w:val="32"/>
          <w:szCs w:val="32"/>
        </w:rPr>
        <w:t>有关</w:t>
      </w:r>
      <w:r>
        <w:rPr>
          <w:rFonts w:eastAsia="仿宋_GB2312"/>
          <w:sz w:val="32"/>
          <w:szCs w:val="32"/>
        </w:rPr>
        <w:t>规定的会计师事务所对认购和募集资金进行鉴证并出具验资报告；应当聘请律师事务所对网下发售、配售行为，参与定价和配售投资者的资质条件及其与基金管理人和财务顾问的关联关系</w:t>
      </w:r>
      <w:r>
        <w:rPr>
          <w:rFonts w:hint="eastAsia" w:eastAsia="仿宋_GB2312"/>
          <w:sz w:val="32"/>
          <w:szCs w:val="32"/>
        </w:rPr>
        <w:t>，</w:t>
      </w:r>
      <w:r>
        <w:rPr>
          <w:rFonts w:eastAsia="仿宋_GB2312"/>
          <w:sz w:val="32"/>
          <w:szCs w:val="32"/>
        </w:rPr>
        <w:t>资金划拨等事项进行见证并出具法律意见书。</w:t>
      </w:r>
    </w:p>
    <w:p w14:paraId="7EF14F27">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基金设立之日起10个工作日内，基金管理人</w:t>
      </w:r>
      <w:r>
        <w:rPr>
          <w:rFonts w:hint="eastAsia" w:eastAsia="仿宋_GB2312"/>
          <w:kern w:val="0"/>
          <w:sz w:val="32"/>
          <w:szCs w:val="32"/>
        </w:rPr>
        <w:t>或者</w:t>
      </w:r>
      <w:r>
        <w:rPr>
          <w:rFonts w:eastAsia="仿宋_GB2312"/>
          <w:kern w:val="0"/>
          <w:sz w:val="32"/>
          <w:szCs w:val="32"/>
        </w:rPr>
        <w:t>财务顾问应当将法律意见书、发售总结报告等文件一并报送本所。</w:t>
      </w:r>
    </w:p>
    <w:p w14:paraId="0A769497">
      <w:pPr>
        <w:adjustRightInd w:val="0"/>
        <w:snapToGrid w:val="0"/>
        <w:spacing w:line="560" w:lineRule="exact"/>
        <w:jc w:val="center"/>
        <w:outlineLvl w:val="0"/>
        <w:rPr>
          <w:rFonts w:hint="eastAsia" w:ascii="黑体" w:hAnsi="黑体" w:eastAsia="黑体" w:cs="黑体"/>
          <w:bCs/>
          <w:sz w:val="32"/>
          <w:szCs w:val="32"/>
          <w:lang w:val="zh-CN"/>
        </w:rPr>
      </w:pPr>
      <w:r>
        <w:rPr>
          <w:rFonts w:hint="eastAsia" w:ascii="黑体" w:hAnsi="黑体" w:eastAsia="黑体" w:cs="黑体"/>
          <w:bCs/>
          <w:sz w:val="32"/>
          <w:szCs w:val="32"/>
          <w:lang w:val="zh-CN"/>
        </w:rPr>
        <w:t>第六章  不动产基金扩募发售</w:t>
      </w:r>
    </w:p>
    <w:p w14:paraId="022F1D6E">
      <w:pPr>
        <w:pStyle w:val="147"/>
        <w:widowControl/>
        <w:numPr>
          <w:ilvl w:val="0"/>
          <w:numId w:val="0"/>
        </w:numPr>
        <w:tabs>
          <w:tab w:val="left" w:pos="0"/>
        </w:tabs>
        <w:adjustRightInd w:val="0"/>
        <w:snapToGrid w:val="0"/>
        <w:spacing w:line="560" w:lineRule="exact"/>
        <w:ind w:left="0" w:leftChars="0" w:firstLine="652" w:firstLineChars="0"/>
        <w:rPr>
          <w:rFonts w:eastAsia="仿宋_GB2312"/>
          <w:sz w:val="32"/>
          <w:szCs w:val="32"/>
        </w:rPr>
      </w:pPr>
      <w:r>
        <w:rPr>
          <w:rFonts w:hint="eastAsia" w:ascii="仿宋_GB2312" w:hAnsi="仿宋_GB2312" w:eastAsia="仿宋_GB2312" w:cs="仿宋_GB2312"/>
          <w:b/>
          <w:bCs/>
          <w:kern w:val="2"/>
          <w:sz w:val="32"/>
          <w:szCs w:val="32"/>
          <w:lang w:val="zh-CN" w:eastAsia="zh-CN" w:bidi="ar-SA"/>
        </w:rPr>
        <w:t xml:space="preserve">第五十二条 </w:t>
      </w:r>
      <w:r>
        <w:rPr>
          <w:rFonts w:eastAsia="仿宋_GB2312"/>
          <w:sz w:val="32"/>
          <w:szCs w:val="32"/>
        </w:rPr>
        <w:t>不动产基金扩募的，可以向不动产基金原持有人配售份额，也可以向不特定对象</w:t>
      </w:r>
      <w:r>
        <w:rPr>
          <w:rFonts w:hint="eastAsia" w:eastAsia="仿宋_GB2312"/>
          <w:sz w:val="32"/>
          <w:szCs w:val="32"/>
        </w:rPr>
        <w:t>或者</w:t>
      </w:r>
      <w:r>
        <w:rPr>
          <w:rFonts w:eastAsia="仿宋_GB2312"/>
          <w:sz w:val="32"/>
          <w:szCs w:val="32"/>
        </w:rPr>
        <w:t>特定对象发售。</w:t>
      </w:r>
    </w:p>
    <w:p w14:paraId="6488BDC1">
      <w:pPr>
        <w:pStyle w:val="147"/>
        <w:widowControl/>
        <w:numPr>
          <w:ilvl w:val="0"/>
          <w:numId w:val="0"/>
        </w:numPr>
        <w:tabs>
          <w:tab w:val="left" w:pos="0"/>
        </w:tabs>
        <w:adjustRightInd w:val="0"/>
        <w:snapToGrid w:val="0"/>
        <w:spacing w:line="560" w:lineRule="exact"/>
        <w:ind w:left="0" w:leftChars="0" w:firstLine="652" w:firstLineChars="0"/>
        <w:rPr>
          <w:rFonts w:eastAsia="仿宋_GB2312"/>
          <w:sz w:val="32"/>
          <w:szCs w:val="32"/>
        </w:rPr>
      </w:pPr>
      <w:r>
        <w:rPr>
          <w:rFonts w:hint="eastAsia" w:ascii="仿宋_GB2312" w:hAnsi="仿宋_GB2312" w:eastAsia="仿宋_GB2312" w:cs="仿宋_GB2312"/>
          <w:b/>
          <w:bCs/>
          <w:kern w:val="2"/>
          <w:sz w:val="32"/>
          <w:szCs w:val="32"/>
          <w:lang w:val="zh-CN" w:eastAsia="zh-CN" w:bidi="ar-SA"/>
        </w:rPr>
        <w:t xml:space="preserve">第五十三条 </w:t>
      </w:r>
      <w:r>
        <w:rPr>
          <w:rFonts w:eastAsia="仿宋_GB2312"/>
          <w:sz w:val="32"/>
          <w:szCs w:val="32"/>
        </w:rPr>
        <w:t>基金管理人可以根据不动产基金二级市场交易价格和拟投资项目市场价值等有关因素，合理确定基金扩募发售价格</w:t>
      </w:r>
      <w:r>
        <w:rPr>
          <w:rFonts w:hint="eastAsia" w:eastAsia="仿宋_GB2312"/>
          <w:sz w:val="32"/>
          <w:szCs w:val="32"/>
        </w:rPr>
        <w:t>或者</w:t>
      </w:r>
      <w:r>
        <w:rPr>
          <w:rFonts w:eastAsia="仿宋_GB2312"/>
          <w:sz w:val="32"/>
          <w:szCs w:val="32"/>
        </w:rPr>
        <w:t>定价方式，以及相应的份额数量，并将其与扩募方案等其他事项报基金份额持有人大会决议通过。</w:t>
      </w:r>
    </w:p>
    <w:p w14:paraId="6CE4892D">
      <w:pPr>
        <w:pStyle w:val="147"/>
        <w:widowControl/>
        <w:numPr>
          <w:ilvl w:val="0"/>
          <w:numId w:val="0"/>
        </w:numPr>
        <w:tabs>
          <w:tab w:val="left" w:pos="0"/>
        </w:tabs>
        <w:adjustRightInd w:val="0"/>
        <w:snapToGrid w:val="0"/>
        <w:spacing w:line="560" w:lineRule="exact"/>
        <w:ind w:left="0" w:leftChars="0" w:firstLine="652" w:firstLineChars="0"/>
        <w:rPr>
          <w:rFonts w:eastAsia="仿宋_GB2312"/>
          <w:sz w:val="32"/>
          <w:szCs w:val="32"/>
        </w:rPr>
      </w:pPr>
      <w:r>
        <w:rPr>
          <w:rFonts w:hint="eastAsia" w:ascii="仿宋_GB2312" w:hAnsi="仿宋_GB2312" w:eastAsia="仿宋_GB2312" w:cs="仿宋_GB2312"/>
          <w:b/>
          <w:bCs/>
          <w:kern w:val="2"/>
          <w:sz w:val="32"/>
          <w:szCs w:val="32"/>
          <w:lang w:val="zh-CN" w:eastAsia="zh-CN" w:bidi="ar-SA"/>
        </w:rPr>
        <w:t xml:space="preserve">第五十四条 </w:t>
      </w:r>
      <w:r>
        <w:rPr>
          <w:rFonts w:eastAsia="仿宋_GB2312"/>
          <w:sz w:val="32"/>
          <w:szCs w:val="32"/>
        </w:rPr>
        <w:t>不动产基金扩募的，基金管理人应当向本所提交中国证监会同意变更注册的批准</w:t>
      </w:r>
      <w:r>
        <w:rPr>
          <w:rFonts w:hint="eastAsia" w:eastAsia="仿宋_GB2312"/>
          <w:sz w:val="32"/>
          <w:szCs w:val="32"/>
        </w:rPr>
        <w:t>或者</w:t>
      </w:r>
      <w:r>
        <w:rPr>
          <w:rFonts w:eastAsia="仿宋_GB2312"/>
          <w:sz w:val="32"/>
          <w:szCs w:val="32"/>
        </w:rPr>
        <w:t>备案文件复印件、扩募发售方案、扩募发售公告等文件。本所5个工作日内表示无异议的，基金管理人可以启动扩募发售工作。</w:t>
      </w:r>
    </w:p>
    <w:p w14:paraId="166F820E">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扩募发售方案中应当包括本次</w:t>
      </w:r>
      <w:r>
        <w:rPr>
          <w:rFonts w:eastAsia="仿宋_GB2312"/>
          <w:sz w:val="32"/>
          <w:szCs w:val="32"/>
        </w:rPr>
        <w:t>不动产</w:t>
      </w:r>
      <w:r>
        <w:rPr>
          <w:rFonts w:eastAsia="仿宋_GB2312"/>
          <w:kern w:val="0"/>
          <w:sz w:val="32"/>
          <w:szCs w:val="32"/>
        </w:rPr>
        <w:t>基金发售的种类</w:t>
      </w:r>
      <w:r>
        <w:rPr>
          <w:rFonts w:hint="eastAsia" w:eastAsia="仿宋_GB2312"/>
          <w:kern w:val="0"/>
          <w:sz w:val="32"/>
          <w:szCs w:val="32"/>
        </w:rPr>
        <w:t>和</w:t>
      </w:r>
      <w:r>
        <w:rPr>
          <w:rFonts w:eastAsia="仿宋_GB2312"/>
          <w:kern w:val="0"/>
          <w:sz w:val="32"/>
          <w:szCs w:val="32"/>
        </w:rPr>
        <w:t>数量、发售方式、发售对象</w:t>
      </w:r>
      <w:r>
        <w:rPr>
          <w:rFonts w:hint="eastAsia" w:eastAsia="仿宋_GB2312"/>
          <w:kern w:val="0"/>
          <w:sz w:val="32"/>
          <w:szCs w:val="32"/>
        </w:rPr>
        <w:t>、</w:t>
      </w:r>
      <w:r>
        <w:rPr>
          <w:rFonts w:eastAsia="仿宋_GB2312"/>
          <w:kern w:val="0"/>
          <w:sz w:val="32"/>
          <w:szCs w:val="32"/>
        </w:rPr>
        <w:t>向原基金份额持有人配售安排、基金扩募价格、募集资金用途、配售原则</w:t>
      </w:r>
      <w:r>
        <w:rPr>
          <w:rFonts w:hint="eastAsia" w:eastAsia="仿宋_GB2312"/>
          <w:kern w:val="0"/>
          <w:sz w:val="32"/>
          <w:szCs w:val="32"/>
        </w:rPr>
        <w:t>，以及</w:t>
      </w:r>
      <w:r>
        <w:rPr>
          <w:rFonts w:eastAsia="仿宋_GB2312"/>
          <w:kern w:val="0"/>
          <w:sz w:val="32"/>
          <w:szCs w:val="32"/>
        </w:rPr>
        <w:t>其他本所要求的事项。</w:t>
      </w:r>
    </w:p>
    <w:p w14:paraId="4EDD0C8E">
      <w:pPr>
        <w:adjustRightInd w:val="0"/>
        <w:snapToGrid w:val="0"/>
        <w:spacing w:line="560" w:lineRule="exact"/>
        <w:jc w:val="center"/>
        <w:outlineLvl w:val="0"/>
        <w:rPr>
          <w:rFonts w:hint="eastAsia" w:ascii="黑体" w:hAnsi="黑体" w:eastAsia="黑体" w:cs="黑体"/>
          <w:bCs/>
          <w:sz w:val="32"/>
          <w:szCs w:val="32"/>
          <w:lang w:val="zh-CN"/>
        </w:rPr>
      </w:pPr>
      <w:r>
        <w:rPr>
          <w:rFonts w:hint="eastAsia" w:ascii="黑体" w:hAnsi="黑体" w:eastAsia="黑体" w:cs="黑体"/>
          <w:bCs/>
          <w:sz w:val="32"/>
          <w:szCs w:val="32"/>
          <w:lang w:val="zh-CN"/>
        </w:rPr>
        <w:t>第七章  其他规定</w:t>
      </w:r>
    </w:p>
    <w:p w14:paraId="113789A4">
      <w:pPr>
        <w:pStyle w:val="147"/>
        <w:widowControl/>
        <w:numPr>
          <w:ilvl w:val="0"/>
          <w:numId w:val="0"/>
        </w:numPr>
        <w:tabs>
          <w:tab w:val="left" w:pos="0"/>
        </w:tabs>
        <w:adjustRightInd w:val="0"/>
        <w:snapToGrid w:val="0"/>
        <w:spacing w:line="560" w:lineRule="exact"/>
        <w:ind w:left="0" w:leftChars="0" w:firstLine="652" w:firstLineChars="0"/>
        <w:rPr>
          <w:rFonts w:eastAsia="仿宋_GB2312"/>
          <w:sz w:val="32"/>
          <w:szCs w:val="32"/>
        </w:rPr>
      </w:pPr>
      <w:r>
        <w:rPr>
          <w:rFonts w:hint="eastAsia" w:ascii="仿宋_GB2312" w:hAnsi="仿宋_GB2312" w:eastAsia="仿宋_GB2312" w:cs="仿宋_GB2312"/>
          <w:b/>
          <w:bCs/>
          <w:kern w:val="2"/>
          <w:sz w:val="32"/>
          <w:szCs w:val="32"/>
          <w:lang w:val="zh-CN" w:eastAsia="zh-CN" w:bidi="ar-SA"/>
        </w:rPr>
        <w:t xml:space="preserve">第五十五条 </w:t>
      </w:r>
      <w:r>
        <w:rPr>
          <w:rFonts w:eastAsia="仿宋_GB2312"/>
          <w:sz w:val="32"/>
          <w:szCs w:val="32"/>
        </w:rPr>
        <w:t>基金管理人应当在招募说明书中披露财务顾问费、审计与验资费、律师费、信息披露费</w:t>
      </w:r>
      <w:r>
        <w:rPr>
          <w:rFonts w:hint="eastAsia" w:eastAsia="仿宋_GB2312"/>
          <w:sz w:val="32"/>
          <w:szCs w:val="32"/>
        </w:rPr>
        <w:t>，</w:t>
      </w:r>
      <w:r>
        <w:rPr>
          <w:rFonts w:eastAsia="仿宋_GB2312"/>
          <w:sz w:val="32"/>
          <w:szCs w:val="32"/>
        </w:rPr>
        <w:t>以及发售的手续费等情况，并明确费用承担方式。</w:t>
      </w:r>
    </w:p>
    <w:p w14:paraId="1AA81B31">
      <w:pPr>
        <w:pStyle w:val="147"/>
        <w:widowControl/>
        <w:numPr>
          <w:ilvl w:val="0"/>
          <w:numId w:val="0"/>
        </w:numPr>
        <w:tabs>
          <w:tab w:val="left" w:pos="0"/>
        </w:tabs>
        <w:adjustRightInd w:val="0"/>
        <w:snapToGrid w:val="0"/>
        <w:spacing w:line="560" w:lineRule="exact"/>
        <w:ind w:left="0" w:leftChars="0" w:firstLine="652" w:firstLineChars="0"/>
        <w:rPr>
          <w:rFonts w:eastAsia="仿宋_GB2312"/>
          <w:sz w:val="32"/>
          <w:szCs w:val="32"/>
        </w:rPr>
      </w:pPr>
      <w:r>
        <w:rPr>
          <w:rFonts w:hint="eastAsia" w:ascii="仿宋_GB2312" w:hAnsi="仿宋_GB2312" w:eastAsia="仿宋_GB2312" w:cs="仿宋_GB2312"/>
          <w:b/>
          <w:bCs/>
          <w:kern w:val="2"/>
          <w:sz w:val="32"/>
          <w:szCs w:val="32"/>
          <w:lang w:val="zh-CN" w:eastAsia="zh-CN" w:bidi="ar-SA"/>
        </w:rPr>
        <w:t xml:space="preserve">第五十六条 </w:t>
      </w:r>
      <w:r>
        <w:rPr>
          <w:rFonts w:eastAsia="仿宋_GB2312"/>
          <w:sz w:val="32"/>
          <w:szCs w:val="32"/>
        </w:rPr>
        <w:t>基金管理人、财务顾问应当保留路演、定价、配售等过程中的相关资料至少15年并存档备查，包括推介宣传材料、路演现场录音等，</w:t>
      </w:r>
      <w:r>
        <w:rPr>
          <w:rFonts w:hint="eastAsia" w:eastAsia="仿宋_GB2312"/>
          <w:sz w:val="32"/>
          <w:szCs w:val="32"/>
        </w:rPr>
        <w:t>相关资料</w:t>
      </w:r>
      <w:r>
        <w:rPr>
          <w:rFonts w:hint="eastAsia" w:eastAsia="仿宋_GB2312"/>
          <w:sz w:val="32"/>
          <w:szCs w:val="32"/>
          <w:lang w:val="en-US"/>
        </w:rPr>
        <w:t>应当</w:t>
      </w:r>
      <w:r>
        <w:rPr>
          <w:rFonts w:eastAsia="仿宋_GB2312"/>
          <w:sz w:val="32"/>
          <w:szCs w:val="32"/>
        </w:rPr>
        <w:t>能如实、全面反映询价、定价和配售过程。</w:t>
      </w:r>
    </w:p>
    <w:p w14:paraId="3E27ECA2">
      <w:pPr>
        <w:pStyle w:val="147"/>
        <w:widowControl/>
        <w:numPr>
          <w:ilvl w:val="0"/>
          <w:numId w:val="0"/>
        </w:numPr>
        <w:tabs>
          <w:tab w:val="left" w:pos="0"/>
        </w:tabs>
        <w:adjustRightInd w:val="0"/>
        <w:snapToGrid w:val="0"/>
        <w:spacing w:line="560" w:lineRule="exact"/>
        <w:ind w:left="0" w:leftChars="0" w:firstLine="652" w:firstLineChars="0"/>
        <w:rPr>
          <w:rFonts w:eastAsia="仿宋_GB2312"/>
          <w:sz w:val="32"/>
          <w:szCs w:val="32"/>
        </w:rPr>
      </w:pPr>
      <w:r>
        <w:rPr>
          <w:rFonts w:hint="eastAsia" w:ascii="仿宋_GB2312" w:hAnsi="仿宋_GB2312" w:eastAsia="仿宋_GB2312" w:cs="仿宋_GB2312"/>
          <w:b/>
          <w:bCs/>
          <w:kern w:val="2"/>
          <w:sz w:val="32"/>
          <w:szCs w:val="32"/>
          <w:lang w:val="zh-CN" w:eastAsia="zh-CN" w:bidi="ar-SA"/>
        </w:rPr>
        <w:t xml:space="preserve">第五十七条 </w:t>
      </w:r>
      <w:r>
        <w:rPr>
          <w:rFonts w:eastAsia="仿宋_GB2312"/>
          <w:sz w:val="32"/>
          <w:szCs w:val="32"/>
        </w:rPr>
        <w:t>基金管理人、财务顾问、基金服务机构、投资者及其</w:t>
      </w:r>
      <w:r>
        <w:rPr>
          <w:rFonts w:hint="eastAsia" w:eastAsia="仿宋_GB2312"/>
          <w:sz w:val="32"/>
          <w:szCs w:val="32"/>
        </w:rPr>
        <w:t>有关</w:t>
      </w:r>
      <w:r>
        <w:rPr>
          <w:rFonts w:eastAsia="仿宋_GB2312"/>
          <w:sz w:val="32"/>
          <w:szCs w:val="32"/>
        </w:rPr>
        <w:t>人员存在下列情形的，本所可以视情节轻重，对其单独或者合并采取监管措施</w:t>
      </w:r>
      <w:r>
        <w:rPr>
          <w:rFonts w:hint="eastAsia" w:eastAsia="仿宋_GB2312"/>
          <w:sz w:val="32"/>
          <w:szCs w:val="32"/>
        </w:rPr>
        <w:t>或者</w:t>
      </w:r>
      <w:r>
        <w:rPr>
          <w:rFonts w:eastAsia="仿宋_GB2312"/>
          <w:sz w:val="32"/>
          <w:szCs w:val="32"/>
        </w:rPr>
        <w:t>纪律处分：</w:t>
      </w:r>
    </w:p>
    <w:p w14:paraId="1CADE7C8">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（一）在询价、配售活动中进行合谋报价、利益输送或者谋取其他不当利益；</w:t>
      </w:r>
    </w:p>
    <w:p w14:paraId="56A1B0D5">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（二）违反本指引的规定，向不符合要求的主体进行询价、配售；</w:t>
      </w:r>
    </w:p>
    <w:p w14:paraId="1409B8AB">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（三）未及时向本所报备发售方案，或者本所提出异议后仍然按</w:t>
      </w:r>
      <w:r>
        <w:rPr>
          <w:rFonts w:hint="eastAsia" w:eastAsia="仿宋_GB2312"/>
          <w:kern w:val="0"/>
          <w:sz w:val="32"/>
          <w:szCs w:val="32"/>
        </w:rPr>
        <w:t>照</w:t>
      </w:r>
      <w:r>
        <w:rPr>
          <w:rFonts w:eastAsia="仿宋_GB2312"/>
          <w:kern w:val="0"/>
          <w:sz w:val="32"/>
          <w:szCs w:val="32"/>
        </w:rPr>
        <w:t>原方案启动发售工作；</w:t>
      </w:r>
    </w:p>
    <w:p w14:paraId="53FE3111">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（四）基金管理人、财务顾问、基金服务机构等主体未按</w:t>
      </w:r>
      <w:r>
        <w:rPr>
          <w:rFonts w:hint="eastAsia" w:eastAsia="仿宋_GB2312"/>
          <w:kern w:val="0"/>
          <w:sz w:val="32"/>
          <w:szCs w:val="32"/>
        </w:rPr>
        <w:t>照</w:t>
      </w:r>
      <w:r>
        <w:rPr>
          <w:rFonts w:eastAsia="仿宋_GB2312"/>
          <w:kern w:val="0"/>
          <w:sz w:val="32"/>
          <w:szCs w:val="32"/>
        </w:rPr>
        <w:t>规定及时编制并披露发售信息披露文件，或者所披露信息不真实、不准确、不完整，存在虚假记载、误导性陈述或者重大遗漏；</w:t>
      </w:r>
    </w:p>
    <w:p w14:paraId="59AD34D0">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（五）参与战略配售的投资者、原始权益人违反其作出的限售期以及其他相关承诺；</w:t>
      </w:r>
    </w:p>
    <w:p w14:paraId="64CFEF05">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（六）基金管理人、财务顾问违反规定向原始权益人、投资者不当收取费用；</w:t>
      </w:r>
    </w:p>
    <w:p w14:paraId="18117C65">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（七）违反本指引的其他情形。</w:t>
      </w:r>
    </w:p>
    <w:p w14:paraId="6A4ACA4E">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涉嫌违反法律、行政法规</w:t>
      </w:r>
      <w:r>
        <w:rPr>
          <w:rFonts w:hint="eastAsia" w:eastAsia="仿宋_GB2312"/>
          <w:sz w:val="32"/>
          <w:szCs w:val="32"/>
        </w:rPr>
        <w:t>、</w:t>
      </w:r>
      <w:r>
        <w:rPr>
          <w:rFonts w:eastAsia="仿宋_GB2312"/>
          <w:kern w:val="0"/>
          <w:sz w:val="32"/>
          <w:szCs w:val="32"/>
        </w:rPr>
        <w:t>部门规章</w:t>
      </w:r>
      <w:r>
        <w:rPr>
          <w:rFonts w:hint="eastAsia" w:eastAsia="仿宋_GB2312"/>
          <w:sz w:val="32"/>
          <w:szCs w:val="32"/>
        </w:rPr>
        <w:t>和规范性文件</w:t>
      </w:r>
      <w:r>
        <w:rPr>
          <w:rFonts w:eastAsia="仿宋_GB2312"/>
          <w:kern w:val="0"/>
          <w:sz w:val="32"/>
          <w:szCs w:val="32"/>
        </w:rPr>
        <w:t>的，本所</w:t>
      </w:r>
      <w:r>
        <w:rPr>
          <w:rFonts w:hint="eastAsia" w:eastAsia="仿宋_GB2312"/>
          <w:sz w:val="32"/>
          <w:szCs w:val="32"/>
        </w:rPr>
        <w:t>将及时</w:t>
      </w:r>
      <w:r>
        <w:rPr>
          <w:rFonts w:eastAsia="仿宋_GB2312"/>
          <w:kern w:val="0"/>
          <w:sz w:val="32"/>
          <w:szCs w:val="32"/>
        </w:rPr>
        <w:t>报中国证监会</w:t>
      </w:r>
      <w:r>
        <w:rPr>
          <w:rFonts w:hint="eastAsia" w:eastAsia="仿宋_GB2312"/>
          <w:sz w:val="32"/>
          <w:szCs w:val="32"/>
        </w:rPr>
        <w:t>处理</w:t>
      </w:r>
      <w:r>
        <w:rPr>
          <w:rFonts w:eastAsia="仿宋_GB2312"/>
          <w:kern w:val="0"/>
          <w:sz w:val="32"/>
          <w:szCs w:val="32"/>
        </w:rPr>
        <w:t>。</w:t>
      </w:r>
    </w:p>
    <w:p w14:paraId="523FF491">
      <w:pPr>
        <w:adjustRightInd w:val="0"/>
        <w:snapToGrid w:val="0"/>
        <w:spacing w:line="560" w:lineRule="exact"/>
        <w:jc w:val="center"/>
        <w:outlineLvl w:val="0"/>
        <w:rPr>
          <w:rFonts w:hint="eastAsia" w:ascii="黑体" w:hAnsi="黑体" w:eastAsia="黑体" w:cs="黑体"/>
          <w:bCs/>
          <w:sz w:val="32"/>
          <w:szCs w:val="32"/>
          <w:lang w:val="zh-CN"/>
        </w:rPr>
      </w:pPr>
      <w:r>
        <w:rPr>
          <w:rFonts w:hint="eastAsia" w:ascii="黑体" w:hAnsi="黑体" w:eastAsia="黑体" w:cs="黑体"/>
          <w:bCs/>
          <w:sz w:val="32"/>
          <w:szCs w:val="32"/>
          <w:lang w:val="zh-CN"/>
        </w:rPr>
        <w:t>第八章  附  则</w:t>
      </w:r>
    </w:p>
    <w:p w14:paraId="7A963D88">
      <w:pPr>
        <w:pStyle w:val="147"/>
        <w:widowControl/>
        <w:numPr>
          <w:ilvl w:val="0"/>
          <w:numId w:val="0"/>
        </w:numPr>
        <w:tabs>
          <w:tab w:val="left" w:pos="0"/>
        </w:tabs>
        <w:adjustRightInd w:val="0"/>
        <w:snapToGrid w:val="0"/>
        <w:spacing w:line="560" w:lineRule="exact"/>
        <w:ind w:left="0" w:leftChars="0" w:firstLine="652" w:firstLineChars="0"/>
        <w:rPr>
          <w:rFonts w:eastAsia="仿宋_GB2312"/>
          <w:sz w:val="32"/>
          <w:szCs w:val="32"/>
        </w:rPr>
      </w:pPr>
      <w:r>
        <w:rPr>
          <w:rFonts w:hint="eastAsia" w:ascii="仿宋_GB2312" w:hAnsi="仿宋_GB2312" w:eastAsia="仿宋_GB2312" w:cs="仿宋_GB2312"/>
          <w:b/>
          <w:bCs/>
          <w:kern w:val="2"/>
          <w:sz w:val="32"/>
          <w:szCs w:val="32"/>
          <w:lang w:val="zh-CN" w:eastAsia="zh-CN" w:bidi="ar-SA"/>
        </w:rPr>
        <w:t xml:space="preserve">第五十八条 </w:t>
      </w:r>
      <w:r>
        <w:rPr>
          <w:rFonts w:eastAsia="仿宋_GB2312"/>
          <w:sz w:val="32"/>
          <w:szCs w:val="32"/>
        </w:rPr>
        <w:t>本指引由本所负责解释。</w:t>
      </w:r>
    </w:p>
    <w:p w14:paraId="70C388F5">
      <w:pPr>
        <w:pStyle w:val="147"/>
        <w:widowControl/>
        <w:numPr>
          <w:ilvl w:val="0"/>
          <w:numId w:val="0"/>
        </w:numPr>
        <w:tabs>
          <w:tab w:val="left" w:pos="0"/>
        </w:tabs>
        <w:adjustRightInd w:val="0"/>
        <w:snapToGrid w:val="0"/>
        <w:spacing w:line="560" w:lineRule="exact"/>
        <w:ind w:left="0" w:leftChars="0" w:firstLine="652" w:firstLineChars="0"/>
        <w:rPr>
          <w:rFonts w:eastAsia="仿宋_GB2312"/>
          <w:sz w:val="32"/>
          <w:szCs w:val="32"/>
        </w:rPr>
      </w:pPr>
      <w:r>
        <w:rPr>
          <w:rFonts w:hint="eastAsia" w:ascii="仿宋_GB2312" w:hAnsi="仿宋_GB2312" w:eastAsia="仿宋_GB2312" w:cs="仿宋_GB2312"/>
          <w:b/>
          <w:bCs/>
          <w:kern w:val="2"/>
          <w:sz w:val="32"/>
          <w:szCs w:val="32"/>
          <w:lang w:val="zh-CN" w:eastAsia="zh-CN" w:bidi="ar-SA"/>
        </w:rPr>
        <w:t xml:space="preserve">第五十九条 </w:t>
      </w:r>
      <w:r>
        <w:rPr>
          <w:rFonts w:eastAsia="仿宋_GB2312"/>
          <w:sz w:val="32"/>
          <w:szCs w:val="32"/>
        </w:rPr>
        <w:t>本指引自公布之日起施行。</w:t>
      </w:r>
      <w:r>
        <w:rPr>
          <w:rFonts w:hint="eastAsia" w:eastAsia="仿宋_GB2312"/>
          <w:sz w:val="32"/>
          <w:szCs w:val="32"/>
        </w:rPr>
        <w:t>本所</w:t>
      </w:r>
      <w:r>
        <w:rPr>
          <w:rFonts w:hint="eastAsia" w:eastAsia="仿宋_GB2312"/>
          <w:sz w:val="32"/>
          <w:szCs w:val="32"/>
          <w:lang w:val="en-US"/>
        </w:rPr>
        <w:t>于</w:t>
      </w:r>
      <w:r>
        <w:rPr>
          <w:rFonts w:hint="eastAsia" w:eastAsia="仿宋_GB2312"/>
          <w:sz w:val="32"/>
          <w:szCs w:val="32"/>
        </w:rPr>
        <w:t>20</w:t>
      </w:r>
      <w:r>
        <w:rPr>
          <w:rFonts w:hint="eastAsia" w:eastAsia="仿宋_GB2312"/>
          <w:sz w:val="32"/>
          <w:szCs w:val="32"/>
          <w:lang w:val="en-US"/>
        </w:rPr>
        <w:t>21</w:t>
      </w:r>
      <w:r>
        <w:rPr>
          <w:rFonts w:hint="eastAsia" w:eastAsia="仿宋_GB2312"/>
          <w:sz w:val="32"/>
          <w:szCs w:val="32"/>
        </w:rPr>
        <w:t>年</w:t>
      </w:r>
      <w:r>
        <w:rPr>
          <w:rFonts w:hint="eastAsia" w:eastAsia="仿宋_GB2312"/>
          <w:sz w:val="32"/>
          <w:szCs w:val="32"/>
          <w:lang w:val="en-US"/>
        </w:rPr>
        <w:t>1</w:t>
      </w:r>
      <w:r>
        <w:rPr>
          <w:rFonts w:hint="eastAsia" w:eastAsia="仿宋_GB2312"/>
          <w:sz w:val="32"/>
          <w:szCs w:val="32"/>
        </w:rPr>
        <w:t>月2</w:t>
      </w:r>
      <w:r>
        <w:rPr>
          <w:rFonts w:hint="eastAsia" w:eastAsia="仿宋_GB2312"/>
          <w:sz w:val="32"/>
          <w:szCs w:val="32"/>
          <w:lang w:val="en-US"/>
        </w:rPr>
        <w:t>9</w:t>
      </w:r>
      <w:r>
        <w:rPr>
          <w:rFonts w:hint="eastAsia" w:eastAsia="仿宋_GB2312"/>
          <w:sz w:val="32"/>
          <w:szCs w:val="32"/>
        </w:rPr>
        <w:t>日发布的</w:t>
      </w:r>
      <w:r>
        <w:rPr>
          <w:rFonts w:eastAsia="仿宋_GB2312"/>
          <w:kern w:val="0"/>
          <w:sz w:val="32"/>
          <w:szCs w:val="32"/>
        </w:rPr>
        <w:t>《上海证券交易所公开募集基础设施证券投资基金（REITs）规则适用指引第</w:t>
      </w:r>
      <w:r>
        <w:rPr>
          <w:rFonts w:hint="eastAsia" w:eastAsia="仿宋_GB2312"/>
          <w:kern w:val="0"/>
          <w:sz w:val="32"/>
          <w:szCs w:val="32"/>
          <w:lang w:val="en-US"/>
        </w:rPr>
        <w:t>2</w:t>
      </w:r>
      <w:r>
        <w:rPr>
          <w:rFonts w:eastAsia="仿宋_GB2312"/>
          <w:kern w:val="0"/>
          <w:sz w:val="32"/>
          <w:szCs w:val="32"/>
        </w:rPr>
        <w:t>号——</w:t>
      </w:r>
      <w:r>
        <w:rPr>
          <w:rFonts w:hint="eastAsia" w:eastAsia="仿宋_GB2312"/>
          <w:kern w:val="0"/>
          <w:sz w:val="32"/>
          <w:szCs w:val="32"/>
        </w:rPr>
        <w:t>发售业务</w:t>
      </w:r>
      <w:r>
        <w:rPr>
          <w:rFonts w:eastAsia="仿宋_GB2312"/>
          <w:kern w:val="0"/>
          <w:sz w:val="32"/>
          <w:szCs w:val="32"/>
        </w:rPr>
        <w:t>（试行）》（上证发〔202</w:t>
      </w:r>
      <w:r>
        <w:rPr>
          <w:rFonts w:hint="eastAsia" w:eastAsia="仿宋_GB2312"/>
          <w:kern w:val="0"/>
          <w:sz w:val="32"/>
          <w:szCs w:val="32"/>
          <w:lang w:val="en-US"/>
        </w:rPr>
        <w:t>1</w:t>
      </w:r>
      <w:r>
        <w:rPr>
          <w:rFonts w:eastAsia="仿宋_GB2312"/>
          <w:kern w:val="0"/>
          <w:sz w:val="32"/>
          <w:szCs w:val="32"/>
        </w:rPr>
        <w:t>〕</w:t>
      </w:r>
      <w:r>
        <w:rPr>
          <w:rFonts w:hint="eastAsia" w:eastAsia="仿宋_GB2312"/>
          <w:kern w:val="0"/>
          <w:sz w:val="32"/>
          <w:szCs w:val="32"/>
          <w:lang w:val="en-US"/>
        </w:rPr>
        <w:t>11</w:t>
      </w:r>
      <w:r>
        <w:rPr>
          <w:rFonts w:eastAsia="仿宋_GB2312"/>
          <w:kern w:val="0"/>
          <w:sz w:val="32"/>
          <w:szCs w:val="32"/>
        </w:rPr>
        <w:t>号）同时废止。</w:t>
      </w:r>
    </w:p>
    <w:p w14:paraId="390B53B6">
      <w:pPr>
        <w:adjustRightInd w:val="0"/>
        <w:snapToGrid w:val="0"/>
        <w:spacing w:line="560" w:lineRule="exact"/>
        <w:rPr>
          <w:rFonts w:eastAsia="华文中宋"/>
          <w:sz w:val="30"/>
          <w:szCs w:val="30"/>
        </w:rPr>
      </w:pPr>
    </w:p>
    <w:sectPr>
      <w:footerReference r:id="rId3" w:type="default"/>
      <w:footerReference r:id="rId4" w:type="even"/>
      <w:pgSz w:w="11906" w:h="16838"/>
      <w:pgMar w:top="1440" w:right="1800" w:bottom="1440" w:left="1800" w:header="0" w:footer="992"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D16DAD8-927A-46D8-94CF-0972A75A2B4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embedRegular r:id="rId2" w:fontKey="{54CC53F3-E517-44D8-A947-49EBABE0372C}"/>
  </w:font>
  <w:font w:name="仿宋_GB2312">
    <w:panose1 w:val="02010609030101010101"/>
    <w:charset w:val="86"/>
    <w:family w:val="auto"/>
    <w:pitch w:val="default"/>
    <w:sig w:usb0="00000001" w:usb1="080E0000" w:usb2="00000000" w:usb3="00000000" w:csb0="00040000" w:csb1="00000000"/>
    <w:embedRegular r:id="rId3" w:fontKey="{93386E9E-4FA1-4167-9552-186CA4BFE75E}"/>
  </w:font>
  <w:font w:name="Arial Unicode MS">
    <w:altName w:val="宋体"/>
    <w:panose1 w:val="020B0604020202020204"/>
    <w:charset w:val="86"/>
    <w:family w:val="swiss"/>
    <w:pitch w:val="default"/>
    <w:sig w:usb0="00000000" w:usb1="00000000" w:usb2="0000003F" w:usb3="00000000" w:csb0="003F01FF" w:csb1="00000000"/>
    <w:embedRegular r:id="rId4" w:fontKey="{AD5F148A-11C4-42A7-9CA7-75465BE314F3}"/>
  </w:font>
  <w:font w:name="Liberation Serif">
    <w:altName w:val="Times New Roman"/>
    <w:panose1 w:val="00000000000000000000"/>
    <w:charset w:val="01"/>
    <w:family w:val="roman"/>
    <w:pitch w:val="default"/>
    <w:sig w:usb0="00000000" w:usb1="00000000" w:usb2="00000000" w:usb3="00000000" w:csb0="00000000" w:csb1="00000000"/>
    <w:embedRegular r:id="rId5" w:fontKey="{382C6522-1C22-4B5E-86D7-F91C92A999EF}"/>
  </w:font>
  <w:font w:name="华文宋体">
    <w:altName w:val="宋体"/>
    <w:panose1 w:val="02010600040101010101"/>
    <w:charset w:val="86"/>
    <w:family w:val="auto"/>
    <w:pitch w:val="default"/>
    <w:sig w:usb0="00000000" w:usb1="00000000" w:usb2="00000010" w:usb3="00000000" w:csb0="0004009F" w:csb1="00000000"/>
    <w:embedRegular r:id="rId6" w:fontKey="{0775B855-A926-4F00-871A-6B7F84F2A87F}"/>
  </w:font>
  <w:font w:name="宋体;SimSun">
    <w:altName w:val="宋体"/>
    <w:panose1 w:val="00000000000000000000"/>
    <w:charset w:val="00"/>
    <w:family w:val="auto"/>
    <w:pitch w:val="default"/>
    <w:sig w:usb0="00000000" w:usb1="00000000" w:usb2="00000000" w:usb3="00000000" w:csb0="00000000" w:csb1="00000000"/>
  </w:font>
  <w:font w:name="黑体;SimHei">
    <w:altName w:val="黑体"/>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Univers">
    <w:altName w:val="Segoe Print"/>
    <w:panose1 w:val="00000000000000000000"/>
    <w:charset w:val="00"/>
    <w:family w:val="swiss"/>
    <w:pitch w:val="default"/>
    <w:sig w:usb0="00000000" w:usb1="00000000" w:usb2="00000000" w:usb3="00000000" w:csb0="0000000F" w:csb1="00000000"/>
  </w:font>
  <w:font w:name="Segoe Print">
    <w:panose1 w:val="02000600000000000000"/>
    <w:charset w:val="00"/>
    <w:family w:val="auto"/>
    <w:pitch w:val="default"/>
    <w:sig w:usb0="0000028F" w:usb1="00000000" w:usb2="00000000" w:usb3="00000000" w:csb0="2000009F" w:csb1="47010000"/>
  </w:font>
  <w:font w:name="MS Mincho;ＭＳ 明朝">
    <w:altName w:val="Segoe Print"/>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汉仪中等线简;宋体">
    <w:altName w:val="宋体"/>
    <w:panose1 w:val="00000000000000000000"/>
    <w:charset w:val="00"/>
    <w:family w:val="auto"/>
    <w:pitch w:val="default"/>
    <w:sig w:usb0="00000000" w:usb1="00000000" w:usb2="00000000" w:usb3="00000000" w:csb0="00000000" w:csb1="00000000"/>
  </w:font>
  <w:font w:name="方正大标宋简体;Arial Unicode MS">
    <w:altName w:val="宋体"/>
    <w:panose1 w:val="00000000000000000000"/>
    <w:charset w:val="00"/>
    <w:family w:val="auto"/>
    <w:pitch w:val="default"/>
    <w:sig w:usb0="00000000" w:usb1="00000000" w:usb2="00000000" w:usb3="00000000" w:csb0="00000000" w:csb1="00000000"/>
    <w:embedRegular r:id="rId7" w:fontKey="{E54B14AE-EC60-40AB-8CB4-9B999E30EBB2}"/>
  </w:font>
  <w:font w:name="华文中宋">
    <w:altName w:val="宋体"/>
    <w:panose1 w:val="02010600040101010101"/>
    <w:charset w:val="86"/>
    <w:family w:val="auto"/>
    <w:pitch w:val="default"/>
    <w:sig w:usb0="00000000" w:usb1="00000000" w:usb2="00000010" w:usb3="00000000" w:csb0="0004009F" w:csb1="00000000"/>
    <w:embedRegular r:id="rId8" w:fontKey="{678CA889-73E6-48AF-9B81-12998AE15A8F}"/>
  </w:font>
  <w:font w:name="ClassGarmnd BT;Times New Roman">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504020202020204"/>
    <w:charset w:val="00"/>
    <w:family w:val="auto"/>
    <w:pitch w:val="default"/>
    <w:sig w:usb0="00000000" w:usb1="00000000" w:usb2="00000000" w:usb3="00000000" w:csb0="00000093" w:csb1="00000000"/>
  </w:font>
  <w:font w:name="Frutiger 45 Light;Arial">
    <w:altName w:val="Segoe Print"/>
    <w:panose1 w:val="00000000000000000000"/>
    <w:charset w:val="00"/>
    <w:family w:val="auto"/>
    <w:pitch w:val="default"/>
    <w:sig w:usb0="00000000" w:usb1="00000000" w:usb2="00000000" w:usb3="00000000" w:csb0="00000000" w:csb1="00000000"/>
  </w:font>
  <w:font w:name="华文楷体">
    <w:altName w:val="楷体_GB2312"/>
    <w:panose1 w:val="02010600040101010101"/>
    <w:charset w:val="86"/>
    <w:family w:val="auto"/>
    <w:pitch w:val="default"/>
    <w:sig w:usb0="00000000" w:usb1="00000000" w:usb2="00000010" w:usb3="00000000" w:csb0="0004009F" w:csb1="00000000"/>
  </w:font>
  <w:font w:name="等线;Arial Unicode MS">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5998C">
    <w:pPr>
      <w:pStyle w:val="13"/>
      <w:jc w:val="right"/>
    </w:pPr>
    <w:r>
      <w:rPr>
        <w:rFonts w:ascii="仿宋_GB2312" w:hAnsi="仿宋_GB2312" w:eastAsia="仿宋_GB2312"/>
        <w:bCs/>
        <w:sz w:val="28"/>
      </w:rPr>
      <w:t>－</w:t>
    </w:r>
    <w:r>
      <w:rPr>
        <w:sz w:val="28"/>
      </w:rPr>
      <w:fldChar w:fldCharType="begin"/>
    </w:r>
    <w:r>
      <w:rPr>
        <w:sz w:val="28"/>
      </w:rPr>
      <w:instrText xml:space="preserve"> PAGE </w:instrText>
    </w:r>
    <w:r>
      <w:rPr>
        <w:sz w:val="28"/>
      </w:rPr>
      <w:fldChar w:fldCharType="separate"/>
    </w:r>
    <w:r>
      <w:rPr>
        <w:sz w:val="28"/>
      </w:rPr>
      <w:t>15</w:t>
    </w:r>
    <w:r>
      <w:rPr>
        <w:sz w:val="28"/>
      </w:rPr>
      <w:fldChar w:fldCharType="end"/>
    </w:r>
    <w:r>
      <w:rPr>
        <w:rFonts w:ascii="仿宋_GB2312" w:hAnsi="仿宋_GB2312" w:eastAsia="仿宋_GB2312"/>
        <w:bCs/>
        <w:sz w:val="28"/>
      </w:rPr>
      <w:t>－</w:t>
    </w:r>
    <w:r>
      <w:pict>
        <v:shape id="Frame1" o:spid="_x0000_s1025" o:spt="202" type="#_x0000_t202" style="position:absolute;left:0pt;margin-top:0.05pt;height:10.35pt;width:1.15pt;mso-position-horizontal:center;mso-position-horizontal-relative:margin;mso-wrap-distance-bottom:0pt;mso-wrap-distance-left:0pt;mso-wrap-distance-right:0pt;mso-wrap-distance-top:0pt;z-index:251659264;mso-width-relative:page;mso-height-relative:page;" stroked="f"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qmGoQEAAEMDAAAOAAAAZHJzL2Uyb0RvYy54bWysUttu2zAMfR+wfxD03shp02Iw4hTdigwD&#10;hm1Auw+QZSkWIIsCpcbO34+Scynat6F+kEmROuQ55Pp+Ghzba4wWfMOXi4oz7RV01u8a/vd5e/WF&#10;s5ik76QDrxt+0JHfbz5/Wo+h1tfQg+s0MgLxsR5Dw/uUQi1EVL0eZFxA0J6CBnCQiVzciQ7lSOiD&#10;E9dVdSdGwC4gKB0j3T7OQb4p+MZolX4bE3ViruHUWyonlrPNp9isZb1DGXqrjm3I/+hikNZT0TPU&#10;o0ySvaB9BzVYhRDBpIWCQYAxVunCgdgsqzdsnnoZdOFC4sRwlil+HKz6tX8Kf5Cl6StMNMAsyBhi&#10;Heky85kMDvlPnTKKk4SHs2x6SkzlR6u76pYzRZHlzXK1us0g4vI2YEzfNQwsGw1HGkrRSu5/xjSn&#10;nlJyqQjOdlvrXHFw135zyPaSBrgt3/zWhV7Ot2WIVC7OqaX0KwxxoZOtNLXTkWML3YGoux+eBM3L&#10;cTLwZLQnQ3rVA63N3LiHh5cExpbmM+iMRJWzQ5MqPRy3Kq/Ca79kXXZ/8w8AAP//AwBQSwMEFAAG&#10;AAgAAAAhAF88aenYAAAAAgEAAA8AAABkcnMvZG93bnJldi54bWxMj81OwzAQhO9IvIO1SL1Rh1SC&#10;NMSp+iO4ItJKvbrxNo4Sr6PYbcPbsz3BaTU7q5lvi9XkenHFMbSeFLzMExBItTctNQoO+4/nDESI&#10;mozuPaGCHwywKh8fCp0bf6NvvFaxERxCIdcKbIxDLmWoLTod5n5AYu/sR6cjy7GRZtQ3Dne9TJPk&#10;VTrdEjdYPeDWYt1VF6dg8ZW+HcNntdsOR1x2Wdh0Z7JKzZ6m9TuIiFP8O4Y7PqNDyUwnfyETRK+A&#10;H4n3rWAvXYA48UgykGUh/6OXvwAAAP//AwBQSwECLQAUAAYACAAAACEAtoM4kv4AAADhAQAAEwAA&#10;AAAAAAAAAAAAAAAAAAAAW0NvbnRlbnRfVHlwZXNdLnhtbFBLAQItABQABgAIAAAAIQA4/SH/1gAA&#10;AJQBAAALAAAAAAAAAAAAAAAAAC8BAABfcmVscy8ucmVsc1BLAQItABQABgAIAAAAIQCMcqmGoQEA&#10;AEMDAAAOAAAAAAAAAAAAAAAAAC4CAABkcnMvZTJvRG9jLnhtbFBLAQItABQABgAIAAAAIQBfPGnp&#10;2AAAAAIBAAAPAAAAAAAAAAAAAAAAAPsDAABkcnMvZG93bnJldi54bWxQSwUGAAAAAAQABADzAAAA&#10;AAUAAAAA&#10;">
          <v:path/>
          <v:fill opacity="0f" focussize="0,0"/>
          <v:stroke on="f" joinstyle="miter"/>
          <v:imagedata o:title=""/>
          <o:lock v:ext="edit"/>
          <v:textbox inset="0mm,0mm,0mm,0mm">
            <w:txbxContent>
              <w:p w14:paraId="01FC1505">
                <w:pPr>
                  <w:pStyle w:val="13"/>
                  <w:jc w:val="center"/>
                  <w:rPr>
                    <w:rStyle w:val="21"/>
                  </w:rPr>
                </w:pPr>
              </w:p>
            </w:txbxContent>
          </v:textbox>
          <w10:wrap type="squar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8AD44">
    <w:pPr>
      <w:pStyle w:val="13"/>
    </w:pPr>
    <w:r>
      <w:rPr>
        <w:rFonts w:ascii="仿宋_GB2312" w:hAnsi="仿宋_GB2312" w:eastAsia="仿宋_GB2312"/>
        <w:bCs/>
        <w:sz w:val="28"/>
      </w:rPr>
      <w:t>－</w:t>
    </w:r>
    <w:r>
      <w:rPr>
        <w:sz w:val="28"/>
      </w:rPr>
      <w:fldChar w:fldCharType="begin"/>
    </w:r>
    <w:r>
      <w:rPr>
        <w:sz w:val="28"/>
      </w:rPr>
      <w:instrText xml:space="preserve"> PAGE </w:instrText>
    </w:r>
    <w:r>
      <w:rPr>
        <w:sz w:val="28"/>
      </w:rPr>
      <w:fldChar w:fldCharType="separate"/>
    </w:r>
    <w:r>
      <w:rPr>
        <w:sz w:val="28"/>
      </w:rPr>
      <w:t>16</w:t>
    </w:r>
    <w:r>
      <w:rPr>
        <w:sz w:val="28"/>
      </w:rPr>
      <w:fldChar w:fldCharType="end"/>
    </w:r>
    <w:r>
      <w:rPr>
        <w:rFonts w:ascii="仿宋_GB2312" w:hAnsi="仿宋_GB2312" w:eastAsia="仿宋_GB2312"/>
        <w:bCs/>
        <w:sz w:val="28"/>
      </w:rPr>
      <w:t>－</w:t>
    </w:r>
    <w:r>
      <w:pict>
        <v:shape id="Frame2" o:spid="_x0000_s1026" o:spt="202" type="#_x0000_t202" style="position:absolute;left:0pt;margin-top:0.05pt;height:10.35pt;width:1.15pt;mso-position-horizontal:center;mso-position-horizontal-relative:margin;mso-wrap-distance-bottom:0pt;mso-wrap-distance-left:0pt;mso-wrap-distance-right:0pt;mso-wrap-distance-top:0pt;z-index:251659264;mso-width-relative:page;mso-height-relative:page;" stroked="f"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v5pQEAAEoDAAAOAAAAZHJzL2Uyb0RvYy54bWysU9tu2zAMfR+wfxD03thp02Iw4hTdigwD&#10;hm1Auw+QZSkWIImCqMbO34+Smwvat6F5UEiROuQ5pNf3k7NsryIa8C1fLmrOlJfQG79r+d/n7dUX&#10;zjAJ3wsLXrX8oJDfbz5/Wo+hUdcwgO1VZATisRlDy4eUQlNVKAflBC4gKE9BDdGJRG7cVX0UI6E7&#10;W13X9V01QuxDBKkQ6fZxDvJNwddayfRba1SJ2ZZTb6mcsZxdPqvNWjS7KMJg5Gsb4j+6cMJ4KnqC&#10;ehRJsJdo3kE5IyMg6LSQ4CrQ2khVOBCbZf2GzdMggipcSBwMJ5nw42Dlr/1T+BNZmr7CRAPMgowB&#10;G6TLzGfS0eV/6pRRnCQ8nGRTU2IyP1rd1becSYosb5ar1W0Gqc5vQ8T0XYFj2Wh5pKEUrcT+J6Y5&#10;9ZiSSyFY02+NtcWJu+6bjWwvaIDb8pvf2jCI+bYMkcrhnFpKX2BUZzrZSlM3MdNfUO2gP5AC9ocn&#10;XfOOHI14NLqjIbwcgLZn7t/Dw0sCbQqHjD0jUQPZoYGVVl6XK2/EpV+yzp/A5h8AAAD//wMAUEsD&#10;BBQABgAIAAAAIQBfPGnp2AAAAAIBAAAPAAAAZHJzL2Rvd25yZXYueG1sTI/NTsMwEITvSLyDtUi9&#10;UYdUgjTEqfojuCLSSr268TaOEq+j2G3D27M9wWk1O6uZb4vV5HpxxTG0nhS8zBMQSLU3LTUKDvuP&#10;5wxEiJqM7j2hgh8MsCofHwqdG3+jb7xWsREcQiHXCmyMQy5lqC06HeZ+QGLv7EenI8uxkWbUNw53&#10;vUyT5FU63RI3WD3g1mLdVRenYPGVvh3DZ7XbDkdcdlnYdGeySs2epvU7iIhT/DuGOz6jQ8lMJ38h&#10;E0SvgB+J961gL12AOPFIMpBlIf+jl78AAAD//wMAUEsBAi0AFAAGAAgAAAAhALaDOJL+AAAA4QEA&#10;ABMAAAAAAAAAAAAAAAAAAAAAAFtDb250ZW50X1R5cGVzXS54bWxQSwECLQAUAAYACAAAACEAOP0h&#10;/9YAAACUAQAACwAAAAAAAAAAAAAAAAAvAQAAX3JlbHMvLnJlbHNQSwECLQAUAAYACAAAACEApQ/7&#10;+aUBAABKAwAADgAAAAAAAAAAAAAAAAAuAgAAZHJzL2Uyb0RvYy54bWxQSwECLQAUAAYACAAAACEA&#10;Xzxp6dgAAAACAQAADwAAAAAAAAAAAAAAAAD/AwAAZHJzL2Rvd25yZXYueG1sUEsFBgAAAAAEAAQA&#10;8wAAAAQFAAAAAA==&#10;">
          <v:path/>
          <v:fill opacity="0f" focussize="0,0"/>
          <v:stroke on="f" joinstyle="miter"/>
          <v:imagedata o:title=""/>
          <o:lock v:ext="edit"/>
          <v:textbox inset="0mm,0mm,0mm,0mm">
            <w:txbxContent>
              <w:p w14:paraId="42EA9963">
                <w:pPr>
                  <w:pStyle w:val="13"/>
                  <w:rPr>
                    <w:rStyle w:val="21"/>
                  </w:rPr>
                </w:pPr>
              </w:p>
            </w:txbxContent>
          </v:textbox>
          <w10:wrap type="square"/>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chineseCountingThousand"/>
      <w:pStyle w:val="163"/>
      <w:lvlText w:val="第%1条"/>
      <w:lvlJc w:val="left"/>
      <w:pPr>
        <w:tabs>
          <w:tab w:val="left" w:pos="0"/>
        </w:tabs>
        <w:ind w:left="3045" w:hanging="420"/>
      </w:pPr>
      <w:rPr>
        <w:rFonts w:ascii="仿宋_GB2312" w:hAnsi="仿宋_GB2312" w:eastAsia="仿宋_GB2312" w:cs="Times New Roman"/>
        <w:b/>
        <w:sz w:val="30"/>
        <w:szCs w:val="30"/>
      </w:rPr>
    </w:lvl>
  </w:abstractNum>
  <w:abstractNum w:abstractNumId="1">
    <w:nsid w:val="0053208E"/>
    <w:multiLevelType w:val="multilevel"/>
    <w:tmpl w:val="0053208E"/>
    <w:lvl w:ilvl="0" w:tentative="0">
      <w:start w:val="1"/>
      <w:numFmt w:val="none"/>
      <w:pStyle w:val="2"/>
      <w:suff w:val="nothing"/>
      <w:lvlText w:val=""/>
      <w:lvlJc w:val="left"/>
      <w:pPr>
        <w:tabs>
          <w:tab w:val="left" w:pos="0"/>
        </w:tabs>
        <w:ind w:left="0" w:firstLine="0"/>
      </w:pPr>
    </w:lvl>
    <w:lvl w:ilvl="1" w:tentative="0">
      <w:start w:val="1"/>
      <w:numFmt w:val="none"/>
      <w:pStyle w:val="3"/>
      <w:suff w:val="nothing"/>
      <w:lvlText w:val=""/>
      <w:lvlJc w:val="left"/>
      <w:pPr>
        <w:tabs>
          <w:tab w:val="left" w:pos="0"/>
        </w:tabs>
        <w:ind w:left="0" w:firstLine="0"/>
      </w:pPr>
    </w:lvl>
    <w:lvl w:ilvl="2" w:tentative="0">
      <w:start w:val="1"/>
      <w:numFmt w:val="none"/>
      <w:pStyle w:val="4"/>
      <w:suff w:val="nothing"/>
      <w:lvlText w:val=""/>
      <w:lvlJc w:val="left"/>
      <w:pPr>
        <w:tabs>
          <w:tab w:val="left" w:pos="0"/>
        </w:tabs>
        <w:ind w:left="0" w:firstLine="0"/>
      </w:pPr>
    </w:lvl>
    <w:lvl w:ilvl="3" w:tentative="0">
      <w:start w:val="1"/>
      <w:numFmt w:val="none"/>
      <w:pStyle w:val="5"/>
      <w:suff w:val="nothing"/>
      <w:lvlText w:val=""/>
      <w:lvlJc w:val="left"/>
      <w:pPr>
        <w:tabs>
          <w:tab w:val="left" w:pos="0"/>
        </w:tabs>
        <w:ind w:left="0" w:firstLine="0"/>
      </w:pPr>
    </w:lvl>
    <w:lvl w:ilvl="4" w:tentative="0">
      <w:start w:val="1"/>
      <w:numFmt w:val="none"/>
      <w:pStyle w:val="6"/>
      <w:suff w:val="nothing"/>
      <w:lvlText w:val=""/>
      <w:lvlJc w:val="left"/>
      <w:pPr>
        <w:tabs>
          <w:tab w:val="left" w:pos="0"/>
        </w:tabs>
        <w:ind w:left="0" w:firstLine="0"/>
      </w:pPr>
    </w:lvl>
    <w:lvl w:ilvl="5" w:tentative="0">
      <w:start w:val="1"/>
      <w:numFmt w:val="none"/>
      <w:pStyle w:val="7"/>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2">
    <w:nsid w:val="59ADCABA"/>
    <w:multiLevelType w:val="multilevel"/>
    <w:tmpl w:val="59ADCABA"/>
    <w:lvl w:ilvl="0" w:tentative="0">
      <w:start w:val="1"/>
      <w:numFmt w:val="decimal"/>
      <w:pStyle w:val="173"/>
      <w:lvlText w:val="%1."/>
      <w:lvlJc w:val="left"/>
      <w:pPr>
        <w:tabs>
          <w:tab w:val="left" w:pos="567"/>
        </w:tabs>
        <w:ind w:left="567" w:hanging="567"/>
      </w:pPr>
      <w:rPr>
        <w:rFonts w:ascii="Times New Roman" w:hAnsi="Times New Roman" w:cs="Times New Roman"/>
        <w:color w:val="000000"/>
        <w:sz w:val="24"/>
        <w:szCs w:val="24"/>
      </w:rPr>
    </w:lvl>
    <w:lvl w:ilvl="1" w:tentative="0">
      <w:start w:val="1"/>
      <w:numFmt w:val="decimal"/>
      <w:lvlText w:val="%1.%2."/>
      <w:lvlJc w:val="left"/>
      <w:pPr>
        <w:tabs>
          <w:tab w:val="left" w:pos="851"/>
        </w:tabs>
        <w:ind w:left="851" w:hanging="851"/>
      </w:pPr>
      <w:rPr>
        <w:rFonts w:ascii="Times New Roman" w:hAnsi="Times New Roman" w:cs="Times New Roman"/>
        <w:color w:val="000000"/>
        <w:sz w:val="24"/>
        <w:szCs w:val="24"/>
      </w:rPr>
    </w:lvl>
    <w:lvl w:ilvl="2" w:tentative="0">
      <w:start w:val="1"/>
      <w:numFmt w:val="decimal"/>
      <w:lvlText w:val="%1.%2.%3."/>
      <w:lvlJc w:val="left"/>
      <w:pPr>
        <w:tabs>
          <w:tab w:val="left" w:pos="1134"/>
        </w:tabs>
        <w:ind w:left="1134" w:hanging="1134"/>
      </w:pPr>
      <w:rPr>
        <w:rFonts w:ascii="Times New Roman" w:hAnsi="Times New Roman" w:cs="Times New Roman"/>
        <w:color w:val="000000"/>
        <w:sz w:val="24"/>
        <w:szCs w:val="24"/>
      </w:rPr>
    </w:lvl>
    <w:lvl w:ilvl="3" w:tentative="0">
      <w:start w:val="1"/>
      <w:numFmt w:val="decimal"/>
      <w:lvlText w:val="%1.%2.%3.%4."/>
      <w:lvlJc w:val="left"/>
      <w:pPr>
        <w:tabs>
          <w:tab w:val="left" w:pos="1418"/>
        </w:tabs>
        <w:ind w:left="1418" w:hanging="1418"/>
      </w:pPr>
      <w:rPr>
        <w:rFonts w:ascii="Times New Roman" w:hAnsi="Times New Roman" w:cs="Times New Roman"/>
        <w:color w:val="000000"/>
        <w:sz w:val="24"/>
        <w:szCs w:val="24"/>
      </w:rPr>
    </w:lvl>
    <w:lvl w:ilvl="4" w:tentative="0">
      <w:start w:val="1"/>
      <w:numFmt w:val="decimal"/>
      <w:lvlText w:val="%1.%2.%3.%4.%5."/>
      <w:lvlJc w:val="left"/>
      <w:pPr>
        <w:tabs>
          <w:tab w:val="left" w:pos="1701"/>
        </w:tabs>
        <w:ind w:left="1701" w:hanging="1701"/>
      </w:pPr>
      <w:rPr>
        <w:rFonts w:ascii="Times New Roman" w:hAnsi="Times New Roman" w:cs="Times New Roman"/>
        <w:color w:val="000000"/>
        <w:sz w:val="24"/>
        <w:szCs w:val="24"/>
      </w:rPr>
    </w:lvl>
    <w:lvl w:ilvl="5" w:tentative="0">
      <w:start w:val="1"/>
      <w:numFmt w:val="decimal"/>
      <w:lvlText w:val="%1.%2.%3.%4.%5.%6."/>
      <w:lvlJc w:val="left"/>
      <w:pPr>
        <w:tabs>
          <w:tab w:val="left" w:pos="1985"/>
        </w:tabs>
        <w:ind w:left="1985" w:hanging="1985"/>
      </w:pPr>
      <w:rPr>
        <w:rFonts w:ascii="Times New Roman" w:hAnsi="Times New Roman" w:cs="Times New Roman"/>
        <w:color w:val="000000"/>
        <w:sz w:val="24"/>
        <w:szCs w:val="24"/>
      </w:rPr>
    </w:lvl>
    <w:lvl w:ilvl="6" w:tentative="0">
      <w:start w:val="1"/>
      <w:numFmt w:val="decimal"/>
      <w:lvlText w:val="%1.%2.%3.%4.%5.%6.%7."/>
      <w:lvlJc w:val="left"/>
      <w:pPr>
        <w:tabs>
          <w:tab w:val="left" w:pos="2268"/>
        </w:tabs>
        <w:ind w:left="2268" w:hanging="2268"/>
      </w:pPr>
      <w:rPr>
        <w:rFonts w:ascii="Times New Roman" w:hAnsi="Times New Roman" w:cs="Times New Roman"/>
        <w:color w:val="000000"/>
        <w:sz w:val="24"/>
        <w:szCs w:val="24"/>
      </w:rPr>
    </w:lvl>
    <w:lvl w:ilvl="7" w:tentative="0">
      <w:start w:val="1"/>
      <w:numFmt w:val="decimal"/>
      <w:lvlText w:val="%1.%2.%3.%4.%5.%6.%7.%8."/>
      <w:lvlJc w:val="left"/>
      <w:pPr>
        <w:tabs>
          <w:tab w:val="left" w:pos="2552"/>
        </w:tabs>
        <w:ind w:left="2552" w:hanging="2552"/>
      </w:pPr>
      <w:rPr>
        <w:rFonts w:ascii="Times New Roman" w:hAnsi="Times New Roman" w:cs="Times New Roman"/>
        <w:color w:val="000000"/>
        <w:sz w:val="24"/>
        <w:szCs w:val="24"/>
      </w:rPr>
    </w:lvl>
    <w:lvl w:ilvl="8" w:tentative="0">
      <w:start w:val="1"/>
      <w:numFmt w:val="decimal"/>
      <w:lvlText w:val="%1.%2.%3.%4.%5.%6.%7.%8.%9."/>
      <w:lvlJc w:val="left"/>
      <w:pPr>
        <w:tabs>
          <w:tab w:val="left" w:pos="2835"/>
        </w:tabs>
        <w:ind w:left="2835" w:hanging="2835"/>
      </w:pPr>
      <w:rPr>
        <w:rFonts w:ascii="Univers" w:hAnsi="Univers" w:cs="Times New Roman"/>
        <w:sz w:val="24"/>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1"/>
  <w:bordersDoNotSurroundFooter w:val="1"/>
  <w:doNotTrackMoves/>
  <w:documentProtection w:enforcement="0"/>
  <w:defaultTabStop w:val="420"/>
  <w:autoHyphenation/>
  <w:hyphenationZone w:val="0"/>
  <w:evenAndOddHeaders w:val="1"/>
  <w:characterSpacingControl w:val="doNotCompress"/>
  <w:hdrShapeDefaults>
    <o:shapelayout v:ext="edit">
      <o:idmap v:ext="edit" data="1"/>
    </o:shapelayout>
  </w:hdrShapeDefaults>
  <w:compat>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CB9"/>
    <w:rsid w:val="00031A05"/>
    <w:rsid w:val="0018720C"/>
    <w:rsid w:val="00214BDB"/>
    <w:rsid w:val="002862D5"/>
    <w:rsid w:val="002A0318"/>
    <w:rsid w:val="002E10D4"/>
    <w:rsid w:val="004747FF"/>
    <w:rsid w:val="004A0CB9"/>
    <w:rsid w:val="004B3B56"/>
    <w:rsid w:val="00540F26"/>
    <w:rsid w:val="005B1D9C"/>
    <w:rsid w:val="0077198D"/>
    <w:rsid w:val="00943ACA"/>
    <w:rsid w:val="009A2F79"/>
    <w:rsid w:val="00B37259"/>
    <w:rsid w:val="00DA629F"/>
    <w:rsid w:val="00EB4BC5"/>
    <w:rsid w:val="00FB7E60"/>
    <w:rsid w:val="020236B3"/>
    <w:rsid w:val="022F0983"/>
    <w:rsid w:val="02815172"/>
    <w:rsid w:val="05884CFE"/>
    <w:rsid w:val="07504EC1"/>
    <w:rsid w:val="07ED0962"/>
    <w:rsid w:val="08313490"/>
    <w:rsid w:val="09062803"/>
    <w:rsid w:val="09E244F6"/>
    <w:rsid w:val="0BB75764"/>
    <w:rsid w:val="0EAF24CD"/>
    <w:rsid w:val="0F726AB7"/>
    <w:rsid w:val="116200AB"/>
    <w:rsid w:val="12282CC2"/>
    <w:rsid w:val="13693592"/>
    <w:rsid w:val="147646D5"/>
    <w:rsid w:val="158C3568"/>
    <w:rsid w:val="15DA0777"/>
    <w:rsid w:val="17EA4F32"/>
    <w:rsid w:val="19642B86"/>
    <w:rsid w:val="1DB1DDF7"/>
    <w:rsid w:val="1F7F1A7F"/>
    <w:rsid w:val="20C31E08"/>
    <w:rsid w:val="20CA3908"/>
    <w:rsid w:val="23256EDA"/>
    <w:rsid w:val="241700A6"/>
    <w:rsid w:val="248221CF"/>
    <w:rsid w:val="24B11BFE"/>
    <w:rsid w:val="2665408D"/>
    <w:rsid w:val="2678331D"/>
    <w:rsid w:val="27194789"/>
    <w:rsid w:val="27F03E2A"/>
    <w:rsid w:val="29115E06"/>
    <w:rsid w:val="2AEC50EA"/>
    <w:rsid w:val="2CD2648D"/>
    <w:rsid w:val="2CE624E0"/>
    <w:rsid w:val="2E1563DF"/>
    <w:rsid w:val="2E6141FF"/>
    <w:rsid w:val="2F4775AF"/>
    <w:rsid w:val="2F9E416C"/>
    <w:rsid w:val="3369683F"/>
    <w:rsid w:val="35690B56"/>
    <w:rsid w:val="356E638F"/>
    <w:rsid w:val="35FC8196"/>
    <w:rsid w:val="36C546D4"/>
    <w:rsid w:val="37576CD7"/>
    <w:rsid w:val="37C60704"/>
    <w:rsid w:val="37DF6106"/>
    <w:rsid w:val="38691BA8"/>
    <w:rsid w:val="39933934"/>
    <w:rsid w:val="3B862684"/>
    <w:rsid w:val="3BDA2611"/>
    <w:rsid w:val="3BFF121D"/>
    <w:rsid w:val="3C5742AA"/>
    <w:rsid w:val="3DBB586E"/>
    <w:rsid w:val="3DFF055B"/>
    <w:rsid w:val="3E630A5B"/>
    <w:rsid w:val="3F5900B0"/>
    <w:rsid w:val="40271F5C"/>
    <w:rsid w:val="41294368"/>
    <w:rsid w:val="422E75D1"/>
    <w:rsid w:val="46095A4C"/>
    <w:rsid w:val="464527DD"/>
    <w:rsid w:val="474358CD"/>
    <w:rsid w:val="48DB1B35"/>
    <w:rsid w:val="49C81A58"/>
    <w:rsid w:val="4CF6639B"/>
    <w:rsid w:val="4D057181"/>
    <w:rsid w:val="4E031912"/>
    <w:rsid w:val="4F1813ED"/>
    <w:rsid w:val="4F4C72E9"/>
    <w:rsid w:val="4FA9473B"/>
    <w:rsid w:val="51CB2747"/>
    <w:rsid w:val="523F1387"/>
    <w:rsid w:val="55BD684B"/>
    <w:rsid w:val="55C86FF0"/>
    <w:rsid w:val="5697709C"/>
    <w:rsid w:val="56C219C1"/>
    <w:rsid w:val="5892342E"/>
    <w:rsid w:val="592807AA"/>
    <w:rsid w:val="596C0CB3"/>
    <w:rsid w:val="5B3E6680"/>
    <w:rsid w:val="5B5D1ED1"/>
    <w:rsid w:val="5D1F0AEC"/>
    <w:rsid w:val="5EFD661C"/>
    <w:rsid w:val="60200932"/>
    <w:rsid w:val="61160CDE"/>
    <w:rsid w:val="61642270"/>
    <w:rsid w:val="6280757E"/>
    <w:rsid w:val="65CD5537"/>
    <w:rsid w:val="660D6AFB"/>
    <w:rsid w:val="661A250E"/>
    <w:rsid w:val="67FF12F9"/>
    <w:rsid w:val="67FF2EE1"/>
    <w:rsid w:val="681308CA"/>
    <w:rsid w:val="6BBF142A"/>
    <w:rsid w:val="6C467142"/>
    <w:rsid w:val="6C637940"/>
    <w:rsid w:val="6D21195D"/>
    <w:rsid w:val="6D95035A"/>
    <w:rsid w:val="6DEB13AA"/>
    <w:rsid w:val="6DF37591"/>
    <w:rsid w:val="6FFF7483"/>
    <w:rsid w:val="71437225"/>
    <w:rsid w:val="71E219DE"/>
    <w:rsid w:val="71E75327"/>
    <w:rsid w:val="730E3B99"/>
    <w:rsid w:val="736D76AA"/>
    <w:rsid w:val="73BDE9F8"/>
    <w:rsid w:val="74143FCA"/>
    <w:rsid w:val="74CC21AE"/>
    <w:rsid w:val="76F3CA31"/>
    <w:rsid w:val="777FA703"/>
    <w:rsid w:val="77AF0048"/>
    <w:rsid w:val="77E7639E"/>
    <w:rsid w:val="7B5F31AB"/>
    <w:rsid w:val="7B8F3F36"/>
    <w:rsid w:val="7BFA3EC6"/>
    <w:rsid w:val="7DFD1C7F"/>
    <w:rsid w:val="7E19362B"/>
    <w:rsid w:val="7E301A00"/>
    <w:rsid w:val="7E3A63DB"/>
    <w:rsid w:val="7FAFA58B"/>
    <w:rsid w:val="7FD004A7"/>
    <w:rsid w:val="A745417A"/>
    <w:rsid w:val="B65B52D7"/>
    <w:rsid w:val="B68F2F7B"/>
    <w:rsid w:val="BB9F7DC1"/>
    <w:rsid w:val="BEFD13C2"/>
    <w:rsid w:val="BFFD9786"/>
    <w:rsid w:val="CBB66395"/>
    <w:rsid w:val="CFFF5A7D"/>
    <w:rsid w:val="D79E9B26"/>
    <w:rsid w:val="D9EA9A39"/>
    <w:rsid w:val="DF6BBB44"/>
    <w:rsid w:val="EEFF1763"/>
    <w:rsid w:val="EF5540A6"/>
    <w:rsid w:val="EFFFE476"/>
    <w:rsid w:val="F39F2337"/>
    <w:rsid w:val="F53E9336"/>
    <w:rsid w:val="F7DE062B"/>
    <w:rsid w:val="FDED37FB"/>
    <w:rsid w:val="FF78667D"/>
    <w:rsid w:val="FFDE5E75"/>
    <w:rsid w:val="FFEBD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华文宋体" w:cs="Arial Unicode M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imes New Roman" w:hAnsi="Times New Roman" w:eastAsia="宋体;SimSun" w:cs="Times New Roman"/>
      <w:kern w:val="2"/>
      <w:sz w:val="21"/>
      <w:lang w:val="en-US" w:eastAsia="zh-CN" w:bidi="ar-SA"/>
    </w:rPr>
  </w:style>
  <w:style w:type="paragraph" w:styleId="2">
    <w:name w:val="heading 1"/>
    <w:basedOn w:val="1"/>
    <w:next w:val="1"/>
    <w:qFormat/>
    <w:uiPriority w:val="0"/>
    <w:pPr>
      <w:keepNext/>
      <w:keepLines/>
      <w:numPr>
        <w:ilvl w:val="0"/>
        <w:numId w:val="1"/>
      </w:numPr>
      <w:spacing w:before="340" w:after="330" w:line="576" w:lineRule="auto"/>
      <w:outlineLvl w:val="0"/>
    </w:pPr>
    <w:rPr>
      <w:b/>
      <w:bCs/>
      <w:sz w:val="44"/>
      <w:szCs w:val="44"/>
      <w:lang w:val="zh-CN"/>
    </w:rPr>
  </w:style>
  <w:style w:type="paragraph" w:styleId="3">
    <w:name w:val="heading 2"/>
    <w:basedOn w:val="1"/>
    <w:next w:val="1"/>
    <w:qFormat/>
    <w:uiPriority w:val="0"/>
    <w:pPr>
      <w:keepNext/>
      <w:keepLines/>
      <w:numPr>
        <w:ilvl w:val="1"/>
        <w:numId w:val="1"/>
      </w:numPr>
      <w:spacing w:before="260" w:after="260" w:line="415" w:lineRule="auto"/>
      <w:outlineLvl w:val="1"/>
    </w:pPr>
    <w:rPr>
      <w:rFonts w:ascii="Arial" w:hAnsi="Arial" w:eastAsia="黑体;SimHei" w:cs="Arial"/>
      <w:b/>
      <w:bCs/>
      <w:kern w:val="0"/>
      <w:sz w:val="32"/>
      <w:szCs w:val="32"/>
      <w:lang w:val="zh-CN"/>
    </w:rPr>
  </w:style>
  <w:style w:type="paragraph" w:styleId="4">
    <w:name w:val="heading 3"/>
    <w:basedOn w:val="1"/>
    <w:next w:val="1"/>
    <w:qFormat/>
    <w:uiPriority w:val="0"/>
    <w:pPr>
      <w:keepNext/>
      <w:keepLines/>
      <w:numPr>
        <w:ilvl w:val="2"/>
        <w:numId w:val="1"/>
      </w:numPr>
      <w:spacing w:before="260" w:after="260" w:line="415" w:lineRule="auto"/>
      <w:outlineLvl w:val="2"/>
    </w:pPr>
    <w:rPr>
      <w:b/>
      <w:bCs/>
      <w:kern w:val="0"/>
      <w:sz w:val="32"/>
      <w:szCs w:val="32"/>
      <w:lang w:val="zh-CN"/>
    </w:rPr>
  </w:style>
  <w:style w:type="paragraph" w:styleId="5">
    <w:name w:val="heading 4"/>
    <w:basedOn w:val="1"/>
    <w:next w:val="1"/>
    <w:qFormat/>
    <w:uiPriority w:val="0"/>
    <w:pPr>
      <w:keepNext/>
      <w:keepLines/>
      <w:numPr>
        <w:ilvl w:val="3"/>
        <w:numId w:val="1"/>
      </w:numPr>
      <w:spacing w:before="280" w:after="290" w:line="374" w:lineRule="auto"/>
      <w:outlineLvl w:val="3"/>
    </w:pPr>
    <w:rPr>
      <w:rFonts w:ascii="Cambria" w:hAnsi="Cambria"/>
      <w:b/>
      <w:bCs/>
      <w:sz w:val="28"/>
      <w:szCs w:val="28"/>
    </w:rPr>
  </w:style>
  <w:style w:type="paragraph" w:styleId="6">
    <w:name w:val="heading 5"/>
    <w:basedOn w:val="1"/>
    <w:next w:val="1"/>
    <w:qFormat/>
    <w:uiPriority w:val="0"/>
    <w:pPr>
      <w:keepNext/>
      <w:keepLines/>
      <w:numPr>
        <w:ilvl w:val="4"/>
        <w:numId w:val="1"/>
      </w:numPr>
      <w:spacing w:before="280" w:after="290" w:line="374" w:lineRule="auto"/>
      <w:outlineLvl w:val="4"/>
    </w:pPr>
    <w:rPr>
      <w:b/>
      <w:bCs/>
      <w:sz w:val="28"/>
      <w:szCs w:val="28"/>
    </w:rPr>
  </w:style>
  <w:style w:type="paragraph" w:styleId="7">
    <w:name w:val="heading 6"/>
    <w:basedOn w:val="1"/>
    <w:next w:val="1"/>
    <w:qFormat/>
    <w:uiPriority w:val="0"/>
    <w:pPr>
      <w:keepNext/>
      <w:keepLines/>
      <w:numPr>
        <w:ilvl w:val="5"/>
        <w:numId w:val="1"/>
      </w:numPr>
      <w:spacing w:before="240" w:after="64" w:line="317" w:lineRule="auto"/>
      <w:outlineLvl w:val="5"/>
    </w:pPr>
    <w:rPr>
      <w:rFonts w:ascii="Arial" w:hAnsi="Arial" w:eastAsia="黑体;SimHei" w:cs="Arial"/>
      <w:b/>
      <w:bCs/>
      <w:sz w:val="24"/>
      <w:szCs w:val="24"/>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8">
    <w:name w:val="caption"/>
    <w:basedOn w:val="1"/>
    <w:qFormat/>
    <w:uiPriority w:val="0"/>
    <w:pPr>
      <w:suppressLineNumbers/>
      <w:spacing w:before="120" w:after="120"/>
    </w:pPr>
    <w:rPr>
      <w:rFonts w:cs="Arial Unicode MS"/>
      <w:i/>
      <w:iCs/>
      <w:sz w:val="24"/>
      <w:szCs w:val="24"/>
    </w:rPr>
  </w:style>
  <w:style w:type="paragraph" w:styleId="9">
    <w:name w:val="annotation text"/>
    <w:basedOn w:val="1"/>
    <w:qFormat/>
    <w:uiPriority w:val="0"/>
    <w:pPr>
      <w:jc w:val="left"/>
    </w:pPr>
  </w:style>
  <w:style w:type="paragraph" w:styleId="10">
    <w:name w:val="Body Text"/>
    <w:basedOn w:val="1"/>
    <w:qFormat/>
    <w:uiPriority w:val="0"/>
    <w:pPr>
      <w:spacing w:after="120"/>
    </w:pPr>
    <w:rPr>
      <w:rFonts w:eastAsia="Times New Roman"/>
      <w:szCs w:val="24"/>
      <w:lang w:val="zh-CN"/>
    </w:rPr>
  </w:style>
  <w:style w:type="paragraph" w:styleId="11">
    <w:name w:val="Body Text Indent"/>
    <w:basedOn w:val="1"/>
    <w:qFormat/>
    <w:uiPriority w:val="0"/>
    <w:pPr>
      <w:tabs>
        <w:tab w:val="left" w:pos="7020"/>
      </w:tabs>
      <w:spacing w:line="600" w:lineRule="exact"/>
      <w:ind w:firstLine="600"/>
    </w:pPr>
    <w:rPr>
      <w:rFonts w:ascii="仿宋_GB2312" w:hAnsi="仿宋_GB2312" w:eastAsia="仿宋_GB2312"/>
      <w:sz w:val="30"/>
      <w:szCs w:val="24"/>
    </w:rPr>
  </w:style>
  <w:style w:type="paragraph" w:styleId="12">
    <w:name w:val="endnote text"/>
    <w:basedOn w:val="1"/>
    <w:qFormat/>
    <w:uiPriority w:val="0"/>
    <w:pPr>
      <w:snapToGrid w:val="0"/>
      <w:jc w:val="left"/>
    </w:pPr>
    <w:rPr>
      <w:kern w:val="0"/>
      <w:sz w:val="24"/>
      <w:szCs w:val="24"/>
      <w:lang w:val="zh-CN"/>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5">
    <w:name w:val="Subtitle"/>
    <w:basedOn w:val="1"/>
    <w:next w:val="1"/>
    <w:qFormat/>
    <w:uiPriority w:val="0"/>
    <w:pPr>
      <w:spacing w:before="240" w:after="60" w:line="312" w:lineRule="auto"/>
      <w:jc w:val="center"/>
      <w:outlineLvl w:val="1"/>
    </w:pPr>
    <w:rPr>
      <w:rFonts w:ascii="Cambria" w:hAnsi="Cambria"/>
      <w:b/>
      <w:bCs/>
      <w:sz w:val="32"/>
      <w:szCs w:val="32"/>
    </w:rPr>
  </w:style>
  <w:style w:type="paragraph" w:styleId="16">
    <w:name w:val="List"/>
    <w:basedOn w:val="10"/>
    <w:qFormat/>
    <w:uiPriority w:val="0"/>
    <w:rPr>
      <w:rFonts w:cs="Arial Unicode MS"/>
    </w:rPr>
  </w:style>
  <w:style w:type="paragraph" w:styleId="17">
    <w:name w:val="footnote text"/>
    <w:basedOn w:val="1"/>
    <w:qFormat/>
    <w:uiPriority w:val="0"/>
    <w:pPr>
      <w:snapToGrid w:val="0"/>
      <w:jc w:val="left"/>
    </w:pPr>
    <w:rPr>
      <w:rFonts w:eastAsia="Times New Roman"/>
      <w:sz w:val="18"/>
      <w:szCs w:val="18"/>
      <w:lang w:val="zh-CN"/>
    </w:rPr>
  </w:style>
  <w:style w:type="character" w:styleId="20">
    <w:name w:val="Strong"/>
    <w:qFormat/>
    <w:uiPriority w:val="0"/>
    <w:rPr>
      <w:b/>
      <w:bCs/>
    </w:rPr>
  </w:style>
  <w:style w:type="character" w:styleId="21">
    <w:name w:val="page number"/>
    <w:basedOn w:val="22"/>
    <w:qFormat/>
    <w:uiPriority w:val="0"/>
  </w:style>
  <w:style w:type="character" w:customStyle="1" w:styleId="22">
    <w:name w:val="默认段落字体1"/>
    <w:qFormat/>
    <w:uiPriority w:val="0"/>
  </w:style>
  <w:style w:type="character" w:styleId="23">
    <w:name w:val="FollowedHyperlink"/>
    <w:qFormat/>
    <w:uiPriority w:val="0"/>
    <w:rPr>
      <w:color w:val="800080"/>
      <w:u w:val="single"/>
    </w:rPr>
  </w:style>
  <w:style w:type="character" w:styleId="24">
    <w:name w:val="Hyperlink"/>
    <w:qFormat/>
    <w:uiPriority w:val="0"/>
    <w:rPr>
      <w:rFonts w:cs="Times New Roman"/>
      <w:color w:val="0000FF"/>
      <w:u w:val="single"/>
    </w:rPr>
  </w:style>
  <w:style w:type="character" w:styleId="25">
    <w:name w:val="annotation reference"/>
    <w:qFormat/>
    <w:uiPriority w:val="0"/>
    <w:rPr>
      <w:sz w:val="21"/>
      <w:szCs w:val="21"/>
    </w:rPr>
  </w:style>
  <w:style w:type="character" w:customStyle="1" w:styleId="26">
    <w:name w:val="WW8Num1z0"/>
    <w:qFormat/>
    <w:uiPriority w:val="0"/>
    <w:rPr>
      <w:rFonts w:ascii="Times New Roman" w:hAnsi="Times New Roman" w:cs="Times New Roman"/>
      <w:color w:val="000000"/>
      <w:sz w:val="24"/>
      <w:szCs w:val="24"/>
    </w:rPr>
  </w:style>
  <w:style w:type="character" w:customStyle="1" w:styleId="27">
    <w:name w:val="WW8Num1z8"/>
    <w:qFormat/>
    <w:uiPriority w:val="0"/>
    <w:rPr>
      <w:rFonts w:ascii="Univers" w:hAnsi="Univers" w:cs="Times New Roman"/>
      <w:sz w:val="24"/>
    </w:rPr>
  </w:style>
  <w:style w:type="character" w:customStyle="1" w:styleId="28">
    <w:name w:val="WW8Num2z0"/>
    <w:qFormat/>
    <w:uiPriority w:val="0"/>
    <w:rPr>
      <w:rFonts w:cs="Times New Roman"/>
      <w:b/>
      <w:color w:val="000000"/>
      <w:sz w:val="24"/>
      <w:u w:val="none"/>
    </w:rPr>
  </w:style>
  <w:style w:type="character" w:customStyle="1" w:styleId="29">
    <w:name w:val="WW8Num2z1"/>
    <w:qFormat/>
    <w:uiPriority w:val="0"/>
    <w:rPr>
      <w:rFonts w:ascii="Times New Roman" w:hAnsi="Times New Roman" w:eastAsia="MS Mincho;ＭＳ 明朝" w:cs="Times New Roman"/>
      <w:color w:val="000000"/>
      <w:kern w:val="2"/>
      <w:sz w:val="24"/>
      <w:szCs w:val="24"/>
      <w:lang w:val="en-AU"/>
    </w:rPr>
  </w:style>
  <w:style w:type="character" w:customStyle="1" w:styleId="30">
    <w:name w:val="WW8Num2z2"/>
    <w:qFormat/>
    <w:uiPriority w:val="0"/>
    <w:rPr>
      <w:rFonts w:ascii="Times New Roman" w:hAnsi="Times New Roman" w:eastAsia="MS Mincho;ＭＳ 明朝" w:cs="Times New Roman"/>
      <w:color w:val="000000"/>
      <w:sz w:val="24"/>
      <w:szCs w:val="24"/>
    </w:rPr>
  </w:style>
  <w:style w:type="character" w:customStyle="1" w:styleId="31">
    <w:name w:val="WW8Num3z0"/>
    <w:qFormat/>
    <w:uiPriority w:val="0"/>
    <w:rPr>
      <w:rFonts w:cs="Times New Roman"/>
      <w:color w:val="000000"/>
      <w:sz w:val="24"/>
    </w:rPr>
  </w:style>
  <w:style w:type="character" w:customStyle="1" w:styleId="32">
    <w:name w:val="WW8Num4z0"/>
    <w:qFormat/>
    <w:uiPriority w:val="0"/>
    <w:rPr>
      <w:rFonts w:ascii="Times New Roman" w:hAnsi="Times New Roman" w:cs="Times New Roman"/>
      <w:color w:val="000000"/>
      <w:sz w:val="24"/>
      <w:szCs w:val="24"/>
    </w:rPr>
  </w:style>
  <w:style w:type="character" w:customStyle="1" w:styleId="33">
    <w:name w:val="WW8Num5z0"/>
    <w:qFormat/>
    <w:uiPriority w:val="0"/>
    <w:rPr>
      <w:rFonts w:ascii="Times New Roman" w:hAnsi="Times New Roman" w:eastAsia="MS Mincho;ＭＳ 明朝" w:cs="Times New Roman"/>
      <w:color w:val="000000"/>
      <w:sz w:val="24"/>
      <w:szCs w:val="24"/>
    </w:rPr>
  </w:style>
  <w:style w:type="character" w:customStyle="1" w:styleId="34">
    <w:name w:val="WW8Num6z0"/>
    <w:qFormat/>
    <w:uiPriority w:val="0"/>
    <w:rPr>
      <w:lang w:val="en-US"/>
    </w:rPr>
  </w:style>
  <w:style w:type="character" w:customStyle="1" w:styleId="35">
    <w:name w:val="WW8Num8z0"/>
    <w:qFormat/>
    <w:uiPriority w:val="0"/>
  </w:style>
  <w:style w:type="character" w:customStyle="1" w:styleId="36">
    <w:name w:val="WW8Num9z0"/>
    <w:qFormat/>
    <w:uiPriority w:val="0"/>
    <w:rPr>
      <w:rFonts w:ascii="仿宋_GB2312" w:hAnsi="仿宋_GB2312" w:eastAsia="仿宋_GB2312" w:cs="Times New Roman"/>
      <w:color w:val="000000"/>
      <w:sz w:val="30"/>
      <w:szCs w:val="30"/>
      <w:lang w:val="en-US"/>
    </w:rPr>
  </w:style>
  <w:style w:type="character" w:customStyle="1" w:styleId="37">
    <w:name w:val="WW8Num10z0"/>
    <w:qFormat/>
    <w:uiPriority w:val="0"/>
    <w:rPr>
      <w:rFonts w:cs="Times New Roman"/>
      <w:b/>
      <w:color w:val="000000"/>
      <w:sz w:val="24"/>
      <w:u w:val="none"/>
    </w:rPr>
  </w:style>
  <w:style w:type="character" w:customStyle="1" w:styleId="38">
    <w:name w:val="WW8Num10z1"/>
    <w:qFormat/>
    <w:uiPriority w:val="0"/>
    <w:rPr>
      <w:rFonts w:ascii="Times New Roman" w:hAnsi="Times New Roman" w:eastAsia="MS Mincho;ＭＳ 明朝" w:cs="Times New Roman"/>
      <w:color w:val="000000"/>
      <w:kern w:val="2"/>
      <w:sz w:val="24"/>
      <w:szCs w:val="24"/>
    </w:rPr>
  </w:style>
  <w:style w:type="character" w:customStyle="1" w:styleId="39">
    <w:name w:val="WW8Num10z2"/>
    <w:qFormat/>
    <w:uiPriority w:val="0"/>
    <w:rPr>
      <w:rFonts w:ascii="Times New Roman" w:hAnsi="Times New Roman" w:eastAsia="MS Mincho;ＭＳ 明朝" w:cs="Times New Roman"/>
      <w:color w:val="000000"/>
      <w:sz w:val="24"/>
      <w:szCs w:val="24"/>
    </w:rPr>
  </w:style>
  <w:style w:type="character" w:customStyle="1" w:styleId="40">
    <w:name w:val="WW8Num13z0"/>
    <w:qFormat/>
    <w:uiPriority w:val="0"/>
  </w:style>
  <w:style w:type="character" w:customStyle="1" w:styleId="41">
    <w:name w:val="WW8Num14z0"/>
    <w:qFormat/>
    <w:uiPriority w:val="0"/>
    <w:rPr>
      <w:rFonts w:ascii="仿宋_GB2312" w:hAnsi="仿宋_GB2312" w:eastAsia="仿宋_GB2312" w:cs="黑体;SimHei"/>
      <w:lang w:val="en-US"/>
    </w:rPr>
  </w:style>
  <w:style w:type="character" w:customStyle="1" w:styleId="42">
    <w:name w:val="WW8Num15z0"/>
    <w:qFormat/>
    <w:uiPriority w:val="0"/>
  </w:style>
  <w:style w:type="character" w:customStyle="1" w:styleId="43">
    <w:name w:val="WW8Num17z0"/>
    <w:qFormat/>
    <w:uiPriority w:val="0"/>
    <w:rPr>
      <w:color w:val="000000"/>
    </w:rPr>
  </w:style>
  <w:style w:type="character" w:customStyle="1" w:styleId="44">
    <w:name w:val="WW8Num18z0"/>
    <w:qFormat/>
    <w:uiPriority w:val="0"/>
    <w:rPr>
      <w:rFonts w:ascii="仿宋_GB2312" w:hAnsi="仿宋_GB2312" w:eastAsia="仿宋_GB2312" w:cs="Times New Roman"/>
      <w:b/>
      <w:sz w:val="30"/>
      <w:szCs w:val="30"/>
    </w:rPr>
  </w:style>
  <w:style w:type="character" w:customStyle="1" w:styleId="45">
    <w:name w:val="WW8Num18z1"/>
    <w:qFormat/>
    <w:uiPriority w:val="0"/>
    <w:rPr>
      <w:rFonts w:ascii="仿宋_GB2312" w:hAnsi="仿宋_GB2312" w:eastAsia="仿宋_GB2312" w:cs="Times New Roman"/>
      <w:spacing w:val="0"/>
      <w:w w:val="100"/>
      <w:kern w:val="0"/>
      <w:position w:val="0"/>
      <w:sz w:val="32"/>
      <w:szCs w:val="32"/>
      <w:u w:val="none"/>
      <w:vertAlign w:val="baseline"/>
    </w:rPr>
  </w:style>
  <w:style w:type="character" w:customStyle="1" w:styleId="46">
    <w:name w:val="WW8Num18z2"/>
    <w:qFormat/>
    <w:uiPriority w:val="0"/>
    <w:rPr>
      <w:rFonts w:cs="Times New Roman"/>
    </w:rPr>
  </w:style>
  <w:style w:type="character" w:customStyle="1" w:styleId="47">
    <w:name w:val="WW8Num19z0"/>
    <w:qFormat/>
    <w:uiPriority w:val="0"/>
    <w:rPr>
      <w:rFonts w:ascii="仿宋_GB2312" w:hAnsi="仿宋_GB2312" w:eastAsia="仿宋_GB2312" w:cs="黑体;SimHei"/>
      <w:color w:val="000000"/>
      <w:lang w:val="en-US"/>
    </w:rPr>
  </w:style>
  <w:style w:type="character" w:customStyle="1" w:styleId="48">
    <w:name w:val="WW8Num20z0"/>
    <w:qFormat/>
    <w:uiPriority w:val="0"/>
    <w:rPr>
      <w:rFonts w:ascii="仿宋_GB2312" w:hAnsi="仿宋_GB2312" w:eastAsia="仿宋_GB2312" w:cs="仿宋"/>
      <w:color w:val="000000"/>
      <w:sz w:val="30"/>
      <w:szCs w:val="30"/>
      <w:lang w:val="en-US"/>
    </w:rPr>
  </w:style>
  <w:style w:type="character" w:customStyle="1" w:styleId="49">
    <w:name w:val="WW8Num20z1"/>
    <w:qFormat/>
    <w:uiPriority w:val="0"/>
    <w:rPr>
      <w:rFonts w:ascii="仿宋" w:hAnsi="仿宋" w:eastAsia="仿宋" w:cs="Times New Roman"/>
      <w:lang w:val="en-US"/>
    </w:rPr>
  </w:style>
  <w:style w:type="character" w:customStyle="1" w:styleId="50">
    <w:name w:val="WW8Num20z2"/>
    <w:qFormat/>
    <w:uiPriority w:val="0"/>
  </w:style>
  <w:style w:type="character" w:customStyle="1" w:styleId="51">
    <w:name w:val="WW8Num21z0"/>
    <w:qFormat/>
    <w:uiPriority w:val="0"/>
    <w:rPr>
      <w:rFonts w:ascii="仿宋_GB2312" w:hAnsi="仿宋_GB2312" w:eastAsia="仿宋_GB2312"/>
      <w:bCs/>
      <w:sz w:val="30"/>
      <w:lang w:val="en-US"/>
    </w:rPr>
  </w:style>
  <w:style w:type="character" w:customStyle="1" w:styleId="52">
    <w:name w:val="WW8Num23z0"/>
    <w:qFormat/>
    <w:uiPriority w:val="0"/>
    <w:rPr>
      <w:rFonts w:eastAsia="黑体;SimHei"/>
      <w:b/>
    </w:rPr>
  </w:style>
  <w:style w:type="character" w:customStyle="1" w:styleId="53">
    <w:name w:val="WW8Num23z1"/>
    <w:qFormat/>
    <w:uiPriority w:val="0"/>
  </w:style>
  <w:style w:type="character" w:customStyle="1" w:styleId="54">
    <w:name w:val="WW8Num24z0"/>
    <w:qFormat/>
    <w:uiPriority w:val="0"/>
    <w:rPr>
      <w:rFonts w:ascii="仿宋_GB2312" w:hAnsi="仿宋_GB2312" w:eastAsia="仿宋_GB2312" w:cs="Times New Roman"/>
      <w:b/>
      <w:color w:val="000000"/>
      <w:sz w:val="30"/>
      <w:szCs w:val="30"/>
    </w:rPr>
  </w:style>
  <w:style w:type="character" w:customStyle="1" w:styleId="55">
    <w:name w:val="标题 1 Char"/>
    <w:qFormat/>
    <w:uiPriority w:val="0"/>
    <w:rPr>
      <w:rFonts w:eastAsia="宋体;SimSun"/>
      <w:b/>
      <w:bCs/>
      <w:kern w:val="2"/>
      <w:sz w:val="44"/>
      <w:szCs w:val="44"/>
      <w:lang w:val="zh-CN" w:bidi="ar-SA"/>
    </w:rPr>
  </w:style>
  <w:style w:type="character" w:customStyle="1" w:styleId="56">
    <w:name w:val="标题 2 Char"/>
    <w:qFormat/>
    <w:uiPriority w:val="0"/>
    <w:rPr>
      <w:rFonts w:ascii="Arial" w:hAnsi="Arial" w:eastAsia="黑体;SimHei" w:cs="Arial"/>
      <w:b/>
      <w:bCs/>
      <w:sz w:val="32"/>
      <w:szCs w:val="32"/>
      <w:lang w:val="zh-CN" w:bidi="ar-SA"/>
    </w:rPr>
  </w:style>
  <w:style w:type="character" w:customStyle="1" w:styleId="57">
    <w:name w:val="标题 3 Char"/>
    <w:qFormat/>
    <w:uiPriority w:val="0"/>
    <w:rPr>
      <w:rFonts w:eastAsia="宋体;SimSun"/>
      <w:b/>
      <w:bCs/>
      <w:sz w:val="32"/>
      <w:szCs w:val="32"/>
      <w:lang w:val="zh-CN" w:bidi="ar-SA"/>
    </w:rPr>
  </w:style>
  <w:style w:type="character" w:customStyle="1" w:styleId="58">
    <w:name w:val="标题 4 Char"/>
    <w:qFormat/>
    <w:uiPriority w:val="0"/>
    <w:rPr>
      <w:rFonts w:ascii="Cambria" w:hAnsi="Cambria" w:eastAsia="宋体;SimSun" w:cs="Times New Roman"/>
      <w:b/>
      <w:bCs/>
      <w:kern w:val="2"/>
      <w:sz w:val="28"/>
      <w:szCs w:val="28"/>
    </w:rPr>
  </w:style>
  <w:style w:type="character" w:customStyle="1" w:styleId="59">
    <w:name w:val="标题 5 Char"/>
    <w:qFormat/>
    <w:uiPriority w:val="0"/>
    <w:rPr>
      <w:b/>
      <w:bCs/>
      <w:kern w:val="2"/>
      <w:sz w:val="28"/>
      <w:szCs w:val="28"/>
    </w:rPr>
  </w:style>
  <w:style w:type="character" w:customStyle="1" w:styleId="60">
    <w:name w:val="标题 6 Char"/>
    <w:qFormat/>
    <w:uiPriority w:val="0"/>
    <w:rPr>
      <w:rFonts w:ascii="Arial" w:hAnsi="Arial" w:eastAsia="黑体;SimHei" w:cs="Arial"/>
      <w:b/>
      <w:bCs/>
      <w:kern w:val="2"/>
      <w:sz w:val="24"/>
      <w:szCs w:val="24"/>
    </w:rPr>
  </w:style>
  <w:style w:type="character" w:customStyle="1" w:styleId="61">
    <w:name w:val="页脚 Char"/>
    <w:qFormat/>
    <w:uiPriority w:val="0"/>
    <w:rPr>
      <w:rFonts w:eastAsia="宋体;SimSun"/>
      <w:kern w:val="2"/>
      <w:sz w:val="18"/>
      <w:szCs w:val="18"/>
      <w:lang w:val="en-US" w:eastAsia="zh-CN" w:bidi="ar-SA"/>
    </w:rPr>
  </w:style>
  <w:style w:type="character" w:customStyle="1" w:styleId="62">
    <w:name w:val="正文文本缩进 Char"/>
    <w:qFormat/>
    <w:uiPriority w:val="0"/>
    <w:rPr>
      <w:rFonts w:ascii="仿宋_GB2312" w:hAnsi="仿宋_GB2312" w:eastAsia="仿宋_GB2312"/>
      <w:kern w:val="2"/>
      <w:sz w:val="30"/>
      <w:szCs w:val="24"/>
      <w:lang w:val="en-US" w:eastAsia="zh-CN" w:bidi="ar-SA"/>
    </w:rPr>
  </w:style>
  <w:style w:type="character" w:customStyle="1" w:styleId="63">
    <w:name w:val="页眉 Char"/>
    <w:qFormat/>
    <w:uiPriority w:val="0"/>
    <w:rPr>
      <w:rFonts w:eastAsia="宋体;SimSun"/>
      <w:kern w:val="2"/>
      <w:sz w:val="18"/>
      <w:szCs w:val="18"/>
      <w:lang w:val="en-US" w:eastAsia="zh-CN" w:bidi="ar-SA"/>
    </w:rPr>
  </w:style>
  <w:style w:type="character" w:customStyle="1" w:styleId="64">
    <w:name w:val="批注框文本 Char"/>
    <w:qFormat/>
    <w:uiPriority w:val="0"/>
    <w:rPr>
      <w:rFonts w:eastAsia="宋体;SimSun"/>
      <w:kern w:val="2"/>
      <w:sz w:val="18"/>
      <w:szCs w:val="18"/>
      <w:lang w:val="en-US" w:eastAsia="zh-CN" w:bidi="ar-SA"/>
    </w:rPr>
  </w:style>
  <w:style w:type="character" w:customStyle="1" w:styleId="65">
    <w:name w:val="日期 Char"/>
    <w:qFormat/>
    <w:uiPriority w:val="0"/>
    <w:rPr>
      <w:rFonts w:ascii="楷体_GB2312" w:hAnsi="楷体_GB2312" w:eastAsia="楷体_GB2312"/>
      <w:kern w:val="2"/>
      <w:sz w:val="32"/>
      <w:lang w:val="en-US" w:eastAsia="zh-CN" w:bidi="ar-SA"/>
    </w:rPr>
  </w:style>
  <w:style w:type="character" w:customStyle="1" w:styleId="66">
    <w:name w:val="dash6b63_6587__char"/>
    <w:basedOn w:val="22"/>
    <w:qFormat/>
    <w:uiPriority w:val="0"/>
  </w:style>
  <w:style w:type="character" w:customStyle="1" w:styleId="67">
    <w:name w:val="dash6b63_005f6587_005f_005fchar__char"/>
    <w:basedOn w:val="22"/>
    <w:qFormat/>
    <w:uiPriority w:val="0"/>
  </w:style>
  <w:style w:type="character" w:customStyle="1" w:styleId="68">
    <w:name w:val="纯文本 Char"/>
    <w:qFormat/>
    <w:uiPriority w:val="0"/>
    <w:rPr>
      <w:rFonts w:ascii="宋体;SimSun" w:hAnsi="宋体;SimSun" w:eastAsia="宋体;SimSun" w:cs="Courier New"/>
      <w:kern w:val="2"/>
      <w:sz w:val="21"/>
      <w:szCs w:val="21"/>
      <w:lang w:val="en-US" w:eastAsia="zh-CN" w:bidi="ar-SA"/>
    </w:rPr>
  </w:style>
  <w:style w:type="character" w:customStyle="1" w:styleId="69">
    <w:name w:val="正文文本 2 Char"/>
    <w:qFormat/>
    <w:uiPriority w:val="0"/>
    <w:rPr>
      <w:rFonts w:ascii="宋体;SimSun" w:hAnsi="宋体;SimSun" w:eastAsia="宋体;SimSun" w:cs="Courier New"/>
      <w:sz w:val="21"/>
      <w:szCs w:val="21"/>
      <w:lang w:val="zh-CN" w:bidi="ar-SA"/>
    </w:rPr>
  </w:style>
  <w:style w:type="character" w:customStyle="1" w:styleId="70">
    <w:name w:val="列出段落 Char"/>
    <w:qFormat/>
    <w:uiPriority w:val="0"/>
    <w:rPr>
      <w:kern w:val="2"/>
      <w:sz w:val="21"/>
      <w:szCs w:val="24"/>
    </w:rPr>
  </w:style>
  <w:style w:type="character" w:customStyle="1" w:styleId="71">
    <w:name w:val="尾注文本 Char"/>
    <w:qFormat/>
    <w:uiPriority w:val="0"/>
    <w:rPr>
      <w:rFonts w:eastAsia="宋体;SimSun"/>
      <w:sz w:val="24"/>
      <w:szCs w:val="24"/>
      <w:lang w:val="zh-CN" w:bidi="ar-SA"/>
    </w:rPr>
  </w:style>
  <w:style w:type="character" w:customStyle="1" w:styleId="72">
    <w:name w:val="Endnote Characters"/>
    <w:qFormat/>
    <w:uiPriority w:val="0"/>
    <w:rPr>
      <w:rFonts w:cs="Times New Roman"/>
      <w:vertAlign w:val="superscript"/>
    </w:rPr>
  </w:style>
  <w:style w:type="character" w:customStyle="1" w:styleId="73">
    <w:name w:val="批注引用1"/>
    <w:qFormat/>
    <w:uiPriority w:val="0"/>
    <w:rPr>
      <w:rFonts w:cs="Times New Roman"/>
      <w:sz w:val="21"/>
      <w:szCs w:val="21"/>
    </w:rPr>
  </w:style>
  <w:style w:type="character" w:customStyle="1" w:styleId="74">
    <w:name w:val="批注文字 Char"/>
    <w:qFormat/>
    <w:uiPriority w:val="0"/>
    <w:rPr>
      <w:rFonts w:eastAsia="宋体;SimSun"/>
      <w:sz w:val="24"/>
      <w:szCs w:val="24"/>
      <w:lang w:val="zh-CN" w:bidi="ar-SA"/>
    </w:rPr>
  </w:style>
  <w:style w:type="character" w:customStyle="1" w:styleId="75">
    <w:name w:val="内页正文 Char"/>
    <w:qFormat/>
    <w:uiPriority w:val="0"/>
    <w:rPr>
      <w:rFonts w:ascii="Arial" w:hAnsi="Arial" w:eastAsia="汉仪中等线简;宋体" w:cs="Arial"/>
      <w:color w:val="000000"/>
      <w:sz w:val="18"/>
      <w:szCs w:val="18"/>
      <w:lang w:bidi="ar-SA"/>
    </w:rPr>
  </w:style>
  <w:style w:type="character" w:customStyle="1" w:styleId="76">
    <w:name w:val="Char Char15"/>
    <w:qFormat/>
    <w:uiPriority w:val="0"/>
    <w:rPr>
      <w:rFonts w:eastAsia="宋体;SimSun"/>
      <w:b/>
      <w:bCs/>
      <w:kern w:val="2"/>
      <w:sz w:val="44"/>
      <w:szCs w:val="44"/>
      <w:lang w:val="en-US" w:eastAsia="zh-CN" w:bidi="ar-SA"/>
    </w:rPr>
  </w:style>
  <w:style w:type="character" w:customStyle="1" w:styleId="77">
    <w:name w:val="Char Char14"/>
    <w:qFormat/>
    <w:uiPriority w:val="0"/>
    <w:rPr>
      <w:rFonts w:eastAsia="宋体;SimSun"/>
      <w:b/>
      <w:bCs/>
      <w:kern w:val="2"/>
      <w:sz w:val="32"/>
      <w:szCs w:val="32"/>
      <w:lang w:val="en-US" w:eastAsia="zh-CN" w:bidi="ar-SA"/>
    </w:rPr>
  </w:style>
  <w:style w:type="character" w:customStyle="1" w:styleId="78">
    <w:name w:val="Char Char13"/>
    <w:qFormat/>
    <w:uiPriority w:val="0"/>
    <w:rPr>
      <w:rFonts w:eastAsia="宋体;SimSun"/>
      <w:kern w:val="2"/>
      <w:sz w:val="18"/>
      <w:szCs w:val="18"/>
      <w:lang w:val="en-US" w:eastAsia="zh-CN" w:bidi="ar-SA"/>
    </w:rPr>
  </w:style>
  <w:style w:type="character" w:customStyle="1" w:styleId="79">
    <w:name w:val="Char Char12"/>
    <w:qFormat/>
    <w:uiPriority w:val="0"/>
    <w:rPr>
      <w:rFonts w:eastAsia="宋体;SimSun"/>
      <w:kern w:val="2"/>
      <w:sz w:val="18"/>
      <w:szCs w:val="18"/>
      <w:lang w:val="en-US" w:eastAsia="zh-CN" w:bidi="ar-SA"/>
    </w:rPr>
  </w:style>
  <w:style w:type="character" w:customStyle="1" w:styleId="80">
    <w:name w:val="正文文本缩进 Char1"/>
    <w:qFormat/>
    <w:uiPriority w:val="0"/>
    <w:rPr>
      <w:kern w:val="2"/>
      <w:sz w:val="21"/>
      <w:szCs w:val="24"/>
    </w:rPr>
  </w:style>
  <w:style w:type="character" w:customStyle="1" w:styleId="81">
    <w:name w:val="日期 Char1"/>
    <w:qFormat/>
    <w:uiPriority w:val="0"/>
    <w:rPr>
      <w:kern w:val="2"/>
      <w:sz w:val="21"/>
      <w:szCs w:val="24"/>
    </w:rPr>
  </w:style>
  <w:style w:type="character" w:customStyle="1" w:styleId="82">
    <w:name w:val="正文文本 Char"/>
    <w:qFormat/>
    <w:uiPriority w:val="0"/>
    <w:rPr>
      <w:rFonts w:eastAsia="Times New Roman"/>
      <w:kern w:val="2"/>
      <w:sz w:val="21"/>
      <w:szCs w:val="24"/>
      <w:lang w:val="zh-CN" w:eastAsia="zh-CN"/>
    </w:rPr>
  </w:style>
  <w:style w:type="character" w:customStyle="1" w:styleId="83">
    <w:name w:val="正文文本 Char1"/>
    <w:qFormat/>
    <w:uiPriority w:val="0"/>
    <w:rPr>
      <w:kern w:val="2"/>
      <w:sz w:val="21"/>
      <w:szCs w:val="24"/>
    </w:rPr>
  </w:style>
  <w:style w:type="character" w:customStyle="1" w:styleId="84">
    <w:name w:val="批注框文本 Char1"/>
    <w:qFormat/>
    <w:uiPriority w:val="0"/>
    <w:rPr>
      <w:kern w:val="2"/>
      <w:sz w:val="18"/>
      <w:szCs w:val="18"/>
    </w:rPr>
  </w:style>
  <w:style w:type="character" w:customStyle="1" w:styleId="85">
    <w:name w:val="正文文本缩进 2 Char"/>
    <w:qFormat/>
    <w:uiPriority w:val="0"/>
    <w:rPr>
      <w:rFonts w:ascii="仿宋_GB2312" w:hAnsi="仿宋_GB2312" w:eastAsia="仿宋_GB2312" w:cs="宋体;SimSun"/>
      <w:kern w:val="2"/>
      <w:sz w:val="30"/>
      <w:szCs w:val="30"/>
      <w:lang w:val="zh-CN" w:eastAsia="zh-CN"/>
    </w:rPr>
  </w:style>
  <w:style w:type="character" w:customStyle="1" w:styleId="86">
    <w:name w:val="正文文本缩进 2 Char1"/>
    <w:qFormat/>
    <w:uiPriority w:val="0"/>
    <w:rPr>
      <w:kern w:val="2"/>
      <w:sz w:val="21"/>
      <w:szCs w:val="24"/>
    </w:rPr>
  </w:style>
  <w:style w:type="character" w:customStyle="1" w:styleId="87">
    <w:name w:val="正文文本 2 Char1"/>
    <w:qFormat/>
    <w:uiPriority w:val="0"/>
    <w:rPr>
      <w:kern w:val="2"/>
      <w:sz w:val="21"/>
      <w:szCs w:val="24"/>
    </w:rPr>
  </w:style>
  <w:style w:type="character" w:customStyle="1" w:styleId="88">
    <w:name w:val="正文文本缩进 3 Char"/>
    <w:qFormat/>
    <w:uiPriority w:val="0"/>
    <w:rPr>
      <w:rFonts w:ascii="仿宋_GB2312" w:hAnsi="仿宋_GB2312" w:eastAsia="仿宋_GB2312"/>
      <w:sz w:val="30"/>
      <w:szCs w:val="28"/>
      <w:lang w:val="zh-CN" w:eastAsia="zh-CN"/>
    </w:rPr>
  </w:style>
  <w:style w:type="character" w:customStyle="1" w:styleId="89">
    <w:name w:val="正文文本缩进 3 Char1"/>
    <w:qFormat/>
    <w:uiPriority w:val="0"/>
    <w:rPr>
      <w:kern w:val="2"/>
      <w:sz w:val="16"/>
      <w:szCs w:val="16"/>
    </w:rPr>
  </w:style>
  <w:style w:type="character" w:customStyle="1" w:styleId="90">
    <w:name w:val="正文文本 3 Char"/>
    <w:qFormat/>
    <w:uiPriority w:val="0"/>
    <w:rPr>
      <w:rFonts w:ascii="方正大标宋简体;Arial Unicode MS" w:hAnsi="方正大标宋简体;Arial Unicode MS" w:eastAsia="方正大标宋简体;Arial Unicode MS" w:cs="宋体;SimSun"/>
      <w:bCs/>
      <w:kern w:val="2"/>
      <w:sz w:val="42"/>
      <w:szCs w:val="42"/>
      <w:lang w:val="zh-CN" w:eastAsia="zh-CN"/>
    </w:rPr>
  </w:style>
  <w:style w:type="character" w:customStyle="1" w:styleId="91">
    <w:name w:val="正文文本 3 Char1"/>
    <w:qFormat/>
    <w:uiPriority w:val="0"/>
    <w:rPr>
      <w:kern w:val="2"/>
      <w:sz w:val="16"/>
      <w:szCs w:val="16"/>
    </w:rPr>
  </w:style>
  <w:style w:type="character" w:customStyle="1" w:styleId="92">
    <w:name w:val="纯文本 Char1"/>
    <w:qFormat/>
    <w:uiPriority w:val="0"/>
    <w:rPr>
      <w:rFonts w:ascii="宋体;SimSun" w:hAnsi="宋体;SimSun" w:cs="Courier New"/>
      <w:kern w:val="2"/>
      <w:sz w:val="21"/>
      <w:szCs w:val="21"/>
    </w:rPr>
  </w:style>
  <w:style w:type="character" w:customStyle="1" w:styleId="93">
    <w:name w:val="条款 Char"/>
    <w:qFormat/>
    <w:uiPriority w:val="0"/>
    <w:rPr>
      <w:rFonts w:ascii="仿宋_GB2312" w:hAnsi="仿宋_GB2312" w:eastAsia="仿宋_GB2312" w:cs="Calibri"/>
      <w:color w:val="000000"/>
      <w:sz w:val="28"/>
      <w:lang w:bidi="ar-SA"/>
    </w:rPr>
  </w:style>
  <w:style w:type="character" w:customStyle="1" w:styleId="94">
    <w:name w:val="脚注文本 Char"/>
    <w:qFormat/>
    <w:uiPriority w:val="0"/>
    <w:rPr>
      <w:rFonts w:eastAsia="Times New Roman"/>
      <w:kern w:val="2"/>
      <w:sz w:val="18"/>
      <w:szCs w:val="18"/>
      <w:lang w:val="zh-CN" w:eastAsia="zh-CN"/>
    </w:rPr>
  </w:style>
  <w:style w:type="character" w:customStyle="1" w:styleId="95">
    <w:name w:val="脚注文本 Char1"/>
    <w:qFormat/>
    <w:uiPriority w:val="0"/>
    <w:rPr>
      <w:kern w:val="2"/>
      <w:sz w:val="18"/>
      <w:szCs w:val="18"/>
    </w:rPr>
  </w:style>
  <w:style w:type="character" w:customStyle="1" w:styleId="96">
    <w:name w:val="批注主题 Char"/>
    <w:qFormat/>
    <w:uiPriority w:val="0"/>
    <w:rPr>
      <w:rFonts w:eastAsia="宋体;SimSun"/>
      <w:b/>
      <w:bCs/>
      <w:kern w:val="2"/>
      <w:sz w:val="21"/>
      <w:szCs w:val="24"/>
      <w:lang w:val="zh-CN" w:bidi="ar-SA"/>
    </w:rPr>
  </w:style>
  <w:style w:type="character" w:customStyle="1" w:styleId="97">
    <w:name w:val="样式1 Char"/>
    <w:qFormat/>
    <w:uiPriority w:val="0"/>
    <w:rPr>
      <w:rFonts w:ascii="仿宋_GB2312" w:hAnsi="仿宋_GB2312" w:eastAsia="仿宋_GB2312" w:cs="宋体;SimSun"/>
      <w:sz w:val="30"/>
      <w:szCs w:val="30"/>
    </w:rPr>
  </w:style>
  <w:style w:type="character" w:customStyle="1" w:styleId="98">
    <w:name w:val="SSE正文 Char"/>
    <w:qFormat/>
    <w:uiPriority w:val="0"/>
    <w:rPr>
      <w:rFonts w:eastAsia="仿宋_GB2312"/>
      <w:kern w:val="2"/>
      <w:sz w:val="28"/>
      <w:szCs w:val="28"/>
    </w:rPr>
  </w:style>
  <w:style w:type="character" w:customStyle="1" w:styleId="99">
    <w:name w:val="Footnote Characters"/>
    <w:qFormat/>
    <w:uiPriority w:val="0"/>
    <w:rPr>
      <w:vertAlign w:val="superscript"/>
    </w:rPr>
  </w:style>
  <w:style w:type="character" w:customStyle="1" w:styleId="100">
    <w:name w:val="SSE标题1 Char"/>
    <w:qFormat/>
    <w:uiPriority w:val="0"/>
    <w:rPr>
      <w:rFonts w:eastAsia="黑体;SimHei"/>
      <w:b/>
      <w:bCs/>
      <w:kern w:val="2"/>
      <w:sz w:val="30"/>
      <w:szCs w:val="30"/>
    </w:rPr>
  </w:style>
  <w:style w:type="character" w:customStyle="1" w:styleId="101">
    <w:name w:val="SSE标题0 Char"/>
    <w:qFormat/>
    <w:uiPriority w:val="0"/>
    <w:rPr>
      <w:rFonts w:eastAsia="华文中宋"/>
      <w:b/>
      <w:kern w:val="2"/>
      <w:sz w:val="44"/>
      <w:szCs w:val="44"/>
    </w:rPr>
  </w:style>
  <w:style w:type="character" w:customStyle="1" w:styleId="102">
    <w:name w:val="副标题 Char"/>
    <w:qFormat/>
    <w:uiPriority w:val="0"/>
    <w:rPr>
      <w:rFonts w:ascii="Cambria" w:hAnsi="Cambria" w:cs="Times New Roman"/>
      <w:b/>
      <w:bCs/>
      <w:kern w:val="2"/>
      <w:sz w:val="32"/>
      <w:szCs w:val="32"/>
    </w:rPr>
  </w:style>
  <w:style w:type="character" w:customStyle="1" w:styleId="103">
    <w:name w:val="标题 Char"/>
    <w:qFormat/>
    <w:uiPriority w:val="0"/>
    <w:rPr>
      <w:rFonts w:ascii="ClassGarmnd BT;Times New Roman" w:hAnsi="ClassGarmnd BT;Times New Roman" w:eastAsia="宋体;SimSun" w:cs="ClassGarmnd BT;Times New Roman"/>
      <w:b/>
      <w:kern w:val="2"/>
      <w:sz w:val="32"/>
      <w:lang w:val="en-AU"/>
    </w:rPr>
  </w:style>
  <w:style w:type="character" w:customStyle="1" w:styleId="104">
    <w:name w:val="语句 Char"/>
    <w:qFormat/>
    <w:uiPriority w:val="0"/>
    <w:rPr>
      <w:rFonts w:ascii="仿宋_GB2312" w:hAnsi="仿宋_GB2312" w:eastAsia="仿宋_GB2312"/>
      <w:b/>
      <w:i/>
      <w:sz w:val="30"/>
      <w:szCs w:val="30"/>
    </w:rPr>
  </w:style>
  <w:style w:type="character" w:customStyle="1" w:styleId="105">
    <w:name w:val="KK一级 Char"/>
    <w:qFormat/>
    <w:uiPriority w:val="0"/>
    <w:rPr>
      <w:rFonts w:ascii="仿宋_GB2312" w:hAnsi="仿宋_GB2312" w:eastAsia="仿宋_GB2312" w:cs="Calibri"/>
      <w:b/>
      <w:bCs/>
      <w:sz w:val="30"/>
      <w:szCs w:val="30"/>
    </w:rPr>
  </w:style>
  <w:style w:type="character" w:customStyle="1" w:styleId="106">
    <w:name w:val="KK二级 Char"/>
    <w:qFormat/>
    <w:uiPriority w:val="0"/>
    <w:rPr>
      <w:rFonts w:ascii="仿宋_GB2312" w:hAnsi="仿宋_GB2312" w:eastAsia="仿宋_GB2312" w:cs="Calibri"/>
      <w:b/>
      <w:bCs/>
      <w:sz w:val="30"/>
      <w:szCs w:val="30"/>
    </w:rPr>
  </w:style>
  <w:style w:type="character" w:customStyle="1" w:styleId="107">
    <w:name w:val="eee Char"/>
    <w:qFormat/>
    <w:uiPriority w:val="0"/>
    <w:rPr>
      <w:rFonts w:ascii="宋体;SimSun" w:hAnsi="宋体;SimSun" w:cs="宋体;SimSun"/>
      <w:sz w:val="24"/>
      <w:szCs w:val="24"/>
    </w:rPr>
  </w:style>
  <w:style w:type="character" w:customStyle="1" w:styleId="108">
    <w:name w:val="SSE内容提要正文 Char"/>
    <w:qFormat/>
    <w:uiPriority w:val="0"/>
    <w:rPr>
      <w:rFonts w:ascii="仿宋_GB2312" w:hAnsi="仿宋_GB2312" w:eastAsia="仿宋_GB2312"/>
      <w:sz w:val="28"/>
    </w:rPr>
  </w:style>
  <w:style w:type="character" w:customStyle="1" w:styleId="109">
    <w:name w:val="SSE资料来源 Char"/>
    <w:qFormat/>
    <w:uiPriority w:val="0"/>
    <w:rPr>
      <w:rFonts w:ascii="仿宋_GB2312" w:hAnsi="仿宋_GB2312" w:eastAsia="仿宋_GB2312"/>
      <w:color w:val="000000"/>
    </w:rPr>
  </w:style>
  <w:style w:type="character" w:customStyle="1" w:styleId="110">
    <w:name w:val="SSE标题2 Char"/>
    <w:qFormat/>
    <w:uiPriority w:val="0"/>
    <w:rPr>
      <w:rFonts w:ascii="仿宋_GB2312" w:hAnsi="仿宋_GB2312" w:eastAsia="仿宋_GB2312"/>
      <w:b/>
      <w:bCs/>
      <w:sz w:val="28"/>
      <w:szCs w:val="28"/>
    </w:rPr>
  </w:style>
  <w:style w:type="character" w:customStyle="1" w:styleId="111">
    <w:name w:val="SSE表格文字 Char"/>
    <w:qFormat/>
    <w:uiPriority w:val="0"/>
    <w:rPr>
      <w:rFonts w:ascii="仿宋_GB2312" w:hAnsi="仿宋_GB2312" w:eastAsia="仿宋_GB2312"/>
      <w:color w:val="000000"/>
      <w:sz w:val="24"/>
      <w:szCs w:val="24"/>
    </w:rPr>
  </w:style>
  <w:style w:type="character" w:customStyle="1" w:styleId="112">
    <w:name w:val="SSE图表标题 Char"/>
    <w:qFormat/>
    <w:uiPriority w:val="0"/>
    <w:rPr>
      <w:rFonts w:ascii="仿宋_GB2312" w:hAnsi="仿宋_GB2312" w:eastAsia="仿宋_GB2312"/>
      <w:b/>
      <w:bCs/>
      <w:color w:val="000000"/>
      <w:sz w:val="24"/>
      <w:szCs w:val="24"/>
    </w:rPr>
  </w:style>
  <w:style w:type="character" w:customStyle="1" w:styleId="113">
    <w:name w:val="标题 1 字符"/>
    <w:qFormat/>
    <w:uiPriority w:val="0"/>
    <w:rPr>
      <w:rFonts w:ascii="Calibri" w:hAnsi="Calibri" w:eastAsia="宋体;SimSun" w:cs="Times New Roman"/>
      <w:b/>
      <w:bCs/>
      <w:kern w:val="2"/>
      <w:sz w:val="44"/>
      <w:szCs w:val="44"/>
    </w:rPr>
  </w:style>
  <w:style w:type="character" w:customStyle="1" w:styleId="114">
    <w:name w:val="标题 2 字符"/>
    <w:qFormat/>
    <w:uiPriority w:val="0"/>
    <w:rPr>
      <w:rFonts w:ascii="Cambria" w:hAnsi="Cambria" w:eastAsia="宋体;SimSun" w:cs="Times New Roman"/>
      <w:b/>
      <w:bCs/>
      <w:sz w:val="32"/>
      <w:szCs w:val="32"/>
    </w:rPr>
  </w:style>
  <w:style w:type="character" w:customStyle="1" w:styleId="115">
    <w:name w:val="标题 3 字符"/>
    <w:qFormat/>
    <w:uiPriority w:val="0"/>
    <w:rPr>
      <w:rFonts w:ascii="Calibri" w:hAnsi="Calibri" w:eastAsia="宋体;SimSun" w:cs="Times New Roman"/>
      <w:b/>
      <w:bCs/>
      <w:sz w:val="32"/>
      <w:szCs w:val="32"/>
    </w:rPr>
  </w:style>
  <w:style w:type="character" w:customStyle="1" w:styleId="116">
    <w:name w:val="标题 4 字符"/>
    <w:qFormat/>
    <w:uiPriority w:val="0"/>
    <w:rPr>
      <w:rFonts w:ascii="Cambria" w:hAnsi="Cambria" w:eastAsia="宋体;SimSun" w:cs="Times New Roman"/>
      <w:b/>
      <w:bCs/>
      <w:sz w:val="28"/>
      <w:szCs w:val="28"/>
    </w:rPr>
  </w:style>
  <w:style w:type="character" w:customStyle="1" w:styleId="117">
    <w:name w:val="标题 6 字符"/>
    <w:qFormat/>
    <w:uiPriority w:val="0"/>
    <w:rPr>
      <w:rFonts w:ascii="Cambria" w:hAnsi="Cambria" w:eastAsia="宋体;SimSun" w:cs="Times New Roman"/>
      <w:b/>
      <w:bCs/>
      <w:sz w:val="24"/>
      <w:szCs w:val="24"/>
    </w:rPr>
  </w:style>
  <w:style w:type="character" w:customStyle="1" w:styleId="118">
    <w:name w:val="页眉 字符"/>
    <w:qFormat/>
    <w:uiPriority w:val="0"/>
    <w:rPr>
      <w:rFonts w:ascii="Calibri" w:hAnsi="Calibri" w:eastAsia="宋体;SimSun" w:cs="Times New Roman"/>
      <w:sz w:val="18"/>
      <w:szCs w:val="18"/>
    </w:rPr>
  </w:style>
  <w:style w:type="character" w:customStyle="1" w:styleId="119">
    <w:name w:val="页脚 字符"/>
    <w:qFormat/>
    <w:uiPriority w:val="0"/>
    <w:rPr>
      <w:rFonts w:ascii="Calibri" w:hAnsi="Calibri" w:eastAsia="宋体;SimSun" w:cs="Times New Roman"/>
      <w:sz w:val="18"/>
      <w:szCs w:val="18"/>
    </w:rPr>
  </w:style>
  <w:style w:type="character" w:customStyle="1" w:styleId="120">
    <w:name w:val="正文文本缩进 字符"/>
    <w:qFormat/>
    <w:uiPriority w:val="0"/>
    <w:rPr>
      <w:rFonts w:ascii="Calibri" w:hAnsi="Calibri" w:eastAsia="宋体;SimSun" w:cs="Times New Roman"/>
    </w:rPr>
  </w:style>
  <w:style w:type="character" w:customStyle="1" w:styleId="121">
    <w:name w:val="批注框文本 字符"/>
    <w:qFormat/>
    <w:uiPriority w:val="0"/>
    <w:rPr>
      <w:rFonts w:ascii="Calibri" w:hAnsi="Calibri" w:eastAsia="宋体;SimSun" w:cs="Times New Roman"/>
      <w:sz w:val="18"/>
      <w:szCs w:val="18"/>
    </w:rPr>
  </w:style>
  <w:style w:type="character" w:customStyle="1" w:styleId="122">
    <w:name w:val="日期 字符"/>
    <w:qFormat/>
    <w:uiPriority w:val="0"/>
    <w:rPr>
      <w:rFonts w:ascii="Calibri" w:hAnsi="Calibri" w:eastAsia="宋体;SimSun" w:cs="Times New Roman"/>
    </w:rPr>
  </w:style>
  <w:style w:type="character" w:customStyle="1" w:styleId="123">
    <w:name w:val="纯文本 字符"/>
    <w:qFormat/>
    <w:uiPriority w:val="0"/>
    <w:rPr>
      <w:rFonts w:ascii="宋体;SimSun" w:hAnsi="宋体;SimSun" w:eastAsia="宋体;SimSun" w:cs="Courier New"/>
    </w:rPr>
  </w:style>
  <w:style w:type="character" w:customStyle="1" w:styleId="124">
    <w:name w:val="正文文本 2 字符"/>
    <w:qFormat/>
    <w:uiPriority w:val="0"/>
    <w:rPr>
      <w:rFonts w:ascii="Calibri" w:hAnsi="Calibri" w:eastAsia="宋体;SimSun" w:cs="Times New Roman"/>
    </w:rPr>
  </w:style>
  <w:style w:type="character" w:customStyle="1" w:styleId="125">
    <w:name w:val="尾注文本 Char1"/>
    <w:qFormat/>
    <w:uiPriority w:val="0"/>
    <w:rPr>
      <w:rFonts w:ascii="Times New Roman" w:hAnsi="Times New Roman" w:eastAsia="宋体;SimSun" w:cs="Times New Roman"/>
      <w:kern w:val="0"/>
      <w:sz w:val="24"/>
      <w:szCs w:val="24"/>
    </w:rPr>
  </w:style>
  <w:style w:type="character" w:customStyle="1" w:styleId="126">
    <w:name w:val="尾注文本 字符"/>
    <w:qFormat/>
    <w:uiPriority w:val="0"/>
    <w:rPr>
      <w:rFonts w:ascii="Calibri" w:hAnsi="Calibri" w:eastAsia="宋体;SimSun" w:cs="Times New Roman"/>
    </w:rPr>
  </w:style>
  <w:style w:type="character" w:customStyle="1" w:styleId="127">
    <w:name w:val="批注文字 Char1"/>
    <w:qFormat/>
    <w:uiPriority w:val="0"/>
    <w:rPr>
      <w:rFonts w:ascii="Times New Roman" w:hAnsi="Times New Roman" w:eastAsia="宋体;SimSun" w:cs="Times New Roman"/>
      <w:kern w:val="0"/>
      <w:sz w:val="24"/>
      <w:szCs w:val="24"/>
    </w:rPr>
  </w:style>
  <w:style w:type="character" w:customStyle="1" w:styleId="128">
    <w:name w:val="批注文字 字符"/>
    <w:qFormat/>
    <w:uiPriority w:val="0"/>
    <w:rPr>
      <w:rFonts w:ascii="Calibri" w:hAnsi="Calibri" w:eastAsia="宋体;SimSun" w:cs="Times New Roman"/>
    </w:rPr>
  </w:style>
  <w:style w:type="character" w:customStyle="1" w:styleId="129">
    <w:name w:val="正文文本 字符"/>
    <w:qFormat/>
    <w:uiPriority w:val="0"/>
    <w:rPr>
      <w:rFonts w:ascii="Calibri" w:hAnsi="Calibri" w:eastAsia="宋体;SimSun" w:cs="Times New Roman"/>
    </w:rPr>
  </w:style>
  <w:style w:type="character" w:customStyle="1" w:styleId="130">
    <w:name w:val="正文文本缩进 2 字符"/>
    <w:qFormat/>
    <w:uiPriority w:val="0"/>
    <w:rPr>
      <w:rFonts w:ascii="Calibri" w:hAnsi="Calibri" w:eastAsia="宋体;SimSun" w:cs="Times New Roman"/>
    </w:rPr>
  </w:style>
  <w:style w:type="character" w:customStyle="1" w:styleId="131">
    <w:name w:val="正文文本缩进 3 字符"/>
    <w:qFormat/>
    <w:uiPriority w:val="0"/>
    <w:rPr>
      <w:rFonts w:ascii="Calibri" w:hAnsi="Calibri" w:eastAsia="宋体;SimSun" w:cs="Times New Roman"/>
      <w:sz w:val="16"/>
      <w:szCs w:val="16"/>
    </w:rPr>
  </w:style>
  <w:style w:type="character" w:customStyle="1" w:styleId="132">
    <w:name w:val="正文文本 3 字符"/>
    <w:qFormat/>
    <w:uiPriority w:val="0"/>
    <w:rPr>
      <w:rFonts w:ascii="Calibri" w:hAnsi="Calibri" w:eastAsia="宋体;SimSun" w:cs="Times New Roman"/>
      <w:sz w:val="16"/>
      <w:szCs w:val="16"/>
    </w:rPr>
  </w:style>
  <w:style w:type="character" w:customStyle="1" w:styleId="133">
    <w:name w:val="脚注文本 字符"/>
    <w:qFormat/>
    <w:uiPriority w:val="0"/>
    <w:rPr>
      <w:rFonts w:ascii="Calibri" w:hAnsi="Calibri" w:eastAsia="宋体;SimSun" w:cs="Times New Roman"/>
      <w:sz w:val="18"/>
      <w:szCs w:val="18"/>
    </w:rPr>
  </w:style>
  <w:style w:type="character" w:customStyle="1" w:styleId="134">
    <w:name w:val="批注主题 Char1"/>
    <w:qFormat/>
    <w:uiPriority w:val="0"/>
    <w:rPr>
      <w:rFonts w:ascii="Times New Roman" w:hAnsi="Times New Roman" w:eastAsia="宋体;SimSun" w:cs="Times New Roman"/>
      <w:b/>
      <w:bCs/>
      <w:kern w:val="0"/>
      <w:sz w:val="24"/>
      <w:szCs w:val="24"/>
    </w:rPr>
  </w:style>
  <w:style w:type="character" w:customStyle="1" w:styleId="135">
    <w:name w:val="批注主题 字符"/>
    <w:qFormat/>
    <w:uiPriority w:val="0"/>
    <w:rPr>
      <w:rFonts w:ascii="Calibri" w:hAnsi="Calibri" w:eastAsia="宋体;SimSun" w:cs="Times New Roman"/>
      <w:b/>
      <w:bCs/>
    </w:rPr>
  </w:style>
  <w:style w:type="character" w:customStyle="1" w:styleId="136">
    <w:name w:val="标题 Char1"/>
    <w:qFormat/>
    <w:uiPriority w:val="0"/>
    <w:rPr>
      <w:rFonts w:ascii="Arial" w:hAnsi="Arial" w:eastAsia="宋体;SimSun" w:cs="Times New Roman"/>
      <w:b/>
      <w:bCs/>
      <w:kern w:val="0"/>
      <w:sz w:val="32"/>
      <w:szCs w:val="32"/>
    </w:rPr>
  </w:style>
  <w:style w:type="character" w:customStyle="1" w:styleId="137">
    <w:name w:val="标题 字符"/>
    <w:qFormat/>
    <w:uiPriority w:val="0"/>
    <w:rPr>
      <w:rFonts w:ascii="Cambria" w:hAnsi="Cambria" w:eastAsia="宋体;SimSun" w:cs="Times New Roman"/>
      <w:b/>
      <w:bCs/>
      <w:sz w:val="32"/>
      <w:szCs w:val="32"/>
    </w:rPr>
  </w:style>
  <w:style w:type="paragraph" w:customStyle="1" w:styleId="138">
    <w:name w:val="Heading"/>
    <w:basedOn w:val="1"/>
    <w:next w:val="15"/>
    <w:qFormat/>
    <w:uiPriority w:val="0"/>
    <w:pPr>
      <w:widowControl/>
      <w:overflowPunct w:val="0"/>
      <w:autoSpaceDE w:val="0"/>
      <w:jc w:val="center"/>
    </w:pPr>
    <w:rPr>
      <w:rFonts w:ascii="ClassGarmnd BT;Times New Roman" w:hAnsi="ClassGarmnd BT;Times New Roman" w:cs="ClassGarmnd BT;Times New Roman"/>
      <w:b/>
      <w:sz w:val="32"/>
      <w:lang w:val="en-AU"/>
    </w:rPr>
  </w:style>
  <w:style w:type="paragraph" w:customStyle="1" w:styleId="139">
    <w:name w:val="Index"/>
    <w:basedOn w:val="1"/>
    <w:qFormat/>
    <w:uiPriority w:val="0"/>
    <w:pPr>
      <w:suppressLineNumbers/>
    </w:pPr>
    <w:rPr>
      <w:rFonts w:cs="Arial Unicode MS"/>
    </w:rPr>
  </w:style>
  <w:style w:type="paragraph" w:customStyle="1" w:styleId="140">
    <w:name w:val="Header and Footer"/>
    <w:basedOn w:val="1"/>
    <w:qFormat/>
    <w:uiPriority w:val="0"/>
    <w:pPr>
      <w:suppressLineNumbers/>
      <w:tabs>
        <w:tab w:val="center" w:pos="4819"/>
        <w:tab w:val="right" w:pos="9638"/>
      </w:tabs>
    </w:pPr>
  </w:style>
  <w:style w:type="paragraph" w:customStyle="1" w:styleId="141">
    <w:name w:val="批注框文本1"/>
    <w:basedOn w:val="1"/>
    <w:qFormat/>
    <w:uiPriority w:val="0"/>
    <w:rPr>
      <w:sz w:val="18"/>
      <w:szCs w:val="18"/>
    </w:rPr>
  </w:style>
  <w:style w:type="paragraph" w:customStyle="1" w:styleId="142">
    <w:name w:val="日期1"/>
    <w:basedOn w:val="1"/>
    <w:next w:val="1"/>
    <w:qFormat/>
    <w:uiPriority w:val="0"/>
    <w:rPr>
      <w:rFonts w:ascii="楷体_GB2312" w:hAnsi="楷体_GB2312" w:eastAsia="楷体_GB2312"/>
      <w:sz w:val="32"/>
    </w:rPr>
  </w:style>
  <w:style w:type="paragraph" w:customStyle="1" w:styleId="143">
    <w:name w:val="dash6b63_6587"/>
    <w:basedOn w:val="1"/>
    <w:qFormat/>
    <w:uiPriority w:val="0"/>
    <w:pPr>
      <w:widowControl/>
      <w:spacing w:before="280" w:after="280"/>
      <w:jc w:val="left"/>
    </w:pPr>
    <w:rPr>
      <w:rFonts w:ascii="宋体;SimSun" w:hAnsi="宋体;SimSun" w:cs="宋体;SimSun"/>
      <w:kern w:val="0"/>
      <w:sz w:val="24"/>
      <w:szCs w:val="24"/>
    </w:rPr>
  </w:style>
  <w:style w:type="paragraph" w:customStyle="1" w:styleId="144">
    <w:name w:val="纯文本1"/>
    <w:basedOn w:val="1"/>
    <w:qFormat/>
    <w:uiPriority w:val="0"/>
    <w:rPr>
      <w:rFonts w:ascii="宋体;SimSun" w:hAnsi="宋体;SimSun" w:cs="Courier New"/>
      <w:szCs w:val="21"/>
    </w:rPr>
  </w:style>
  <w:style w:type="paragraph" w:customStyle="1" w:styleId="145">
    <w:name w:val="p0"/>
    <w:basedOn w:val="1"/>
    <w:qFormat/>
    <w:uiPriority w:val="0"/>
    <w:pPr>
      <w:widowControl/>
    </w:pPr>
    <w:rPr>
      <w:kern w:val="0"/>
      <w:szCs w:val="21"/>
    </w:rPr>
  </w:style>
  <w:style w:type="paragraph" w:customStyle="1" w:styleId="146">
    <w:name w:val="正文文本 21"/>
    <w:basedOn w:val="1"/>
    <w:qFormat/>
    <w:uiPriority w:val="0"/>
    <w:pPr>
      <w:spacing w:line="840" w:lineRule="exact"/>
      <w:jc w:val="center"/>
    </w:pPr>
    <w:rPr>
      <w:rFonts w:ascii="宋体;SimSun" w:hAnsi="宋体;SimSun" w:cs="Courier New"/>
      <w:kern w:val="0"/>
      <w:szCs w:val="21"/>
      <w:lang w:val="zh-CN"/>
    </w:rPr>
  </w:style>
  <w:style w:type="paragraph" w:customStyle="1" w:styleId="147">
    <w:name w:val="列出段落"/>
    <w:basedOn w:val="1"/>
    <w:qFormat/>
    <w:uiPriority w:val="0"/>
    <w:pPr>
      <w:ind w:firstLine="420"/>
    </w:pPr>
    <w:rPr>
      <w:szCs w:val="24"/>
      <w:lang w:val="zh-CN"/>
    </w:rPr>
  </w:style>
  <w:style w:type="paragraph" w:customStyle="1" w:styleId="148">
    <w:name w:val="普通(网站)1"/>
    <w:basedOn w:val="1"/>
    <w:qFormat/>
    <w:uiPriority w:val="0"/>
    <w:pPr>
      <w:widowControl/>
      <w:spacing w:before="280" w:after="280"/>
      <w:jc w:val="left"/>
    </w:pPr>
    <w:rPr>
      <w:rFonts w:ascii="宋体;SimSun" w:hAnsi="宋体;SimSun" w:cs="宋体;SimSun"/>
      <w:kern w:val="0"/>
      <w:sz w:val="24"/>
      <w:szCs w:val="24"/>
    </w:rPr>
  </w:style>
  <w:style w:type="paragraph" w:customStyle="1" w:styleId="149">
    <w:name w:val="列出段落1"/>
    <w:basedOn w:val="1"/>
    <w:qFormat/>
    <w:uiPriority w:val="0"/>
    <w:pPr>
      <w:ind w:firstLine="420"/>
    </w:pPr>
    <w:rPr>
      <w:rFonts w:ascii="Calibri" w:hAnsi="Calibri" w:cs="Calibri"/>
      <w:szCs w:val="22"/>
    </w:rPr>
  </w:style>
  <w:style w:type="paragraph" w:customStyle="1" w:styleId="150">
    <w:name w:val="批注文字1"/>
    <w:basedOn w:val="1"/>
    <w:qFormat/>
    <w:uiPriority w:val="0"/>
    <w:pPr>
      <w:jc w:val="left"/>
    </w:pPr>
    <w:rPr>
      <w:kern w:val="0"/>
      <w:sz w:val="24"/>
      <w:szCs w:val="24"/>
      <w:lang w:val="zh-CN"/>
    </w:rPr>
  </w:style>
  <w:style w:type="paragraph" w:customStyle="1" w:styleId="151">
    <w:name w:val="00正文"/>
    <w:basedOn w:val="1"/>
    <w:qFormat/>
    <w:uiPriority w:val="0"/>
    <w:pPr>
      <w:snapToGrid w:val="0"/>
      <w:spacing w:line="360" w:lineRule="auto"/>
      <w:ind w:firstLine="200"/>
    </w:pPr>
    <w:rPr>
      <w:rFonts w:ascii="宋体;SimSun" w:hAnsi="宋体;SimSun" w:cs="宋体;SimSun"/>
      <w:sz w:val="24"/>
      <w:szCs w:val="24"/>
    </w:rPr>
  </w:style>
  <w:style w:type="paragraph" w:styleId="152">
    <w:name w:val="List Paragraph"/>
    <w:basedOn w:val="1"/>
    <w:qFormat/>
    <w:uiPriority w:val="0"/>
    <w:pPr>
      <w:ind w:firstLine="420"/>
    </w:pPr>
    <w:rPr>
      <w:rFonts w:ascii="Calibri" w:hAnsi="Calibri" w:cs="Calibri"/>
      <w:szCs w:val="22"/>
    </w:rPr>
  </w:style>
  <w:style w:type="paragraph" w:customStyle="1" w:styleId="153">
    <w:name w:val="内页正文"/>
    <w:qFormat/>
    <w:uiPriority w:val="0"/>
    <w:pPr>
      <w:suppressAutoHyphens/>
      <w:spacing w:after="120"/>
      <w:jc w:val="both"/>
    </w:pPr>
    <w:rPr>
      <w:rFonts w:ascii="Arial" w:hAnsi="Arial" w:eastAsia="汉仪中等线简;宋体" w:cs="Arial"/>
      <w:color w:val="000000"/>
      <w:sz w:val="18"/>
      <w:szCs w:val="18"/>
      <w:lang w:val="en-US" w:eastAsia="zh-CN" w:bidi="ar-SA"/>
    </w:rPr>
  </w:style>
  <w:style w:type="paragraph" w:customStyle="1" w:styleId="154">
    <w:name w:val="Default"/>
    <w:qFormat/>
    <w:uiPriority w:val="0"/>
    <w:pPr>
      <w:widowControl w:val="0"/>
      <w:suppressAutoHyphens/>
      <w:autoSpaceDE w:val="0"/>
    </w:pPr>
    <w:rPr>
      <w:rFonts w:ascii="仿宋_GB2312" w:hAnsi="仿宋_GB2312" w:eastAsia="仿宋_GB2312" w:cs="仿宋_GB2312"/>
      <w:color w:val="000000"/>
      <w:sz w:val="24"/>
      <w:szCs w:val="24"/>
      <w:lang w:val="en-US" w:eastAsia="zh-CN" w:bidi="ar-SA"/>
    </w:rPr>
  </w:style>
  <w:style w:type="paragraph" w:styleId="155">
    <w:name w:val="No Spacing"/>
    <w:qFormat/>
    <w:uiPriority w:val="0"/>
    <w:pPr>
      <w:widowControl w:val="0"/>
      <w:suppressAutoHyphens/>
      <w:jc w:val="both"/>
    </w:pPr>
    <w:rPr>
      <w:rFonts w:ascii="Calibri" w:hAnsi="Calibri" w:eastAsia="宋体;SimSun" w:cs="Calibri"/>
      <w:kern w:val="2"/>
      <w:sz w:val="21"/>
      <w:szCs w:val="22"/>
      <w:lang w:val="en-US" w:eastAsia="zh-CN" w:bidi="ar-SA"/>
    </w:rPr>
  </w:style>
  <w:style w:type="paragraph" w:customStyle="1" w:styleId="156">
    <w:name w:val="正文文本缩进 21"/>
    <w:basedOn w:val="1"/>
    <w:qFormat/>
    <w:uiPriority w:val="0"/>
    <w:pPr>
      <w:spacing w:line="600" w:lineRule="exact"/>
      <w:ind w:firstLine="600"/>
    </w:pPr>
    <w:rPr>
      <w:rFonts w:ascii="仿宋_GB2312" w:hAnsi="仿宋_GB2312" w:eastAsia="仿宋_GB2312" w:cs="宋体;SimSun"/>
      <w:sz w:val="30"/>
      <w:szCs w:val="30"/>
      <w:lang w:val="zh-CN"/>
    </w:rPr>
  </w:style>
  <w:style w:type="paragraph" w:customStyle="1" w:styleId="157">
    <w:name w:val="正文文本缩进 31"/>
    <w:basedOn w:val="1"/>
    <w:qFormat/>
    <w:uiPriority w:val="0"/>
    <w:pPr>
      <w:autoSpaceDE w:val="0"/>
      <w:spacing w:line="760" w:lineRule="exact"/>
      <w:ind w:firstLine="560"/>
      <w:jc w:val="left"/>
    </w:pPr>
    <w:rPr>
      <w:rFonts w:ascii="仿宋_GB2312" w:hAnsi="仿宋_GB2312" w:eastAsia="仿宋_GB2312"/>
      <w:kern w:val="0"/>
      <w:sz w:val="30"/>
      <w:szCs w:val="28"/>
      <w:lang w:val="zh-CN"/>
    </w:rPr>
  </w:style>
  <w:style w:type="paragraph" w:customStyle="1" w:styleId="158">
    <w:name w:val="正文文本 31"/>
    <w:basedOn w:val="1"/>
    <w:qFormat/>
    <w:uiPriority w:val="0"/>
    <w:pPr>
      <w:spacing w:line="840" w:lineRule="exact"/>
      <w:jc w:val="center"/>
    </w:pPr>
    <w:rPr>
      <w:rFonts w:ascii="方正大标宋简体;Arial Unicode MS" w:hAnsi="方正大标宋简体;Arial Unicode MS" w:eastAsia="方正大标宋简体;Arial Unicode MS" w:cs="宋体;SimSun"/>
      <w:bCs/>
      <w:sz w:val="42"/>
      <w:szCs w:val="42"/>
      <w:lang w:val="zh-CN"/>
    </w:rPr>
  </w:style>
  <w:style w:type="paragraph" w:customStyle="1" w:styleId="159">
    <w:name w:val="条款"/>
    <w:basedOn w:val="1"/>
    <w:qFormat/>
    <w:uiPriority w:val="0"/>
    <w:pPr>
      <w:widowControl/>
      <w:spacing w:line="360" w:lineRule="auto"/>
      <w:ind w:right="272" w:firstLine="560"/>
    </w:pPr>
    <w:rPr>
      <w:rFonts w:ascii="仿宋_GB2312" w:hAnsi="仿宋_GB2312" w:eastAsia="仿宋_GB2312" w:cs="Calibri"/>
      <w:color w:val="000000"/>
      <w:kern w:val="0"/>
      <w:sz w:val="28"/>
      <w:lang w:val="zh-CN"/>
    </w:rPr>
  </w:style>
  <w:style w:type="paragraph" w:customStyle="1" w:styleId="160">
    <w:name w:val="批注主题1"/>
    <w:basedOn w:val="150"/>
    <w:next w:val="150"/>
    <w:qFormat/>
    <w:uiPriority w:val="0"/>
    <w:rPr>
      <w:b/>
      <w:bCs/>
      <w:kern w:val="2"/>
      <w:sz w:val="21"/>
      <w:lang w:val="en-US"/>
    </w:rPr>
  </w:style>
  <w:style w:type="paragraph" w:customStyle="1" w:styleId="161">
    <w:name w:val="Char3"/>
    <w:basedOn w:val="1"/>
    <w:qFormat/>
    <w:uiPriority w:val="0"/>
    <w:rPr>
      <w:szCs w:val="21"/>
    </w:rPr>
  </w:style>
  <w:style w:type="paragraph" w:customStyle="1" w:styleId="162">
    <w:name w:val="doc-a2"/>
    <w:basedOn w:val="1"/>
    <w:qFormat/>
    <w:uiPriority w:val="0"/>
    <w:pPr>
      <w:widowControl/>
      <w:spacing w:before="225" w:after="280" w:line="450" w:lineRule="atLeast"/>
      <w:ind w:firstLine="480"/>
      <w:jc w:val="left"/>
    </w:pPr>
    <w:rPr>
      <w:rFonts w:ascii="微软雅黑" w:hAnsi="微软雅黑" w:eastAsia="微软雅黑" w:cs="宋体;SimSun"/>
      <w:kern w:val="0"/>
      <w:szCs w:val="21"/>
    </w:rPr>
  </w:style>
  <w:style w:type="paragraph" w:customStyle="1" w:styleId="163">
    <w:name w:val="样式1"/>
    <w:basedOn w:val="1"/>
    <w:qFormat/>
    <w:uiPriority w:val="0"/>
    <w:pPr>
      <w:numPr>
        <w:ilvl w:val="0"/>
        <w:numId w:val="2"/>
      </w:numPr>
      <w:tabs>
        <w:tab w:val="left" w:pos="2127"/>
      </w:tabs>
      <w:snapToGrid w:val="0"/>
      <w:spacing w:line="540" w:lineRule="exact"/>
      <w:ind w:left="988" w:firstLine="0"/>
    </w:pPr>
    <w:rPr>
      <w:rFonts w:ascii="仿宋_GB2312" w:hAnsi="仿宋_GB2312" w:eastAsia="仿宋_GB2312" w:cs="宋体;SimSun"/>
      <w:kern w:val="0"/>
      <w:sz w:val="30"/>
      <w:szCs w:val="30"/>
      <w:lang w:val="zh-CN"/>
    </w:rPr>
  </w:style>
  <w:style w:type="paragraph" w:customStyle="1" w:styleId="164">
    <w:name w:val="SSE正文"/>
    <w:basedOn w:val="1"/>
    <w:qFormat/>
    <w:uiPriority w:val="0"/>
    <w:pPr>
      <w:ind w:firstLine="200"/>
    </w:pPr>
    <w:rPr>
      <w:rFonts w:eastAsia="仿宋_GB2312"/>
      <w:sz w:val="28"/>
      <w:szCs w:val="28"/>
    </w:rPr>
  </w:style>
  <w:style w:type="paragraph" w:customStyle="1" w:styleId="165">
    <w:name w:val="文本块1"/>
    <w:basedOn w:val="1"/>
    <w:qFormat/>
    <w:uiPriority w:val="0"/>
    <w:pPr>
      <w:widowControl/>
      <w:spacing w:after="240"/>
      <w:jc w:val="left"/>
    </w:pPr>
    <w:rPr>
      <w:kern w:val="0"/>
      <w:sz w:val="24"/>
    </w:rPr>
  </w:style>
  <w:style w:type="paragraph" w:customStyle="1" w:styleId="166">
    <w:name w:val="默认"/>
    <w:qFormat/>
    <w:uiPriority w:val="0"/>
    <w:pPr>
      <w:suppressAutoHyphens/>
    </w:pPr>
    <w:rPr>
      <w:rFonts w:ascii="Arial Unicode MS" w:hAnsi="Arial Unicode MS" w:eastAsia="Helvetica" w:cs="Arial Unicode MS"/>
      <w:color w:val="000000"/>
      <w:sz w:val="22"/>
      <w:szCs w:val="22"/>
      <w:lang w:val="zh-CN" w:eastAsia="zh-CN" w:bidi="ar-SA"/>
    </w:rPr>
  </w:style>
  <w:style w:type="paragraph" w:customStyle="1" w:styleId="167">
    <w:name w:val="Message Heading"/>
    <w:basedOn w:val="1"/>
    <w:next w:val="1"/>
    <w:qFormat/>
    <w:uiPriority w:val="0"/>
    <w:pPr>
      <w:widowControl/>
      <w:spacing w:after="120" w:line="320" w:lineRule="atLeast"/>
      <w:jc w:val="left"/>
    </w:pPr>
    <w:rPr>
      <w:rFonts w:ascii="Frutiger 45 Light;Arial" w:hAnsi="Frutiger 45 Light;Arial" w:eastAsia="华文楷体" w:cs="Frutiger 45 Light;Arial"/>
      <w:b/>
      <w:color w:val="3783FF"/>
      <w:kern w:val="0"/>
      <w:sz w:val="28"/>
    </w:rPr>
  </w:style>
  <w:style w:type="paragraph" w:customStyle="1" w:styleId="168">
    <w:name w:val="SSE标题1"/>
    <w:basedOn w:val="2"/>
    <w:qFormat/>
    <w:uiPriority w:val="0"/>
    <w:pPr>
      <w:numPr>
        <w:numId w:val="0"/>
      </w:numPr>
      <w:spacing w:before="0" w:after="120" w:line="240" w:lineRule="auto"/>
      <w:ind w:left="1232" w:hanging="630"/>
      <w:outlineLvl w:val="9"/>
    </w:pPr>
    <w:rPr>
      <w:rFonts w:eastAsia="黑体;SimHei"/>
      <w:sz w:val="30"/>
      <w:szCs w:val="30"/>
      <w:lang w:val="en-US"/>
    </w:rPr>
  </w:style>
  <w:style w:type="paragraph" w:customStyle="1" w:styleId="169">
    <w:name w:val="SSE标题0"/>
    <w:basedOn w:val="1"/>
    <w:qFormat/>
    <w:uiPriority w:val="0"/>
    <w:pPr>
      <w:spacing w:before="280" w:after="280"/>
      <w:jc w:val="center"/>
    </w:pPr>
    <w:rPr>
      <w:rFonts w:eastAsia="华文中宋"/>
      <w:b/>
      <w:sz w:val="44"/>
      <w:szCs w:val="44"/>
    </w:rPr>
  </w:style>
  <w:style w:type="paragraph" w:customStyle="1" w:styleId="170">
    <w:name w:val="Стандартный HTML"/>
    <w:basedOn w:val="1"/>
    <w:qFormat/>
    <w:uiPriority w:val="0"/>
    <w:pPr>
      <w:widowControl/>
      <w:jc w:val="left"/>
    </w:pPr>
    <w:rPr>
      <w:rFonts w:ascii="Courier New" w:hAnsi="Courier New" w:cs="Courier New"/>
      <w:sz w:val="20"/>
    </w:rPr>
  </w:style>
  <w:style w:type="paragraph" w:customStyle="1" w:styleId="171">
    <w:name w:val="Основной текст 2"/>
    <w:basedOn w:val="1"/>
    <w:qFormat/>
    <w:uiPriority w:val="0"/>
    <w:pPr>
      <w:widowControl/>
      <w:overflowPunct w:val="0"/>
      <w:autoSpaceDE w:val="0"/>
    </w:pPr>
    <w:rPr>
      <w:rFonts w:ascii="ClassGarmnd BT;Times New Roman" w:hAnsi="ClassGarmnd BT;Times New Roman" w:cs="ClassGarmnd BT;Times New Roman"/>
      <w:color w:val="000000"/>
      <w:sz w:val="20"/>
      <w:lang w:val="en-AU"/>
    </w:rPr>
  </w:style>
  <w:style w:type="paragraph" w:customStyle="1" w:styleId="172">
    <w:name w:val="List Paragraph1"/>
    <w:basedOn w:val="1"/>
    <w:qFormat/>
    <w:uiPriority w:val="0"/>
    <w:pPr>
      <w:ind w:left="720"/>
    </w:pPr>
    <w:rPr>
      <w:sz w:val="32"/>
      <w:szCs w:val="24"/>
    </w:rPr>
  </w:style>
  <w:style w:type="paragraph" w:customStyle="1" w:styleId="173">
    <w:name w:val="Style1"/>
    <w:basedOn w:val="1"/>
    <w:qFormat/>
    <w:uiPriority w:val="0"/>
    <w:pPr>
      <w:numPr>
        <w:ilvl w:val="0"/>
        <w:numId w:val="3"/>
      </w:numPr>
    </w:pPr>
    <w:rPr>
      <w:szCs w:val="24"/>
    </w:rPr>
  </w:style>
  <w:style w:type="paragraph" w:customStyle="1" w:styleId="174">
    <w:name w:val="语句"/>
    <w:basedOn w:val="1"/>
    <w:qFormat/>
    <w:uiPriority w:val="0"/>
    <w:pPr>
      <w:widowControl/>
      <w:snapToGrid w:val="0"/>
      <w:spacing w:line="540" w:lineRule="exact"/>
      <w:ind w:firstLine="567"/>
    </w:pPr>
    <w:rPr>
      <w:rFonts w:ascii="仿宋_GB2312" w:hAnsi="仿宋_GB2312" w:eastAsia="仿宋_GB2312"/>
      <w:b/>
      <w:i/>
      <w:kern w:val="0"/>
      <w:sz w:val="30"/>
      <w:szCs w:val="30"/>
      <w:lang w:val="zh-CN"/>
    </w:rPr>
  </w:style>
  <w:style w:type="paragraph" w:customStyle="1" w:styleId="175">
    <w:name w:val="KK一级"/>
    <w:basedOn w:val="1"/>
    <w:qFormat/>
    <w:uiPriority w:val="0"/>
    <w:pPr>
      <w:spacing w:line="600" w:lineRule="exact"/>
      <w:jc w:val="left"/>
    </w:pPr>
    <w:rPr>
      <w:rFonts w:ascii="仿宋_GB2312" w:hAnsi="仿宋_GB2312" w:eastAsia="仿宋_GB2312" w:cs="Calibri"/>
      <w:b/>
      <w:bCs/>
      <w:kern w:val="0"/>
      <w:sz w:val="30"/>
      <w:szCs w:val="30"/>
      <w:lang w:val="zh-CN"/>
    </w:rPr>
  </w:style>
  <w:style w:type="paragraph" w:customStyle="1" w:styleId="176">
    <w:name w:val="KK二级"/>
    <w:basedOn w:val="1"/>
    <w:qFormat/>
    <w:uiPriority w:val="0"/>
    <w:pPr>
      <w:spacing w:line="600" w:lineRule="exact"/>
      <w:jc w:val="left"/>
    </w:pPr>
    <w:rPr>
      <w:rFonts w:ascii="仿宋_GB2312" w:hAnsi="仿宋_GB2312" w:eastAsia="仿宋_GB2312" w:cs="Calibri"/>
      <w:b/>
      <w:bCs/>
      <w:kern w:val="0"/>
      <w:sz w:val="30"/>
      <w:szCs w:val="30"/>
      <w:lang w:val="zh-CN"/>
    </w:rPr>
  </w:style>
  <w:style w:type="paragraph" w:customStyle="1" w:styleId="177">
    <w:name w:val="eee"/>
    <w:basedOn w:val="1"/>
    <w:qFormat/>
    <w:uiPriority w:val="0"/>
    <w:pPr>
      <w:autoSpaceDE w:val="0"/>
      <w:spacing w:line="360" w:lineRule="auto"/>
      <w:ind w:firstLine="480"/>
    </w:pPr>
    <w:rPr>
      <w:rFonts w:ascii="宋体;SimSun" w:hAnsi="宋体;SimSun" w:cs="宋体;SimSun"/>
      <w:kern w:val="0"/>
      <w:sz w:val="24"/>
      <w:szCs w:val="24"/>
      <w:lang w:val="zh-CN"/>
    </w:rPr>
  </w:style>
  <w:style w:type="paragraph" w:customStyle="1" w:styleId="178">
    <w:name w:val="SSE内容提要正文"/>
    <w:basedOn w:val="1"/>
    <w:qFormat/>
    <w:uiPriority w:val="0"/>
    <w:pPr>
      <w:ind w:firstLine="560"/>
    </w:pPr>
    <w:rPr>
      <w:rFonts w:ascii="仿宋_GB2312" w:hAnsi="仿宋_GB2312" w:eastAsia="仿宋_GB2312"/>
      <w:kern w:val="0"/>
      <w:sz w:val="28"/>
      <w:lang w:val="zh-CN"/>
    </w:rPr>
  </w:style>
  <w:style w:type="paragraph" w:customStyle="1" w:styleId="179">
    <w:name w:val="SSE资料来源"/>
    <w:basedOn w:val="1"/>
    <w:qFormat/>
    <w:uiPriority w:val="0"/>
    <w:pPr>
      <w:spacing w:after="280"/>
      <w:ind w:firstLine="200"/>
    </w:pPr>
    <w:rPr>
      <w:rFonts w:ascii="仿宋_GB2312" w:hAnsi="仿宋_GB2312" w:eastAsia="仿宋_GB2312"/>
      <w:color w:val="000000"/>
      <w:kern w:val="0"/>
      <w:sz w:val="20"/>
      <w:lang w:val="zh-CN"/>
    </w:rPr>
  </w:style>
  <w:style w:type="paragraph" w:customStyle="1" w:styleId="180">
    <w:name w:val="SSE标题2"/>
    <w:basedOn w:val="3"/>
    <w:qFormat/>
    <w:uiPriority w:val="0"/>
    <w:pPr>
      <w:numPr>
        <w:ilvl w:val="0"/>
        <w:numId w:val="0"/>
      </w:numPr>
      <w:spacing w:after="0" w:line="240" w:lineRule="auto"/>
      <w:outlineLvl w:val="9"/>
    </w:pPr>
    <w:rPr>
      <w:rFonts w:ascii="仿宋_GB2312" w:hAnsi="仿宋_GB2312" w:eastAsia="仿宋_GB2312" w:cs="Times New Roman"/>
      <w:sz w:val="28"/>
      <w:szCs w:val="28"/>
    </w:rPr>
  </w:style>
  <w:style w:type="paragraph" w:customStyle="1" w:styleId="181">
    <w:name w:val="SSE表格文字"/>
    <w:basedOn w:val="1"/>
    <w:qFormat/>
    <w:uiPriority w:val="0"/>
    <w:pPr>
      <w:widowControl/>
      <w:jc w:val="center"/>
    </w:pPr>
    <w:rPr>
      <w:rFonts w:ascii="仿宋_GB2312" w:hAnsi="仿宋_GB2312" w:eastAsia="仿宋_GB2312"/>
      <w:color w:val="000000"/>
      <w:kern w:val="0"/>
      <w:sz w:val="24"/>
      <w:szCs w:val="24"/>
      <w:lang w:val="zh-CN"/>
    </w:rPr>
  </w:style>
  <w:style w:type="paragraph" w:customStyle="1" w:styleId="182">
    <w:name w:val="SSE图表标题"/>
    <w:basedOn w:val="7"/>
    <w:qFormat/>
    <w:uiPriority w:val="0"/>
    <w:pPr>
      <w:numPr>
        <w:ilvl w:val="0"/>
        <w:numId w:val="0"/>
      </w:numPr>
      <w:spacing w:after="0" w:line="240" w:lineRule="auto"/>
      <w:jc w:val="center"/>
      <w:outlineLvl w:val="9"/>
    </w:pPr>
    <w:rPr>
      <w:rFonts w:ascii="仿宋_GB2312" w:hAnsi="仿宋_GB2312" w:eastAsia="仿宋_GB2312" w:cs="Times New Roman"/>
      <w:color w:val="000000"/>
      <w:kern w:val="0"/>
      <w:lang w:val="zh-CN"/>
    </w:rPr>
  </w:style>
  <w:style w:type="paragraph" w:customStyle="1" w:styleId="183">
    <w:name w:val="a4"/>
    <w:basedOn w:val="1"/>
    <w:qFormat/>
    <w:uiPriority w:val="0"/>
    <w:pPr>
      <w:widowControl/>
      <w:spacing w:before="280" w:after="280"/>
      <w:jc w:val="left"/>
    </w:pPr>
    <w:rPr>
      <w:rFonts w:ascii="宋体;SimSun" w:hAnsi="宋体;SimSun" w:cs="宋体;SimSun"/>
      <w:kern w:val="0"/>
      <w:sz w:val="24"/>
      <w:szCs w:val="24"/>
    </w:rPr>
  </w:style>
  <w:style w:type="paragraph" w:customStyle="1" w:styleId="184">
    <w:name w:val="font5"/>
    <w:basedOn w:val="1"/>
    <w:qFormat/>
    <w:uiPriority w:val="0"/>
    <w:pPr>
      <w:widowControl/>
      <w:spacing w:before="280" w:after="280"/>
      <w:jc w:val="left"/>
    </w:pPr>
    <w:rPr>
      <w:rFonts w:ascii="等线;Arial Unicode MS" w:hAnsi="等线;Arial Unicode MS" w:eastAsia="等线;Arial Unicode MS" w:cs="宋体;SimSun"/>
      <w:kern w:val="0"/>
      <w:sz w:val="18"/>
      <w:szCs w:val="18"/>
    </w:rPr>
  </w:style>
  <w:style w:type="paragraph" w:customStyle="1" w:styleId="185">
    <w:name w:val="xl65"/>
    <w:basedOn w:val="1"/>
    <w:qFormat/>
    <w:uiPriority w:val="0"/>
    <w:pPr>
      <w:widowControl/>
      <w:pBdr>
        <w:top w:val="single" w:color="000000" w:sz="4" w:space="0"/>
        <w:left w:val="single" w:color="000000" w:sz="4" w:space="0"/>
        <w:bottom w:val="single" w:color="000000" w:sz="4" w:space="0"/>
        <w:right w:val="single" w:color="000000" w:sz="4" w:space="0"/>
      </w:pBdr>
      <w:spacing w:before="280" w:after="280"/>
      <w:jc w:val="center"/>
    </w:pPr>
    <w:rPr>
      <w:rFonts w:ascii="仿宋_GB2312" w:hAnsi="仿宋_GB2312" w:eastAsia="仿宋_GB2312" w:cs="宋体;SimSun"/>
      <w:b/>
      <w:bCs/>
      <w:kern w:val="0"/>
      <w:szCs w:val="21"/>
    </w:rPr>
  </w:style>
  <w:style w:type="paragraph" w:customStyle="1" w:styleId="186">
    <w:name w:val="xl66"/>
    <w:basedOn w:val="1"/>
    <w:qFormat/>
    <w:uiPriority w:val="0"/>
    <w:pPr>
      <w:widowControl/>
      <w:pBdr>
        <w:top w:val="single" w:color="000000" w:sz="4" w:space="0"/>
        <w:left w:val="single" w:color="000000" w:sz="4" w:space="0"/>
        <w:bottom w:val="single" w:color="000000" w:sz="4" w:space="0"/>
        <w:right w:val="single" w:color="000000" w:sz="4" w:space="0"/>
      </w:pBdr>
      <w:spacing w:before="280" w:after="280"/>
      <w:jc w:val="center"/>
    </w:pPr>
    <w:rPr>
      <w:rFonts w:ascii="宋体;SimSun" w:hAnsi="宋体;SimSun" w:cs="宋体;SimSun"/>
      <w:kern w:val="0"/>
      <w:sz w:val="24"/>
      <w:szCs w:val="24"/>
    </w:rPr>
  </w:style>
  <w:style w:type="paragraph" w:customStyle="1" w:styleId="187">
    <w:name w:val="Frame Contents"/>
    <w:basedOn w:val="1"/>
    <w:qFormat/>
    <w:uiPriority w:val="0"/>
  </w:style>
  <w:style w:type="paragraph" w:customStyle="1" w:styleId="188">
    <w:name w:val="_Style 3"/>
    <w:basedOn w:val="1"/>
    <w:qFormat/>
    <w:uiPriority w:val="0"/>
    <w:pPr>
      <w:ind w:firstLine="420"/>
    </w:pPr>
    <w:rPr>
      <w:kern w:val="0"/>
      <w:sz w:val="20"/>
    </w:rPr>
  </w:style>
  <w:style w:type="paragraph" w:customStyle="1" w:styleId="189">
    <w:name w:val="修订1"/>
    <w:hidden/>
    <w:unhideWhenUsed/>
    <w:qFormat/>
    <w:uiPriority w:val="99"/>
    <w:rPr>
      <w:rFonts w:ascii="Times New Roman" w:hAnsi="Times New Roman" w:eastAsia="宋体;SimSun" w:cs="Times New Roman"/>
      <w:kern w:val="2"/>
      <w:sz w:val="21"/>
      <w:lang w:val="en-US" w:eastAsia="zh-CN" w:bidi="ar-SA"/>
    </w:rPr>
  </w:style>
  <w:style w:type="paragraph" w:customStyle="1" w:styleId="190">
    <w:name w:val="修订2"/>
    <w:hidden/>
    <w:unhideWhenUsed/>
    <w:qFormat/>
    <w:uiPriority w:val="99"/>
    <w:rPr>
      <w:rFonts w:ascii="Times New Roman" w:hAnsi="Times New Roman" w:eastAsia="宋体;SimSun"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黑体"/>
        <a:cs typeface="DejaVu Sans"/>
      </a:majorFont>
      <a:minorFont>
        <a:latin typeface="Arial"/>
        <a:ea typeface="宋体"/>
        <a:cs typeface="DejaVu Sans"/>
      </a:minorFont>
    </a:fontScheme>
    <a:fmtScheme na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8448</Words>
  <Characters>8502</Characters>
  <Lines>59</Lines>
  <Paragraphs>16</Paragraphs>
  <TotalTime>4</TotalTime>
  <ScaleCrop>false</ScaleCrop>
  <LinksUpToDate>false</LinksUpToDate>
  <CharactersWithSpaces>8522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2025-07-10T06:22:00Z</dcterms:created>
  <dc:creator>user</dc:creator>
  <cp:lastModifiedBy>whxu</cp:lastModifiedBy>
  <dcterms:modified xsi:type="dcterms:W3CDTF">2026-01-05T02:00:17Z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eyJoZGlkIjoiMzkyMDA3YjgzOGJiZWQ3MDQzODIyNWZlMDExMGViMDYiLCJ1c2VySWQiOiI0MTAwNTg2ODQifQ==</vt:lpwstr>
  </property>
  <property fmtid="{D5CDD505-2E9C-101B-9397-08002B2CF9AE}" pid="3" name="KSOProductBuildVer">
    <vt:lpwstr>2052-12.1.0.24034</vt:lpwstr>
  </property>
  <property fmtid="{D5CDD505-2E9C-101B-9397-08002B2CF9AE}" pid="4" name="ICV">
    <vt:lpwstr>8BF70A91DFBA4ADE9C472A7D4DEB4E2D_13</vt:lpwstr>
  </property>
</Properties>
</file>