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CBBAE">
      <w:pPr>
        <w:spacing w:line="560" w:lineRule="exact"/>
        <w:jc w:val="left"/>
        <w:rPr>
          <w:rFonts w:ascii="仿宋_GB2312" w:hAnsi="仿宋_GB2312" w:eastAsia="仿宋_GB2312" w:cs="微软雅黑"/>
          <w:b/>
          <w:color w:val="000000"/>
          <w:sz w:val="30"/>
          <w:szCs w:val="30"/>
        </w:rPr>
      </w:pPr>
      <w:r>
        <w:rPr>
          <w:rFonts w:ascii="仿宋_GB2312" w:hAnsi="仿宋_GB2312" w:eastAsia="仿宋_GB2312" w:cs="微软雅黑"/>
          <w:b/>
          <w:color w:val="000000"/>
          <w:sz w:val="30"/>
          <w:szCs w:val="30"/>
        </w:rPr>
        <w:t>附件</w:t>
      </w:r>
    </w:p>
    <w:p w14:paraId="5B08D41E">
      <w:pPr>
        <w:spacing w:line="560" w:lineRule="exact"/>
        <w:jc w:val="left"/>
        <w:rPr>
          <w:rFonts w:ascii="仿宋_GB2312" w:hAnsi="仿宋_GB2312" w:eastAsia="仿宋_GB2312" w:cs="宋体;SimSun"/>
          <w:b/>
          <w:color w:val="000000"/>
          <w:kern w:val="0"/>
          <w:sz w:val="30"/>
          <w:szCs w:val="30"/>
        </w:rPr>
      </w:pPr>
    </w:p>
    <w:p w14:paraId="092DF547">
      <w:pPr>
        <w:spacing w:line="560" w:lineRule="exact"/>
        <w:jc w:val="center"/>
        <w:rPr>
          <w:rFonts w:ascii="方正大标宋简体;Arial Unicode MS" w:hAnsi="方正大标宋简体;Arial Unicode MS" w:eastAsia="方正大标宋简体;Arial Unicode MS" w:cs="华文中宋"/>
          <w:sz w:val="42"/>
          <w:szCs w:val="42"/>
        </w:rPr>
      </w:pPr>
      <w:r>
        <w:rPr>
          <w:rFonts w:ascii="方正大标宋简体;Arial Unicode MS" w:hAnsi="方正大标宋简体;Arial Unicode MS" w:eastAsia="方正大标宋简体;Arial Unicode MS" w:cs="华文中宋"/>
          <w:sz w:val="42"/>
          <w:szCs w:val="42"/>
        </w:rPr>
        <w:t>上海证券交易所科创板股票做市交易业务</w:t>
      </w:r>
    </w:p>
    <w:p w14:paraId="6F4DBEAC">
      <w:pPr>
        <w:spacing w:line="560" w:lineRule="exact"/>
        <w:jc w:val="center"/>
        <w:rPr>
          <w:rFonts w:ascii="仿宋_GB2312" w:hAnsi="仿宋_GB2312" w:eastAsia="仿宋_GB2312" w:cs="宋体;SimSun"/>
          <w:b/>
          <w:kern w:val="0"/>
          <w:sz w:val="30"/>
          <w:szCs w:val="30"/>
        </w:rPr>
      </w:pPr>
      <w:r>
        <w:rPr>
          <w:rFonts w:ascii="方正大标宋简体;Arial Unicode MS" w:hAnsi="方正大标宋简体;Arial Unicode MS" w:eastAsia="方正大标宋简体;Arial Unicode MS" w:cs="华文中宋"/>
          <w:sz w:val="42"/>
          <w:szCs w:val="42"/>
        </w:rPr>
        <w:t>实施细则</w:t>
      </w:r>
    </w:p>
    <w:p w14:paraId="3EA6D94B">
      <w:pPr>
        <w:spacing w:line="560" w:lineRule="exact"/>
        <w:jc w:val="center"/>
        <w:rPr>
          <w:rFonts w:ascii="黑体;SimHei" w:hAnsi="黑体;SimHei" w:eastAsia="黑体;SimHei" w:cs="黑体;SimHei"/>
          <w:b/>
          <w:kern w:val="0"/>
          <w:sz w:val="30"/>
          <w:szCs w:val="30"/>
        </w:rPr>
      </w:pPr>
    </w:p>
    <w:p w14:paraId="1A08E6F1">
      <w:pPr>
        <w:pStyle w:val="144"/>
        <w:numPr>
          <w:ilvl w:val="0"/>
          <w:numId w:val="0"/>
        </w:numPr>
        <w:spacing w:line="560" w:lineRule="exact"/>
        <w:ind w:left="420" w:leftChars="0" w:right="0" w:rightChars="0" w:hanging="420" w:firstLineChars="0"/>
        <w:jc w:val="center"/>
        <w:rPr>
          <w:rFonts w:ascii="黑体;SimHei" w:hAnsi="黑体;SimHei" w:eastAsia="黑体;SimHei" w:cs="宋体;SimSun"/>
          <w:b/>
          <w:sz w:val="30"/>
          <w:szCs w:val="30"/>
        </w:rPr>
      </w:pPr>
      <w:r>
        <w:rPr>
          <w:rFonts w:ascii="黑体;SimHei" w:hAnsi="黑体;SimHei" w:eastAsia="黑体;SimHei" w:cs="宋体;SimSun"/>
          <w:b/>
          <w:color w:val="auto"/>
          <w:kern w:val="2"/>
          <w:sz w:val="30"/>
          <w:szCs w:val="30"/>
          <w:lang w:val="en-US" w:eastAsia="zh-CN" w:bidi="ar-SA"/>
        </w:rPr>
        <w:t>第一章</w:t>
      </w:r>
      <w:r>
        <w:rPr>
          <w:rFonts w:ascii="黑体;SimHei" w:hAnsi="黑体;SimHei" w:eastAsia="黑体;SimHei" w:cs="宋体;SimSun"/>
          <w:b/>
          <w:sz w:val="30"/>
          <w:szCs w:val="30"/>
        </w:rPr>
        <w:t>总则</w:t>
      </w:r>
    </w:p>
    <w:p w14:paraId="3E309001">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24"/>
        </w:rPr>
      </w:pPr>
      <w:r>
        <w:rPr>
          <w:rFonts w:ascii="仿宋_GB2312" w:hAnsi="仿宋_GB2312" w:eastAsia="仿宋_GB2312" w:cs="宋体;SimSun"/>
          <w:b/>
          <w:color w:val="000000"/>
          <w:kern w:val="2"/>
          <w:sz w:val="30"/>
          <w:szCs w:val="30"/>
          <w:lang w:val="en-US" w:eastAsia="zh-CN" w:bidi="ar-SA"/>
        </w:rPr>
        <w:t>第一条</w:t>
      </w:r>
      <w:r>
        <w:rPr>
          <w:rFonts w:ascii="仿宋_GB2312" w:hAnsi="仿宋_GB2312" w:eastAsia="仿宋_GB2312" w:cs="仿宋_GB2312"/>
          <w:sz w:val="30"/>
          <w:szCs w:val="30"/>
        </w:rPr>
        <w:t xml:space="preserve"> </w:t>
      </w:r>
      <w:r>
        <w:rPr>
          <w:rStyle w:val="132"/>
          <w:rFonts w:eastAsia="Calibri"/>
        </w:rPr>
        <w:t xml:space="preserve"> </w:t>
      </w:r>
      <w:r>
        <w:rPr>
          <w:rFonts w:ascii="仿宋_GB2312" w:hAnsi="仿宋_GB2312" w:eastAsia="仿宋_GB2312" w:cs="宋体;SimSun"/>
          <w:sz w:val="30"/>
          <w:szCs w:val="30"/>
        </w:rPr>
        <w:t>为提升科创板股票和存托凭证（以下统称科创板股票）交易的流动性，规范科创板股票做市交易业务，保护投资者合法权益，</w:t>
      </w:r>
      <w:r>
        <w:rPr>
          <w:rFonts w:ascii="仿宋_GB2312" w:hAnsi="仿宋_GB2312" w:eastAsia="仿宋_GB2312"/>
          <w:sz w:val="30"/>
          <w:szCs w:val="30"/>
        </w:rPr>
        <w:t>根据《中华人民共和国证券法》《关于在上海证券交易所设立科创板并试点注册制的实施意见》</w:t>
      </w:r>
      <w:r>
        <w:rPr>
          <w:rFonts w:ascii="仿宋_GB2312" w:hAnsi="仿宋_GB2312" w:eastAsia="仿宋_GB2312"/>
          <w:color w:val="000000"/>
          <w:sz w:val="30"/>
          <w:szCs w:val="30"/>
        </w:rPr>
        <w:t>《证券公司科创板股票做市交易业务试点规定》《上海证券交易所交易规则》（以下简称《交易规则》）、《</w:t>
      </w:r>
      <w:r>
        <w:rPr>
          <w:rFonts w:ascii="仿宋_GB2312" w:hAnsi="仿宋_GB2312" w:eastAsia="仿宋_GB2312"/>
          <w:sz w:val="30"/>
          <w:szCs w:val="28"/>
        </w:rPr>
        <w:t>上海证券交易所科创板股票交易特别规定</w:t>
      </w:r>
      <w:r>
        <w:rPr>
          <w:rFonts w:ascii="仿宋_GB2312" w:hAnsi="仿宋_GB2312" w:eastAsia="仿宋_GB2312"/>
          <w:color w:val="000000"/>
          <w:sz w:val="30"/>
          <w:szCs w:val="30"/>
        </w:rPr>
        <w:t>》（以下简称《特别规定》）及其他相关规定</w:t>
      </w:r>
      <w:r>
        <w:rPr>
          <w:rFonts w:ascii="仿宋_GB2312" w:hAnsi="仿宋_GB2312" w:eastAsia="仿宋_GB2312"/>
          <w:sz w:val="30"/>
          <w:szCs w:val="30"/>
        </w:rPr>
        <w:t>，</w:t>
      </w:r>
      <w:r>
        <w:rPr>
          <w:rFonts w:ascii="仿宋_GB2312" w:hAnsi="仿宋_GB2312" w:eastAsia="仿宋_GB2312" w:cs="宋体;SimSun"/>
          <w:sz w:val="30"/>
          <w:szCs w:val="30"/>
        </w:rPr>
        <w:t>制定本细则。</w:t>
      </w:r>
    </w:p>
    <w:p w14:paraId="18FFA7C6">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第二条</w:t>
      </w:r>
      <w:r>
        <w:rPr>
          <w:rStyle w:val="132"/>
          <w:rFonts w:eastAsia="Calibri"/>
        </w:rPr>
        <w:t xml:space="preserve">  </w:t>
      </w:r>
      <w:r>
        <w:rPr>
          <w:rStyle w:val="132"/>
        </w:rPr>
        <w:t>科创板</w:t>
      </w:r>
      <w:r>
        <w:rPr>
          <w:rFonts w:ascii="仿宋_GB2312" w:hAnsi="仿宋_GB2312" w:eastAsia="仿宋_GB2312" w:cs="宋体;SimSun"/>
          <w:sz w:val="30"/>
          <w:szCs w:val="30"/>
        </w:rPr>
        <w:t>股票的做市交易业务，适用本细则。本细则未作规定的，适用上海证券交易所（以下简称本所）其他有关规则的规定。</w:t>
      </w:r>
    </w:p>
    <w:p w14:paraId="51BEBE16">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第三条</w:t>
      </w:r>
      <w:r>
        <w:rPr>
          <w:rFonts w:ascii="仿宋_GB2312" w:hAnsi="仿宋_GB2312" w:eastAsia="仿宋_GB2312" w:cs="仿宋_GB2312"/>
          <w:sz w:val="30"/>
          <w:szCs w:val="30"/>
        </w:rPr>
        <w:t xml:space="preserve"> </w:t>
      </w:r>
      <w:r>
        <w:rPr>
          <w:rStyle w:val="132"/>
          <w:rFonts w:eastAsia="Calibri"/>
        </w:rPr>
        <w:t xml:space="preserve"> </w:t>
      </w:r>
      <w:r>
        <w:rPr>
          <w:rFonts w:ascii="仿宋_GB2312" w:hAnsi="仿宋_GB2312" w:eastAsia="仿宋_GB2312" w:cs="宋体;SimSun"/>
          <w:sz w:val="30"/>
          <w:szCs w:val="30"/>
        </w:rPr>
        <w:t>本细则所称科创板股票做市交易业务，是指符合条件的证券公司（以下简称做市商），按照本细则规定和做市协议约定，为科创板股票提供双边持续报价、双边回应报价等流动性服务（以下简称做市服务）的业务。</w:t>
      </w:r>
    </w:p>
    <w:p w14:paraId="45DA493A">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第四条</w:t>
      </w:r>
      <w:r>
        <w:rPr>
          <w:rFonts w:ascii="仿宋_GB2312" w:hAnsi="仿宋_GB2312" w:eastAsia="仿宋_GB2312" w:cs="仿宋_GB2312"/>
          <w:sz w:val="30"/>
          <w:szCs w:val="30"/>
        </w:rPr>
        <w:t xml:space="preserve">  </w:t>
      </w:r>
      <w:r>
        <w:rPr>
          <w:rFonts w:ascii="仿宋_GB2312" w:hAnsi="仿宋_GB2312" w:eastAsia="仿宋_GB2312"/>
          <w:sz w:val="30"/>
          <w:szCs w:val="30"/>
        </w:rPr>
        <w:t>做市商开展科创板股票做市交易业务，应严格遵守法律法规、部门规章、规范性文件、本所相关规则的规定和做市协议约定，不得利用做市交易业务进行内幕交易、操纵市场等违法违规行为或者谋取其他不正当利益，不得利用未公开信息进行交易</w:t>
      </w:r>
      <w:r>
        <w:rPr>
          <w:rFonts w:ascii="仿宋_GB2312" w:hAnsi="仿宋_GB2312" w:eastAsia="仿宋_GB2312" w:cs="宋体;SimSun"/>
          <w:sz w:val="30"/>
          <w:szCs w:val="30"/>
        </w:rPr>
        <w:t>。</w:t>
      </w:r>
    </w:p>
    <w:p w14:paraId="7EC83FCB">
      <w:pPr>
        <w:pStyle w:val="144"/>
        <w:numPr>
          <w:ilvl w:val="0"/>
          <w:numId w:val="0"/>
        </w:numPr>
        <w:spacing w:line="560" w:lineRule="exact"/>
        <w:ind w:left="420" w:leftChars="0" w:right="0" w:rightChars="0" w:hanging="420" w:firstLineChars="0"/>
        <w:jc w:val="center"/>
        <w:rPr>
          <w:rFonts w:ascii="黑体;SimHei" w:hAnsi="黑体;SimHei" w:eastAsia="黑体;SimHei" w:cs="宋体;SimSun"/>
          <w:b/>
          <w:sz w:val="30"/>
          <w:szCs w:val="30"/>
        </w:rPr>
      </w:pPr>
      <w:r>
        <w:rPr>
          <w:rFonts w:ascii="黑体;SimHei" w:hAnsi="黑体;SimHei" w:eastAsia="黑体;SimHei" w:cs="宋体;SimSun"/>
          <w:b/>
          <w:color w:val="auto"/>
          <w:kern w:val="2"/>
          <w:sz w:val="30"/>
          <w:szCs w:val="30"/>
          <w:lang w:val="en-US" w:eastAsia="zh-CN" w:bidi="ar-SA"/>
        </w:rPr>
        <w:t>第二章</w:t>
      </w:r>
      <w:r>
        <w:rPr>
          <w:rFonts w:ascii="黑体;SimHei" w:hAnsi="黑体;SimHei" w:eastAsia="黑体;SimHei" w:cs="宋体;SimSun"/>
          <w:b/>
          <w:sz w:val="30"/>
          <w:szCs w:val="30"/>
        </w:rPr>
        <w:t>做市服务申请与终止</w:t>
      </w:r>
    </w:p>
    <w:p w14:paraId="2930427B">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第五条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经中国证券监督管理委员会（以下简称中国证监会）核准取得上市证券做市交易业务资格的证券公司，经向本所备案，可以为具体的科创板股票提供做市服务。</w:t>
      </w:r>
    </w:p>
    <w:p w14:paraId="49583097">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第六条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鼓励具备上市证券做市交易业务资格的科创板股票保荐机构或者实际控制该保荐机构的证券公司（以下统称保荐机构）在持续督导期间为其保荐的科创板股票提供做市服务。</w:t>
      </w:r>
    </w:p>
    <w:p w14:paraId="65A5F99E">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第七条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证券公司申请为具体的科创板股票提供做市服务的，应向本所提交下列备案材料：</w:t>
      </w:r>
    </w:p>
    <w:p w14:paraId="1AC55FA9">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（一）科创板股票做市交易业务申请书；</w:t>
      </w:r>
    </w:p>
    <w:p w14:paraId="5B79C19B">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（二）经中国证监会核准取得上市证券做市交易业务资格的证明文件复印件；</w:t>
      </w:r>
    </w:p>
    <w:p w14:paraId="490516F0">
      <w:pPr>
        <w:spacing w:line="560" w:lineRule="exact"/>
        <w:ind w:right="0" w:firstLine="570"/>
        <w:rPr>
          <w:rFonts w:ascii="仿宋_GB2312" w:hAnsi="仿宋_GB2312" w:eastAsia="仿宋_GB2312" w:cs="宋体;SimSun"/>
          <w:sz w:val="30"/>
          <w:szCs w:val="30"/>
        </w:rPr>
      </w:pPr>
      <w:r>
        <w:rPr>
          <w:rFonts w:ascii="仿宋_GB2312" w:hAnsi="仿宋_GB2312" w:eastAsia="仿宋_GB2312" w:cs="宋体;SimSun"/>
          <w:sz w:val="30"/>
          <w:szCs w:val="30"/>
        </w:rPr>
        <w:t>（三）科创板股票做市专用证券账户信息报备表；</w:t>
      </w:r>
    </w:p>
    <w:p w14:paraId="03423FA5">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（四）本所规定的其他材料。</w:t>
      </w:r>
    </w:p>
    <w:p w14:paraId="0FFD56EF">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已开展科创板股票做市交易业务的做市商申请为其他科创板股票提供做市服务的，应当向本所提交前款第（一）项材料。其他材料如有变更的，应同时提交。</w:t>
      </w:r>
    </w:p>
    <w:p w14:paraId="5BEF7811">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证券公司应当保证其提交的备案材料真实、准确、完整。</w:t>
      </w:r>
    </w:p>
    <w:p w14:paraId="2CFE09AE">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第八条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证券公司提交的备案材料齐备且符合要求的，本所在10个交易日内予以备案，并通知申请人。</w:t>
      </w:r>
    </w:p>
    <w:p w14:paraId="73D25B68">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证券公司提交的备案材料不齐备或不符合要求的，本所不予备案，并在10个交易日内告知申请人。</w:t>
      </w:r>
    </w:p>
    <w:p w14:paraId="49CD9C00">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第九条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首次申请为科创板股票提供做市服务的，做市商应当在收到本所通知之日起5个交易日内，与本所签订做市协议，明确开展做市交易业务的相关权利和义务。</w:t>
      </w:r>
    </w:p>
    <w:p w14:paraId="474C9EF5">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本所向市场公告科创板股票做市商备案情况。自公告之日起，做市商可以为所申请科创板股票提供做市服务。</w:t>
      </w:r>
    </w:p>
    <w:p w14:paraId="6D43BCE3">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第十一条</w:t>
      </w:r>
      <w:r>
        <w:rPr>
          <w:rFonts w:ascii="仿宋_GB2312" w:hAnsi="仿宋_GB2312" w:eastAsia="仿宋_GB2312" w:cs="宋体;SimSun"/>
          <w:sz w:val="30"/>
          <w:szCs w:val="30"/>
        </w:rPr>
        <w:t>做市商申请终止科创板股票做市交易业务的，应当至少提前15个交易日书面通知本所，经本所确认后予以终止。</w:t>
      </w:r>
    </w:p>
    <w:p w14:paraId="59995339">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 xml:space="preserve">做市商申请终止特定科创板股票做市交易业务的，1年以内不得重新申请对同一科创板股票开展做市交易业务；做市商申请终止全部科创板股票做市交易业务的，1年以内不得重新申请对任一科创板股票开展做市交易业务。 </w:t>
      </w:r>
    </w:p>
    <w:p w14:paraId="04F5F35A">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第十二条</w:t>
      </w:r>
      <w:r>
        <w:rPr>
          <w:rFonts w:ascii="仿宋_GB2312" w:hAnsi="仿宋_GB2312" w:eastAsia="仿宋_GB2312" w:cs="宋体;SimSun"/>
          <w:sz w:val="30"/>
          <w:szCs w:val="30"/>
        </w:rPr>
        <w:t>做市商有下列情形之一的，本所可以终止其特定科创板股票做市交易业务，并向市场公告：</w:t>
      </w:r>
    </w:p>
    <w:p w14:paraId="138BCE49">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（一）对该只科创板股票提供的做市服务连续2个月的做市评价为D；</w:t>
      </w:r>
    </w:p>
    <w:p w14:paraId="07C66824">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（二）本所规定或者做市协议约定的其他情形。</w:t>
      </w:r>
    </w:p>
    <w:p w14:paraId="6642E8E1">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做市商被终止特定科创板股票做市交易业务的，1年以内不得重新申请对同一科创板股票开展做市交易业务。</w:t>
      </w:r>
    </w:p>
    <w:p w14:paraId="1A866E89">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第十三条</w:t>
      </w:r>
      <w:r>
        <w:rPr>
          <w:rFonts w:ascii="仿宋_GB2312" w:hAnsi="仿宋_GB2312" w:eastAsia="仿宋_GB2312" w:cs="宋体;SimSun"/>
          <w:sz w:val="30"/>
          <w:szCs w:val="30"/>
        </w:rPr>
        <w:t>做市商有下列情形之一的，本所可以终止其全部科创板股票做市交易业务，并向市场公告：</w:t>
      </w:r>
    </w:p>
    <w:p w14:paraId="2ED0B188">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（一）不再具备上市证券做市交易业务资格；</w:t>
      </w:r>
    </w:p>
    <w:p w14:paraId="3085BCCB">
      <w:pPr>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（二）做市商年度综合评价结果为D；</w:t>
      </w:r>
    </w:p>
    <w:p w14:paraId="2AB39E38">
      <w:pPr>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（三）做市商年度综合评价结果为C且排名处于末位10%；</w:t>
      </w:r>
    </w:p>
    <w:p w14:paraId="2F0C8A45">
      <w:pPr>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（四）出现严重违法违规行为；</w:t>
      </w:r>
    </w:p>
    <w:p w14:paraId="24BCE52C">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（五）本所规定或者做市协议约定的其他情形。</w:t>
      </w:r>
    </w:p>
    <w:p w14:paraId="20E003B7">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做市商被终止全部科创板股票做市交易业务的，1年以内不得重新申请对任一科创板股票开展做市交易业务。</w:t>
      </w:r>
    </w:p>
    <w:p w14:paraId="22F68DDB">
      <w:pPr>
        <w:pStyle w:val="144"/>
        <w:numPr>
          <w:ilvl w:val="0"/>
          <w:numId w:val="0"/>
        </w:numPr>
        <w:spacing w:line="560" w:lineRule="exact"/>
        <w:ind w:left="420" w:leftChars="0" w:right="0" w:rightChars="0" w:hanging="420" w:firstLineChars="0"/>
        <w:jc w:val="center"/>
        <w:rPr>
          <w:rFonts w:ascii="黑体;SimHei" w:hAnsi="黑体;SimHei" w:eastAsia="黑体;SimHei" w:cs="宋体;SimSun"/>
          <w:b/>
          <w:sz w:val="30"/>
          <w:szCs w:val="30"/>
        </w:rPr>
      </w:pPr>
      <w:r>
        <w:rPr>
          <w:rFonts w:ascii="黑体;SimHei" w:hAnsi="黑体;SimHei" w:eastAsia="黑体;SimHei" w:cs="宋体;SimSun"/>
          <w:b/>
          <w:color w:val="auto"/>
          <w:kern w:val="2"/>
          <w:sz w:val="30"/>
          <w:szCs w:val="30"/>
          <w:lang w:val="en-US" w:eastAsia="zh-CN" w:bidi="ar-SA"/>
        </w:rPr>
        <w:t>第三章</w:t>
      </w:r>
      <w:r>
        <w:rPr>
          <w:rFonts w:ascii="黑体;SimHei" w:hAnsi="黑体;SimHei" w:eastAsia="黑体;SimHei" w:cs="宋体;SimSun"/>
          <w:b/>
          <w:sz w:val="30"/>
          <w:szCs w:val="30"/>
        </w:rPr>
        <w:t>做市商权利与义务</w:t>
      </w:r>
    </w:p>
    <w:p w14:paraId="476077A3">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第十四条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做市商应按照本所业务规则及做市协议的约定开展做市交易业务。</w:t>
      </w:r>
    </w:p>
    <w:p w14:paraId="23895687">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第十五条</w:t>
      </w:r>
      <w:r>
        <w:rPr>
          <w:rFonts w:ascii="仿宋_GB2312" w:hAnsi="仿宋_GB2312" w:eastAsia="仿宋_GB2312" w:cs="仿宋_GB2312"/>
          <w:sz w:val="30"/>
          <w:szCs w:val="30"/>
        </w:rPr>
        <w:t xml:space="preserve"> </w:t>
      </w:r>
      <w:r>
        <w:rPr>
          <w:rFonts w:ascii="仿宋_GB2312" w:hAnsi="仿宋_GB2312" w:eastAsia="仿宋_GB2312" w:cs="宋体;SimSun"/>
          <w:sz w:val="30"/>
          <w:szCs w:val="30"/>
        </w:rPr>
        <w:t>做市商开展做市交易业务，应当使用做市专用证券账户（以下简称专用账户），并报本所备案。做市商不得利用专用账户开展做市交易业务以外的其他业务，中国证监会及本所另有规定的除外。</w:t>
      </w:r>
    </w:p>
    <w:p w14:paraId="40D73496">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做市商变更专用账户的，应当至少提前15个交易日向本所备案，经本所确认后实施。</w:t>
      </w:r>
    </w:p>
    <w:p w14:paraId="5B119270">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第十六条</w:t>
      </w:r>
      <w:r>
        <w:rPr>
          <w:rFonts w:ascii="仿宋_GB2312" w:hAnsi="仿宋_GB2312" w:eastAsia="仿宋_GB2312" w:cs="宋体;SimSun"/>
          <w:sz w:val="30"/>
          <w:szCs w:val="30"/>
        </w:rPr>
        <w:t>做市商应当使用自有资金开展做市交易业务。</w:t>
      </w:r>
    </w:p>
    <w:p w14:paraId="54FFED5D">
      <w:pPr>
        <w:spacing w:line="560" w:lineRule="exact"/>
        <w:ind w:right="0" w:firstLine="600"/>
        <w:jc w:val="left"/>
        <w:rPr>
          <w:rFonts w:ascii="仿宋_GB2312" w:hAnsi="仿宋_GB2312" w:eastAsia="仿宋_GB2312" w:cs="宋体;SimSun"/>
          <w:sz w:val="30"/>
          <w:szCs w:val="30"/>
        </w:rPr>
      </w:pPr>
      <w:r>
        <w:rPr>
          <w:rFonts w:ascii="仿宋_GB2312" w:hAnsi="仿宋_GB2312" w:eastAsia="仿宋_GB2312" w:cs="宋体;SimSun"/>
          <w:sz w:val="30"/>
          <w:szCs w:val="30"/>
        </w:rPr>
        <w:t>做市商通过专用账户持有的股份，参照自营持有股票，纳入证券公司持有同一上市公司股份数量合并计算，适用权益变动披露及短线交易等相关规定。</w:t>
      </w:r>
    </w:p>
    <w:p w14:paraId="393A8A5E">
      <w:pPr>
        <w:spacing w:line="560" w:lineRule="exact"/>
        <w:ind w:right="0" w:firstLine="600"/>
        <w:jc w:val="left"/>
        <w:rPr>
          <w:rFonts w:ascii="仿宋_GB2312" w:hAnsi="仿宋_GB2312" w:eastAsia="仿宋_GB2312" w:cs="宋体;SimSun"/>
          <w:sz w:val="30"/>
          <w:szCs w:val="30"/>
        </w:rPr>
      </w:pPr>
      <w:r>
        <w:rPr>
          <w:rFonts w:ascii="仿宋_GB2312" w:hAnsi="仿宋_GB2312" w:eastAsia="仿宋_GB2312" w:cs="宋体;SimSun"/>
          <w:sz w:val="30"/>
          <w:szCs w:val="30"/>
        </w:rPr>
        <w:t>做市商通过专用账户持有的上市公司股份应不超过上市公司已发行股份的5%。</w:t>
      </w:r>
    </w:p>
    <w:p w14:paraId="0C81021D">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第十七条</w:t>
      </w:r>
      <w:r>
        <w:rPr>
          <w:rFonts w:ascii="仿宋_GB2312" w:hAnsi="仿宋_GB2312" w:eastAsia="仿宋_GB2312" w:cs="宋体;SimSun"/>
          <w:sz w:val="30"/>
          <w:szCs w:val="30"/>
        </w:rPr>
        <w:t>证券公司开展科创板股票做市交易业务，可使用自有股票、从中国证券金融股份有限公司（以下简称中国证券金融公司）借入的股票或其他有权处分的股票。</w:t>
      </w:r>
    </w:p>
    <w:p w14:paraId="705D98A6">
      <w:pPr>
        <w:pStyle w:val="144"/>
        <w:numPr>
          <w:ilvl w:val="0"/>
          <w:numId w:val="0"/>
        </w:numPr>
        <w:spacing w:line="560" w:lineRule="exact"/>
        <w:ind w:left="0" w:right="0" w:firstLine="600"/>
        <w:jc w:val="left"/>
        <w:rPr>
          <w:rFonts w:ascii="仿宋_GB2312" w:hAnsi="仿宋_GB2312" w:eastAsia="仿宋_GB2312" w:cs="宋体;SimSun"/>
          <w:sz w:val="30"/>
          <w:szCs w:val="30"/>
        </w:rPr>
      </w:pPr>
      <w:r>
        <w:rPr>
          <w:rFonts w:ascii="仿宋_GB2312" w:hAnsi="仿宋_GB2312" w:eastAsia="仿宋_GB2312" w:cs="宋体;SimSun"/>
          <w:sz w:val="30"/>
          <w:szCs w:val="30"/>
        </w:rPr>
        <w:t>按照前款规定从中国证券金融公司借入的股票仅可用于科创板股票做市交易业务，不得用于其他业务。</w:t>
      </w:r>
    </w:p>
    <w:p w14:paraId="57FCE923">
      <w:pPr>
        <w:pStyle w:val="144"/>
        <w:numPr>
          <w:ilvl w:val="0"/>
          <w:numId w:val="0"/>
        </w:numPr>
        <w:spacing w:line="560" w:lineRule="exact"/>
        <w:ind w:left="0" w:right="0" w:firstLine="600"/>
        <w:jc w:val="left"/>
        <w:rPr>
          <w:rFonts w:ascii="仿宋_GB2312" w:hAnsi="仿宋_GB2312" w:eastAsia="仿宋_GB2312" w:cs="宋体;SimSun"/>
          <w:sz w:val="30"/>
          <w:szCs w:val="30"/>
        </w:rPr>
      </w:pPr>
      <w:r>
        <w:rPr>
          <w:rFonts w:eastAsia="仿宋_GB2312"/>
          <w:sz w:val="30"/>
          <w:szCs w:val="30"/>
        </w:rPr>
        <w:t>做市商以约定申报方式，借入其参与科创板股票跟投的子公司配售获得的在承诺的持有期限内的股票，应当做好利益冲突管理和风险隔离，不得实施利益输送或者谋取其他不当利益。</w:t>
      </w:r>
    </w:p>
    <w:p w14:paraId="4F928A2A">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第十八条</w:t>
      </w:r>
      <w:r>
        <w:rPr>
          <w:rFonts w:ascii="仿宋_GB2312" w:hAnsi="仿宋_GB2312" w:eastAsia="仿宋_GB2312" w:cs="宋体;SimSun"/>
          <w:sz w:val="30"/>
          <w:szCs w:val="30"/>
        </w:rPr>
        <w:t>科创板股票的做市指标包括下列要素：</w:t>
      </w:r>
    </w:p>
    <w:p w14:paraId="603E79B1">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（一）最大买卖价差；</w:t>
      </w:r>
    </w:p>
    <w:p w14:paraId="00DCE84F">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（二）最小报价金额；</w:t>
      </w:r>
    </w:p>
    <w:p w14:paraId="55840E81">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（三）报价参与率；</w:t>
      </w:r>
    </w:p>
    <w:p w14:paraId="7CB1348A">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（四）其他指标。</w:t>
      </w:r>
    </w:p>
    <w:p w14:paraId="5C620014">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做市商开展做市交易业务，应当符合本所关于做市指标的相关要求，具体由本所另行规定。</w:t>
      </w:r>
    </w:p>
    <w:p w14:paraId="172675F7">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本所可以根据市场情况或者做市商的申请，对做市指标作出调整。</w:t>
      </w:r>
    </w:p>
    <w:p w14:paraId="76CCE4C6">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第十九条</w:t>
      </w:r>
      <w:r>
        <w:rPr>
          <w:rFonts w:ascii="仿宋_GB2312" w:hAnsi="仿宋_GB2312" w:eastAsia="仿宋_GB2312" w:cs="宋体;SimSun"/>
          <w:sz w:val="30"/>
          <w:szCs w:val="30"/>
        </w:rPr>
        <w:t>出现下列情形之一的，相应豁免做市商做市义务：</w:t>
      </w:r>
    </w:p>
    <w:p w14:paraId="14C68E70">
      <w:pPr>
        <w:pStyle w:val="145"/>
        <w:spacing w:line="560" w:lineRule="exact"/>
        <w:ind w:right="0" w:firstLine="600"/>
        <w:rPr>
          <w:rFonts w:ascii="仿宋_GB2312" w:hAnsi="仿宋_GB2312" w:eastAsia="仿宋_GB2312"/>
          <w:szCs w:val="28"/>
        </w:rPr>
      </w:pPr>
      <w:r>
        <w:rPr>
          <w:rFonts w:ascii="仿宋_GB2312" w:hAnsi="仿宋_GB2312" w:eastAsia="仿宋_GB2312" w:cs="宋体;SimSun"/>
          <w:sz w:val="30"/>
          <w:szCs w:val="30"/>
        </w:rPr>
        <w:t>（一）因不可抗力、意外事件或者技术故障等导致做市商无法继续履行做市义务，本所可以根据做市商申请或市场情况决定豁免做市商做市义务；</w:t>
      </w:r>
    </w:p>
    <w:p w14:paraId="4D88C981">
      <w:pPr>
        <w:pStyle w:val="145"/>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（二）做市商因系统升级等导致无法履行做市义务的，应当提前至少1个交易日向本所提出申请，本所可以根据做市商申请决定豁免做市商做市义务；</w:t>
      </w:r>
    </w:p>
    <w:p w14:paraId="49796D1F">
      <w:pPr>
        <w:pStyle w:val="145"/>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（三）科创板股票</w:t>
      </w:r>
      <w:r>
        <w:rPr>
          <w:rFonts w:ascii="仿宋_GB2312" w:hAnsi="仿宋_GB2312" w:eastAsia="仿宋_GB2312" w:cs="宋体;SimSun"/>
          <w:sz w:val="30"/>
          <w:szCs w:val="30"/>
          <w:lang w:eastAsia="zh-CN"/>
        </w:rPr>
        <w:t>首次公开发行</w:t>
      </w:r>
      <w:r>
        <w:rPr>
          <w:rFonts w:ascii="仿宋_GB2312" w:hAnsi="仿宋_GB2312" w:eastAsia="仿宋_GB2312" w:cs="宋体;SimSun"/>
          <w:sz w:val="30"/>
          <w:szCs w:val="30"/>
        </w:rPr>
        <w:t>上市后的前5个交易日，本所可以根据做市商申请或市场情况决定豁免做市商做市义务；</w:t>
      </w:r>
    </w:p>
    <w:p w14:paraId="19005BAE">
      <w:pPr>
        <w:pStyle w:val="145"/>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四）发生科创板股票发行人就可能被实施退市风险警示、可能被终止上市或主动终止上市等情形作出相关公告，或本所对科创板股票实施退市风险警示等情形时，本所可以根据做市商申请决定豁免做市商做市义务；</w:t>
      </w:r>
    </w:p>
    <w:p w14:paraId="241B4E58">
      <w:pPr>
        <w:pStyle w:val="145"/>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（五）科创板股票价格达到涨停或跌停价格，做市商可以仅提供单边报价；</w:t>
      </w:r>
    </w:p>
    <w:p w14:paraId="02A1988F">
      <w:pPr>
        <w:pStyle w:val="145"/>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（六）本所认为应当豁免做市义务的其他情形。</w:t>
      </w:r>
    </w:p>
    <w:p w14:paraId="6C6552C5">
      <w:pPr>
        <w:spacing w:line="560" w:lineRule="exact"/>
        <w:ind w:right="0" w:firstLine="600"/>
        <w:rPr>
          <w:rFonts w:ascii="仿宋_GB2312" w:hAnsi="仿宋_GB2312" w:eastAsia="仿宋_GB2312" w:cs="宋体;SimSun"/>
          <w:kern w:val="0"/>
          <w:sz w:val="30"/>
          <w:szCs w:val="30"/>
        </w:rPr>
      </w:pPr>
      <w:r>
        <w:rPr>
          <w:rFonts w:ascii="仿宋_GB2312" w:hAnsi="仿宋_GB2312" w:eastAsia="仿宋_GB2312" w:cs="宋体;SimSun"/>
          <w:kern w:val="0"/>
          <w:sz w:val="30"/>
          <w:szCs w:val="30"/>
        </w:rPr>
        <w:t>上述情形消失后，做市商应当立即恢复履行做市义务。</w:t>
      </w:r>
    </w:p>
    <w:p w14:paraId="2D874F36">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第二十条</w:t>
      </w:r>
      <w:r>
        <w:rPr>
          <w:rFonts w:ascii="仿宋_GB2312" w:hAnsi="仿宋_GB2312" w:eastAsia="仿宋_GB2312" w:cs="宋体;SimSun"/>
          <w:sz w:val="30"/>
          <w:szCs w:val="30"/>
        </w:rPr>
        <w:t>本所根据做市指标、做市绩效与监管合规情况，定期对做市商做市服务进行评价。本所对做市商的服务评价分为AA、A、B、C、D 5个档次。</w:t>
      </w:r>
    </w:p>
    <w:p w14:paraId="748CADDA">
      <w:pPr>
        <w:spacing w:line="560" w:lineRule="exact"/>
        <w:ind w:right="0" w:firstLine="600"/>
        <w:jc w:val="left"/>
        <w:rPr>
          <w:rFonts w:ascii="仿宋_GB2312" w:hAnsi="仿宋_GB2312" w:eastAsia="仿宋_GB2312" w:cs="宋体;SimSun"/>
          <w:sz w:val="30"/>
          <w:szCs w:val="30"/>
        </w:rPr>
      </w:pPr>
      <w:r>
        <w:rPr>
          <w:rFonts w:ascii="仿宋_GB2312" w:hAnsi="仿宋_GB2312" w:eastAsia="仿宋_GB2312" w:cs="宋体;SimSun"/>
          <w:sz w:val="30"/>
          <w:szCs w:val="30"/>
        </w:rPr>
        <w:t>本所每月对做市商特定股票做市服务情况进行评价，并向相应做市商和股票发行人公布评价结果。本所根据做市商做市服务月度评价情况，每年定期对做市商整体做市服务情况进行综合评价，并向市场公告。</w:t>
      </w:r>
    </w:p>
    <w:p w14:paraId="77AD1B6B">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市场出现剧烈波动或者其他特殊情况的，本所可以决定在特定周期内不对做市商的做市情况进行评价，并向市场公告。</w:t>
      </w:r>
    </w:p>
    <w:p w14:paraId="6AB9DD2A">
      <w:pPr>
        <w:pStyle w:val="144"/>
        <w:spacing w:line="560" w:lineRule="exact"/>
        <w:ind w:right="0" w:firstLine="600"/>
        <w:rPr>
          <w:rFonts w:ascii="仿宋_GB2312" w:hAnsi="仿宋_GB2312" w:eastAsia="仿宋_GB2312" w:cs="宋体;SimSun"/>
          <w:sz w:val="30"/>
          <w:szCs w:val="30"/>
        </w:rPr>
      </w:pPr>
      <w:r>
        <w:rPr>
          <w:rFonts w:ascii="仿宋_GB2312" w:hAnsi="仿宋_GB2312" w:eastAsia="仿宋_GB2312" w:cs="宋体;SimSun"/>
          <w:sz w:val="30"/>
          <w:szCs w:val="30"/>
        </w:rPr>
        <w:t>做市商违反本细则、本所相关规则的规定或者做市协议约定的，本所可以调低其评价结果。</w:t>
      </w:r>
    </w:p>
    <w:p w14:paraId="6D9EF2A4">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第二十一条</w:t>
      </w:r>
      <w:r>
        <w:rPr>
          <w:rFonts w:ascii="仿宋_GB2312" w:hAnsi="仿宋_GB2312" w:eastAsia="仿宋_GB2312" w:cs="宋体;SimSun"/>
          <w:sz w:val="30"/>
          <w:szCs w:val="30"/>
        </w:rPr>
        <w:t>本所可以根据做市商特定科创板股票月度做市评价结果，对积极履行做市义务的做市商给予适当减免交易费用等措施。</w:t>
      </w:r>
    </w:p>
    <w:p w14:paraId="6D846FC9">
      <w:pPr>
        <w:pStyle w:val="144"/>
        <w:numPr>
          <w:ilvl w:val="0"/>
          <w:numId w:val="0"/>
        </w:numPr>
        <w:spacing w:line="560" w:lineRule="exact"/>
        <w:ind w:left="420" w:leftChars="0" w:right="0" w:rightChars="0" w:hanging="420" w:firstLineChars="0"/>
        <w:jc w:val="center"/>
        <w:rPr>
          <w:rFonts w:ascii="黑体;SimHei" w:hAnsi="黑体;SimHei" w:eastAsia="黑体;SimHei" w:cs="宋体;SimSun"/>
          <w:b/>
          <w:sz w:val="30"/>
          <w:szCs w:val="30"/>
        </w:rPr>
      </w:pPr>
      <w:r>
        <w:rPr>
          <w:rFonts w:ascii="黑体;SimHei" w:hAnsi="黑体;SimHei" w:eastAsia="黑体;SimHei" w:cs="宋体;SimSun"/>
          <w:b/>
          <w:color w:val="auto"/>
          <w:kern w:val="2"/>
          <w:sz w:val="30"/>
          <w:szCs w:val="30"/>
          <w:lang w:val="en-US" w:eastAsia="zh-CN" w:bidi="ar-SA"/>
        </w:rPr>
        <w:t>第四章</w:t>
      </w:r>
      <w:r>
        <w:rPr>
          <w:rFonts w:ascii="黑体;SimHei" w:hAnsi="黑体;SimHei" w:eastAsia="黑体;SimHei" w:cs="宋体;SimSun"/>
          <w:b/>
          <w:sz w:val="30"/>
          <w:szCs w:val="30"/>
        </w:rPr>
        <w:t>监督管理</w:t>
      </w:r>
    </w:p>
    <w:p w14:paraId="2C5F676A">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第二十二条</w:t>
      </w:r>
      <w:r>
        <w:rPr>
          <w:rFonts w:ascii="仿宋_GB2312" w:hAnsi="仿宋_GB2312" w:eastAsia="仿宋_GB2312" w:cs="宋体;SimSun"/>
          <w:sz w:val="30"/>
          <w:szCs w:val="30"/>
        </w:rPr>
        <w:t>做市商应当具备符合要求的技术系统，风险管理和内部控制制度，确保风险可测可控。</w:t>
      </w:r>
    </w:p>
    <w:p w14:paraId="4C8B0F9F">
      <w:pPr>
        <w:spacing w:line="560" w:lineRule="exact"/>
        <w:ind w:right="0" w:firstLine="560"/>
        <w:jc w:val="left"/>
      </w:pPr>
      <w:r>
        <w:rPr>
          <w:rFonts w:ascii="仿宋_GB2312" w:hAnsi="仿宋_GB2312" w:eastAsia="仿宋_GB2312" w:cs="宋体;SimSun"/>
          <w:sz w:val="30"/>
          <w:szCs w:val="30"/>
        </w:rPr>
        <w:t>做市商应当向本所报送科创板股票做市交易业务月度报告和年度评估报告，以及中国证监会和本所规定的其他材料。</w:t>
      </w:r>
    </w:p>
    <w:p w14:paraId="5851A221">
      <w:pPr>
        <w:spacing w:line="560" w:lineRule="exact"/>
        <w:ind w:right="0" w:firstLine="560"/>
        <w:jc w:val="left"/>
        <w:rPr>
          <w:rFonts w:ascii="仿宋_GB2312" w:hAnsi="仿宋_GB2312" w:eastAsia="仿宋_GB2312" w:cs="宋体;SimSun"/>
          <w:sz w:val="30"/>
          <w:szCs w:val="30"/>
        </w:rPr>
      </w:pPr>
      <w:r>
        <w:rPr>
          <w:rFonts w:ascii="仿宋_GB2312" w:hAnsi="仿宋_GB2312" w:eastAsia="仿宋_GB2312" w:cs="宋体;SimSun"/>
          <w:sz w:val="30"/>
          <w:szCs w:val="30"/>
        </w:rPr>
        <w:t>做市商应当建立定期压力测试机制，并按季度向本所提交压力测试报告。</w:t>
      </w:r>
    </w:p>
    <w:p w14:paraId="59F7741F">
      <w:pPr>
        <w:spacing w:line="560" w:lineRule="exact"/>
        <w:ind w:right="0" w:firstLine="560"/>
        <w:jc w:val="left"/>
        <w:rPr>
          <w:rFonts w:ascii="仿宋_GB2312" w:hAnsi="仿宋_GB2312" w:eastAsia="仿宋_GB2312" w:cs="宋体;SimSun"/>
          <w:sz w:val="30"/>
          <w:szCs w:val="30"/>
        </w:rPr>
      </w:pPr>
      <w:r>
        <w:rPr>
          <w:rFonts w:ascii="仿宋_GB2312" w:hAnsi="仿宋_GB2312" w:eastAsia="仿宋_GB2312" w:cs="宋体;SimSun"/>
          <w:sz w:val="30"/>
          <w:szCs w:val="30"/>
        </w:rPr>
        <w:t>做市商发生与做市交易业务相关的重大变化，应当及时向本所报告。</w:t>
      </w:r>
    </w:p>
    <w:p w14:paraId="249E7250">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第二十三条</w:t>
      </w:r>
      <w:r>
        <w:rPr>
          <w:rFonts w:ascii="仿宋_GB2312" w:hAnsi="仿宋_GB2312" w:eastAsia="仿宋_GB2312" w:cs="宋体;SimSun"/>
          <w:sz w:val="30"/>
          <w:szCs w:val="30"/>
        </w:rPr>
        <w:t>做市商应当建立风险防范与业务隔离制度，防范利益冲突，不得利用做市交易业务谋取不正当利益、损害投资者合法权益。</w:t>
      </w:r>
    </w:p>
    <w:p w14:paraId="70FA2D84">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第二十四条</w:t>
      </w:r>
      <w:r>
        <w:rPr>
          <w:rFonts w:ascii="仿宋_GB2312" w:hAnsi="仿宋_GB2312" w:eastAsia="仿宋_GB2312" w:cs="宋体;SimSun"/>
          <w:sz w:val="30"/>
          <w:szCs w:val="30"/>
        </w:rPr>
        <w:t>本所可以根据做市商做市表现和监管需要，对做市商开展现场或非现场检查，做市商应当积极配合，如实提供相关材料和说明。</w:t>
      </w:r>
    </w:p>
    <w:p w14:paraId="3A307035">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第二十五条</w:t>
      </w:r>
      <w:r>
        <w:rPr>
          <w:rFonts w:ascii="仿宋_GB2312" w:hAnsi="仿宋_GB2312" w:eastAsia="仿宋_GB2312" w:cs="宋体;SimSun"/>
          <w:sz w:val="30"/>
          <w:szCs w:val="30"/>
        </w:rPr>
        <w:t>做市商违反本细则的，本所依据《交易规则》《特别规定》等规则规定，对其采取相关监管措施或实施纪律处分，并根据相关规定记入诚信档案；情节严重的，向中国证监会报告。</w:t>
      </w:r>
    </w:p>
    <w:p w14:paraId="7E435101">
      <w:pPr>
        <w:pStyle w:val="144"/>
        <w:numPr>
          <w:ilvl w:val="0"/>
          <w:numId w:val="0"/>
        </w:numPr>
        <w:spacing w:line="560" w:lineRule="exact"/>
        <w:ind w:left="420" w:leftChars="0" w:right="0" w:rightChars="0" w:hanging="420" w:firstLineChars="0"/>
        <w:jc w:val="center"/>
        <w:rPr>
          <w:rFonts w:ascii="黑体;SimHei" w:hAnsi="黑体;SimHei" w:eastAsia="黑体;SimHei" w:cs="宋体;SimSun"/>
          <w:b/>
          <w:sz w:val="30"/>
          <w:szCs w:val="30"/>
        </w:rPr>
      </w:pPr>
      <w:r>
        <w:rPr>
          <w:rFonts w:ascii="黑体;SimHei" w:hAnsi="黑体;SimHei" w:eastAsia="黑体;SimHei" w:cs="宋体;SimSun"/>
          <w:b/>
          <w:color w:val="auto"/>
          <w:kern w:val="2"/>
          <w:sz w:val="30"/>
          <w:szCs w:val="30"/>
          <w:lang w:val="en-US" w:eastAsia="zh-CN" w:bidi="ar-SA"/>
        </w:rPr>
        <w:t>第五章</w:t>
      </w:r>
      <w:r>
        <w:rPr>
          <w:rFonts w:ascii="黑体;SimHei" w:hAnsi="黑体;SimHei" w:eastAsia="黑体;SimHei" w:cs="宋体;SimSun"/>
          <w:b/>
          <w:sz w:val="30"/>
          <w:szCs w:val="30"/>
        </w:rPr>
        <w:t>附则</w:t>
      </w:r>
    </w:p>
    <w:p w14:paraId="451BCE5E">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第二十六条</w:t>
      </w:r>
      <w:r>
        <w:rPr>
          <w:rFonts w:ascii="仿宋_GB2312" w:hAnsi="仿宋_GB2312" w:eastAsia="仿宋_GB2312" w:cs="仿宋_GB2312"/>
          <w:sz w:val="30"/>
          <w:szCs w:val="30"/>
        </w:rPr>
        <w:t>本细则经本所理事会审议通过，报中国证监会批准后生效，修改时亦同。</w:t>
      </w:r>
    </w:p>
    <w:p w14:paraId="1E24678A">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w:t>
      </w:r>
      <w:bookmarkStart w:id="0" w:name="_GoBack"/>
      <w:bookmarkEnd w:id="0"/>
      <w:r>
        <w:rPr>
          <w:rFonts w:ascii="仿宋_GB2312" w:hAnsi="仿宋_GB2312" w:eastAsia="仿宋_GB2312" w:cs="宋体;SimSun"/>
          <w:b/>
          <w:color w:val="000000"/>
          <w:kern w:val="2"/>
          <w:sz w:val="30"/>
          <w:szCs w:val="30"/>
          <w:lang w:val="en-US" w:eastAsia="zh-CN" w:bidi="ar-SA"/>
        </w:rPr>
        <w:t>七条</w:t>
      </w:r>
      <w:r>
        <w:rPr>
          <w:rFonts w:ascii="仿宋_GB2312" w:hAnsi="仿宋_GB2312" w:eastAsia="仿宋_GB2312" w:cs="宋体;SimSun"/>
          <w:sz w:val="30"/>
          <w:szCs w:val="30"/>
        </w:rPr>
        <w:t>本细则由本所负责解释。</w:t>
      </w:r>
    </w:p>
    <w:p w14:paraId="3E06EAF4">
      <w:pPr>
        <w:pStyle w:val="144"/>
        <w:numPr>
          <w:ilvl w:val="0"/>
          <w:numId w:val="0"/>
        </w:numPr>
        <w:spacing w:line="560" w:lineRule="exact"/>
        <w:ind w:left="0" w:leftChars="0" w:right="0" w:rightChars="0" w:firstLine="600" w:firstLineChars="0"/>
        <w:jc w:val="left"/>
        <w:rPr>
          <w:rFonts w:ascii="仿宋_GB2312" w:hAnsi="仿宋_GB2312" w:eastAsia="仿宋_GB2312" w:cs="宋体;SimSun"/>
          <w:sz w:val="30"/>
          <w:szCs w:val="30"/>
        </w:rPr>
      </w:pPr>
      <w:r>
        <w:rPr>
          <w:rFonts w:ascii="仿宋_GB2312" w:hAnsi="仿宋_GB2312" w:eastAsia="仿宋_GB2312" w:cs="宋体;SimSun"/>
          <w:b/>
          <w:color w:val="000000"/>
          <w:kern w:val="2"/>
          <w:sz w:val="30"/>
          <w:szCs w:val="30"/>
          <w:lang w:val="en-US" w:eastAsia="zh-CN" w:bidi="ar-SA"/>
        </w:rPr>
        <w:t>第二十八条</w:t>
      </w:r>
      <w:r>
        <w:rPr>
          <w:rFonts w:ascii="仿宋_GB2312" w:hAnsi="仿宋_GB2312" w:eastAsia="仿宋_GB2312" w:cs="宋体;SimSun"/>
          <w:sz w:val="30"/>
          <w:szCs w:val="30"/>
        </w:rPr>
        <w:t>本细则自发布之日起施行。</w:t>
      </w:r>
    </w:p>
    <w:p w14:paraId="3C6DA67D">
      <w:pPr>
        <w:spacing w:line="600" w:lineRule="exact"/>
        <w:ind w:right="600"/>
        <w:rPr>
          <w:rFonts w:ascii="仿宋_GB2312" w:hAnsi="仿宋_GB2312" w:eastAsia="仿宋_GB2312" w:cs="宋体;SimSun"/>
          <w:color w:val="000000"/>
          <w:sz w:val="30"/>
          <w:szCs w:val="30"/>
        </w:rPr>
      </w:pPr>
    </w:p>
    <w:p w14:paraId="49E3931F">
      <w:pPr>
        <w:spacing w:line="600" w:lineRule="exact"/>
        <w:jc w:val="left"/>
        <w:rPr>
          <w:rFonts w:eastAsia="仿宋_GB2312"/>
          <w:color w:val="000000"/>
          <w:sz w:val="30"/>
          <w:szCs w:val="30"/>
        </w:rPr>
      </w:pPr>
    </w:p>
    <w:p w14:paraId="0B38F1D7">
      <w:pPr>
        <w:rPr>
          <w:rFonts w:eastAsia="仿宋_GB2312"/>
          <w:color w:val="000000"/>
          <w:sz w:val="30"/>
          <w:szCs w:val="30"/>
        </w:rPr>
      </w:pPr>
    </w:p>
    <w:p w14:paraId="4234A9C0">
      <w:pPr>
        <w:spacing w:line="560" w:lineRule="exact"/>
        <w:jc w:val="left"/>
        <w:rPr>
          <w:rFonts w:ascii="仿宋_GB2312" w:hAnsi="仿宋_GB2312" w:eastAsia="仿宋_GB2312" w:cs="微软雅黑"/>
          <w:b/>
          <w:color w:val="000000"/>
          <w:sz w:val="30"/>
          <w:szCs w:val="30"/>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Univers">
    <w:altName w:val="Sazanami Mincho"/>
    <w:panose1 w:val="00000000000000000000"/>
    <w:charset w:val="00"/>
    <w:family w:val="swiss"/>
    <w:pitch w:val="default"/>
    <w:sig w:usb0="00000000" w:usb1="00000000" w:usb2="00000000" w:usb3="00000000" w:csb0="00000000" w:csb1="00000000"/>
  </w:font>
  <w:font w:name="MS Mincho;ＭＳ 明朝">
    <w:altName w:val="Sazanami Mincho"/>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汉仪中等线简;Arial Unicode MS">
    <w:altName w:val="Sazanami Mincho"/>
    <w:panose1 w:val="00000000000000000000"/>
    <w:charset w:val="00"/>
    <w:family w:val="auto"/>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lassGarmnd BT;Times New Roman">
    <w:altName w:val="Sazanami Mincho"/>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panose1 w:val="020B0604020202030204"/>
    <w:charset w:val="00"/>
    <w:family w:val="auto"/>
    <w:pitch w:val="default"/>
    <w:sig w:usb0="00000000" w:usb1="00000000" w:usb2="00000000" w:usb3="00000000" w:csb0="00000093" w:csb1="00000000"/>
  </w:font>
  <w:font w:name="Frutiger 45 Light;Arial">
    <w:altName w:val="Sazanami Mincho"/>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等线;Arial Unicode MS">
    <w:altName w:val="Sazanami Mincho"/>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A437">
    <w:pPr>
      <w:pStyle w:val="12"/>
      <w:jc w:val="right"/>
    </w:pPr>
    <w:r>
      <w:rPr>
        <w:rFonts w:ascii="仿宋_GB2312" w:hAnsi="仿宋_GB2312" w:eastAsia="仿宋_GB2312"/>
        <w:bCs/>
        <w:sz w:val="28"/>
      </w:rPr>
      <w:t>－</w:t>
    </w:r>
    <w:r>
      <w:rPr>
        <w:rFonts w:ascii="仿宋_GB2312" w:hAnsi="仿宋_GB2312" w:eastAsia="仿宋_GB2312"/>
        <w:sz w:val="28"/>
      </w:rPr>
      <w:fldChar w:fldCharType="begin"/>
    </w:r>
    <w:r>
      <w:rPr>
        <w:rFonts w:ascii="仿宋_GB2312" w:hAnsi="仿宋_GB2312" w:eastAsia="仿宋_GB2312"/>
        <w:sz w:val="28"/>
      </w:rPr>
      <w:instrText xml:space="preserve"> PAGE </w:instrText>
    </w:r>
    <w:r>
      <w:rPr>
        <w:rFonts w:ascii="仿宋_GB2312" w:hAnsi="仿宋_GB2312" w:eastAsia="仿宋_GB2312"/>
        <w:sz w:val="28"/>
      </w:rPr>
      <w:fldChar w:fldCharType="separate"/>
    </w:r>
    <w:r>
      <w:rPr>
        <w:rFonts w:ascii="仿宋_GB2312" w:hAnsi="仿宋_GB2312" w:eastAsia="仿宋_GB2312"/>
        <w:sz w:val="28"/>
      </w:rPr>
      <w:t>7</w:t>
    </w:r>
    <w:r>
      <w:rPr>
        <w:rFonts w:ascii="仿宋_GB2312" w:hAnsi="仿宋_GB2312" w:eastAsia="仿宋_GB2312"/>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0E4A518C">
                          <w:pPr>
                            <w:pStyle w:val="12"/>
                            <w:jc w:val="center"/>
                            <w:rPr>
                              <w:rStyle w:val="21"/>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0E4A518C">
                    <w:pPr>
                      <w:pStyle w:val="12"/>
                      <w:jc w:val="center"/>
                      <w:rPr>
                        <w:rStyle w:val="21"/>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48B8">
    <w:pPr>
      <w:pStyle w:val="12"/>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55D8119F">
                          <w:pPr>
                            <w:pStyle w:val="12"/>
                            <w:rPr>
                              <w:rStyle w:val="21"/>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55D8119F">
                    <w:pPr>
                      <w:pStyle w:val="12"/>
                      <w:rPr>
                        <w:rStyle w:val="21"/>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58"/>
      <w:lvlText w:val="第%1条"/>
      <w:lvlJc w:val="left"/>
      <w:pPr>
        <w:tabs>
          <w:tab w:val="left" w:pos="0"/>
        </w:tabs>
        <w:ind w:left="3045" w:hanging="420"/>
      </w:pPr>
      <w:rPr>
        <w:rFonts w:ascii="仿宋_GB2312" w:hAnsi="仿宋_GB2312" w:eastAsia="仿宋_GB2312"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1"/>
      <w:numFmt w:val="decimal"/>
      <w:pStyle w:val="168"/>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ascii="Univers" w:hAnsi="Univers" w:cs="Times New Roman"/>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409378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qFormat/>
    <w:uiPriority w:val="0"/>
    <w:pPr>
      <w:keepNext/>
      <w:keepLines/>
      <w:numPr>
        <w:ilvl w:val="3"/>
        <w:numId w:val="1"/>
      </w:numPr>
      <w:spacing w:before="280" w:after="290" w:line="374" w:lineRule="auto"/>
      <w:outlineLvl w:val="3"/>
    </w:pPr>
    <w:rPr>
      <w:rFonts w:ascii="Cambria" w:hAnsi="Cambria" w:eastAsia="宋体;SimSun" w:cs="Times New Roman"/>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SimHei" w:cs="Arial"/>
      <w:b/>
      <w:bCs/>
      <w:sz w:val="24"/>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Body Text"/>
    <w:basedOn w:val="1"/>
    <w:qFormat/>
    <w:uiPriority w:val="0"/>
    <w:pPr>
      <w:spacing w:before="0" w:after="120"/>
    </w:pPr>
    <w:rPr>
      <w:rFonts w:eastAsia="Times New Roman"/>
      <w:szCs w:val="24"/>
      <w:lang w:val="zh-CN" w:eastAsia="zh-CN"/>
    </w:rPr>
  </w:style>
  <w:style w:type="paragraph" w:styleId="10">
    <w:name w:val="Body Text Indent"/>
    <w:basedOn w:val="1"/>
    <w:qFormat/>
    <w:uiPriority w:val="0"/>
    <w:pPr>
      <w:tabs>
        <w:tab w:val="left" w:pos="7020"/>
      </w:tabs>
      <w:spacing w:line="600" w:lineRule="exact"/>
      <w:ind w:left="0" w:right="0" w:firstLine="600"/>
    </w:pPr>
    <w:rPr>
      <w:rFonts w:ascii="仿宋_GB2312" w:hAnsi="仿宋_GB2312" w:eastAsia="仿宋_GB2312"/>
      <w:sz w:val="30"/>
      <w:szCs w:val="24"/>
    </w:rPr>
  </w:style>
  <w:style w:type="paragraph" w:styleId="11">
    <w:name w:val="endnote text"/>
    <w:basedOn w:val="1"/>
    <w:uiPriority w:val="0"/>
    <w:pPr>
      <w:snapToGrid w:val="0"/>
      <w:jc w:val="left"/>
    </w:pPr>
    <w:rPr>
      <w:kern w:val="0"/>
      <w:sz w:val="24"/>
      <w:szCs w:val="24"/>
      <w:lang w:val="zh-CN"/>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cs="Times New Roman"/>
      <w:b/>
      <w:bCs/>
      <w:kern w:val="2"/>
      <w:sz w:val="32"/>
      <w:szCs w:val="32"/>
    </w:rPr>
  </w:style>
  <w:style w:type="paragraph" w:styleId="15">
    <w:name w:val="List"/>
    <w:basedOn w:val="9"/>
    <w:qFormat/>
    <w:uiPriority w:val="0"/>
    <w:rPr>
      <w:rFonts w:cs="Arial Unicode MS"/>
    </w:rPr>
  </w:style>
  <w:style w:type="paragraph" w:styleId="16">
    <w:name w:val="footnote text"/>
    <w:basedOn w:val="1"/>
    <w:uiPriority w:val="0"/>
    <w:pPr>
      <w:snapToGrid w:val="0"/>
      <w:jc w:val="left"/>
    </w:pPr>
    <w:rPr>
      <w:rFonts w:eastAsia="Times New Roman"/>
      <w:sz w:val="18"/>
      <w:szCs w:val="18"/>
      <w:lang w:val="zh-CN" w:eastAsia="zh-CN"/>
    </w:rPr>
  </w:style>
  <w:style w:type="character" w:styleId="19">
    <w:name w:val="Strong"/>
    <w:basedOn w:val="20"/>
    <w:qFormat/>
    <w:uiPriority w:val="0"/>
    <w:rPr>
      <w:b/>
      <w:bCs/>
    </w:rPr>
  </w:style>
  <w:style w:type="character" w:customStyle="1" w:styleId="20">
    <w:name w:val="默认段落字体1"/>
    <w:qFormat/>
    <w:uiPriority w:val="0"/>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uiPriority w:val="0"/>
    <w:rPr>
      <w:rFonts w:cs="Times New Roman"/>
      <w:color w:val="0000FF"/>
      <w:u w:val="single"/>
    </w:rPr>
  </w:style>
  <w:style w:type="character" w:customStyle="1" w:styleId="24">
    <w:name w:val="WW8Num1z0"/>
    <w:qFormat/>
    <w:uiPriority w:val="0"/>
    <w:rPr>
      <w:rFonts w:ascii="Times New Roman" w:hAnsi="Times New Roman" w:cs="Times New Roman"/>
      <w:color w:val="000000"/>
      <w:sz w:val="24"/>
      <w:szCs w:val="24"/>
    </w:rPr>
  </w:style>
  <w:style w:type="character" w:customStyle="1" w:styleId="25">
    <w:name w:val="WW8Num1z8"/>
    <w:qFormat/>
    <w:uiPriority w:val="0"/>
    <w:rPr>
      <w:rFonts w:ascii="Univers" w:hAnsi="Univers" w:cs="Times New Roman"/>
      <w:sz w:val="24"/>
    </w:rPr>
  </w:style>
  <w:style w:type="character" w:customStyle="1" w:styleId="26">
    <w:name w:val="WW8Num2z0"/>
    <w:qFormat/>
    <w:uiPriority w:val="0"/>
    <w:rPr>
      <w:rFonts w:cs="Times New Roman"/>
      <w:b/>
      <w:color w:val="000000"/>
      <w:sz w:val="24"/>
      <w:u w:val="none"/>
    </w:rPr>
  </w:style>
  <w:style w:type="character" w:customStyle="1" w:styleId="27">
    <w:name w:val="WW8Num2z1"/>
    <w:qFormat/>
    <w:uiPriority w:val="0"/>
    <w:rPr>
      <w:rFonts w:ascii="Times New Roman" w:hAnsi="Times New Roman" w:eastAsia="MS Mincho;ＭＳ 明朝" w:cs="Times New Roman"/>
      <w:color w:val="000000"/>
      <w:kern w:val="2"/>
      <w:sz w:val="24"/>
      <w:szCs w:val="24"/>
      <w:lang w:val="en-AU"/>
    </w:rPr>
  </w:style>
  <w:style w:type="character" w:customStyle="1" w:styleId="28">
    <w:name w:val="WW8Num2z2"/>
    <w:qFormat/>
    <w:uiPriority w:val="0"/>
    <w:rPr>
      <w:rFonts w:ascii="Times New Roman" w:hAnsi="Times New Roman" w:eastAsia="MS Mincho;ＭＳ 明朝" w:cs="Times New Roman"/>
      <w:color w:val="000000"/>
      <w:sz w:val="24"/>
      <w:szCs w:val="24"/>
    </w:rPr>
  </w:style>
  <w:style w:type="character" w:customStyle="1" w:styleId="29">
    <w:name w:val="WW8Num3z0"/>
    <w:qFormat/>
    <w:uiPriority w:val="0"/>
    <w:rPr>
      <w:rFonts w:cs="Times New Roman"/>
      <w:color w:val="000000"/>
      <w:sz w:val="24"/>
    </w:rPr>
  </w:style>
  <w:style w:type="character" w:customStyle="1" w:styleId="30">
    <w:name w:val="WW8Num4z0"/>
    <w:qFormat/>
    <w:uiPriority w:val="0"/>
    <w:rPr>
      <w:rFonts w:ascii="Times New Roman" w:hAnsi="Times New Roman" w:cs="Times New Roman"/>
      <w:color w:val="000000"/>
      <w:sz w:val="24"/>
      <w:szCs w:val="24"/>
    </w:rPr>
  </w:style>
  <w:style w:type="character" w:customStyle="1" w:styleId="31">
    <w:name w:val="WW8Num5z0"/>
    <w:qFormat/>
    <w:uiPriority w:val="0"/>
    <w:rPr>
      <w:rFonts w:ascii="Times New Roman" w:hAnsi="Times New Roman" w:eastAsia="MS Mincho;ＭＳ 明朝" w:cs="Times New Roman"/>
      <w:color w:val="000000"/>
      <w:sz w:val="24"/>
      <w:szCs w:val="24"/>
    </w:rPr>
  </w:style>
  <w:style w:type="character" w:customStyle="1" w:styleId="32">
    <w:name w:val="WW8Num6z0"/>
    <w:qFormat/>
    <w:uiPriority w:val="0"/>
    <w:rPr>
      <w:lang w:val="en-US"/>
    </w:rPr>
  </w:style>
  <w:style w:type="character" w:customStyle="1" w:styleId="33">
    <w:name w:val="WW8Num8z0"/>
    <w:qFormat/>
    <w:uiPriority w:val="0"/>
    <w:rPr>
      <w:rFonts w:ascii="仿宋_GB2312" w:hAnsi="仿宋_GB2312" w:eastAsia="仿宋_GB2312" w:cs="Times New Roman"/>
      <w:b/>
      <w:color w:val="000000"/>
      <w:sz w:val="30"/>
      <w:szCs w:val="30"/>
      <w:lang w:val="en-US"/>
    </w:rPr>
  </w:style>
  <w:style w:type="character" w:customStyle="1" w:styleId="34">
    <w:name w:val="WW8Num9z0"/>
    <w:qFormat/>
    <w:uiPriority w:val="0"/>
    <w:rPr>
      <w:rFonts w:cs="Times New Roman"/>
      <w:b/>
      <w:color w:val="000000"/>
      <w:sz w:val="24"/>
      <w:u w:val="none"/>
    </w:rPr>
  </w:style>
  <w:style w:type="character" w:customStyle="1" w:styleId="35">
    <w:name w:val="WW8Num9z1"/>
    <w:qFormat/>
    <w:uiPriority w:val="0"/>
    <w:rPr>
      <w:rFonts w:ascii="Times New Roman" w:hAnsi="Times New Roman" w:eastAsia="MS Mincho;ＭＳ 明朝" w:cs="Times New Roman"/>
      <w:color w:val="000000"/>
      <w:kern w:val="2"/>
      <w:sz w:val="24"/>
      <w:szCs w:val="24"/>
    </w:rPr>
  </w:style>
  <w:style w:type="character" w:customStyle="1" w:styleId="36">
    <w:name w:val="WW8Num9z2"/>
    <w:qFormat/>
    <w:uiPriority w:val="0"/>
    <w:rPr>
      <w:rFonts w:ascii="Times New Roman" w:hAnsi="Times New Roman" w:eastAsia="MS Mincho;ＭＳ 明朝" w:cs="Times New Roman"/>
      <w:color w:val="000000"/>
      <w:sz w:val="24"/>
      <w:szCs w:val="24"/>
    </w:rPr>
  </w:style>
  <w:style w:type="character" w:customStyle="1" w:styleId="37">
    <w:name w:val="WW8Num11z0"/>
    <w:qFormat/>
    <w:uiPriority w:val="0"/>
  </w:style>
  <w:style w:type="character" w:customStyle="1" w:styleId="38">
    <w:name w:val="WW8Num12z0"/>
    <w:qFormat/>
    <w:uiPriority w:val="0"/>
    <w:rPr>
      <w:b/>
      <w:color w:val="000000"/>
      <w:sz w:val="30"/>
      <w:szCs w:val="30"/>
      <w:lang w:val="en-US"/>
    </w:rPr>
  </w:style>
  <w:style w:type="character" w:customStyle="1" w:styleId="39">
    <w:name w:val="WW8Num12z1"/>
    <w:qFormat/>
    <w:uiPriority w:val="0"/>
  </w:style>
  <w:style w:type="character" w:customStyle="1" w:styleId="40">
    <w:name w:val="WW8Num14z0"/>
    <w:qFormat/>
    <w:uiPriority w:val="0"/>
  </w:style>
  <w:style w:type="character" w:customStyle="1" w:styleId="41">
    <w:name w:val="WW8Num14z1"/>
    <w:qFormat/>
    <w:uiPriority w:val="0"/>
    <w:rPr>
      <w:rFonts w:ascii="仿宋_GB2312" w:hAnsi="仿宋_GB2312" w:eastAsia="仿宋_GB2312"/>
      <w:sz w:val="30"/>
      <w:szCs w:val="30"/>
      <w:lang w:val="en-US"/>
    </w:rPr>
  </w:style>
  <w:style w:type="character" w:customStyle="1" w:styleId="42">
    <w:name w:val="WW8Num15z0"/>
    <w:qFormat/>
    <w:uiPriority w:val="0"/>
    <w:rPr>
      <w:rFonts w:ascii="仿宋_GB2312" w:hAnsi="仿宋_GB2312" w:eastAsia="仿宋_GB2312" w:cs="Times New Roman"/>
      <w:b/>
      <w:sz w:val="30"/>
      <w:szCs w:val="30"/>
    </w:rPr>
  </w:style>
  <w:style w:type="character" w:customStyle="1" w:styleId="43">
    <w:name w:val="WW8Num15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4">
    <w:name w:val="WW8Num15z2"/>
    <w:qFormat/>
    <w:uiPriority w:val="0"/>
    <w:rPr>
      <w:rFonts w:cs="Times New Roman"/>
    </w:rPr>
  </w:style>
  <w:style w:type="character" w:customStyle="1" w:styleId="45">
    <w:name w:val="WW8Num16z0"/>
    <w:qFormat/>
    <w:uiPriority w:val="0"/>
    <w:rPr>
      <w:rFonts w:ascii="仿宋_GB2312" w:hAnsi="仿宋_GB2312" w:eastAsia="仿宋_GB2312"/>
      <w:bCs/>
      <w:sz w:val="30"/>
      <w:lang w:val="en-US"/>
    </w:rPr>
  </w:style>
  <w:style w:type="character" w:customStyle="1" w:styleId="46">
    <w:name w:val="WW8Num17z0"/>
    <w:qFormat/>
    <w:uiPriority w:val="0"/>
    <w:rPr>
      <w:rFonts w:ascii="仿宋_GB2312" w:hAnsi="仿宋_GB2312" w:eastAsia="仿宋_GB2312" w:cs="Times New Roman"/>
      <w:b/>
      <w:color w:val="000000"/>
      <w:sz w:val="30"/>
      <w:szCs w:val="30"/>
    </w:rPr>
  </w:style>
  <w:style w:type="character" w:customStyle="1" w:styleId="47">
    <w:name w:val="标题 1 Char"/>
    <w:qFormat/>
    <w:uiPriority w:val="0"/>
    <w:rPr>
      <w:rFonts w:eastAsia="宋体;SimSun"/>
      <w:b/>
      <w:bCs/>
      <w:kern w:val="2"/>
      <w:sz w:val="44"/>
      <w:szCs w:val="44"/>
      <w:lang w:val="zh-CN" w:bidi="ar-SA"/>
    </w:rPr>
  </w:style>
  <w:style w:type="character" w:customStyle="1" w:styleId="48">
    <w:name w:val="标题 2 Char"/>
    <w:qFormat/>
    <w:uiPriority w:val="0"/>
    <w:rPr>
      <w:rFonts w:ascii="Arial" w:hAnsi="Arial" w:eastAsia="黑体;SimHei" w:cs="Arial"/>
      <w:b/>
      <w:bCs/>
      <w:sz w:val="32"/>
      <w:szCs w:val="32"/>
      <w:lang w:val="zh-CN" w:bidi="ar-SA"/>
    </w:rPr>
  </w:style>
  <w:style w:type="character" w:customStyle="1" w:styleId="49">
    <w:name w:val="标题 3 Char"/>
    <w:qFormat/>
    <w:uiPriority w:val="0"/>
    <w:rPr>
      <w:rFonts w:eastAsia="宋体;SimSun"/>
      <w:b/>
      <w:bCs/>
      <w:sz w:val="32"/>
      <w:szCs w:val="32"/>
      <w:lang w:val="zh-CN" w:bidi="ar-SA"/>
    </w:rPr>
  </w:style>
  <w:style w:type="character" w:customStyle="1" w:styleId="50">
    <w:name w:val="标题 4 Char"/>
    <w:basedOn w:val="20"/>
    <w:qFormat/>
    <w:uiPriority w:val="0"/>
    <w:rPr>
      <w:rFonts w:ascii="Cambria" w:hAnsi="Cambria" w:eastAsia="宋体;SimSun" w:cs="Times New Roman"/>
      <w:b/>
      <w:bCs/>
      <w:kern w:val="2"/>
      <w:sz w:val="28"/>
      <w:szCs w:val="28"/>
    </w:rPr>
  </w:style>
  <w:style w:type="character" w:customStyle="1" w:styleId="51">
    <w:name w:val="标题 5 Char"/>
    <w:basedOn w:val="20"/>
    <w:qFormat/>
    <w:uiPriority w:val="0"/>
    <w:rPr>
      <w:b/>
      <w:bCs/>
      <w:kern w:val="2"/>
      <w:sz w:val="28"/>
      <w:szCs w:val="28"/>
    </w:rPr>
  </w:style>
  <w:style w:type="character" w:customStyle="1" w:styleId="52">
    <w:name w:val="标题 6 Char"/>
    <w:basedOn w:val="20"/>
    <w:qFormat/>
    <w:uiPriority w:val="0"/>
    <w:rPr>
      <w:rFonts w:ascii="Arial" w:hAnsi="Arial" w:eastAsia="黑体;SimHei" w:cs="Arial"/>
      <w:b/>
      <w:bCs/>
      <w:kern w:val="2"/>
      <w:sz w:val="24"/>
      <w:szCs w:val="24"/>
    </w:rPr>
  </w:style>
  <w:style w:type="character" w:customStyle="1" w:styleId="53">
    <w:name w:val="页脚 Char"/>
    <w:qFormat/>
    <w:uiPriority w:val="0"/>
    <w:rPr>
      <w:rFonts w:eastAsia="宋体;SimSun"/>
      <w:kern w:val="2"/>
      <w:sz w:val="18"/>
      <w:szCs w:val="18"/>
      <w:lang w:val="en-US" w:eastAsia="zh-CN" w:bidi="ar-SA"/>
    </w:rPr>
  </w:style>
  <w:style w:type="character" w:customStyle="1" w:styleId="54">
    <w:name w:val="正文文本缩进 Char"/>
    <w:basedOn w:val="20"/>
    <w:qFormat/>
    <w:uiPriority w:val="0"/>
    <w:rPr>
      <w:rFonts w:ascii="仿宋_GB2312" w:hAnsi="仿宋_GB2312" w:eastAsia="仿宋_GB2312"/>
      <w:kern w:val="2"/>
      <w:sz w:val="30"/>
      <w:szCs w:val="24"/>
      <w:lang w:val="en-US" w:eastAsia="zh-CN" w:bidi="ar-SA"/>
    </w:rPr>
  </w:style>
  <w:style w:type="character" w:customStyle="1" w:styleId="55">
    <w:name w:val="页眉 Char"/>
    <w:qFormat/>
    <w:uiPriority w:val="0"/>
    <w:rPr>
      <w:rFonts w:eastAsia="宋体;SimSun"/>
      <w:kern w:val="2"/>
      <w:sz w:val="18"/>
      <w:szCs w:val="18"/>
      <w:lang w:val="en-US" w:eastAsia="zh-CN" w:bidi="ar-SA"/>
    </w:rPr>
  </w:style>
  <w:style w:type="character" w:customStyle="1" w:styleId="56">
    <w:name w:val="批注框文本 Char"/>
    <w:qFormat/>
    <w:uiPriority w:val="0"/>
    <w:rPr>
      <w:rFonts w:eastAsia="宋体;SimSun"/>
      <w:kern w:val="2"/>
      <w:sz w:val="18"/>
      <w:szCs w:val="18"/>
      <w:lang w:val="en-US" w:eastAsia="zh-CN" w:bidi="ar-SA"/>
    </w:rPr>
  </w:style>
  <w:style w:type="character" w:customStyle="1" w:styleId="57">
    <w:name w:val="日期 Char"/>
    <w:basedOn w:val="20"/>
    <w:qFormat/>
    <w:uiPriority w:val="0"/>
    <w:rPr>
      <w:rFonts w:ascii="楷体_GB2312" w:hAnsi="楷体_GB2312" w:eastAsia="楷体_GB2312"/>
      <w:kern w:val="2"/>
      <w:sz w:val="32"/>
      <w:lang w:val="en-US" w:eastAsia="zh-CN" w:bidi="ar-SA"/>
    </w:rPr>
  </w:style>
  <w:style w:type="character" w:customStyle="1" w:styleId="58">
    <w:name w:val="dash6b63_6587__char"/>
    <w:basedOn w:val="20"/>
    <w:qFormat/>
    <w:uiPriority w:val="0"/>
  </w:style>
  <w:style w:type="character" w:customStyle="1" w:styleId="59">
    <w:name w:val="dash6b63_005f6587_005f_005fchar__char"/>
    <w:basedOn w:val="20"/>
    <w:qFormat/>
    <w:uiPriority w:val="0"/>
  </w:style>
  <w:style w:type="character" w:customStyle="1" w:styleId="60">
    <w:name w:val="纯文本 Char"/>
    <w:basedOn w:val="20"/>
    <w:qFormat/>
    <w:uiPriority w:val="0"/>
    <w:rPr>
      <w:rFonts w:ascii="宋体;SimSun" w:hAnsi="宋体;SimSun" w:eastAsia="宋体;SimSun" w:cs="Courier New"/>
      <w:kern w:val="2"/>
      <w:sz w:val="21"/>
      <w:szCs w:val="21"/>
      <w:lang w:val="en-US" w:eastAsia="zh-CN" w:bidi="ar-SA"/>
    </w:rPr>
  </w:style>
  <w:style w:type="character" w:customStyle="1" w:styleId="61">
    <w:name w:val="正文文本 2 Char"/>
    <w:qFormat/>
    <w:uiPriority w:val="0"/>
    <w:rPr>
      <w:rFonts w:ascii="宋体;SimSun" w:hAnsi="宋体;SimSun" w:eastAsia="宋体;SimSun" w:cs="Courier New"/>
      <w:sz w:val="21"/>
      <w:szCs w:val="21"/>
      <w:lang w:val="zh-CN" w:bidi="ar-SA"/>
    </w:rPr>
  </w:style>
  <w:style w:type="character" w:customStyle="1" w:styleId="62">
    <w:name w:val="列出段落 Char"/>
    <w:qFormat/>
    <w:uiPriority w:val="0"/>
    <w:rPr>
      <w:kern w:val="2"/>
      <w:sz w:val="21"/>
      <w:szCs w:val="24"/>
    </w:rPr>
  </w:style>
  <w:style w:type="character" w:customStyle="1" w:styleId="63">
    <w:name w:val="尾注文本 Char"/>
    <w:qFormat/>
    <w:uiPriority w:val="0"/>
    <w:rPr>
      <w:rFonts w:eastAsia="宋体;SimSun"/>
      <w:sz w:val="24"/>
      <w:szCs w:val="24"/>
      <w:lang w:val="zh-CN" w:bidi="ar-SA"/>
    </w:rPr>
  </w:style>
  <w:style w:type="character" w:customStyle="1" w:styleId="64">
    <w:name w:val="Endnote Characters"/>
    <w:qFormat/>
    <w:uiPriority w:val="0"/>
    <w:rPr>
      <w:rFonts w:cs="Times New Roman"/>
      <w:vertAlign w:val="superscript"/>
    </w:rPr>
  </w:style>
  <w:style w:type="character" w:customStyle="1" w:styleId="65">
    <w:name w:val="批注引用1"/>
    <w:qFormat/>
    <w:uiPriority w:val="0"/>
    <w:rPr>
      <w:rFonts w:cs="Times New Roman"/>
      <w:sz w:val="21"/>
      <w:szCs w:val="21"/>
    </w:rPr>
  </w:style>
  <w:style w:type="character" w:customStyle="1" w:styleId="66">
    <w:name w:val="批注文字 Char"/>
    <w:qFormat/>
    <w:uiPriority w:val="0"/>
    <w:rPr>
      <w:rFonts w:eastAsia="宋体;SimSun"/>
      <w:sz w:val="24"/>
      <w:szCs w:val="24"/>
      <w:lang w:val="zh-CN" w:bidi="ar-SA"/>
    </w:rPr>
  </w:style>
  <w:style w:type="character" w:customStyle="1" w:styleId="67">
    <w:name w:val="内页正文 Char"/>
    <w:qFormat/>
    <w:uiPriority w:val="0"/>
    <w:rPr>
      <w:rFonts w:ascii="Arial" w:hAnsi="Arial" w:eastAsia="汉仪中等线简;Arial Unicode MS" w:cs="Arial"/>
      <w:color w:val="000000"/>
      <w:sz w:val="18"/>
      <w:szCs w:val="18"/>
      <w:lang w:bidi="ar-SA"/>
    </w:rPr>
  </w:style>
  <w:style w:type="character" w:customStyle="1" w:styleId="68">
    <w:name w:val=" Char Char15"/>
    <w:basedOn w:val="20"/>
    <w:qFormat/>
    <w:uiPriority w:val="0"/>
    <w:rPr>
      <w:rFonts w:eastAsia="宋体;SimSun"/>
      <w:b/>
      <w:bCs/>
      <w:kern w:val="2"/>
      <w:sz w:val="44"/>
      <w:szCs w:val="44"/>
      <w:lang w:val="en-US" w:eastAsia="zh-CN" w:bidi="ar-SA"/>
    </w:rPr>
  </w:style>
  <w:style w:type="character" w:customStyle="1" w:styleId="69">
    <w:name w:val=" Char Char14"/>
    <w:basedOn w:val="20"/>
    <w:qFormat/>
    <w:uiPriority w:val="0"/>
    <w:rPr>
      <w:rFonts w:eastAsia="宋体;SimSun"/>
      <w:b/>
      <w:bCs/>
      <w:kern w:val="2"/>
      <w:sz w:val="32"/>
      <w:szCs w:val="32"/>
      <w:lang w:val="en-US" w:eastAsia="zh-CN" w:bidi="ar-SA"/>
    </w:rPr>
  </w:style>
  <w:style w:type="character" w:customStyle="1" w:styleId="70">
    <w:name w:val=" Char Char13"/>
    <w:basedOn w:val="20"/>
    <w:qFormat/>
    <w:uiPriority w:val="0"/>
    <w:rPr>
      <w:rFonts w:eastAsia="宋体;SimSun"/>
      <w:kern w:val="2"/>
      <w:sz w:val="18"/>
      <w:szCs w:val="18"/>
      <w:lang w:val="en-US" w:eastAsia="zh-CN" w:bidi="ar-SA"/>
    </w:rPr>
  </w:style>
  <w:style w:type="character" w:customStyle="1" w:styleId="71">
    <w:name w:val=" Char Char12"/>
    <w:basedOn w:val="20"/>
    <w:qFormat/>
    <w:uiPriority w:val="0"/>
    <w:rPr>
      <w:rFonts w:eastAsia="宋体;SimSun"/>
      <w:kern w:val="2"/>
      <w:sz w:val="18"/>
      <w:szCs w:val="18"/>
      <w:lang w:val="en-US" w:eastAsia="zh-CN" w:bidi="ar-SA"/>
    </w:rPr>
  </w:style>
  <w:style w:type="character" w:customStyle="1" w:styleId="72">
    <w:name w:val="正文文本缩进 Char1"/>
    <w:basedOn w:val="20"/>
    <w:qFormat/>
    <w:uiPriority w:val="0"/>
    <w:rPr>
      <w:kern w:val="2"/>
      <w:sz w:val="21"/>
      <w:szCs w:val="24"/>
    </w:rPr>
  </w:style>
  <w:style w:type="character" w:customStyle="1" w:styleId="73">
    <w:name w:val="日期 Char1"/>
    <w:basedOn w:val="20"/>
    <w:qFormat/>
    <w:uiPriority w:val="0"/>
    <w:rPr>
      <w:kern w:val="2"/>
      <w:sz w:val="21"/>
      <w:szCs w:val="24"/>
    </w:rPr>
  </w:style>
  <w:style w:type="character" w:customStyle="1" w:styleId="74">
    <w:name w:val="正文文本 Char"/>
    <w:basedOn w:val="20"/>
    <w:qFormat/>
    <w:uiPriority w:val="0"/>
    <w:rPr>
      <w:rFonts w:eastAsia="Times New Roman"/>
      <w:kern w:val="2"/>
      <w:sz w:val="21"/>
      <w:szCs w:val="24"/>
      <w:lang w:val="zh-CN" w:eastAsia="zh-CN"/>
    </w:rPr>
  </w:style>
  <w:style w:type="character" w:customStyle="1" w:styleId="75">
    <w:name w:val="正文文本 Char1"/>
    <w:basedOn w:val="20"/>
    <w:qFormat/>
    <w:uiPriority w:val="0"/>
    <w:rPr>
      <w:kern w:val="2"/>
      <w:sz w:val="21"/>
      <w:szCs w:val="24"/>
    </w:rPr>
  </w:style>
  <w:style w:type="character" w:customStyle="1" w:styleId="76">
    <w:name w:val="批注框文本 Char1"/>
    <w:basedOn w:val="20"/>
    <w:qFormat/>
    <w:uiPriority w:val="0"/>
    <w:rPr>
      <w:kern w:val="2"/>
      <w:sz w:val="18"/>
      <w:szCs w:val="18"/>
    </w:rPr>
  </w:style>
  <w:style w:type="character" w:customStyle="1" w:styleId="77">
    <w:name w:val="正文文本缩进 2 Char"/>
    <w:basedOn w:val="20"/>
    <w:qFormat/>
    <w:uiPriority w:val="0"/>
    <w:rPr>
      <w:rFonts w:ascii="仿宋_GB2312" w:hAnsi="仿宋_GB2312" w:eastAsia="仿宋_GB2312" w:cs="宋体;SimSun"/>
      <w:kern w:val="2"/>
      <w:sz w:val="30"/>
      <w:szCs w:val="30"/>
      <w:lang w:val="zh-CN" w:eastAsia="zh-CN"/>
    </w:rPr>
  </w:style>
  <w:style w:type="character" w:customStyle="1" w:styleId="78">
    <w:name w:val="正文文本缩进 2 Char1"/>
    <w:basedOn w:val="20"/>
    <w:qFormat/>
    <w:uiPriority w:val="0"/>
    <w:rPr>
      <w:kern w:val="2"/>
      <w:sz w:val="21"/>
      <w:szCs w:val="24"/>
    </w:rPr>
  </w:style>
  <w:style w:type="character" w:customStyle="1" w:styleId="79">
    <w:name w:val="正文文本 2 Char1"/>
    <w:basedOn w:val="20"/>
    <w:qFormat/>
    <w:uiPriority w:val="0"/>
    <w:rPr>
      <w:kern w:val="2"/>
      <w:sz w:val="21"/>
      <w:szCs w:val="24"/>
    </w:rPr>
  </w:style>
  <w:style w:type="character" w:customStyle="1" w:styleId="80">
    <w:name w:val="正文文本缩进 3 Char"/>
    <w:basedOn w:val="20"/>
    <w:qFormat/>
    <w:uiPriority w:val="0"/>
    <w:rPr>
      <w:rFonts w:ascii="仿宋_GB2312" w:hAnsi="仿宋_GB2312" w:eastAsia="仿宋_GB2312"/>
      <w:sz w:val="30"/>
      <w:szCs w:val="28"/>
      <w:lang w:val="zh-CN" w:eastAsia="zh-CN"/>
    </w:rPr>
  </w:style>
  <w:style w:type="character" w:customStyle="1" w:styleId="81">
    <w:name w:val="正文文本缩进 3 Char1"/>
    <w:basedOn w:val="20"/>
    <w:qFormat/>
    <w:uiPriority w:val="0"/>
    <w:rPr>
      <w:kern w:val="2"/>
      <w:sz w:val="16"/>
      <w:szCs w:val="16"/>
    </w:rPr>
  </w:style>
  <w:style w:type="character" w:customStyle="1" w:styleId="82">
    <w:name w:val="正文文本 3 Char"/>
    <w:basedOn w:val="20"/>
    <w:qFormat/>
    <w:uiPriority w:val="0"/>
    <w:rPr>
      <w:rFonts w:ascii="方正大标宋简体;Arial Unicode MS" w:hAnsi="方正大标宋简体;Arial Unicode MS" w:eastAsia="方正大标宋简体;Arial Unicode MS" w:cs="宋体;SimSun"/>
      <w:bCs/>
      <w:kern w:val="2"/>
      <w:sz w:val="42"/>
      <w:szCs w:val="42"/>
      <w:lang w:val="zh-CN" w:eastAsia="zh-CN"/>
    </w:rPr>
  </w:style>
  <w:style w:type="character" w:customStyle="1" w:styleId="83">
    <w:name w:val="正文文本 3 Char1"/>
    <w:basedOn w:val="20"/>
    <w:qFormat/>
    <w:uiPriority w:val="0"/>
    <w:rPr>
      <w:kern w:val="2"/>
      <w:sz w:val="16"/>
      <w:szCs w:val="16"/>
    </w:rPr>
  </w:style>
  <w:style w:type="character" w:customStyle="1" w:styleId="84">
    <w:name w:val="纯文本 Char1"/>
    <w:basedOn w:val="20"/>
    <w:qFormat/>
    <w:uiPriority w:val="0"/>
    <w:rPr>
      <w:rFonts w:ascii="宋体;SimSun" w:hAnsi="宋体;SimSun" w:cs="Courier New"/>
      <w:kern w:val="2"/>
      <w:sz w:val="21"/>
      <w:szCs w:val="21"/>
    </w:rPr>
  </w:style>
  <w:style w:type="character" w:customStyle="1" w:styleId="85">
    <w:name w:val="条款 Char"/>
    <w:qFormat/>
    <w:uiPriority w:val="0"/>
    <w:rPr>
      <w:rFonts w:ascii="仿宋_GB2312" w:hAnsi="仿宋_GB2312" w:eastAsia="仿宋_GB2312" w:cs="Calibri"/>
      <w:color w:val="000000"/>
      <w:sz w:val="28"/>
      <w:lang w:bidi="ar-SA"/>
    </w:rPr>
  </w:style>
  <w:style w:type="character" w:customStyle="1" w:styleId="86">
    <w:name w:val="脚注文本 Char"/>
    <w:basedOn w:val="20"/>
    <w:qFormat/>
    <w:uiPriority w:val="0"/>
    <w:rPr>
      <w:rFonts w:eastAsia="Times New Roman"/>
      <w:kern w:val="2"/>
      <w:sz w:val="18"/>
      <w:szCs w:val="18"/>
      <w:lang w:val="zh-CN" w:eastAsia="zh-CN"/>
    </w:rPr>
  </w:style>
  <w:style w:type="character" w:customStyle="1" w:styleId="87">
    <w:name w:val="脚注文本 Char1"/>
    <w:basedOn w:val="20"/>
    <w:qFormat/>
    <w:uiPriority w:val="0"/>
    <w:rPr>
      <w:kern w:val="2"/>
      <w:sz w:val="18"/>
      <w:szCs w:val="18"/>
    </w:rPr>
  </w:style>
  <w:style w:type="character" w:customStyle="1" w:styleId="88">
    <w:name w:val="批注主题 Char"/>
    <w:basedOn w:val="66"/>
    <w:qFormat/>
    <w:uiPriority w:val="0"/>
    <w:rPr>
      <w:b/>
      <w:bCs/>
      <w:kern w:val="2"/>
      <w:sz w:val="21"/>
    </w:rPr>
  </w:style>
  <w:style w:type="character" w:customStyle="1" w:styleId="89">
    <w:name w:val="样式1 Char"/>
    <w:qFormat/>
    <w:uiPriority w:val="0"/>
    <w:rPr>
      <w:rFonts w:ascii="仿宋_GB2312" w:hAnsi="仿宋_GB2312" w:eastAsia="仿宋_GB2312" w:cs="宋体;SimSun"/>
      <w:sz w:val="30"/>
      <w:szCs w:val="30"/>
    </w:rPr>
  </w:style>
  <w:style w:type="character" w:customStyle="1" w:styleId="90">
    <w:name w:val="SSE正文 Char"/>
    <w:basedOn w:val="20"/>
    <w:qFormat/>
    <w:uiPriority w:val="0"/>
    <w:rPr>
      <w:rFonts w:eastAsia="仿宋_GB2312"/>
      <w:kern w:val="2"/>
      <w:sz w:val="28"/>
      <w:szCs w:val="28"/>
    </w:rPr>
  </w:style>
  <w:style w:type="character" w:customStyle="1" w:styleId="91">
    <w:name w:val="Footnote Characters"/>
    <w:basedOn w:val="20"/>
    <w:qFormat/>
    <w:uiPriority w:val="0"/>
    <w:rPr>
      <w:vertAlign w:val="superscript"/>
    </w:rPr>
  </w:style>
  <w:style w:type="character" w:customStyle="1" w:styleId="92">
    <w:name w:val="SSE标题1 Char"/>
    <w:basedOn w:val="20"/>
    <w:qFormat/>
    <w:uiPriority w:val="0"/>
    <w:rPr>
      <w:rFonts w:eastAsia="黑体;SimHei"/>
      <w:b/>
      <w:bCs/>
      <w:kern w:val="2"/>
      <w:sz w:val="30"/>
      <w:szCs w:val="30"/>
    </w:rPr>
  </w:style>
  <w:style w:type="character" w:customStyle="1" w:styleId="93">
    <w:name w:val="SSE标题0 Char"/>
    <w:basedOn w:val="20"/>
    <w:qFormat/>
    <w:uiPriority w:val="0"/>
    <w:rPr>
      <w:rFonts w:eastAsia="华文中宋"/>
      <w:b/>
      <w:kern w:val="2"/>
      <w:sz w:val="44"/>
      <w:szCs w:val="44"/>
    </w:rPr>
  </w:style>
  <w:style w:type="character" w:customStyle="1" w:styleId="94">
    <w:name w:val="副标题 Char"/>
    <w:basedOn w:val="20"/>
    <w:qFormat/>
    <w:uiPriority w:val="0"/>
    <w:rPr>
      <w:rFonts w:ascii="Cambria" w:hAnsi="Cambria" w:cs="Times New Roman"/>
      <w:b/>
      <w:bCs/>
      <w:kern w:val="2"/>
      <w:sz w:val="32"/>
      <w:szCs w:val="32"/>
    </w:rPr>
  </w:style>
  <w:style w:type="character" w:customStyle="1" w:styleId="95">
    <w:name w:val="标题 Char"/>
    <w:basedOn w:val="20"/>
    <w:qFormat/>
    <w:uiPriority w:val="0"/>
    <w:rPr>
      <w:rFonts w:ascii="ClassGarmnd BT;Times New Roman" w:hAnsi="ClassGarmnd BT;Times New Roman" w:eastAsia="宋体;SimSun" w:cs="ClassGarmnd BT;Times New Roman"/>
      <w:b/>
      <w:kern w:val="2"/>
      <w:sz w:val="32"/>
      <w:lang w:val="en-AU"/>
    </w:rPr>
  </w:style>
  <w:style w:type="character" w:customStyle="1" w:styleId="96">
    <w:name w:val="语句 Char"/>
    <w:qFormat/>
    <w:uiPriority w:val="0"/>
    <w:rPr>
      <w:rFonts w:ascii="仿宋_GB2312" w:hAnsi="仿宋_GB2312" w:eastAsia="仿宋_GB2312"/>
      <w:b/>
      <w:i/>
      <w:sz w:val="30"/>
      <w:szCs w:val="30"/>
    </w:rPr>
  </w:style>
  <w:style w:type="character" w:customStyle="1" w:styleId="97">
    <w:name w:val="KK一级 Char"/>
    <w:qFormat/>
    <w:uiPriority w:val="0"/>
    <w:rPr>
      <w:rFonts w:ascii="仿宋_GB2312" w:hAnsi="仿宋_GB2312" w:eastAsia="仿宋_GB2312" w:cs="Calibri"/>
      <w:b/>
      <w:bCs/>
      <w:sz w:val="30"/>
      <w:szCs w:val="30"/>
    </w:rPr>
  </w:style>
  <w:style w:type="character" w:customStyle="1" w:styleId="98">
    <w:name w:val="KK二级 Char"/>
    <w:qFormat/>
    <w:uiPriority w:val="0"/>
    <w:rPr>
      <w:rFonts w:ascii="仿宋_GB2312" w:hAnsi="仿宋_GB2312" w:eastAsia="仿宋_GB2312" w:cs="Calibri"/>
      <w:b/>
      <w:bCs/>
      <w:sz w:val="30"/>
      <w:szCs w:val="30"/>
    </w:rPr>
  </w:style>
  <w:style w:type="character" w:customStyle="1" w:styleId="99">
    <w:name w:val="eee Char"/>
    <w:qFormat/>
    <w:uiPriority w:val="0"/>
    <w:rPr>
      <w:rFonts w:ascii="宋体;SimSun" w:hAnsi="宋体;SimSun" w:cs="宋体;SimSun"/>
      <w:sz w:val="24"/>
      <w:szCs w:val="24"/>
    </w:rPr>
  </w:style>
  <w:style w:type="character" w:customStyle="1" w:styleId="100">
    <w:name w:val="SSE内容提要正文 Char"/>
    <w:qFormat/>
    <w:uiPriority w:val="0"/>
    <w:rPr>
      <w:rFonts w:ascii="仿宋_GB2312" w:hAnsi="仿宋_GB2312" w:eastAsia="仿宋_GB2312"/>
      <w:sz w:val="28"/>
    </w:rPr>
  </w:style>
  <w:style w:type="character" w:customStyle="1" w:styleId="101">
    <w:name w:val="SSE资料来源 Char"/>
    <w:qFormat/>
    <w:uiPriority w:val="0"/>
    <w:rPr>
      <w:rFonts w:ascii="仿宋_GB2312" w:hAnsi="仿宋_GB2312" w:eastAsia="仿宋_GB2312"/>
      <w:color w:val="000000"/>
    </w:rPr>
  </w:style>
  <w:style w:type="character" w:customStyle="1" w:styleId="102">
    <w:name w:val="SSE标题2 Char"/>
    <w:qFormat/>
    <w:uiPriority w:val="0"/>
    <w:rPr>
      <w:rFonts w:ascii="仿宋_GB2312" w:hAnsi="仿宋_GB2312" w:eastAsia="仿宋_GB2312"/>
      <w:b/>
      <w:bCs/>
      <w:sz w:val="28"/>
      <w:szCs w:val="28"/>
    </w:rPr>
  </w:style>
  <w:style w:type="character" w:customStyle="1" w:styleId="103">
    <w:name w:val="SSE表格文字 Char"/>
    <w:qFormat/>
    <w:uiPriority w:val="0"/>
    <w:rPr>
      <w:rFonts w:ascii="仿宋_GB2312" w:hAnsi="仿宋_GB2312" w:eastAsia="仿宋_GB2312"/>
      <w:color w:val="000000"/>
      <w:sz w:val="24"/>
      <w:szCs w:val="24"/>
    </w:rPr>
  </w:style>
  <w:style w:type="character" w:customStyle="1" w:styleId="104">
    <w:name w:val="SSE图表标题 Char"/>
    <w:qFormat/>
    <w:uiPriority w:val="0"/>
    <w:rPr>
      <w:rFonts w:ascii="仿宋_GB2312" w:hAnsi="仿宋_GB2312" w:eastAsia="仿宋_GB2312"/>
      <w:b/>
      <w:bCs/>
      <w:color w:val="000000"/>
      <w:sz w:val="24"/>
      <w:szCs w:val="24"/>
    </w:rPr>
  </w:style>
  <w:style w:type="character" w:customStyle="1" w:styleId="105">
    <w:name w:val="标题 1 字符"/>
    <w:qFormat/>
    <w:uiPriority w:val="0"/>
    <w:rPr>
      <w:rFonts w:ascii="Calibri" w:hAnsi="Calibri" w:eastAsia="宋体;SimSun" w:cs="Times New Roman"/>
      <w:b/>
      <w:bCs/>
      <w:kern w:val="2"/>
      <w:sz w:val="44"/>
      <w:szCs w:val="44"/>
    </w:rPr>
  </w:style>
  <w:style w:type="character" w:customStyle="1" w:styleId="106">
    <w:name w:val="标题 2 字符"/>
    <w:qFormat/>
    <w:uiPriority w:val="0"/>
    <w:rPr>
      <w:rFonts w:ascii="Cambria" w:hAnsi="Cambria" w:eastAsia="宋体;SimSun" w:cs="Times New Roman"/>
      <w:b/>
      <w:bCs/>
      <w:sz w:val="32"/>
      <w:szCs w:val="32"/>
    </w:rPr>
  </w:style>
  <w:style w:type="character" w:customStyle="1" w:styleId="107">
    <w:name w:val="标题 3 字符"/>
    <w:qFormat/>
    <w:uiPriority w:val="0"/>
    <w:rPr>
      <w:rFonts w:ascii="Calibri" w:hAnsi="Calibri" w:eastAsia="宋体;SimSun" w:cs="Times New Roman"/>
      <w:b/>
      <w:bCs/>
      <w:sz w:val="32"/>
      <w:szCs w:val="32"/>
    </w:rPr>
  </w:style>
  <w:style w:type="character" w:customStyle="1" w:styleId="108">
    <w:name w:val="标题 4 字符"/>
    <w:qFormat/>
    <w:uiPriority w:val="0"/>
    <w:rPr>
      <w:rFonts w:ascii="Cambria" w:hAnsi="Cambria" w:eastAsia="宋体;SimSun" w:cs="Times New Roman"/>
      <w:b/>
      <w:bCs/>
      <w:sz w:val="28"/>
      <w:szCs w:val="28"/>
    </w:rPr>
  </w:style>
  <w:style w:type="character" w:customStyle="1" w:styleId="109">
    <w:name w:val="标题 6 字符"/>
    <w:qFormat/>
    <w:uiPriority w:val="0"/>
    <w:rPr>
      <w:rFonts w:ascii="Cambria" w:hAnsi="Cambria" w:eastAsia="宋体;SimSun" w:cs="Times New Roman"/>
      <w:b/>
      <w:bCs/>
      <w:sz w:val="24"/>
      <w:szCs w:val="24"/>
    </w:rPr>
  </w:style>
  <w:style w:type="character" w:customStyle="1" w:styleId="110">
    <w:name w:val="页眉 字符"/>
    <w:qFormat/>
    <w:uiPriority w:val="0"/>
    <w:rPr>
      <w:rFonts w:ascii="Calibri" w:hAnsi="Calibri" w:eastAsia="宋体;SimSun" w:cs="Times New Roman"/>
      <w:sz w:val="18"/>
      <w:szCs w:val="18"/>
    </w:rPr>
  </w:style>
  <w:style w:type="character" w:customStyle="1" w:styleId="111">
    <w:name w:val="页脚 字符"/>
    <w:qFormat/>
    <w:uiPriority w:val="0"/>
    <w:rPr>
      <w:rFonts w:ascii="Calibri" w:hAnsi="Calibri" w:eastAsia="宋体;SimSun" w:cs="Times New Roman"/>
      <w:sz w:val="18"/>
      <w:szCs w:val="18"/>
    </w:rPr>
  </w:style>
  <w:style w:type="character" w:customStyle="1" w:styleId="112">
    <w:name w:val="正文文本缩进 字符"/>
    <w:qFormat/>
    <w:uiPriority w:val="0"/>
    <w:rPr>
      <w:rFonts w:ascii="Calibri" w:hAnsi="Calibri" w:eastAsia="宋体;SimSun" w:cs="Times New Roman"/>
    </w:rPr>
  </w:style>
  <w:style w:type="character" w:customStyle="1" w:styleId="113">
    <w:name w:val="批注框文本 字符"/>
    <w:qFormat/>
    <w:uiPriority w:val="0"/>
    <w:rPr>
      <w:rFonts w:ascii="Calibri" w:hAnsi="Calibri" w:eastAsia="宋体;SimSun" w:cs="Times New Roman"/>
      <w:sz w:val="18"/>
      <w:szCs w:val="18"/>
    </w:rPr>
  </w:style>
  <w:style w:type="character" w:customStyle="1" w:styleId="114">
    <w:name w:val="日期 字符"/>
    <w:qFormat/>
    <w:uiPriority w:val="0"/>
    <w:rPr>
      <w:rFonts w:ascii="Calibri" w:hAnsi="Calibri" w:eastAsia="宋体;SimSun" w:cs="Times New Roman"/>
    </w:rPr>
  </w:style>
  <w:style w:type="character" w:customStyle="1" w:styleId="115">
    <w:name w:val="纯文本 字符"/>
    <w:qFormat/>
    <w:uiPriority w:val="0"/>
    <w:rPr>
      <w:rFonts w:ascii="宋体;SimSun" w:hAnsi="宋体;SimSun" w:eastAsia="宋体;SimSun" w:cs="Courier New"/>
    </w:rPr>
  </w:style>
  <w:style w:type="character" w:customStyle="1" w:styleId="116">
    <w:name w:val="正文文本 2 字符"/>
    <w:qFormat/>
    <w:uiPriority w:val="0"/>
    <w:rPr>
      <w:rFonts w:ascii="Calibri" w:hAnsi="Calibri" w:eastAsia="宋体;SimSun" w:cs="Times New Roman"/>
    </w:rPr>
  </w:style>
  <w:style w:type="character" w:customStyle="1" w:styleId="117">
    <w:name w:val="尾注文本 Char1"/>
    <w:basedOn w:val="20"/>
    <w:qFormat/>
    <w:uiPriority w:val="0"/>
    <w:rPr>
      <w:rFonts w:ascii="Times New Roman" w:hAnsi="Times New Roman" w:eastAsia="宋体;SimSun" w:cs="Times New Roman"/>
      <w:kern w:val="0"/>
      <w:sz w:val="24"/>
      <w:szCs w:val="24"/>
    </w:rPr>
  </w:style>
  <w:style w:type="character" w:customStyle="1" w:styleId="118">
    <w:name w:val="尾注文本 字符"/>
    <w:qFormat/>
    <w:uiPriority w:val="0"/>
    <w:rPr>
      <w:rFonts w:ascii="Calibri" w:hAnsi="Calibri" w:eastAsia="宋体;SimSun" w:cs="Times New Roman"/>
    </w:rPr>
  </w:style>
  <w:style w:type="character" w:customStyle="1" w:styleId="119">
    <w:name w:val="批注文字 Char1"/>
    <w:basedOn w:val="20"/>
    <w:qFormat/>
    <w:uiPriority w:val="0"/>
    <w:rPr>
      <w:rFonts w:ascii="Times New Roman" w:hAnsi="Times New Roman" w:eastAsia="宋体;SimSun" w:cs="Times New Roman"/>
      <w:kern w:val="0"/>
      <w:sz w:val="24"/>
      <w:szCs w:val="24"/>
    </w:rPr>
  </w:style>
  <w:style w:type="character" w:customStyle="1" w:styleId="120">
    <w:name w:val="批注文字 字符"/>
    <w:qFormat/>
    <w:uiPriority w:val="0"/>
    <w:rPr>
      <w:rFonts w:ascii="Calibri" w:hAnsi="Calibri" w:eastAsia="宋体;SimSun" w:cs="Times New Roman"/>
    </w:rPr>
  </w:style>
  <w:style w:type="character" w:customStyle="1" w:styleId="121">
    <w:name w:val="正文文本 字符"/>
    <w:qFormat/>
    <w:uiPriority w:val="0"/>
    <w:rPr>
      <w:rFonts w:ascii="Calibri" w:hAnsi="Calibri" w:eastAsia="宋体;SimSun" w:cs="Times New Roman"/>
    </w:rPr>
  </w:style>
  <w:style w:type="character" w:customStyle="1" w:styleId="122">
    <w:name w:val="正文文本缩进 2 字符"/>
    <w:qFormat/>
    <w:uiPriority w:val="0"/>
    <w:rPr>
      <w:rFonts w:ascii="Calibri" w:hAnsi="Calibri" w:eastAsia="宋体;SimSun" w:cs="Times New Roman"/>
    </w:rPr>
  </w:style>
  <w:style w:type="character" w:customStyle="1" w:styleId="123">
    <w:name w:val="正文文本缩进 3 字符"/>
    <w:qFormat/>
    <w:uiPriority w:val="0"/>
    <w:rPr>
      <w:rFonts w:ascii="Calibri" w:hAnsi="Calibri" w:eastAsia="宋体;SimSun" w:cs="Times New Roman"/>
      <w:sz w:val="16"/>
      <w:szCs w:val="16"/>
    </w:rPr>
  </w:style>
  <w:style w:type="character" w:customStyle="1" w:styleId="124">
    <w:name w:val="正文文本 3 字符"/>
    <w:qFormat/>
    <w:uiPriority w:val="0"/>
    <w:rPr>
      <w:rFonts w:ascii="Calibri" w:hAnsi="Calibri" w:eastAsia="宋体;SimSun" w:cs="Times New Roman"/>
      <w:sz w:val="16"/>
      <w:szCs w:val="16"/>
    </w:rPr>
  </w:style>
  <w:style w:type="character" w:customStyle="1" w:styleId="125">
    <w:name w:val="脚注文本 字符"/>
    <w:qFormat/>
    <w:uiPriority w:val="0"/>
    <w:rPr>
      <w:rFonts w:ascii="Calibri" w:hAnsi="Calibri" w:eastAsia="宋体;SimSun" w:cs="Times New Roman"/>
      <w:sz w:val="18"/>
      <w:szCs w:val="18"/>
    </w:rPr>
  </w:style>
  <w:style w:type="character" w:customStyle="1" w:styleId="126">
    <w:name w:val="批注主题 Char1"/>
    <w:basedOn w:val="119"/>
    <w:qFormat/>
    <w:uiPriority w:val="0"/>
    <w:rPr>
      <w:b/>
      <w:bCs/>
    </w:rPr>
  </w:style>
  <w:style w:type="character" w:customStyle="1" w:styleId="127">
    <w:name w:val="批注主题 字符"/>
    <w:qFormat/>
    <w:uiPriority w:val="0"/>
    <w:rPr>
      <w:rFonts w:ascii="Calibri" w:hAnsi="Calibri" w:eastAsia="宋体;SimSun" w:cs="Times New Roman"/>
      <w:b/>
      <w:bCs/>
    </w:rPr>
  </w:style>
  <w:style w:type="character" w:customStyle="1" w:styleId="128">
    <w:name w:val="标题 Char1"/>
    <w:basedOn w:val="20"/>
    <w:qFormat/>
    <w:uiPriority w:val="0"/>
    <w:rPr>
      <w:rFonts w:ascii="Arial" w:hAnsi="Arial" w:eastAsia="宋体;SimSun" w:cs="Times New Roman"/>
      <w:b/>
      <w:bCs/>
      <w:kern w:val="0"/>
      <w:sz w:val="32"/>
      <w:szCs w:val="32"/>
    </w:rPr>
  </w:style>
  <w:style w:type="character" w:customStyle="1" w:styleId="129">
    <w:name w:val="标题 字符"/>
    <w:qFormat/>
    <w:uiPriority w:val="0"/>
    <w:rPr>
      <w:rFonts w:ascii="Cambria" w:hAnsi="Cambria" w:eastAsia="宋体;SimSun" w:cs="Times New Roman"/>
      <w:b/>
      <w:bCs/>
      <w:sz w:val="32"/>
      <w:szCs w:val="32"/>
    </w:rPr>
  </w:style>
  <w:style w:type="character" w:customStyle="1" w:styleId="130">
    <w:name w:val="正正正 字符"/>
    <w:basedOn w:val="20"/>
    <w:qFormat/>
    <w:uiPriority w:val="0"/>
    <w:rPr>
      <w:rFonts w:ascii="仿宋_GB2312" w:hAnsi="仿宋_GB2312" w:eastAsia="仿宋_GB2312" w:cs="Times New Roman"/>
      <w:kern w:val="2"/>
      <w:sz w:val="32"/>
      <w:szCs w:val="32"/>
    </w:rPr>
  </w:style>
  <w:style w:type="character" w:customStyle="1" w:styleId="131">
    <w:name w:val="脚注文本 字符1"/>
    <w:basedOn w:val="20"/>
    <w:qFormat/>
    <w:uiPriority w:val="0"/>
    <w:rPr>
      <w:rFonts w:ascii="Times New Roman" w:hAnsi="Times New Roman" w:eastAsia="宋体;SimSun" w:cs="Times New Roman"/>
      <w:kern w:val="0"/>
      <w:sz w:val="18"/>
      <w:szCs w:val="18"/>
    </w:rPr>
  </w:style>
  <w:style w:type="character" w:customStyle="1" w:styleId="132">
    <w:name w:val="fontstyle01"/>
    <w:basedOn w:val="20"/>
    <w:qFormat/>
    <w:uiPriority w:val="0"/>
    <w:rPr>
      <w:rFonts w:ascii="仿宋_GB2312" w:hAnsi="仿宋_GB2312" w:eastAsia="仿宋_GB2312"/>
      <w:color w:val="000000"/>
      <w:sz w:val="30"/>
      <w:szCs w:val="30"/>
    </w:rPr>
  </w:style>
  <w:style w:type="paragraph" w:customStyle="1" w:styleId="133">
    <w:name w:val="Heading"/>
    <w:basedOn w:val="1"/>
    <w:next w:val="14"/>
    <w:qFormat/>
    <w:uiPriority w:val="0"/>
    <w:pPr>
      <w:widowControl/>
      <w:suppressAutoHyphens/>
      <w:overflowPunct w:val="0"/>
      <w:autoSpaceDE w:val="0"/>
      <w:jc w:val="center"/>
    </w:pPr>
    <w:rPr>
      <w:rFonts w:ascii="ClassGarmnd BT;Times New Roman" w:hAnsi="ClassGarmnd BT;Times New Roman" w:eastAsia="宋体;SimSun" w:cs="ClassGarmnd BT;Times New Roman"/>
      <w:b/>
      <w:kern w:val="2"/>
      <w:sz w:val="32"/>
      <w:lang w:val="en-AU"/>
    </w:rPr>
  </w:style>
  <w:style w:type="paragraph" w:customStyle="1" w:styleId="134">
    <w:name w:val="Index"/>
    <w:basedOn w:val="1"/>
    <w:qFormat/>
    <w:uiPriority w:val="0"/>
    <w:pPr>
      <w:suppressLineNumbers/>
    </w:pPr>
    <w:rPr>
      <w:rFonts w:cs="Arial Unicode MS"/>
    </w:rPr>
  </w:style>
  <w:style w:type="paragraph" w:customStyle="1" w:styleId="135">
    <w:name w:val="Header and Footer"/>
    <w:basedOn w:val="1"/>
    <w:qFormat/>
    <w:uiPriority w:val="0"/>
    <w:pPr>
      <w:suppressLineNumbers/>
      <w:tabs>
        <w:tab w:val="center" w:pos="4819"/>
        <w:tab w:val="right" w:pos="9638"/>
      </w:tabs>
    </w:pPr>
  </w:style>
  <w:style w:type="paragraph" w:customStyle="1" w:styleId="136">
    <w:name w:val="批注框文本1"/>
    <w:basedOn w:val="1"/>
    <w:qFormat/>
    <w:uiPriority w:val="0"/>
    <w:rPr>
      <w:sz w:val="18"/>
      <w:szCs w:val="18"/>
    </w:rPr>
  </w:style>
  <w:style w:type="paragraph" w:customStyle="1" w:styleId="137">
    <w:name w:val="日期1"/>
    <w:basedOn w:val="1"/>
    <w:next w:val="1"/>
    <w:qFormat/>
    <w:uiPriority w:val="0"/>
    <w:rPr>
      <w:rFonts w:ascii="楷体_GB2312" w:hAnsi="楷体_GB2312" w:eastAsia="楷体_GB2312"/>
      <w:sz w:val="32"/>
    </w:rPr>
  </w:style>
  <w:style w:type="paragraph" w:customStyle="1" w:styleId="138">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139">
    <w:name w:val="纯文本1"/>
    <w:basedOn w:val="1"/>
    <w:qFormat/>
    <w:uiPriority w:val="0"/>
    <w:rPr>
      <w:rFonts w:ascii="宋体;SimSun" w:hAnsi="宋体;SimSun" w:cs="Courier New"/>
      <w:szCs w:val="21"/>
    </w:rPr>
  </w:style>
  <w:style w:type="paragraph" w:customStyle="1" w:styleId="140">
    <w:name w:val="p0"/>
    <w:basedOn w:val="1"/>
    <w:qFormat/>
    <w:uiPriority w:val="0"/>
    <w:pPr>
      <w:widowControl/>
    </w:pPr>
    <w:rPr>
      <w:kern w:val="0"/>
      <w:szCs w:val="21"/>
    </w:rPr>
  </w:style>
  <w:style w:type="paragraph" w:customStyle="1" w:styleId="141">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42">
    <w:name w:val="列出段落"/>
    <w:basedOn w:val="1"/>
    <w:qFormat/>
    <w:uiPriority w:val="0"/>
    <w:pPr>
      <w:ind w:left="0" w:right="0" w:firstLine="420"/>
    </w:pPr>
    <w:rPr>
      <w:szCs w:val="24"/>
      <w:lang w:val="zh-CN"/>
    </w:rPr>
  </w:style>
  <w:style w:type="paragraph" w:customStyle="1" w:styleId="143">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44">
    <w:name w:val="列出段落1"/>
    <w:basedOn w:val="1"/>
    <w:qFormat/>
    <w:uiPriority w:val="0"/>
    <w:pPr>
      <w:ind w:left="0" w:right="0" w:firstLine="420"/>
    </w:pPr>
    <w:rPr>
      <w:rFonts w:ascii="Calibri" w:hAnsi="Calibri" w:cs="Calibri"/>
      <w:szCs w:val="22"/>
    </w:rPr>
  </w:style>
  <w:style w:type="paragraph" w:customStyle="1" w:styleId="145">
    <w:name w:val="批注文字1"/>
    <w:basedOn w:val="1"/>
    <w:qFormat/>
    <w:uiPriority w:val="0"/>
    <w:pPr>
      <w:jc w:val="left"/>
    </w:pPr>
    <w:rPr>
      <w:kern w:val="0"/>
      <w:sz w:val="24"/>
      <w:szCs w:val="24"/>
      <w:lang w:val="zh-CN"/>
    </w:rPr>
  </w:style>
  <w:style w:type="paragraph" w:customStyle="1" w:styleId="146">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47">
    <w:name w:val="List Paragraph"/>
    <w:basedOn w:val="1"/>
    <w:qFormat/>
    <w:uiPriority w:val="0"/>
    <w:pPr>
      <w:ind w:left="0" w:right="0" w:firstLine="420"/>
    </w:pPr>
    <w:rPr>
      <w:rFonts w:ascii="Calibri" w:hAnsi="Calibri" w:cs="Calibri"/>
      <w:szCs w:val="22"/>
    </w:rPr>
  </w:style>
  <w:style w:type="paragraph" w:customStyle="1" w:styleId="148">
    <w:name w:val="内页正文"/>
    <w:qFormat/>
    <w:uiPriority w:val="0"/>
    <w:pPr>
      <w:widowControl/>
      <w:suppressAutoHyphens/>
      <w:bidi w:val="0"/>
      <w:spacing w:before="0" w:after="120"/>
      <w:jc w:val="both"/>
    </w:pPr>
    <w:rPr>
      <w:rFonts w:ascii="Arial" w:hAnsi="Arial" w:eastAsia="汉仪中等线简;Arial Unicode MS" w:cs="Arial"/>
      <w:color w:val="000000"/>
      <w:sz w:val="18"/>
      <w:szCs w:val="18"/>
      <w:lang w:val="en-US" w:eastAsia="zh-CN" w:bidi="ar-SA"/>
    </w:rPr>
  </w:style>
  <w:style w:type="paragraph" w:customStyle="1" w:styleId="149">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50">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51">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52">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53">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54">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55">
    <w:name w:val="批注主题1"/>
    <w:basedOn w:val="145"/>
    <w:next w:val="145"/>
    <w:qFormat/>
    <w:uiPriority w:val="0"/>
    <w:rPr>
      <w:b/>
      <w:bCs/>
      <w:kern w:val="2"/>
      <w:sz w:val="21"/>
      <w:lang w:val="en-US" w:eastAsia="zh-CN"/>
    </w:rPr>
  </w:style>
  <w:style w:type="paragraph" w:customStyle="1" w:styleId="156">
    <w:name w:val="Char3"/>
    <w:basedOn w:val="1"/>
    <w:qFormat/>
    <w:uiPriority w:val="0"/>
    <w:rPr>
      <w:szCs w:val="21"/>
    </w:rPr>
  </w:style>
  <w:style w:type="paragraph" w:customStyle="1" w:styleId="157">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58">
    <w:name w:val="样式1"/>
    <w:basedOn w:val="1"/>
    <w:qFormat/>
    <w:uiPriority w:val="0"/>
    <w:pPr>
      <w:numPr>
        <w:ilvl w:val="0"/>
        <w:numId w:val="2"/>
      </w:numPr>
      <w:tabs>
        <w:tab w:val="left" w:pos="2127"/>
      </w:tabs>
      <w:snapToGrid w:val="0"/>
      <w:spacing w:line="540" w:lineRule="exact"/>
      <w:ind w:left="988" w:right="0" w:firstLine="0"/>
    </w:pPr>
    <w:rPr>
      <w:rFonts w:ascii="仿宋_GB2312" w:hAnsi="仿宋_GB2312" w:eastAsia="仿宋_GB2312" w:cs="宋体;SimSun"/>
      <w:kern w:val="0"/>
      <w:sz w:val="30"/>
      <w:szCs w:val="30"/>
      <w:lang w:val="zh-CN"/>
    </w:rPr>
  </w:style>
  <w:style w:type="paragraph" w:customStyle="1" w:styleId="159">
    <w:name w:val="SSE正文"/>
    <w:basedOn w:val="1"/>
    <w:qFormat/>
    <w:uiPriority w:val="0"/>
    <w:pPr>
      <w:ind w:left="0" w:right="0" w:firstLine="200"/>
    </w:pPr>
    <w:rPr>
      <w:rFonts w:eastAsia="仿宋_GB2312"/>
      <w:sz w:val="28"/>
      <w:szCs w:val="28"/>
    </w:rPr>
  </w:style>
  <w:style w:type="paragraph" w:customStyle="1" w:styleId="160">
    <w:name w:val="文本块1"/>
    <w:basedOn w:val="1"/>
    <w:qFormat/>
    <w:uiPriority w:val="0"/>
    <w:pPr>
      <w:widowControl/>
      <w:spacing w:before="0" w:after="240"/>
      <w:jc w:val="left"/>
    </w:pPr>
    <w:rPr>
      <w:kern w:val="0"/>
      <w:sz w:val="24"/>
    </w:rPr>
  </w:style>
  <w:style w:type="paragraph" w:customStyle="1" w:styleId="161">
    <w:name w:val="默认"/>
    <w:qFormat/>
    <w:uiPriority w:val="0"/>
    <w:pPr>
      <w:widowControl/>
      <w:suppressAutoHyphens/>
      <w:bidi w:val="0"/>
    </w:pPr>
    <w:rPr>
      <w:rFonts w:ascii="Arial Unicode MS" w:hAnsi="Arial Unicode MS" w:eastAsia="Helvetica" w:cs="Arial Unicode MS"/>
      <w:color w:val="000000"/>
      <w:sz w:val="22"/>
      <w:szCs w:val="22"/>
      <w:lang w:val="zh-CN" w:eastAsia="zh-CN" w:bidi="ar-SA"/>
    </w:rPr>
  </w:style>
  <w:style w:type="paragraph" w:customStyle="1" w:styleId="162">
    <w:name w:val="Message Heading"/>
    <w:basedOn w:val="1"/>
    <w:next w:val="1"/>
    <w:qFormat/>
    <w:uiPriority w:val="0"/>
    <w:pPr>
      <w:widowControl/>
      <w:spacing w:before="0" w:after="120" w:line="320" w:lineRule="atLeast"/>
      <w:jc w:val="left"/>
    </w:pPr>
    <w:rPr>
      <w:rFonts w:ascii="Frutiger 45 Light;Arial" w:hAnsi="Frutiger 45 Light;Arial" w:eastAsia="华文楷体" w:cs="Frutiger 45 Light;Arial"/>
      <w:b/>
      <w:color w:val="3783FF"/>
      <w:kern w:val="0"/>
      <w:sz w:val="28"/>
    </w:rPr>
  </w:style>
  <w:style w:type="paragraph" w:customStyle="1" w:styleId="163">
    <w:name w:val="SSE标题1"/>
    <w:basedOn w:val="2"/>
    <w:qFormat/>
    <w:uiPriority w:val="0"/>
    <w:pPr>
      <w:numPr>
        <w:ilvl w:val="0"/>
        <w:numId w:val="0"/>
      </w:numPr>
      <w:spacing w:before="0" w:after="120" w:line="240" w:lineRule="auto"/>
      <w:ind w:left="1232" w:right="0" w:hanging="630"/>
      <w:outlineLvl w:val="9"/>
    </w:pPr>
    <w:rPr>
      <w:rFonts w:eastAsia="黑体;SimHei"/>
      <w:sz w:val="30"/>
      <w:szCs w:val="30"/>
      <w:lang w:val="en-US" w:eastAsia="zh-CN"/>
    </w:rPr>
  </w:style>
  <w:style w:type="paragraph" w:customStyle="1" w:styleId="164">
    <w:name w:val="SSE标题0"/>
    <w:basedOn w:val="1"/>
    <w:qFormat/>
    <w:uiPriority w:val="0"/>
    <w:pPr>
      <w:spacing w:before="280" w:after="280"/>
      <w:jc w:val="center"/>
    </w:pPr>
    <w:rPr>
      <w:rFonts w:eastAsia="华文中宋"/>
      <w:b/>
      <w:sz w:val="44"/>
      <w:szCs w:val="44"/>
    </w:rPr>
  </w:style>
  <w:style w:type="paragraph" w:customStyle="1" w:styleId="165">
    <w:name w:val="Стандартный HTML"/>
    <w:basedOn w:val="1"/>
    <w:qFormat/>
    <w:uiPriority w:val="0"/>
    <w:pPr>
      <w:widowControl/>
      <w:suppressAutoHyphens/>
      <w:jc w:val="left"/>
    </w:pPr>
    <w:rPr>
      <w:rFonts w:ascii="Courier New" w:hAnsi="Courier New" w:eastAsia="宋体;SimSun" w:cs="Courier New"/>
      <w:kern w:val="2"/>
      <w:sz w:val="20"/>
    </w:rPr>
  </w:style>
  <w:style w:type="paragraph" w:customStyle="1" w:styleId="166">
    <w:name w:val="Основной текст 2"/>
    <w:basedOn w:val="1"/>
    <w:qFormat/>
    <w:uiPriority w:val="0"/>
    <w:pPr>
      <w:widowControl/>
      <w:suppressAutoHyphens/>
      <w:overflowPunct w:val="0"/>
      <w:autoSpaceDE w:val="0"/>
    </w:pPr>
    <w:rPr>
      <w:rFonts w:ascii="ClassGarmnd BT;Times New Roman" w:hAnsi="ClassGarmnd BT;Times New Roman" w:eastAsia="宋体;SimSun" w:cs="ClassGarmnd BT;Times New Roman"/>
      <w:color w:val="000000"/>
      <w:kern w:val="2"/>
      <w:sz w:val="20"/>
      <w:lang w:val="en-AU"/>
    </w:rPr>
  </w:style>
  <w:style w:type="paragraph" w:customStyle="1" w:styleId="167">
    <w:name w:val="List Paragraph1"/>
    <w:basedOn w:val="1"/>
    <w:qFormat/>
    <w:uiPriority w:val="0"/>
    <w:pPr>
      <w:suppressAutoHyphens/>
      <w:ind w:left="720" w:right="0" w:firstLine="0"/>
    </w:pPr>
    <w:rPr>
      <w:rFonts w:eastAsia="宋体;SimSun"/>
      <w:kern w:val="2"/>
      <w:sz w:val="32"/>
      <w:szCs w:val="24"/>
    </w:rPr>
  </w:style>
  <w:style w:type="paragraph" w:customStyle="1" w:styleId="168">
    <w:name w:val="Style1"/>
    <w:basedOn w:val="1"/>
    <w:qFormat/>
    <w:uiPriority w:val="0"/>
    <w:pPr>
      <w:numPr>
        <w:ilvl w:val="0"/>
        <w:numId w:val="3"/>
      </w:numPr>
      <w:suppressAutoHyphens/>
    </w:pPr>
    <w:rPr>
      <w:rFonts w:eastAsia="宋体;SimSun"/>
      <w:kern w:val="2"/>
      <w:szCs w:val="24"/>
    </w:rPr>
  </w:style>
  <w:style w:type="paragraph" w:customStyle="1" w:styleId="169">
    <w:name w:val="语句"/>
    <w:basedOn w:val="1"/>
    <w:qFormat/>
    <w:uiPriority w:val="0"/>
    <w:pPr>
      <w:widowControl/>
      <w:snapToGrid w:val="0"/>
      <w:spacing w:line="540" w:lineRule="exact"/>
      <w:ind w:left="0" w:right="0" w:firstLine="567"/>
    </w:pPr>
    <w:rPr>
      <w:rFonts w:ascii="仿宋_GB2312" w:hAnsi="仿宋_GB2312" w:eastAsia="仿宋_GB2312"/>
      <w:b/>
      <w:i/>
      <w:kern w:val="0"/>
      <w:sz w:val="30"/>
      <w:szCs w:val="30"/>
      <w:lang w:val="zh-CN"/>
    </w:rPr>
  </w:style>
  <w:style w:type="paragraph" w:customStyle="1" w:styleId="170">
    <w:name w:val="KK一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1">
    <w:name w:val="KK二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2">
    <w:name w:val="eee"/>
    <w:basedOn w:val="1"/>
    <w:qFormat/>
    <w:uiPriority w:val="0"/>
    <w:pPr>
      <w:autoSpaceDE w:val="0"/>
      <w:spacing w:line="360" w:lineRule="auto"/>
      <w:ind w:left="0" w:right="0" w:firstLine="480"/>
    </w:pPr>
    <w:rPr>
      <w:rFonts w:ascii="宋体;SimSun" w:hAnsi="宋体;SimSun" w:cs="宋体;SimSun"/>
      <w:kern w:val="0"/>
      <w:sz w:val="24"/>
      <w:szCs w:val="24"/>
      <w:lang w:val="zh-CN"/>
    </w:rPr>
  </w:style>
  <w:style w:type="paragraph" w:customStyle="1" w:styleId="173">
    <w:name w:val="SSE内容提要正文"/>
    <w:basedOn w:val="1"/>
    <w:qFormat/>
    <w:uiPriority w:val="0"/>
    <w:pPr>
      <w:ind w:left="0" w:right="0" w:firstLine="560"/>
    </w:pPr>
    <w:rPr>
      <w:rFonts w:ascii="仿宋_GB2312" w:hAnsi="仿宋_GB2312" w:eastAsia="仿宋_GB2312"/>
      <w:kern w:val="0"/>
      <w:sz w:val="28"/>
      <w:lang w:val="zh-CN"/>
    </w:rPr>
  </w:style>
  <w:style w:type="paragraph" w:customStyle="1" w:styleId="174">
    <w:name w:val="SSE资料来源"/>
    <w:basedOn w:val="1"/>
    <w:qFormat/>
    <w:uiPriority w:val="0"/>
    <w:pPr>
      <w:spacing w:before="0" w:after="280"/>
      <w:ind w:left="0" w:right="0" w:firstLine="200"/>
    </w:pPr>
    <w:rPr>
      <w:rFonts w:ascii="仿宋_GB2312" w:hAnsi="仿宋_GB2312" w:eastAsia="仿宋_GB2312"/>
      <w:color w:val="000000"/>
      <w:kern w:val="0"/>
      <w:sz w:val="20"/>
      <w:lang w:val="zh-CN"/>
    </w:rPr>
  </w:style>
  <w:style w:type="paragraph" w:customStyle="1" w:styleId="175">
    <w:name w:val="SSE标题2"/>
    <w:basedOn w:val="3"/>
    <w:qFormat/>
    <w:uiPriority w:val="0"/>
    <w:pPr>
      <w:numPr>
        <w:ilvl w:val="0"/>
        <w:numId w:val="0"/>
      </w:numPr>
      <w:spacing w:before="260" w:after="0" w:line="240" w:lineRule="auto"/>
      <w:outlineLvl w:val="9"/>
    </w:pPr>
    <w:rPr>
      <w:rFonts w:ascii="仿宋_GB2312" w:hAnsi="仿宋_GB2312" w:eastAsia="仿宋_GB2312" w:cs="Times New Roman"/>
      <w:sz w:val="28"/>
      <w:szCs w:val="28"/>
    </w:rPr>
  </w:style>
  <w:style w:type="paragraph" w:customStyle="1" w:styleId="176">
    <w:name w:val="SSE表格文字"/>
    <w:basedOn w:val="1"/>
    <w:qFormat/>
    <w:uiPriority w:val="0"/>
    <w:pPr>
      <w:widowControl/>
      <w:jc w:val="center"/>
    </w:pPr>
    <w:rPr>
      <w:rFonts w:ascii="仿宋_GB2312" w:hAnsi="仿宋_GB2312" w:eastAsia="仿宋_GB2312"/>
      <w:color w:val="000000"/>
      <w:kern w:val="0"/>
      <w:sz w:val="24"/>
      <w:szCs w:val="24"/>
      <w:lang w:val="zh-CN"/>
    </w:rPr>
  </w:style>
  <w:style w:type="paragraph" w:customStyle="1" w:styleId="177">
    <w:name w:val="SSE图表标题"/>
    <w:basedOn w:val="7"/>
    <w:qFormat/>
    <w:uiPriority w:val="0"/>
    <w:pPr>
      <w:numPr>
        <w:ilvl w:val="0"/>
        <w:numId w:val="0"/>
      </w:numPr>
      <w:spacing w:before="240" w:after="0" w:line="240" w:lineRule="auto"/>
      <w:jc w:val="center"/>
      <w:outlineLvl w:val="9"/>
    </w:pPr>
    <w:rPr>
      <w:rFonts w:ascii="仿宋_GB2312" w:hAnsi="仿宋_GB2312" w:eastAsia="仿宋_GB2312" w:cs="Times New Roman"/>
      <w:color w:val="000000"/>
      <w:kern w:val="0"/>
      <w:lang w:val="zh-CN"/>
    </w:rPr>
  </w:style>
  <w:style w:type="paragraph" w:customStyle="1" w:styleId="178">
    <w:name w:val="a4"/>
    <w:basedOn w:val="1"/>
    <w:qFormat/>
    <w:uiPriority w:val="0"/>
    <w:pPr>
      <w:widowControl/>
      <w:spacing w:before="280" w:after="280"/>
      <w:jc w:val="left"/>
    </w:pPr>
    <w:rPr>
      <w:rFonts w:ascii="宋体;SimSun" w:hAnsi="宋体;SimSun" w:cs="宋体;SimSun"/>
      <w:kern w:val="0"/>
      <w:sz w:val="24"/>
      <w:szCs w:val="24"/>
    </w:rPr>
  </w:style>
  <w:style w:type="paragraph" w:customStyle="1" w:styleId="179">
    <w:name w:val="font5"/>
    <w:basedOn w:val="1"/>
    <w:qFormat/>
    <w:uiPriority w:val="0"/>
    <w:pPr>
      <w:widowControl/>
      <w:spacing w:before="280" w:after="280"/>
      <w:jc w:val="left"/>
    </w:pPr>
    <w:rPr>
      <w:rFonts w:ascii="等线;Arial Unicode MS" w:hAnsi="等线;Arial Unicode MS" w:eastAsia="等线;Arial Unicode MS" w:cs="宋体;SimSun"/>
      <w:kern w:val="0"/>
      <w:sz w:val="18"/>
      <w:szCs w:val="18"/>
    </w:rPr>
  </w:style>
  <w:style w:type="paragraph" w:customStyle="1" w:styleId="18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仿宋_GB2312" w:hAnsi="仿宋_GB2312" w:eastAsia="仿宋_GB2312" w:cs="宋体;SimSun"/>
      <w:b/>
      <w:bCs/>
      <w:kern w:val="0"/>
      <w:szCs w:val="21"/>
    </w:rPr>
  </w:style>
  <w:style w:type="paragraph" w:customStyle="1" w:styleId="18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宋体;SimSun" w:hAnsi="宋体;SimSun" w:cs="宋体;SimSun"/>
      <w:kern w:val="0"/>
      <w:sz w:val="24"/>
      <w:szCs w:val="24"/>
    </w:rPr>
  </w:style>
  <w:style w:type="paragraph" w:customStyle="1" w:styleId="182">
    <w:name w:val="正正正"/>
    <w:basedOn w:val="1"/>
    <w:qFormat/>
    <w:uiPriority w:val="0"/>
    <w:pPr>
      <w:spacing w:line="560" w:lineRule="exact"/>
      <w:ind w:left="0" w:right="0" w:firstLine="640"/>
    </w:pPr>
    <w:rPr>
      <w:rFonts w:ascii="仿宋_GB2312" w:hAnsi="仿宋_GB2312" w:eastAsia="仿宋_GB2312" w:cs="Times New Roman"/>
      <w:sz w:val="32"/>
      <w:szCs w:val="32"/>
    </w:rPr>
  </w:style>
  <w:style w:type="paragraph" w:customStyle="1" w:styleId="183">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7</Pages>
  <Words>3192</Words>
  <Characters>3200</Characters>
  <TotalTime>1</TotalTime>
  <ScaleCrop>false</ScaleCrop>
  <LinksUpToDate>false</LinksUpToDate>
  <CharactersWithSpaces>3218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2025-07-09T03:35:12Z</dcterms:created>
  <dc:creator>user</dc:creator>
  <cp:lastModifiedBy>妮妮橙  จุ๊บ</cp:lastModifiedBy>
  <dcterms:modified xsi:type="dcterms:W3CDTF">2025-07-09T03:35:43Z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86706B84424A4C31BA42E5EC96EC24BC_12</vt:lpwstr>
  </property>
</Properties>
</file>