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60"/>
        <w:rPr>
          <w:rFonts w:ascii="Times New Roman" w:hAnsi="Times New Roman" w:eastAsia="黑体;SimHei" w:cs="Times New Roman"/>
          <w:sz w:val="32"/>
          <w:szCs w:val="32"/>
        </w:rPr>
      </w:pPr>
      <w:r>
        <w:rPr>
          <w:rFonts w:ascii="Times New Roman" w:hAnsi="Times New Roman" w:cs="黑体;SimHei" w:eastAsia="黑体;SimHei"/>
          <w:sz w:val="32"/>
          <w:szCs w:val="32"/>
        </w:rPr>
        <w:t>附件</w:t>
      </w:r>
      <w:r>
        <w:rPr>
          <w:rFonts w:eastAsia="黑体;SimHei" w:cs="Times New Roman" w:ascii="Times New Roman" w:hAnsi="Times New Roman"/>
          <w:sz w:val="32"/>
          <w:szCs w:val="32"/>
        </w:rPr>
        <w:t>2</w:t>
      </w:r>
    </w:p>
    <w:p>
      <w:pPr>
        <w:pStyle w:val="Normal"/>
        <w:snapToGrid w:val="false"/>
        <w:spacing w:lineRule="exact" w:line="560"/>
        <w:jc w:val="start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eastAsia="仿宋_GB2312" w:cs="Times New Roman" w:ascii="仿宋_GB2312" w:hAnsi="仿宋_GB2312"/>
          <w:sz w:val="30"/>
          <w:szCs w:val="30"/>
        </w:rPr>
      </w:r>
    </w:p>
    <w:p>
      <w:pPr>
        <w:pStyle w:val="Normal"/>
        <w:snapToGrid w:val="false"/>
        <w:spacing w:lineRule="exact" w:line="560"/>
        <w:jc w:val="center"/>
        <w:rPr>
          <w:rFonts w:ascii="Times New Roman" w:hAnsi="Times New Roman" w:eastAsia="方正大标宋简体;微软雅黑" w:cs="Times New Roman"/>
          <w:sz w:val="44"/>
          <w:szCs w:val="44"/>
        </w:rPr>
      </w:pPr>
      <w:r>
        <w:rPr>
          <w:rFonts w:ascii="Times New Roman" w:hAnsi="Times New Roman" w:cs="Times New Roman" w:eastAsia="方正大标宋简体;微软雅黑"/>
          <w:sz w:val="44"/>
          <w:szCs w:val="44"/>
        </w:rPr>
        <w:t>《上海证券交易所证券发行与承销规则适用</w:t>
      </w:r>
    </w:p>
    <w:p>
      <w:pPr>
        <w:pStyle w:val="Normal"/>
        <w:snapToGrid w:val="false"/>
        <w:spacing w:lineRule="exact" w:line="560"/>
        <w:jc w:val="center"/>
        <w:rPr>
          <w:rFonts w:ascii="Times New Roman" w:hAnsi="Times New Roman" w:eastAsia="方正大标宋简体;微软雅黑" w:cs="Times New Roman"/>
          <w:sz w:val="44"/>
          <w:szCs w:val="44"/>
        </w:rPr>
      </w:pPr>
      <w:r>
        <w:rPr>
          <w:rFonts w:ascii="Times New Roman" w:hAnsi="Times New Roman" w:cs="Times New Roman" w:eastAsia="方正大标宋简体;微软雅黑"/>
          <w:sz w:val="44"/>
          <w:szCs w:val="44"/>
        </w:rPr>
        <w:t>指引第</w:t>
      </w:r>
      <w:r>
        <w:rPr>
          <w:rFonts w:eastAsia="方正大标宋简体;微软雅黑" w:cs="Times New Roman" w:ascii="Times New Roman" w:hAnsi="Times New Roman"/>
          <w:sz w:val="44"/>
          <w:szCs w:val="44"/>
        </w:rPr>
        <w:t>2</w:t>
      </w:r>
      <w:r>
        <w:rPr>
          <w:rFonts w:ascii="Times New Roman" w:hAnsi="Times New Roman" w:cs="Times New Roman" w:eastAsia="方正大标宋简体;微软雅黑"/>
          <w:sz w:val="44"/>
          <w:szCs w:val="44"/>
        </w:rPr>
        <w:t>号——发行承销违规行为监管</w:t>
      </w:r>
    </w:p>
    <w:p>
      <w:pPr>
        <w:pStyle w:val="Normal"/>
        <w:snapToGrid w:val="false"/>
        <w:spacing w:lineRule="exact" w:line="560"/>
        <w:jc w:val="center"/>
        <w:rPr>
          <w:rFonts w:ascii="Times New Roman" w:hAnsi="Times New Roman" w:eastAsia="方正大标宋简体;微软雅黑" w:cs="Times New Roman"/>
          <w:sz w:val="44"/>
          <w:szCs w:val="44"/>
        </w:rPr>
      </w:pPr>
      <w:r>
        <w:rPr>
          <w:rFonts w:ascii="Times New Roman" w:hAnsi="Times New Roman" w:cs="Times New Roman" w:eastAsia="方正大标宋简体;微软雅黑"/>
          <w:sz w:val="44"/>
          <w:szCs w:val="44"/>
        </w:rPr>
        <w:t>（试行）》起草说明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eastAsia="仿宋_GB2312" w:cs="Times New Roman" w:ascii="仿宋_GB2312" w:hAnsi="仿宋_GB2312"/>
          <w:sz w:val="30"/>
          <w:szCs w:val="30"/>
        </w:rPr>
      </w:r>
    </w:p>
    <w:p>
      <w:pPr>
        <w:pStyle w:val="Normal"/>
        <w:snapToGrid w:val="false"/>
        <w:spacing w:lineRule="exact" w:line="560"/>
        <w:ind w:firstLine="640" w:end="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为进一步推进“三开门”走深走实</w:t>
      </w:r>
      <w:r>
        <w:rPr>
          <w:rFonts w:ascii="仿宋_GB2312" w:hAnsi="仿宋_GB2312" w:eastAsia="仿宋_GB2312"/>
          <w:sz w:val="32"/>
          <w:szCs w:val="32"/>
        </w:rPr>
        <w:t>，规范全面注册制下证券发行与承销过程监管工作，提升监管透明度，根据《上海证券交易所首次公开发行证券发行与承销业务实施细则》（以下简称《首发承销细则》）、《上海证券交易所上市公司证券发行与承销业务实施细则》（以下简称《再融资承销细则》）、《上海证券交易所纪律处分和监管措施实施办法》等相关规定，</w:t>
      </w:r>
      <w:r>
        <w:rPr>
          <w:rFonts w:ascii="仿宋_GB2312" w:hAnsi="仿宋_GB2312" w:eastAsia="仿宋_GB2312"/>
          <w:sz w:val="32"/>
          <w:szCs w:val="32"/>
        </w:rPr>
        <w:t>上海证券交易所（以下简称本所）</w:t>
      </w:r>
      <w:r>
        <w:rPr>
          <w:rFonts w:ascii="仿宋_GB2312" w:hAnsi="仿宋_GB2312" w:eastAsia="仿宋_GB2312"/>
          <w:sz w:val="32"/>
          <w:szCs w:val="32"/>
        </w:rPr>
        <w:t>结合监管实践，制定形成《上海证券交易所证券发行与承销规则适用指引第</w:t>
      </w:r>
      <w:r>
        <w:rPr>
          <w:rFonts w:eastAsia="仿宋_GB2312" w:cs="Times New Roman" w:ascii="Times New Roman" w:hAnsi="Times New Roman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号——发行承销违规行为监管（试行）》（以下简称《监管指引》），现将起草思路及主要内容说明如下。</w:t>
      </w:r>
    </w:p>
    <w:p>
      <w:pPr>
        <w:pStyle w:val="Normal"/>
        <w:snapToGrid w:val="false"/>
        <w:spacing w:lineRule="exact" w:line="560"/>
        <w:ind w:firstLine="640" w:end="0"/>
        <w:rPr>
          <w:rFonts w:ascii="黑体;SimHei" w:hAnsi="黑体;SimHei" w:eastAsia="黑体;SimHei" w:cs="黑体;SimHei"/>
          <w:sz w:val="32"/>
          <w:szCs w:val="32"/>
        </w:rPr>
      </w:pPr>
      <w:r>
        <w:rPr>
          <w:rFonts w:ascii="黑体;SimHei" w:hAnsi="黑体;SimHei" w:cs="黑体;SimHei" w:eastAsia="黑体;SimHei"/>
          <w:sz w:val="32"/>
          <w:szCs w:val="32"/>
        </w:rPr>
        <w:t>一、起草思路</w:t>
      </w:r>
    </w:p>
    <w:p>
      <w:pPr>
        <w:pStyle w:val="Normal"/>
        <w:snapToGrid w:val="false"/>
        <w:spacing w:lineRule="exact" w:line="560"/>
        <w:ind w:firstLine="643" w:end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一是明确违规行为处罚标准，提升监管规范性和透明度。</w:t>
      </w:r>
      <w:r>
        <w:rPr>
          <w:rFonts w:ascii="仿宋_GB2312" w:hAnsi="仿宋_GB2312" w:eastAsia="仿宋_GB2312"/>
          <w:sz w:val="32"/>
          <w:szCs w:val="32"/>
        </w:rPr>
        <w:t>《监管指引》遵循依规、公正、及时的原则，以事实为依据，与违规行为的性质、情节及危害程度相适应，明确监管对象典型违规行为处罚标准及考量因素，推进监管标准公开透明。总结监管实践，明确发行承销业务专项检查实施原则、程序，检查对象选取标准以及廉政纪律要求等，着力提升专项检查规范性和透明度。</w:t>
      </w:r>
    </w:p>
    <w:p>
      <w:pPr>
        <w:pStyle w:val="Normal"/>
        <w:snapToGrid w:val="false"/>
        <w:spacing w:lineRule="exact" w:line="560"/>
        <w:ind w:firstLine="643" w:end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二是落实发行承销“全链条问责”，</w:t>
      </w:r>
      <w:r>
        <w:rPr>
          <w:rFonts w:cs="Calibri" w:eastAsia="Calibri"/>
          <w:sz w:val="32"/>
          <w:szCs w:val="32"/>
        </w:rPr>
        <w:t xml:space="preserve"> </w:t>
      </w:r>
      <w:r>
        <w:rPr>
          <w:rFonts w:ascii="仿宋_GB2312" w:hAnsi="仿宋_GB2312" w:eastAsia="仿宋_GB2312"/>
          <w:b/>
          <w:sz w:val="32"/>
          <w:szCs w:val="32"/>
        </w:rPr>
        <w:t>引导规范市场各参与主体行为。</w:t>
      </w:r>
      <w:r>
        <w:rPr>
          <w:rFonts w:ascii="仿宋_GB2312" w:hAnsi="仿宋_GB2312" w:eastAsia="仿宋_GB2312"/>
          <w:sz w:val="32"/>
          <w:szCs w:val="32"/>
        </w:rPr>
        <w:t>《监管指引》围绕内部制度流程建设及履行、路演推介、投资价值研究报告撰写及管理、买卖双方参与新股询价定价配售、信息披露与业务操作以及底稿管理等发行承销各业务环节，通过明确各环节典型违规情形及处罚标准，引导规范市场各参与主体行为，切实维护证券发行承销秩序。</w:t>
      </w:r>
    </w:p>
    <w:p>
      <w:pPr>
        <w:pStyle w:val="Normal"/>
        <w:snapToGrid w:val="false"/>
        <w:spacing w:lineRule="exact" w:line="560"/>
        <w:ind w:firstLine="643" w:end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三是打造简明易用的规则文本，强化监管体系衔接。</w:t>
      </w:r>
      <w:r>
        <w:rPr>
          <w:rFonts w:ascii="仿宋_GB2312" w:hAnsi="仿宋_GB2312" w:eastAsia="仿宋_GB2312"/>
          <w:sz w:val="32"/>
          <w:szCs w:val="32"/>
        </w:rPr>
        <w:t>《监管指引》按不同类型市场主体，分章列示违规行为，方便各市场主体查询、理解和使用。关于监管对象、措施类型、具体违规情形等内容与本所《首发承销细则》《再融资承销细则》等规则衔接一致；关于情节轻重认定标准、从重或者从轻减轻考量因素等与本所《纪律处分和监管措施实施办法》《会员管理规则适用指引第</w:t>
      </w:r>
      <w:r>
        <w:rPr>
          <w:rFonts w:eastAsia="仿宋_GB2312" w:cs="Times New Roman" w:ascii="Times New Roman" w:hAnsi="Times New Roman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号——会员违规行为监管》等规则总体衔接一致。</w:t>
      </w:r>
    </w:p>
    <w:p>
      <w:pPr>
        <w:pStyle w:val="Normal"/>
        <w:snapToGrid w:val="false"/>
        <w:spacing w:lineRule="exact" w:line="560"/>
        <w:ind w:firstLine="640" w:end="0"/>
        <w:rPr>
          <w:rFonts w:ascii="黑体;SimHei" w:hAnsi="黑体;SimHei" w:eastAsia="黑体;SimHei" w:cs="黑体;SimHei"/>
          <w:sz w:val="32"/>
          <w:szCs w:val="32"/>
        </w:rPr>
      </w:pPr>
      <w:r>
        <w:rPr>
          <w:rFonts w:ascii="黑体;SimHei" w:hAnsi="黑体;SimHei" w:cs="黑体;SimHei" w:eastAsia="黑体;SimHei"/>
          <w:sz w:val="32"/>
          <w:szCs w:val="32"/>
        </w:rPr>
        <w:t>二、主要内容</w:t>
      </w:r>
    </w:p>
    <w:p>
      <w:pPr>
        <w:pStyle w:val="Normal"/>
        <w:snapToGrid w:val="false"/>
        <w:spacing w:lineRule="exact" w:line="560"/>
        <w:ind w:firstLine="640" w:end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《监管指引》共六章三十四条，包括总则，一般规定，证券发行人、承销商及证券服务机构相关违规处理，投资者相关违规处理，发行承销专项检查，附则。主要内容如下。</w:t>
      </w:r>
    </w:p>
    <w:p>
      <w:pPr>
        <w:pStyle w:val="Normal"/>
        <w:snapToGrid w:val="false"/>
        <w:spacing w:lineRule="exact" w:line="560"/>
        <w:ind w:firstLine="640" w:end="0"/>
        <w:rPr>
          <w:rFonts w:ascii="楷体_GB2312" w:hAnsi="楷体_GB2312" w:eastAsia="楷体_GB2312" w:cs="楷体"/>
          <w:sz w:val="32"/>
          <w:szCs w:val="32"/>
        </w:rPr>
      </w:pPr>
      <w:r>
        <w:rPr>
          <w:rFonts w:ascii="楷体_GB2312" w:hAnsi="楷体_GB2312" w:cs="楷体" w:eastAsia="楷体_GB2312"/>
          <w:sz w:val="32"/>
          <w:szCs w:val="32"/>
        </w:rPr>
        <w:t>（一）总则</w:t>
      </w:r>
    </w:p>
    <w:p>
      <w:pPr>
        <w:pStyle w:val="Normal"/>
        <w:snapToGrid w:val="false"/>
        <w:spacing w:lineRule="exact" w:line="560"/>
        <w:ind w:firstLine="640" w:end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本章明确《监管指引》的制定依据、适用范围、适用对象、自律管理措施类型、实施原则等内容。</w:t>
      </w:r>
    </w:p>
    <w:p>
      <w:pPr>
        <w:pStyle w:val="Normal"/>
        <w:snapToGrid w:val="false"/>
        <w:spacing w:lineRule="exact" w:line="560"/>
        <w:ind w:firstLine="640" w:end="0"/>
        <w:rPr>
          <w:rFonts w:ascii="楷体_GB2312" w:hAnsi="楷体_GB2312" w:eastAsia="楷体_GB2312" w:cs="楷体"/>
          <w:sz w:val="32"/>
          <w:szCs w:val="32"/>
        </w:rPr>
      </w:pPr>
      <w:r>
        <w:rPr>
          <w:rFonts w:ascii="楷体_GB2312" w:hAnsi="楷体_GB2312" w:cs="楷体" w:eastAsia="楷体_GB2312"/>
          <w:sz w:val="32"/>
          <w:szCs w:val="32"/>
        </w:rPr>
        <w:t>（二）一般规定</w:t>
      </w:r>
    </w:p>
    <w:p>
      <w:pPr>
        <w:pStyle w:val="Normal"/>
        <w:snapToGrid w:val="false"/>
        <w:spacing w:lineRule="exact" w:line="560"/>
        <w:ind w:firstLine="640" w:end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本章明确本所对相关监管对象实施自律管理措施的考量因素，包括违规情节轻重程度认定，从重或者从轻、减轻、免予实施自律管理措施的考量情形等。</w:t>
      </w:r>
    </w:p>
    <w:p>
      <w:pPr>
        <w:pStyle w:val="Normal"/>
        <w:snapToGrid w:val="false"/>
        <w:spacing w:lineRule="exact" w:line="560"/>
        <w:ind w:firstLine="640" w:end="0"/>
        <w:rPr>
          <w:rFonts w:ascii="楷体_GB2312" w:hAnsi="楷体_GB2312" w:eastAsia="楷体_GB2312" w:cs="楷体"/>
          <w:sz w:val="32"/>
          <w:szCs w:val="32"/>
        </w:rPr>
      </w:pPr>
      <w:r>
        <w:rPr>
          <w:rFonts w:ascii="楷体_GB2312" w:hAnsi="楷体_GB2312" w:cs="楷体" w:eastAsia="楷体_GB2312"/>
          <w:sz w:val="32"/>
          <w:szCs w:val="32"/>
        </w:rPr>
        <w:t>（三）证券发行人、承销商及证券服务机构相关违规处理</w:t>
      </w:r>
    </w:p>
    <w:p>
      <w:pPr>
        <w:pStyle w:val="Normal"/>
        <w:snapToGrid w:val="false"/>
        <w:spacing w:lineRule="exact" w:line="560"/>
        <w:ind w:firstLine="640" w:end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本章明确证券发行人、承销商及证券服务机构等相关主体典型违规行为及处罚标准，覆盖内部制度流程建设及执行、路演推介、投资价值研究报告撰写及管理、询价定价、配售安排、超额配售选择权实施、信息披露、业务操作、费用收取、底稿管理等方面。</w:t>
      </w:r>
    </w:p>
    <w:p>
      <w:pPr>
        <w:pStyle w:val="Normal"/>
        <w:snapToGrid w:val="false"/>
        <w:spacing w:lineRule="exact" w:line="560"/>
        <w:ind w:firstLine="640" w:end="0"/>
        <w:rPr>
          <w:rFonts w:ascii="楷体_GB2312" w:hAnsi="楷体_GB2312" w:eastAsia="楷体_GB2312" w:cs="楷体"/>
          <w:sz w:val="32"/>
          <w:szCs w:val="32"/>
        </w:rPr>
      </w:pPr>
      <w:r>
        <w:rPr>
          <w:rFonts w:ascii="楷体_GB2312" w:hAnsi="楷体_GB2312" w:cs="楷体" w:eastAsia="楷体_GB2312"/>
          <w:sz w:val="32"/>
          <w:szCs w:val="32"/>
        </w:rPr>
        <w:t>（四）投资者相关违规处理</w:t>
      </w:r>
    </w:p>
    <w:p>
      <w:pPr>
        <w:pStyle w:val="Normal"/>
        <w:snapToGrid w:val="false"/>
        <w:spacing w:lineRule="exact" w:line="560"/>
        <w:ind w:firstLine="640" w:end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本章明确投资者在内部制度流程建设及执行、询价报价、参与战略配售、底稿管理等方面典型违规行为及处罚标准。</w:t>
      </w:r>
    </w:p>
    <w:p>
      <w:pPr>
        <w:pStyle w:val="Normal"/>
        <w:snapToGrid w:val="false"/>
        <w:spacing w:lineRule="exact" w:line="560"/>
        <w:ind w:firstLine="640" w:end="0"/>
        <w:rPr>
          <w:rFonts w:ascii="楷体_GB2312" w:hAnsi="楷体_GB2312" w:eastAsia="楷体_GB2312" w:cs="楷体"/>
          <w:sz w:val="32"/>
          <w:szCs w:val="32"/>
        </w:rPr>
      </w:pPr>
      <w:r>
        <w:rPr>
          <w:rFonts w:ascii="楷体_GB2312" w:hAnsi="楷体_GB2312" w:cs="楷体" w:eastAsia="楷体_GB2312"/>
          <w:sz w:val="32"/>
          <w:szCs w:val="32"/>
        </w:rPr>
        <w:t>（五）发行承销专项检查</w:t>
      </w:r>
    </w:p>
    <w:p>
      <w:pPr>
        <w:pStyle w:val="Normal"/>
        <w:snapToGrid w:val="false"/>
        <w:spacing w:lineRule="exact" w:line="560"/>
        <w:ind w:firstLine="640" w:end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本章明确发行承销专项检查原则、实施程序、廉政纪律要求，以及证券公司、网下投资者专项检查中，相关检查对象选取标准等。</w:t>
      </w:r>
    </w:p>
    <w:p>
      <w:pPr>
        <w:pStyle w:val="Normal"/>
        <w:snapToGrid w:val="false"/>
        <w:spacing w:lineRule="exact" w:line="560"/>
        <w:ind w:firstLine="640" w:end="0"/>
        <w:rPr>
          <w:rFonts w:ascii="楷体_GB2312" w:hAnsi="楷体_GB2312" w:eastAsia="楷体_GB2312" w:cs="楷体"/>
          <w:sz w:val="32"/>
          <w:szCs w:val="32"/>
        </w:rPr>
      </w:pPr>
      <w:r>
        <w:rPr>
          <w:rFonts w:ascii="楷体_GB2312" w:hAnsi="楷体_GB2312" w:cs="楷体" w:eastAsia="楷体_GB2312"/>
          <w:sz w:val="32"/>
          <w:szCs w:val="32"/>
        </w:rPr>
        <w:t>（六）附则</w:t>
      </w:r>
    </w:p>
    <w:p>
      <w:pPr>
        <w:pStyle w:val="Normal"/>
        <w:snapToGrid w:val="false"/>
        <w:spacing w:lineRule="exact" w:line="560"/>
        <w:ind w:firstLine="640" w:end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本章明确《监管指引》对监管对象违规行为未予规定的，适用本所其他业务规则规定，并对</w:t>
      </w:r>
      <w:r>
        <w:rPr>
          <w:rFonts w:ascii="仿宋_GB2312" w:hAnsi="仿宋_GB2312" w:cs="黑体;SimHei" w:eastAsia="仿宋_GB2312"/>
          <w:sz w:val="32"/>
          <w:szCs w:val="32"/>
        </w:rPr>
        <w:t>解释主体、实施时间等进行了说明。</w:t>
      </w:r>
    </w:p>
    <w:p>
      <w:pPr>
        <w:pStyle w:val="Normal"/>
        <w:spacing w:lineRule="exact" w: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仿宋_GB2312" w:cs="Times New Roman" w:ascii="Times New Roman" w:hAnsi="Times New Roman"/>
          <w:sz w:val="32"/>
          <w:szCs w:val="32"/>
        </w:rPr>
      </w:r>
    </w:p>
    <w:p>
      <w:pPr>
        <w:pStyle w:val="Normal"/>
        <w:spacing w:lineRule="exact" w:line="2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仿宋_GB2312" w:cs="Times New Roman" w:ascii="Times New Roman" w:hAnsi="Times New Roman"/>
          <w:sz w:val="32"/>
          <w:szCs w:val="32"/>
        </w:rPr>
      </w:r>
    </w:p>
    <w:sectPr>
      <w:footerReference w:type="even" r:id="rId2"/>
      <w:footerReference w:type="default" r:id="rId3"/>
      <w:type w:val="nextPage"/>
      <w:pgSz w:w="11906" w:h="16838"/>
      <w:pgMar w:left="1588" w:right="1474" w:gutter="0" w:header="0" w:top="2098" w:footer="1417" w:bottom="1984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宋体">
    <w:altName w:val="SimSun"/>
    <w:charset w:val="86"/>
    <w:family w:val="auto"/>
    <w:pitch w:val="variable"/>
  </w:font>
  <w:font w:name="仿宋_GB2312">
    <w:charset w:val="86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黑体">
    <w:altName w:val="SimHei"/>
    <w:charset w:val="86"/>
    <w:family w:val="modern"/>
    <w:pitch w:val="default"/>
  </w:font>
  <w:font w:name="楷体_GB2312"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00" w:end="0"/>
      <w:rPr/>
    </w:pPr>
    <w:r>
      <w:rPr>
        <w:rFonts w:eastAsia="仿宋_GB2312" w:ascii="仿宋_GB2312" w:hAnsi="仿宋_GB2312"/>
        <w:sz w:val="30"/>
        <w:szCs w:val="30"/>
      </w:rPr>
      <w:t>-</w:t>
    </w:r>
    <w:r>
      <w:rPr>
        <w:rFonts w:cs="宋体;SimSun" w:ascii="宋体;SimSun" w:hAnsi="宋体;SimSun"/>
        <w:sz w:val="28"/>
        <w:szCs w:val="28"/>
      </w:rPr>
      <w:fldChar w:fldCharType="begin"/>
    </w:r>
    <w:r>
      <w:rPr>
        <w:sz w:val="28"/>
        <w:szCs w:val="28"/>
        <w:rFonts w:cs="宋体;SimSun" w:ascii="宋体;SimSun" w:hAnsi="宋体;SimSun"/>
      </w:rPr>
      <w:instrText xml:space="preserve"> PAGE </w:instrText>
    </w:r>
    <w:r>
      <w:rPr>
        <w:sz w:val="28"/>
        <w:szCs w:val="28"/>
        <w:rFonts w:cs="宋体;SimSun" w:ascii="宋体;SimSun" w:hAnsi="宋体;SimSun"/>
      </w:rPr>
      <w:fldChar w:fldCharType="separate"/>
    </w:r>
    <w:r>
      <w:rPr>
        <w:sz w:val="28"/>
        <w:szCs w:val="28"/>
        <w:rFonts w:cs="宋体;SimSun" w:ascii="宋体;SimSun" w:hAnsi="宋体;SimSun"/>
      </w:rPr>
      <w:t>2</w:t>
    </w:r>
    <w:r>
      <w:rPr>
        <w:sz w:val="28"/>
        <w:szCs w:val="28"/>
        <w:rFonts w:cs="宋体;SimSun" w:ascii="宋体;SimSun" w:hAnsi="宋体;SimSun"/>
      </w:rPr>
      <w:fldChar w:fldCharType="end"/>
    </w:r>
    <w:r>
      <w:rPr>
        <w:rFonts w:eastAsia="仿宋_GB2312" w:ascii="仿宋_GB2312" w:hAnsi="仿宋_GB2312"/>
        <w:sz w:val="30"/>
        <w:szCs w:val="30"/>
      </w:rPr>
      <w:t>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Fonts w:cs="宋体;SimSun" w:ascii="宋体;SimSun" w:hAnsi="宋体;SimSun"/>
        <w:sz w:val="28"/>
        <w:szCs w:val="28"/>
      </w:rPr>
      <w:t>-</w:t>
    </w:r>
    <w:r>
      <w:rPr>
        <w:rFonts w:cs="宋体;SimSun" w:ascii="宋体;SimSun" w:hAnsi="宋体;SimSun"/>
        <w:sz w:val="28"/>
        <w:szCs w:val="28"/>
      </w:rPr>
      <w:fldChar w:fldCharType="begin"/>
    </w:r>
    <w:r>
      <w:rPr>
        <w:sz w:val="28"/>
        <w:szCs w:val="28"/>
        <w:rFonts w:cs="宋体;SimSun" w:ascii="宋体;SimSun" w:hAnsi="宋体;SimSun"/>
      </w:rPr>
      <w:instrText xml:space="preserve"> PAGE </w:instrText>
    </w:r>
    <w:r>
      <w:rPr>
        <w:sz w:val="28"/>
        <w:szCs w:val="28"/>
        <w:rFonts w:cs="宋体;SimSun" w:ascii="宋体;SimSun" w:hAnsi="宋体;SimSun"/>
      </w:rPr>
      <w:fldChar w:fldCharType="separate"/>
    </w:r>
    <w:r>
      <w:rPr>
        <w:sz w:val="28"/>
        <w:szCs w:val="28"/>
        <w:rFonts w:cs="宋体;SimSun" w:ascii="宋体;SimSun" w:hAnsi="宋体;SimSun"/>
      </w:rPr>
      <w:t>3</w:t>
    </w:r>
    <w:r>
      <w:rPr>
        <w:sz w:val="28"/>
        <w:szCs w:val="28"/>
        <w:rFonts w:cs="宋体;SimSun" w:ascii="宋体;SimSun" w:hAnsi="宋体;SimSun"/>
      </w:rPr>
      <w:fldChar w:fldCharType="end"/>
    </w:r>
    <w:r>
      <w:rPr>
        <w:rFonts w:cs="宋体;SimSun" w:ascii="宋体;SimSun" w:hAnsi="宋体;SimSun"/>
        <w:sz w:val="28"/>
        <w:szCs w:val="28"/>
      </w:rPr>
      <w:t xml:space="preserve">-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华文宋体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80" w:after="280"/>
      <w:jc w:val="start"/>
      <w:outlineLvl w:val="1"/>
    </w:pPr>
    <w:rPr>
      <w:rFonts w:ascii="宋体;SimSun" w:hAnsi="宋体;SimSun" w:cs="宋体;SimSun"/>
      <w:b/>
      <w:bCs/>
      <w:kern w:val="0"/>
      <w:sz w:val="36"/>
      <w:szCs w:val="36"/>
    </w:rPr>
  </w:style>
  <w:style w:type="character" w:styleId="WW8Num1z0">
    <w:name w:val="WW8Num1z0"/>
    <w:qFormat/>
    <w:rPr>
      <w:rFonts w:ascii="仿宋_GB2312" w:hAnsi="仿宋_GB2312" w:eastAsia="仿宋_GB2312"/>
    </w:rPr>
  </w:style>
  <w:style w:type="character" w:styleId="WW8Num2z0">
    <w:name w:val="WW8Num2z0"/>
    <w:qFormat/>
    <w:rPr>
      <w:lang w:val="en-US"/>
    </w:rPr>
  </w:style>
  <w:style w:type="character" w:styleId="WW8Num3z0">
    <w:name w:val="WW8Num3z0"/>
    <w:qFormat/>
    <w:rPr/>
  </w:style>
  <w:style w:type="character" w:styleId="WW8NumSt3z0">
    <w:name w:val="WW8NumSt3z0"/>
    <w:qFormat/>
    <w:rPr/>
  </w:style>
  <w:style w:type="character" w:styleId="Style13">
    <w:name w:val="默认段落字体"/>
    <w:qFormat/>
    <w:rPr/>
  </w:style>
  <w:style w:type="character" w:styleId="FootnoteCharacters">
    <w:name w:val="Footnote Characters"/>
    <w:basedOn w:val="Style13"/>
    <w:qFormat/>
    <w:rPr>
      <w:vertAlign w:val="superscript"/>
    </w:rPr>
  </w:style>
  <w:style w:type="character" w:styleId="Char">
    <w:name w:val="日期 Char"/>
    <w:basedOn w:val="Style13"/>
    <w:qFormat/>
    <w:rPr>
      <w:rFonts w:ascii="Calibri" w:hAnsi="Calibri" w:eastAsia="宋体;SimSun" w:cs="Times New Roman"/>
    </w:rPr>
  </w:style>
  <w:style w:type="character" w:styleId="Char1">
    <w:name w:val="页眉 Char"/>
    <w:basedOn w:val="Style13"/>
    <w:qFormat/>
    <w:rPr>
      <w:rFonts w:ascii="Calibri" w:hAnsi="Calibri" w:eastAsia="宋体;SimSun" w:cs="Times New Roman"/>
      <w:sz w:val="18"/>
      <w:szCs w:val="18"/>
    </w:rPr>
  </w:style>
  <w:style w:type="character" w:styleId="Char2">
    <w:name w:val="页脚 Char"/>
    <w:basedOn w:val="Style13"/>
    <w:qFormat/>
    <w:rPr>
      <w:rFonts w:ascii="Calibri" w:hAnsi="Calibri" w:eastAsia="宋体;SimSun" w:cs="Times New Roman"/>
      <w:sz w:val="18"/>
      <w:szCs w:val="18"/>
    </w:rPr>
  </w:style>
  <w:style w:type="character" w:styleId="2Char">
    <w:name w:val="标题 2 Char"/>
    <w:basedOn w:val="Style13"/>
    <w:qFormat/>
    <w:rPr>
      <w:rFonts w:ascii="宋体;SimSun" w:hAnsi="宋体;SimSun" w:cs="宋体;SimSun"/>
      <w:b/>
      <w:bCs/>
      <w:sz w:val="36"/>
      <w:szCs w:val="36"/>
    </w:rPr>
  </w:style>
  <w:style w:type="character" w:styleId="Char3">
    <w:name w:val="正文文本缩进 Char"/>
    <w:basedOn w:val="Style13"/>
    <w:qFormat/>
    <w:rPr>
      <w:rFonts w:ascii="仿宋_GB2312" w:hAnsi="仿宋_GB2312" w:eastAsia="仿宋_GB2312" w:cs="Times New Roman"/>
      <w:sz w:val="30"/>
      <w:szCs w:val="24"/>
    </w:rPr>
  </w:style>
  <w:style w:type="character" w:styleId="Char11">
    <w:name w:val="正文文本缩进 Char1"/>
    <w:basedOn w:val="Style13"/>
    <w:qFormat/>
    <w:rPr>
      <w:kern w:val="2"/>
      <w:sz w:val="21"/>
      <w:szCs w:val="22"/>
    </w:rPr>
  </w:style>
  <w:style w:type="character" w:styleId="-1Char">
    <w:name w:val="彩色列表 - 强调文字颜色 1 Char"/>
    <w:qFormat/>
    <w:rPr>
      <w:kern w:val="2"/>
      <w:sz w:val="21"/>
      <w:szCs w:val="24"/>
    </w:rPr>
  </w:style>
  <w:style w:type="character" w:styleId="Char4">
    <w:name w:val="列出段落 Char"/>
    <w:qFormat/>
    <w:rPr>
      <w:kern w:val="2"/>
      <w:sz w:val="21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Style14">
    <w:name w:val="日期"/>
    <w:basedOn w:val="Normal"/>
    <w:next w:val="Normal"/>
    <w:qFormat/>
    <w:pPr>
      <w:ind w:hanging="0" w:start="10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snapToGrid w:val="false"/>
      <w:jc w:val="center"/>
    </w:pPr>
    <w:rPr>
      <w:sz w:val="18"/>
      <w:szCs w:val="18"/>
    </w:rPr>
  </w:style>
  <w:style w:type="paragraph" w:styleId="FootnoteText">
    <w:name w:val="footnote text"/>
    <w:basedOn w:val="Normal"/>
    <w:pPr>
      <w:snapToGrid w:val="false"/>
      <w:jc w:val="start"/>
    </w:pPr>
    <w:rPr>
      <w:rFonts w:ascii="Calibri" w:hAnsi="Calibri" w:cs="Calibri"/>
      <w:sz w:val="18"/>
      <w:szCs w:val="18"/>
    </w:rPr>
  </w:style>
  <w:style w:type="paragraph" w:styleId="2">
    <w:name w:val="列出段落2"/>
    <w:basedOn w:val="Normal"/>
    <w:qFormat/>
    <w:pPr>
      <w:ind w:firstLine="420" w:start="0" w:end="0"/>
    </w:pPr>
    <w:rPr>
      <w:rFonts w:ascii="Calibri" w:hAnsi="Calibri" w:cs="Calibri"/>
      <w:szCs w:val="22"/>
    </w:rPr>
  </w:style>
  <w:style w:type="paragraph" w:styleId="Style15">
    <w:name w:val="列出段落"/>
    <w:basedOn w:val="Normal"/>
    <w:qFormat/>
    <w:pPr>
      <w:ind w:firstLine="420" w:start="0" w:end="0"/>
    </w:pPr>
    <w:rPr>
      <w:lang w:val="zh-CN"/>
    </w:rPr>
  </w:style>
  <w:style w:type="paragraph" w:styleId="Style16">
    <w:name w:val="普通(网站)"/>
    <w:basedOn w:val="Normal"/>
    <w:qFormat/>
    <w:pPr>
      <w:spacing w:before="280" w:after="280"/>
      <w:jc w:val="start"/>
    </w:pPr>
    <w:rPr>
      <w:rFonts w:ascii="Calibri" w:hAnsi="Calibri" w:eastAsia="宋体;SimSun" w:cs="Calibri"/>
      <w:kern w:val="0"/>
      <w:sz w:val="24"/>
      <w:szCs w:val="24"/>
    </w:rPr>
  </w:style>
  <w:style w:type="paragraph" w:styleId="BodyTextIndent">
    <w:name w:val="Body Text Indent"/>
    <w:basedOn w:val="Normal"/>
    <w:pPr>
      <w:tabs>
        <w:tab w:val="clear" w:pos="420"/>
        <w:tab w:val="left" w:pos="7020" w:leader="none"/>
      </w:tabs>
      <w:spacing w:lineRule="exact" w:line="600"/>
      <w:ind w:firstLine="600" w:start="0" w:end="0"/>
    </w:pPr>
    <w:rPr>
      <w:rFonts w:ascii="仿宋_GB2312" w:hAnsi="仿宋_GB2312" w:eastAsia="仿宋_GB2312" w:cs="Times New Roman"/>
      <w:kern w:val="0"/>
      <w:sz w:val="30"/>
      <w:szCs w:val="24"/>
    </w:rPr>
  </w:style>
  <w:style w:type="paragraph" w:styleId="-11">
    <w:name w:val="彩色列表 - 强调文字颜色 11"/>
    <w:basedOn w:val="Normal"/>
    <w:qFormat/>
    <w:pPr>
      <w:ind w:firstLine="420" w:start="0" w:end="0"/>
    </w:pPr>
    <w:rPr>
      <w:szCs w:val="24"/>
      <w:lang w:val="zh-CN"/>
    </w:rPr>
  </w:style>
  <w:style w:type="paragraph" w:styleId="1">
    <w:name w:val="列出段落1"/>
    <w:basedOn w:val="Normal"/>
    <w:qFormat/>
    <w:pPr>
      <w:ind w:firstLine="420" w:start="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LibreOffice/25.2.3.2$MacOSX_AARCH64 LibreOffice_project/bbb074479178df812d175f709636b368952c2ce3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2023-09-28T14:45:00Z</dcterms:created>
  <dc:creator>吕舒婷(拟稿)</dc:creator>
  <dc:description/>
  <dc:language>zh-CN</dc:language>
  <cp:lastModifiedBy>yliu</cp:lastModifiedBy>
  <cp:lastPrinted>2023-09-26T19:06:00Z</cp:lastPrinted>
  <dcterms:modified xsi:type="dcterms:W3CDTF">2023-09-28T14:45:00Z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DEA856AEC0E64501A3AD51BF740A98AF</vt:lpwstr>
  </property>
  <property fmtid="{D5CDD505-2E9C-101B-9397-08002B2CF9AE}" pid="3" name="KSOProductBuildVer">
    <vt:lpwstr>2052-11.8.2.11813</vt:lpwstr>
  </property>
</Properties>
</file>