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5CA30">
      <w:pPr>
        <w:pStyle w:val="22"/>
        <w:spacing w:line="540" w:lineRule="exact"/>
        <w:ind w:firstLine="0" w:firstLineChars="0"/>
        <w:rPr>
          <w:rFonts w:ascii="仿宋_GB2312" w:hAnsi="黑体" w:eastAsia="仿宋_GB2312" w:cs="黑体"/>
          <w:bCs/>
          <w:sz w:val="30"/>
          <w:szCs w:val="30"/>
        </w:rPr>
      </w:pPr>
      <w:bookmarkStart w:id="0" w:name="_Hlk162526704"/>
      <w:bookmarkStart w:id="1" w:name="_Toc92203441"/>
      <w:r>
        <w:rPr>
          <w:rFonts w:hint="eastAsia" w:ascii="仿宋_GB2312" w:hAnsi="黑体" w:eastAsia="仿宋_GB2312" w:cs="黑体"/>
          <w:bCs/>
          <w:sz w:val="30"/>
          <w:szCs w:val="30"/>
        </w:rPr>
        <w:t>附件</w:t>
      </w:r>
      <w:bookmarkEnd w:id="0"/>
      <w:r>
        <w:rPr>
          <w:rFonts w:hint="eastAsia" w:eastAsia="仿宋_GB2312"/>
          <w:bCs/>
          <w:sz w:val="30"/>
          <w:szCs w:val="30"/>
        </w:rPr>
        <w:t>1</w:t>
      </w:r>
    </w:p>
    <w:p w14:paraId="53863C4F">
      <w:pPr>
        <w:adjustRightInd w:val="0"/>
        <w:snapToGrid w:val="0"/>
        <w:spacing w:line="560" w:lineRule="exact"/>
        <w:jc w:val="left"/>
        <w:rPr>
          <w:rFonts w:ascii="黑体" w:hAnsi="黑体" w:eastAsia="黑体" w:cs="黑体"/>
          <w:bCs/>
          <w:kern w:val="0"/>
          <w:sz w:val="32"/>
          <w:szCs w:val="32"/>
        </w:rPr>
      </w:pPr>
    </w:p>
    <w:p w14:paraId="1222B13E">
      <w:pPr>
        <w:adjustRightInd w:val="0"/>
        <w:snapToGrid w:val="0"/>
        <w:spacing w:line="560" w:lineRule="exact"/>
        <w:jc w:val="center"/>
        <w:rPr>
          <w:rFonts w:eastAsia="黑体"/>
          <w:b/>
          <w:kern w:val="0"/>
          <w:sz w:val="44"/>
          <w:szCs w:val="44"/>
        </w:rPr>
      </w:pPr>
      <w:r>
        <w:rPr>
          <w:rFonts w:hAnsi="黑体" w:eastAsia="黑体"/>
          <w:b/>
          <w:kern w:val="0"/>
          <w:sz w:val="44"/>
          <w:szCs w:val="44"/>
        </w:rPr>
        <w:t>上海证券交易所发行上市审核规则适用指引第</w:t>
      </w:r>
      <w:r>
        <w:rPr>
          <w:rFonts w:eastAsia="黑体"/>
          <w:b/>
          <w:kern w:val="0"/>
          <w:sz w:val="44"/>
          <w:szCs w:val="44"/>
        </w:rPr>
        <w:t>3</w:t>
      </w:r>
      <w:r>
        <w:rPr>
          <w:rFonts w:hAnsi="黑体" w:eastAsia="黑体"/>
          <w:b/>
          <w:kern w:val="0"/>
          <w:sz w:val="44"/>
          <w:szCs w:val="44"/>
        </w:rPr>
        <w:t>号</w:t>
      </w:r>
      <w:r>
        <w:rPr>
          <w:rFonts w:eastAsia="黑体"/>
          <w:b/>
          <w:kern w:val="0"/>
          <w:sz w:val="44"/>
          <w:szCs w:val="44"/>
        </w:rPr>
        <w:t>——</w:t>
      </w:r>
      <w:r>
        <w:rPr>
          <w:rFonts w:hAnsi="黑体" w:eastAsia="黑体"/>
          <w:b/>
          <w:kern w:val="0"/>
          <w:sz w:val="44"/>
          <w:szCs w:val="44"/>
        </w:rPr>
        <w:t>现场督导</w:t>
      </w:r>
      <w:r>
        <w:rPr>
          <w:rFonts w:hint="eastAsia" w:eastAsia="黑体"/>
          <w:b/>
          <w:kern w:val="0"/>
          <w:sz w:val="44"/>
          <w:szCs w:val="44"/>
        </w:rPr>
        <w:t>（</w:t>
      </w:r>
      <w:r>
        <w:rPr>
          <w:rFonts w:eastAsia="黑体"/>
          <w:b/>
          <w:kern w:val="0"/>
          <w:sz w:val="44"/>
          <w:szCs w:val="44"/>
        </w:rPr>
        <w:t>2024</w:t>
      </w:r>
      <w:r>
        <w:rPr>
          <w:rFonts w:hAnsi="黑体" w:eastAsia="黑体"/>
          <w:b/>
          <w:kern w:val="0"/>
          <w:sz w:val="44"/>
          <w:szCs w:val="44"/>
        </w:rPr>
        <w:t>年修订</w:t>
      </w:r>
      <w:r>
        <w:rPr>
          <w:rFonts w:hint="eastAsia" w:eastAsia="黑体"/>
          <w:b/>
          <w:kern w:val="0"/>
          <w:sz w:val="44"/>
          <w:szCs w:val="44"/>
        </w:rPr>
        <w:t>）</w:t>
      </w:r>
    </w:p>
    <w:bookmarkEnd w:id="1"/>
    <w:p w14:paraId="36D051DB">
      <w:pPr>
        <w:spacing w:line="560" w:lineRule="exact"/>
        <w:ind w:firstLine="600" w:firstLineChars="200"/>
        <w:rPr>
          <w:rFonts w:eastAsia="仿宋_GB2312"/>
          <w:sz w:val="30"/>
          <w:szCs w:val="30"/>
        </w:rPr>
      </w:pPr>
    </w:p>
    <w:p w14:paraId="505EE122">
      <w:pPr>
        <w:spacing w:line="560" w:lineRule="exact"/>
        <w:ind w:firstLine="643" w:firstLineChars="200"/>
        <w:rPr>
          <w:rFonts w:eastAsia="仿宋_GB2312"/>
          <w:sz w:val="32"/>
          <w:szCs w:val="32"/>
        </w:rPr>
      </w:pPr>
      <w:r>
        <w:rPr>
          <w:rFonts w:hint="eastAsia" w:hAnsi="仿宋_GB2312" w:eastAsia="仿宋_GB2312"/>
          <w:b/>
          <w:sz w:val="32"/>
          <w:szCs w:val="32"/>
          <w:lang w:eastAsia="zh-CN"/>
        </w:rPr>
        <w:t>第一条</w:t>
      </w:r>
      <w:r>
        <w:rPr>
          <w:rFonts w:eastAsia="仿宋_GB2312"/>
          <w:sz w:val="32"/>
          <w:szCs w:val="32"/>
        </w:rPr>
        <w:t xml:space="preserve"> </w:t>
      </w:r>
      <w:r>
        <w:rPr>
          <w:rFonts w:hAnsi="仿宋_GB2312" w:eastAsia="仿宋_GB2312"/>
          <w:sz w:val="32"/>
          <w:szCs w:val="32"/>
        </w:rPr>
        <w:t>为了规范发行上市现场督导行为，督促保荐人、证券服务机构（以下简称督导对象）切实履行对申报项目的核查把关责任，提高申请文件信息披露质量，根据《上海证券交易所股票发行上市审核规则》等规定，制定本指引。</w:t>
      </w:r>
    </w:p>
    <w:p w14:paraId="34FF32FF">
      <w:pPr>
        <w:spacing w:line="560" w:lineRule="exact"/>
        <w:ind w:firstLine="643" w:firstLineChars="200"/>
        <w:rPr>
          <w:rFonts w:eastAsia="仿宋_GB2312"/>
          <w:sz w:val="32"/>
          <w:szCs w:val="32"/>
        </w:rPr>
      </w:pPr>
      <w:r>
        <w:rPr>
          <w:rFonts w:hint="eastAsia" w:hAnsi="仿宋_GB2312" w:eastAsia="仿宋_GB2312"/>
          <w:b/>
          <w:sz w:val="32"/>
          <w:szCs w:val="32"/>
          <w:lang w:eastAsia="zh-CN"/>
        </w:rPr>
        <w:t>第二条</w:t>
      </w:r>
      <w:r>
        <w:rPr>
          <w:rFonts w:hint="eastAsia" w:hAnsi="仿宋_GB2312" w:eastAsia="仿宋_GB2312"/>
          <w:sz w:val="32"/>
          <w:szCs w:val="32"/>
        </w:rPr>
        <w:t xml:space="preserve"> </w:t>
      </w:r>
      <w:r>
        <w:rPr>
          <w:rFonts w:hAnsi="仿宋_GB2312" w:eastAsia="仿宋_GB2312"/>
          <w:sz w:val="32"/>
          <w:szCs w:val="32"/>
        </w:rPr>
        <w:t>本指引所称现场督导，是指针对申请首次公开发行股票或者存托凭证上市业务，由上海证券交易所（以下简称本所）根据需要对保荐人、证券服务机构执业质量进行现场监督和核查的行为。</w:t>
      </w:r>
    </w:p>
    <w:p w14:paraId="013CEDF6">
      <w:pPr>
        <w:spacing w:line="560" w:lineRule="exact"/>
        <w:ind w:firstLine="643" w:firstLineChars="200"/>
        <w:rPr>
          <w:rFonts w:eastAsia="仿宋_GB2312"/>
          <w:sz w:val="32"/>
          <w:szCs w:val="32"/>
        </w:rPr>
      </w:pPr>
      <w:r>
        <w:rPr>
          <w:rFonts w:hint="eastAsia" w:hAnsi="仿宋_GB2312" w:eastAsia="仿宋_GB2312"/>
          <w:b/>
          <w:sz w:val="32"/>
          <w:szCs w:val="32"/>
          <w:lang w:eastAsia="zh-CN"/>
        </w:rPr>
        <w:t>第</w:t>
      </w:r>
      <w:bookmarkStart w:id="2" w:name="_GoBack"/>
      <w:bookmarkEnd w:id="2"/>
      <w:r>
        <w:rPr>
          <w:rFonts w:hint="eastAsia" w:hAnsi="仿宋_GB2312" w:eastAsia="仿宋_GB2312"/>
          <w:b/>
          <w:sz w:val="32"/>
          <w:szCs w:val="32"/>
          <w:lang w:eastAsia="zh-CN"/>
        </w:rPr>
        <w:t>三条</w:t>
      </w:r>
      <w:r>
        <w:rPr>
          <w:rFonts w:hint="eastAsia" w:hAnsi="仿宋_GB2312" w:eastAsia="仿宋_GB2312"/>
          <w:sz w:val="32"/>
          <w:szCs w:val="32"/>
        </w:rPr>
        <w:t xml:space="preserve"> </w:t>
      </w:r>
      <w:r>
        <w:rPr>
          <w:rFonts w:hAnsi="仿宋_GB2312" w:eastAsia="仿宋_GB2312"/>
          <w:sz w:val="32"/>
          <w:szCs w:val="32"/>
        </w:rPr>
        <w:t>保荐人应当诚实守信、勤勉尽责，充分了解发行人的业务模式、经营情况及其面临的风险和问题，对发行上市申请文件和信息披露资料进行审慎核查，保证发行上市申请文件真实、准确、完整。</w:t>
      </w:r>
    </w:p>
    <w:p w14:paraId="3BD422A6">
      <w:pPr>
        <w:spacing w:line="560" w:lineRule="exact"/>
        <w:ind w:firstLine="640" w:firstLineChars="200"/>
        <w:rPr>
          <w:rFonts w:eastAsia="仿宋_GB2312"/>
          <w:sz w:val="32"/>
          <w:szCs w:val="32"/>
        </w:rPr>
      </w:pPr>
      <w:r>
        <w:rPr>
          <w:rFonts w:hAnsi="仿宋_GB2312" w:eastAsia="仿宋_GB2312"/>
          <w:sz w:val="32"/>
          <w:szCs w:val="32"/>
        </w:rPr>
        <w:t>保荐人应当制定并严格执行内部控制制度，充分发挥投资银行类业务三道内部控制防线的把关作用，切实提高相关申请文件和问询回复质量，并保证向本所报送的工作底稿真实、准确、完整。</w:t>
      </w:r>
    </w:p>
    <w:p w14:paraId="7F5B894A">
      <w:pPr>
        <w:spacing w:line="560" w:lineRule="exact"/>
        <w:ind w:firstLine="643" w:firstLineChars="200"/>
        <w:rPr>
          <w:rFonts w:eastAsia="仿宋_GB2312"/>
          <w:sz w:val="32"/>
          <w:szCs w:val="32"/>
        </w:rPr>
      </w:pPr>
      <w:r>
        <w:rPr>
          <w:rFonts w:hint="eastAsia" w:hAnsi="仿宋_GB2312" w:eastAsia="仿宋_GB2312"/>
          <w:b/>
          <w:sz w:val="32"/>
          <w:szCs w:val="32"/>
          <w:lang w:eastAsia="zh-CN"/>
        </w:rPr>
        <w:t>第四条</w:t>
      </w:r>
      <w:r>
        <w:rPr>
          <w:rFonts w:eastAsia="仿宋_GB2312"/>
          <w:sz w:val="32"/>
          <w:szCs w:val="32"/>
        </w:rPr>
        <w:t xml:space="preserve"> </w:t>
      </w:r>
      <w:r>
        <w:rPr>
          <w:rFonts w:hAnsi="仿宋_GB2312" w:eastAsia="仿宋_GB2312"/>
          <w:sz w:val="32"/>
          <w:szCs w:val="32"/>
        </w:rPr>
        <w:t>证券服务机构应当诚实守信、勤勉尽责，保证所出具的文件，以及相关申请文件中与其专业职责有关的内容真实、准确、完整。</w:t>
      </w:r>
    </w:p>
    <w:p w14:paraId="74102561">
      <w:pPr>
        <w:spacing w:line="560" w:lineRule="exact"/>
        <w:ind w:firstLine="640" w:firstLineChars="200"/>
        <w:rPr>
          <w:rFonts w:eastAsia="仿宋_GB2312"/>
          <w:sz w:val="32"/>
          <w:szCs w:val="32"/>
        </w:rPr>
      </w:pPr>
      <w:r>
        <w:rPr>
          <w:rFonts w:hAnsi="仿宋_GB2312" w:eastAsia="仿宋_GB2312"/>
          <w:sz w:val="32"/>
          <w:szCs w:val="32"/>
        </w:rPr>
        <w:t>证券服务机构应当严格遵守依法制定的业务规则和行业自律规范，严格执行内部控制制度，对与其专业职责有关的事项进行核查验证。</w:t>
      </w:r>
    </w:p>
    <w:p w14:paraId="71E2B2A6">
      <w:pPr>
        <w:spacing w:line="560" w:lineRule="exact"/>
        <w:ind w:firstLine="643" w:firstLineChars="200"/>
        <w:rPr>
          <w:rFonts w:eastAsia="仿宋_GB2312"/>
          <w:sz w:val="32"/>
          <w:szCs w:val="32"/>
        </w:rPr>
      </w:pPr>
      <w:r>
        <w:rPr>
          <w:rFonts w:hint="eastAsia" w:hAnsi="仿宋_GB2312" w:eastAsia="仿宋_GB2312"/>
          <w:b/>
          <w:sz w:val="32"/>
          <w:szCs w:val="32"/>
          <w:lang w:eastAsia="zh-CN"/>
        </w:rPr>
        <w:t>第五条</w:t>
      </w:r>
      <w:r>
        <w:rPr>
          <w:rFonts w:eastAsia="仿宋_GB2312"/>
          <w:sz w:val="32"/>
          <w:szCs w:val="32"/>
        </w:rPr>
        <w:t xml:space="preserve"> </w:t>
      </w:r>
      <w:r>
        <w:rPr>
          <w:rFonts w:hAnsi="仿宋_GB2312" w:eastAsia="仿宋_GB2312"/>
          <w:sz w:val="32"/>
          <w:szCs w:val="32"/>
        </w:rPr>
        <w:t>申请文件一经申报，发行人及其控股股东、实际控制人、董事、监事和高级管理人员，以及与申请相关的保荐人、证券服务机构及其相关人员即须承担相应的法律责任。</w:t>
      </w:r>
    </w:p>
    <w:p w14:paraId="097FC875">
      <w:pPr>
        <w:spacing w:line="560" w:lineRule="exact"/>
        <w:ind w:firstLine="643" w:firstLineChars="200"/>
        <w:rPr>
          <w:rFonts w:eastAsia="仿宋_GB2312"/>
          <w:sz w:val="32"/>
          <w:szCs w:val="32"/>
        </w:rPr>
      </w:pPr>
      <w:r>
        <w:rPr>
          <w:rFonts w:hint="eastAsia" w:hAnsi="仿宋_GB2312" w:eastAsia="仿宋_GB2312"/>
          <w:b/>
          <w:sz w:val="32"/>
          <w:szCs w:val="32"/>
          <w:lang w:eastAsia="zh-CN"/>
        </w:rPr>
        <w:t>第六条</w:t>
      </w:r>
      <w:r>
        <w:rPr>
          <w:rFonts w:hint="eastAsia" w:hAnsi="仿宋_GB2312" w:eastAsia="仿宋_GB2312"/>
          <w:sz w:val="32"/>
          <w:szCs w:val="32"/>
        </w:rPr>
        <w:t xml:space="preserve"> 本所通过问题导向与随机抽取两种方式确定现场督导对象。</w:t>
      </w:r>
    </w:p>
    <w:p w14:paraId="4BFF03EE">
      <w:pPr>
        <w:spacing w:line="560" w:lineRule="exact"/>
        <w:ind w:firstLine="643" w:firstLineChars="200"/>
        <w:rPr>
          <w:rFonts w:eastAsia="仿宋_GB2312"/>
          <w:sz w:val="32"/>
          <w:szCs w:val="32"/>
        </w:rPr>
      </w:pPr>
      <w:r>
        <w:rPr>
          <w:rFonts w:hint="eastAsia" w:hAnsi="仿宋_GB2312" w:eastAsia="仿宋_GB2312"/>
          <w:b/>
          <w:sz w:val="32"/>
          <w:szCs w:val="32"/>
          <w:lang w:eastAsia="zh-CN"/>
        </w:rPr>
        <w:t>第七条</w:t>
      </w:r>
      <w:r>
        <w:rPr>
          <w:rFonts w:eastAsia="仿宋_GB2312"/>
          <w:sz w:val="32"/>
          <w:szCs w:val="32"/>
        </w:rPr>
        <w:t xml:space="preserve"> </w:t>
      </w:r>
      <w:r>
        <w:rPr>
          <w:rFonts w:hAnsi="仿宋_GB2312" w:eastAsia="仿宋_GB2312"/>
          <w:sz w:val="32"/>
          <w:szCs w:val="32"/>
        </w:rPr>
        <w:t>本所根据发行上市审核情况，坚持问题导向，在审核中发现存在下列情形之一的，将启动对保荐人、证券服务机构的现场督导：</w:t>
      </w:r>
    </w:p>
    <w:p w14:paraId="1C58289C">
      <w:pPr>
        <w:spacing w:line="560" w:lineRule="exact"/>
        <w:ind w:firstLine="640" w:firstLineChars="200"/>
        <w:rPr>
          <w:rFonts w:eastAsia="仿宋_GB2312"/>
          <w:sz w:val="32"/>
          <w:szCs w:val="32"/>
        </w:rPr>
      </w:pPr>
      <w:r>
        <w:rPr>
          <w:rFonts w:hAnsi="仿宋_GB2312" w:eastAsia="仿宋_GB2312"/>
          <w:sz w:val="32"/>
          <w:szCs w:val="32"/>
        </w:rPr>
        <w:t>（一）申请文件中有关发行条件、上市条件，或者重要信息披露存在重大疑问且未能予以充分说明，影响审核判断的；</w:t>
      </w:r>
    </w:p>
    <w:p w14:paraId="0CAC3616">
      <w:pPr>
        <w:spacing w:line="560" w:lineRule="exact"/>
        <w:ind w:firstLine="640" w:firstLineChars="200"/>
        <w:rPr>
          <w:rFonts w:eastAsia="仿宋_GB2312"/>
          <w:sz w:val="32"/>
          <w:szCs w:val="32"/>
        </w:rPr>
      </w:pPr>
      <w:r>
        <w:rPr>
          <w:rFonts w:hAnsi="仿宋_GB2312" w:eastAsia="仿宋_GB2312"/>
          <w:sz w:val="32"/>
          <w:szCs w:val="32"/>
        </w:rPr>
        <w:t>（二）对影响审核判断重要事项的核查程序不充分，核查结论存在明显疑问的；</w:t>
      </w:r>
    </w:p>
    <w:p w14:paraId="5654A6D0">
      <w:pPr>
        <w:spacing w:line="560" w:lineRule="exact"/>
        <w:ind w:firstLine="640" w:firstLineChars="200"/>
        <w:rPr>
          <w:rFonts w:eastAsia="仿宋_GB2312"/>
          <w:sz w:val="32"/>
          <w:szCs w:val="32"/>
        </w:rPr>
      </w:pPr>
      <w:r>
        <w:rPr>
          <w:rFonts w:hAnsi="仿宋_GB2312" w:eastAsia="仿宋_GB2312"/>
          <w:sz w:val="32"/>
          <w:szCs w:val="32"/>
        </w:rPr>
        <w:t>（三）本所审核认为不符合发行条件、上市条件，或者信息披露要求而作出终止审核决定之日起</w:t>
      </w:r>
      <w:r>
        <w:rPr>
          <w:rFonts w:eastAsia="仿宋_GB2312"/>
          <w:sz w:val="32"/>
          <w:szCs w:val="32"/>
        </w:rPr>
        <w:t>12</w:t>
      </w:r>
      <w:r>
        <w:rPr>
          <w:rFonts w:hAnsi="仿宋_GB2312" w:eastAsia="仿宋_GB2312"/>
          <w:sz w:val="32"/>
          <w:szCs w:val="32"/>
        </w:rPr>
        <w:t>个月内重新申报且相关问题仍然存在的；</w:t>
      </w:r>
    </w:p>
    <w:p w14:paraId="3A6681D5">
      <w:pPr>
        <w:spacing w:line="560" w:lineRule="exact"/>
        <w:ind w:firstLine="640" w:firstLineChars="200"/>
        <w:rPr>
          <w:rFonts w:eastAsia="仿宋_GB2312"/>
          <w:sz w:val="32"/>
          <w:szCs w:val="32"/>
        </w:rPr>
      </w:pPr>
      <w:r>
        <w:rPr>
          <w:rFonts w:hAnsi="仿宋_GB2312" w:eastAsia="仿宋_GB2312"/>
          <w:sz w:val="32"/>
          <w:szCs w:val="32"/>
        </w:rPr>
        <w:t>（四）</w:t>
      </w:r>
      <w:r>
        <w:rPr>
          <w:rFonts w:hint="eastAsia" w:hAnsi="仿宋_GB2312" w:eastAsia="仿宋_GB2312"/>
          <w:sz w:val="32"/>
          <w:szCs w:val="32"/>
        </w:rPr>
        <w:t>保荐人、证券服务机构</w:t>
      </w:r>
      <w:r>
        <w:rPr>
          <w:rFonts w:hAnsi="仿宋_GB2312" w:eastAsia="仿宋_GB2312"/>
          <w:sz w:val="32"/>
          <w:szCs w:val="32"/>
        </w:rPr>
        <w:t>执业质量评价较低</w:t>
      </w:r>
      <w:r>
        <w:rPr>
          <w:rFonts w:hint="eastAsia" w:hAnsi="仿宋_GB2312" w:eastAsia="仿宋_GB2312"/>
          <w:sz w:val="32"/>
          <w:szCs w:val="32"/>
        </w:rPr>
        <w:t>或者</w:t>
      </w:r>
      <w:r>
        <w:rPr>
          <w:rFonts w:hAnsi="仿宋_GB2312" w:eastAsia="仿宋_GB2312"/>
          <w:sz w:val="32"/>
          <w:szCs w:val="32"/>
        </w:rPr>
        <w:t>内部控制风险较高的；</w:t>
      </w:r>
    </w:p>
    <w:p w14:paraId="0BFF9F73">
      <w:pPr>
        <w:spacing w:line="560" w:lineRule="exact"/>
        <w:ind w:firstLine="640" w:firstLineChars="200"/>
        <w:rPr>
          <w:rFonts w:eastAsia="仿宋_GB2312"/>
          <w:sz w:val="32"/>
          <w:szCs w:val="32"/>
        </w:rPr>
      </w:pPr>
      <w:r>
        <w:rPr>
          <w:rFonts w:hAnsi="仿宋_GB2312" w:eastAsia="仿宋_GB2312"/>
          <w:sz w:val="32"/>
          <w:szCs w:val="32"/>
        </w:rPr>
        <w:t>（五）本所认为需要实施现场督导的其他情形。</w:t>
      </w:r>
    </w:p>
    <w:p w14:paraId="7471D6BD">
      <w:pPr>
        <w:spacing w:line="560" w:lineRule="exact"/>
        <w:ind w:firstLine="640" w:firstLineChars="200"/>
        <w:rPr>
          <w:rFonts w:eastAsia="仿宋_GB2312"/>
          <w:sz w:val="32"/>
          <w:szCs w:val="32"/>
        </w:rPr>
      </w:pPr>
      <w:r>
        <w:rPr>
          <w:rFonts w:eastAsia="仿宋_GB2312"/>
          <w:sz w:val="32"/>
          <w:szCs w:val="32"/>
        </w:rPr>
        <w:t>本所上市审核委员会审议会议后至股票</w:t>
      </w:r>
      <w:r>
        <w:rPr>
          <w:rFonts w:hint="eastAsia" w:eastAsia="仿宋_GB2312"/>
          <w:sz w:val="32"/>
          <w:szCs w:val="32"/>
        </w:rPr>
        <w:t>或者存托凭证</w:t>
      </w:r>
      <w:r>
        <w:rPr>
          <w:rFonts w:eastAsia="仿宋_GB2312"/>
          <w:sz w:val="32"/>
          <w:szCs w:val="32"/>
        </w:rPr>
        <w:t>上市交易前，发生重大事项，对发行人是否符合发行条件、上市条件或者信息披露要求产生重大影响的，本所可以根据需要启动现场督导。</w:t>
      </w:r>
    </w:p>
    <w:p w14:paraId="4131EF11">
      <w:pPr>
        <w:spacing w:line="560" w:lineRule="exact"/>
        <w:ind w:firstLine="643" w:firstLineChars="200"/>
        <w:rPr>
          <w:rFonts w:eastAsia="仿宋_GB2312"/>
          <w:sz w:val="32"/>
          <w:szCs w:val="32"/>
        </w:rPr>
      </w:pPr>
      <w:r>
        <w:rPr>
          <w:rFonts w:hint="eastAsia" w:eastAsia="仿宋_GB2312"/>
          <w:b/>
          <w:sz w:val="32"/>
          <w:szCs w:val="32"/>
          <w:lang w:eastAsia="zh-CN"/>
        </w:rPr>
        <w:t>第八条</w:t>
      </w:r>
      <w:r>
        <w:rPr>
          <w:rFonts w:hint="eastAsia" w:hAnsi="仿宋_GB2312" w:eastAsia="仿宋_GB2312"/>
          <w:sz w:val="32"/>
          <w:szCs w:val="32"/>
        </w:rPr>
        <w:t xml:space="preserve"> </w:t>
      </w:r>
      <w:r>
        <w:rPr>
          <w:rFonts w:hint="eastAsia" w:eastAsia="仿宋_GB2312"/>
          <w:sz w:val="32"/>
          <w:szCs w:val="32"/>
        </w:rPr>
        <w:t>本所根据以上市公司质量为导向的保荐机构执业质量评价结果，不定期按照不同比例随机抽取已受理项目，对保荐人启动现场督导。</w:t>
      </w:r>
    </w:p>
    <w:p w14:paraId="5CB8C783">
      <w:pPr>
        <w:spacing w:line="560" w:lineRule="exact"/>
        <w:ind w:firstLine="640" w:firstLineChars="200"/>
        <w:rPr>
          <w:rFonts w:eastAsia="仿宋_GB2312"/>
          <w:sz w:val="32"/>
          <w:szCs w:val="32"/>
        </w:rPr>
      </w:pPr>
      <w:r>
        <w:rPr>
          <w:rFonts w:hint="eastAsia" w:eastAsia="仿宋_GB2312"/>
          <w:sz w:val="32"/>
          <w:szCs w:val="32"/>
        </w:rPr>
        <w:t>按照前款规定随机抽取的项目范围由所有未经本所上市审核委员会会议审议且未参与过本所随机抽取的首次公开发行</w:t>
      </w:r>
      <w:r>
        <w:rPr>
          <w:rFonts w:eastAsia="仿宋_GB2312"/>
          <w:sz w:val="32"/>
          <w:szCs w:val="32"/>
        </w:rPr>
        <w:t>股票或者存托凭证</w:t>
      </w:r>
      <w:r>
        <w:rPr>
          <w:rFonts w:hint="eastAsia" w:eastAsia="仿宋_GB2312"/>
          <w:sz w:val="32"/>
          <w:szCs w:val="32"/>
        </w:rPr>
        <w:t>项目构成，本次审核期间已被本所开展现场督导或者被中国证券监督管理委员会（以下简称中国证监会）开展现场检查的项目除外。</w:t>
      </w:r>
    </w:p>
    <w:p w14:paraId="46F4CF60">
      <w:pPr>
        <w:spacing w:line="560" w:lineRule="exact"/>
        <w:ind w:firstLine="640" w:firstLineChars="200"/>
        <w:rPr>
          <w:rFonts w:eastAsia="仿宋_GB2312"/>
          <w:sz w:val="32"/>
          <w:szCs w:val="32"/>
        </w:rPr>
      </w:pPr>
      <w:r>
        <w:rPr>
          <w:rFonts w:hint="eastAsia" w:eastAsia="仿宋_GB2312"/>
          <w:sz w:val="32"/>
          <w:szCs w:val="32"/>
        </w:rPr>
        <w:t>抽取结果通过本所网站及时公布。</w:t>
      </w:r>
    </w:p>
    <w:p w14:paraId="36B8EF06">
      <w:pPr>
        <w:spacing w:line="560" w:lineRule="exact"/>
        <w:ind w:firstLine="643" w:firstLineChars="200"/>
        <w:rPr>
          <w:rFonts w:eastAsia="仿宋_GB2312"/>
          <w:sz w:val="32"/>
          <w:szCs w:val="32"/>
        </w:rPr>
      </w:pPr>
      <w:r>
        <w:rPr>
          <w:rFonts w:hint="eastAsia" w:eastAsia="仿宋_GB2312"/>
          <w:b/>
          <w:sz w:val="32"/>
          <w:szCs w:val="32"/>
          <w:lang w:eastAsia="zh-CN"/>
        </w:rPr>
        <w:t>第九条</w:t>
      </w:r>
      <w:r>
        <w:rPr>
          <w:rFonts w:hint="eastAsia" w:eastAsia="仿宋_GB2312"/>
          <w:sz w:val="32"/>
          <w:szCs w:val="32"/>
        </w:rPr>
        <w:t xml:space="preserve"> 发行人撤回发行上市申请或者保荐人撤销对现场督导项目保荐的，</w:t>
      </w:r>
      <w:r>
        <w:rPr>
          <w:rFonts w:eastAsia="仿宋_GB2312"/>
          <w:sz w:val="32"/>
          <w:szCs w:val="32"/>
        </w:rPr>
        <w:t>不影响督导工作的实施，也不影响本所依规对</w:t>
      </w:r>
      <w:r>
        <w:rPr>
          <w:rFonts w:hint="eastAsia" w:eastAsia="仿宋_GB2312"/>
          <w:sz w:val="32"/>
          <w:szCs w:val="32"/>
        </w:rPr>
        <w:t>现场</w:t>
      </w:r>
      <w:r>
        <w:rPr>
          <w:rFonts w:eastAsia="仿宋_GB2312"/>
          <w:sz w:val="32"/>
          <w:szCs w:val="32"/>
        </w:rPr>
        <w:t>督导发现的问题进行处理。</w:t>
      </w:r>
    </w:p>
    <w:p w14:paraId="4ED7F3D3">
      <w:pPr>
        <w:spacing w:line="560" w:lineRule="exact"/>
        <w:ind w:firstLine="643" w:firstLineChars="200"/>
        <w:rPr>
          <w:rFonts w:eastAsia="仿宋_GB2312"/>
          <w:sz w:val="32"/>
          <w:szCs w:val="32"/>
        </w:rPr>
      </w:pPr>
      <w:r>
        <w:rPr>
          <w:rFonts w:hint="eastAsia" w:hAnsi="仿宋_GB2312" w:eastAsia="仿宋_GB2312"/>
          <w:b/>
          <w:sz w:val="32"/>
          <w:szCs w:val="32"/>
          <w:lang w:eastAsia="zh-CN"/>
        </w:rPr>
        <w:t>第十条</w:t>
      </w:r>
      <w:r>
        <w:rPr>
          <w:rFonts w:eastAsia="仿宋_GB2312"/>
          <w:sz w:val="32"/>
          <w:szCs w:val="32"/>
        </w:rPr>
        <w:t xml:space="preserve"> </w:t>
      </w:r>
      <w:r>
        <w:rPr>
          <w:rFonts w:hAnsi="仿宋_GB2312" w:eastAsia="仿宋_GB2312"/>
          <w:sz w:val="32"/>
          <w:szCs w:val="32"/>
        </w:rPr>
        <w:t>本所按照相关审核规则和本指引的规定组织实施现场督导，设立现场督导组具体开展现场督导工作。督导组成员人数不少于</w:t>
      </w:r>
      <w:r>
        <w:rPr>
          <w:rFonts w:eastAsia="仿宋_GB2312"/>
          <w:sz w:val="32"/>
          <w:szCs w:val="32"/>
        </w:rPr>
        <w:t>2</w:t>
      </w:r>
      <w:r>
        <w:rPr>
          <w:rFonts w:hAnsi="仿宋_GB2312" w:eastAsia="仿宋_GB2312"/>
          <w:sz w:val="32"/>
          <w:szCs w:val="32"/>
        </w:rPr>
        <w:t>人。</w:t>
      </w:r>
    </w:p>
    <w:p w14:paraId="52FE55FA">
      <w:pPr>
        <w:spacing w:line="560" w:lineRule="exact"/>
        <w:ind w:firstLine="640" w:firstLineChars="200"/>
        <w:rPr>
          <w:rFonts w:eastAsia="仿宋_GB2312"/>
          <w:sz w:val="32"/>
          <w:szCs w:val="32"/>
        </w:rPr>
      </w:pPr>
      <w:r>
        <w:rPr>
          <w:rFonts w:hAnsi="仿宋_GB2312" w:eastAsia="仿宋_GB2312"/>
          <w:sz w:val="32"/>
          <w:szCs w:val="32"/>
        </w:rPr>
        <w:t>本所可以根据需要，聘请外部专业机构及其人员参与现场督导工作，并要求其签署纪律承诺书。</w:t>
      </w:r>
    </w:p>
    <w:p w14:paraId="63FD93AF">
      <w:pPr>
        <w:spacing w:line="560" w:lineRule="exact"/>
        <w:ind w:firstLine="643" w:firstLineChars="200"/>
        <w:rPr>
          <w:rFonts w:hAnsi="仿宋_GB2312" w:eastAsia="仿宋_GB2312"/>
          <w:sz w:val="32"/>
          <w:szCs w:val="32"/>
        </w:rPr>
      </w:pPr>
      <w:r>
        <w:rPr>
          <w:rFonts w:hint="eastAsia" w:hAnsi="仿宋_GB2312" w:eastAsia="仿宋_GB2312"/>
          <w:b/>
          <w:sz w:val="32"/>
          <w:szCs w:val="32"/>
          <w:lang w:eastAsia="zh-CN"/>
        </w:rPr>
        <w:t>第十一条</w:t>
      </w:r>
      <w:r>
        <w:rPr>
          <w:rFonts w:hint="eastAsia" w:hAnsi="仿宋_GB2312" w:eastAsia="仿宋_GB2312"/>
          <w:sz w:val="32"/>
          <w:szCs w:val="32"/>
        </w:rPr>
        <w:t xml:space="preserve"> </w:t>
      </w:r>
      <w:r>
        <w:rPr>
          <w:rFonts w:hAnsi="仿宋_GB2312" w:eastAsia="仿宋_GB2312"/>
          <w:sz w:val="32"/>
          <w:szCs w:val="32"/>
        </w:rPr>
        <w:t>督导组成员应当遵守保密、廉政等纪律规定，确保现场督导独立、客观、公正，不得干预督导对象的正常经营活动，不得利用职务便利谋取不正当利益。</w:t>
      </w:r>
    </w:p>
    <w:p w14:paraId="0A465A84">
      <w:pPr>
        <w:spacing w:line="560" w:lineRule="exact"/>
        <w:ind w:firstLine="640" w:firstLineChars="200"/>
        <w:rPr>
          <w:rFonts w:eastAsia="仿宋_GB2312"/>
          <w:sz w:val="32"/>
          <w:szCs w:val="32"/>
        </w:rPr>
      </w:pPr>
      <w:r>
        <w:rPr>
          <w:rFonts w:hint="eastAsia" w:hAnsi="仿宋_GB2312" w:eastAsia="仿宋_GB2312"/>
          <w:sz w:val="32"/>
          <w:szCs w:val="32"/>
        </w:rPr>
        <w:t>督导组成员的工作接受督导对象的监督。</w:t>
      </w:r>
    </w:p>
    <w:p w14:paraId="282FF866">
      <w:pPr>
        <w:spacing w:line="560" w:lineRule="exact"/>
        <w:ind w:firstLine="643" w:firstLineChars="200"/>
        <w:rPr>
          <w:rFonts w:eastAsia="仿宋_GB2312"/>
          <w:sz w:val="32"/>
          <w:szCs w:val="32"/>
        </w:rPr>
      </w:pPr>
      <w:r>
        <w:rPr>
          <w:rFonts w:hint="eastAsia" w:hAnsi="仿宋_GB2312" w:eastAsia="仿宋_GB2312"/>
          <w:b/>
          <w:sz w:val="32"/>
          <w:szCs w:val="32"/>
          <w:lang w:eastAsia="zh-CN"/>
        </w:rPr>
        <w:t>第十二条</w:t>
      </w:r>
      <w:r>
        <w:rPr>
          <w:rFonts w:hint="eastAsia" w:hAnsi="仿宋_GB2312" w:eastAsia="仿宋_GB2312"/>
          <w:sz w:val="32"/>
          <w:szCs w:val="32"/>
        </w:rPr>
        <w:t xml:space="preserve"> </w:t>
      </w:r>
      <w:r>
        <w:rPr>
          <w:rFonts w:hAnsi="仿宋_GB2312" w:eastAsia="仿宋_GB2312"/>
          <w:sz w:val="32"/>
          <w:szCs w:val="32"/>
        </w:rPr>
        <w:t>本所原则上在现场督导进场日</w:t>
      </w:r>
      <w:r>
        <w:rPr>
          <w:rFonts w:eastAsia="仿宋_GB2312"/>
          <w:sz w:val="32"/>
          <w:szCs w:val="32"/>
        </w:rPr>
        <w:t>3</w:t>
      </w:r>
      <w:r>
        <w:rPr>
          <w:rFonts w:hAnsi="仿宋_GB2312" w:eastAsia="仿宋_GB2312"/>
          <w:sz w:val="32"/>
          <w:szCs w:val="32"/>
        </w:rPr>
        <w:t>个工作日前，向督导对象发出现场督导通知书，告知现场督导的时间和事由，要求其准备有关文件和资料。督导组进场时，应当出示有效工作证件。</w:t>
      </w:r>
    </w:p>
    <w:p w14:paraId="24BD61C5">
      <w:pPr>
        <w:spacing w:line="560" w:lineRule="exact"/>
        <w:ind w:firstLine="640" w:firstLineChars="200"/>
        <w:rPr>
          <w:rFonts w:eastAsia="仿宋_GB2312"/>
          <w:sz w:val="32"/>
          <w:szCs w:val="32"/>
        </w:rPr>
      </w:pPr>
      <w:r>
        <w:rPr>
          <w:rFonts w:hAnsi="仿宋_GB2312" w:eastAsia="仿宋_GB2312"/>
          <w:kern w:val="0"/>
          <w:sz w:val="32"/>
          <w:szCs w:val="32"/>
        </w:rPr>
        <w:t>出现紧急情况或者有证据表明提前通知督导对象可能影响现场督导效果的，本所可以不提前通知，直接进场开展现场督导并出示</w:t>
      </w:r>
      <w:r>
        <w:rPr>
          <w:rFonts w:hAnsi="仿宋_GB2312" w:eastAsia="仿宋_GB2312"/>
          <w:sz w:val="32"/>
          <w:szCs w:val="32"/>
        </w:rPr>
        <w:t>现场督导通知书。</w:t>
      </w:r>
    </w:p>
    <w:p w14:paraId="725DF48A">
      <w:pPr>
        <w:spacing w:line="560" w:lineRule="exact"/>
        <w:ind w:firstLine="643" w:firstLineChars="200"/>
        <w:rPr>
          <w:rFonts w:hAnsi="仿宋_GB2312" w:eastAsia="仿宋_GB2312"/>
          <w:sz w:val="32"/>
          <w:szCs w:val="32"/>
        </w:rPr>
      </w:pPr>
      <w:r>
        <w:rPr>
          <w:rFonts w:hint="eastAsia" w:hAnsi="仿宋_GB2312" w:eastAsia="仿宋_GB2312"/>
          <w:b/>
          <w:sz w:val="32"/>
          <w:szCs w:val="32"/>
          <w:lang w:eastAsia="zh-CN"/>
        </w:rPr>
        <w:t>第十三条</w:t>
      </w:r>
      <w:r>
        <w:rPr>
          <w:rFonts w:hint="eastAsia" w:hAnsi="仿宋_GB2312" w:eastAsia="仿宋_GB2312"/>
          <w:sz w:val="32"/>
          <w:szCs w:val="32"/>
        </w:rPr>
        <w:t xml:space="preserve"> </w:t>
      </w:r>
      <w:r>
        <w:rPr>
          <w:rFonts w:hAnsi="仿宋_GB2312" w:eastAsia="仿宋_GB2312"/>
          <w:sz w:val="32"/>
          <w:szCs w:val="32"/>
        </w:rPr>
        <w:t>督导组成员与督导对象</w:t>
      </w:r>
      <w:r>
        <w:rPr>
          <w:rFonts w:hint="eastAsia" w:hAnsi="仿宋_GB2312" w:eastAsia="仿宋_GB2312"/>
          <w:sz w:val="32"/>
          <w:szCs w:val="32"/>
        </w:rPr>
        <w:t>或者发行人</w:t>
      </w:r>
      <w:r>
        <w:rPr>
          <w:rFonts w:hAnsi="仿宋_GB2312" w:eastAsia="仿宋_GB2312"/>
          <w:sz w:val="32"/>
          <w:szCs w:val="32"/>
        </w:rPr>
        <w:t>有利害关系的，应当主动申请回避。督导对象</w:t>
      </w:r>
      <w:r>
        <w:rPr>
          <w:rFonts w:hint="eastAsia" w:hAnsi="仿宋_GB2312" w:eastAsia="仿宋_GB2312"/>
          <w:sz w:val="32"/>
          <w:szCs w:val="32"/>
        </w:rPr>
        <w:t>或者发行人</w:t>
      </w:r>
      <w:r>
        <w:rPr>
          <w:rFonts w:hAnsi="仿宋_GB2312" w:eastAsia="仿宋_GB2312"/>
          <w:sz w:val="32"/>
          <w:szCs w:val="32"/>
        </w:rPr>
        <w:t>认为督导组成员与其存在利害关系的，可以申请相关人员回避。</w:t>
      </w:r>
    </w:p>
    <w:p w14:paraId="446876BB">
      <w:pPr>
        <w:spacing w:line="560" w:lineRule="exact"/>
        <w:ind w:firstLine="643" w:firstLineChars="200"/>
        <w:rPr>
          <w:rFonts w:eastAsia="仿宋_GB2312"/>
          <w:sz w:val="32"/>
          <w:szCs w:val="32"/>
        </w:rPr>
      </w:pPr>
      <w:r>
        <w:rPr>
          <w:rFonts w:hint="eastAsia" w:hAnsi="仿宋_GB2312" w:eastAsia="仿宋_GB2312"/>
          <w:b/>
          <w:sz w:val="32"/>
          <w:szCs w:val="32"/>
          <w:lang w:eastAsia="zh-CN"/>
        </w:rPr>
        <w:t>第十四条</w:t>
      </w:r>
      <w:r>
        <w:rPr>
          <w:rFonts w:hint="eastAsia" w:hAnsi="仿宋_GB2312" w:eastAsia="仿宋_GB2312"/>
          <w:sz w:val="32"/>
          <w:szCs w:val="32"/>
        </w:rPr>
        <w:t xml:space="preserve"> </w:t>
      </w:r>
      <w:r>
        <w:rPr>
          <w:rFonts w:hAnsi="仿宋_GB2312" w:eastAsia="仿宋_GB2312"/>
          <w:sz w:val="32"/>
          <w:szCs w:val="32"/>
        </w:rPr>
        <w:t>本所实施现场督导，可以根据需要采取</w:t>
      </w:r>
      <w:r>
        <w:rPr>
          <w:rFonts w:hint="eastAsia" w:hAnsi="仿宋_GB2312" w:eastAsia="仿宋_GB2312"/>
          <w:sz w:val="32"/>
          <w:szCs w:val="32"/>
        </w:rPr>
        <w:t>下列</w:t>
      </w:r>
      <w:r>
        <w:rPr>
          <w:rFonts w:hAnsi="仿宋_GB2312" w:eastAsia="仿宋_GB2312"/>
          <w:sz w:val="32"/>
          <w:szCs w:val="32"/>
        </w:rPr>
        <w:t>督导方式：</w:t>
      </w:r>
    </w:p>
    <w:p w14:paraId="227CA250">
      <w:pPr>
        <w:spacing w:line="560" w:lineRule="exact"/>
        <w:ind w:firstLine="640" w:firstLineChars="200"/>
        <w:rPr>
          <w:rFonts w:eastAsia="仿宋_GB2312"/>
          <w:sz w:val="32"/>
          <w:szCs w:val="32"/>
        </w:rPr>
      </w:pPr>
      <w:r>
        <w:rPr>
          <w:rFonts w:hAnsi="仿宋_GB2312" w:eastAsia="仿宋_GB2312"/>
          <w:sz w:val="32"/>
          <w:szCs w:val="32"/>
        </w:rPr>
        <w:t>（一）现场询问；</w:t>
      </w:r>
    </w:p>
    <w:p w14:paraId="2F52545E">
      <w:pPr>
        <w:spacing w:line="560" w:lineRule="exact"/>
        <w:ind w:firstLine="640" w:firstLineChars="200"/>
        <w:rPr>
          <w:rFonts w:eastAsia="仿宋_GB2312"/>
          <w:sz w:val="32"/>
          <w:szCs w:val="32"/>
        </w:rPr>
      </w:pPr>
      <w:r>
        <w:rPr>
          <w:rFonts w:hAnsi="仿宋_GB2312" w:eastAsia="仿宋_GB2312"/>
          <w:sz w:val="32"/>
          <w:szCs w:val="32"/>
        </w:rPr>
        <w:t>（二）调阅、复制、记录、提取相关工作底稿；</w:t>
      </w:r>
    </w:p>
    <w:p w14:paraId="2D329E84">
      <w:pPr>
        <w:spacing w:line="560" w:lineRule="exact"/>
        <w:ind w:firstLine="640" w:firstLineChars="200"/>
        <w:rPr>
          <w:rFonts w:eastAsia="仿宋_GB2312"/>
          <w:sz w:val="32"/>
          <w:szCs w:val="32"/>
        </w:rPr>
      </w:pPr>
      <w:r>
        <w:rPr>
          <w:rFonts w:hAnsi="仿宋_GB2312" w:eastAsia="仿宋_GB2312"/>
          <w:sz w:val="32"/>
          <w:szCs w:val="32"/>
        </w:rPr>
        <w:t>（三）核对有关证据材料；</w:t>
      </w:r>
    </w:p>
    <w:p w14:paraId="3F760FFD">
      <w:pPr>
        <w:spacing w:line="560" w:lineRule="exact"/>
        <w:ind w:firstLine="640" w:firstLineChars="200"/>
        <w:rPr>
          <w:rFonts w:eastAsia="仿宋_GB2312"/>
          <w:sz w:val="32"/>
          <w:szCs w:val="32"/>
        </w:rPr>
      </w:pPr>
      <w:r>
        <w:rPr>
          <w:rFonts w:hAnsi="仿宋_GB2312" w:eastAsia="仿宋_GB2312"/>
          <w:sz w:val="32"/>
          <w:szCs w:val="32"/>
        </w:rPr>
        <w:t>（四）访谈有关对象；</w:t>
      </w:r>
    </w:p>
    <w:p w14:paraId="7B7AA43D">
      <w:pPr>
        <w:spacing w:line="560" w:lineRule="exact"/>
        <w:ind w:firstLine="640" w:firstLineChars="200"/>
        <w:rPr>
          <w:rFonts w:eastAsia="仿宋_GB2312"/>
          <w:sz w:val="32"/>
          <w:szCs w:val="32"/>
        </w:rPr>
      </w:pPr>
      <w:r>
        <w:rPr>
          <w:rFonts w:hAnsi="仿宋_GB2312" w:eastAsia="仿宋_GB2312"/>
          <w:sz w:val="32"/>
          <w:szCs w:val="32"/>
        </w:rPr>
        <w:t>（五）要求督导对象补充核查；</w:t>
      </w:r>
    </w:p>
    <w:p w14:paraId="6885A37C">
      <w:pPr>
        <w:spacing w:line="560" w:lineRule="exact"/>
        <w:ind w:firstLine="640" w:firstLineChars="200"/>
        <w:rPr>
          <w:rFonts w:eastAsia="仿宋_GB2312"/>
          <w:sz w:val="32"/>
          <w:szCs w:val="32"/>
        </w:rPr>
      </w:pPr>
      <w:r>
        <w:rPr>
          <w:rFonts w:hAnsi="仿宋_GB2312" w:eastAsia="仿宋_GB2312"/>
          <w:sz w:val="32"/>
          <w:szCs w:val="32"/>
        </w:rPr>
        <w:t>（六）督导组认为必要的其他方式。</w:t>
      </w:r>
    </w:p>
    <w:p w14:paraId="0303329A">
      <w:pPr>
        <w:spacing w:line="560" w:lineRule="exact"/>
        <w:ind w:firstLine="643" w:firstLineChars="200"/>
        <w:rPr>
          <w:rFonts w:eastAsia="仿宋_GB2312"/>
          <w:sz w:val="32"/>
          <w:szCs w:val="32"/>
        </w:rPr>
      </w:pPr>
      <w:r>
        <w:rPr>
          <w:rFonts w:hint="eastAsia" w:hAnsi="仿宋_GB2312" w:eastAsia="仿宋_GB2312"/>
          <w:b/>
          <w:sz w:val="32"/>
          <w:szCs w:val="32"/>
          <w:lang w:eastAsia="zh-CN"/>
        </w:rPr>
        <w:t>第十五条</w:t>
      </w:r>
      <w:r>
        <w:rPr>
          <w:rFonts w:hint="eastAsia" w:hAnsi="仿宋_GB2312" w:eastAsia="仿宋_GB2312"/>
          <w:sz w:val="32"/>
          <w:szCs w:val="32"/>
        </w:rPr>
        <w:t xml:space="preserve"> </w:t>
      </w:r>
      <w:r>
        <w:rPr>
          <w:rFonts w:hAnsi="仿宋_GB2312" w:eastAsia="仿宋_GB2312"/>
          <w:sz w:val="32"/>
          <w:szCs w:val="32"/>
        </w:rPr>
        <w:t>本所实施问题导向督导的，督导组结合审核中关注的问题，重点核查督导对象的核查方案是否合理、核查程序是否恰当、证据资料是否充分可靠、核查结论是否审慎客观，以及相关业务的内部控制是否有效执行等。必要时，督导组可以对督导对象的补充核查工作进行现场监督。</w:t>
      </w:r>
    </w:p>
    <w:p w14:paraId="63180CA7">
      <w:pPr>
        <w:spacing w:line="560" w:lineRule="exact"/>
        <w:ind w:firstLine="640" w:firstLineChars="200"/>
        <w:rPr>
          <w:rFonts w:eastAsia="仿宋_GB2312"/>
          <w:sz w:val="32"/>
          <w:szCs w:val="32"/>
        </w:rPr>
      </w:pPr>
      <w:r>
        <w:rPr>
          <w:rFonts w:eastAsia="仿宋_GB2312"/>
          <w:sz w:val="32"/>
          <w:szCs w:val="32"/>
        </w:rPr>
        <w:t>本所实施</w:t>
      </w:r>
      <w:r>
        <w:rPr>
          <w:rFonts w:hint="eastAsia" w:eastAsia="仿宋_GB2312"/>
          <w:sz w:val="32"/>
          <w:szCs w:val="32"/>
        </w:rPr>
        <w:t>随机抽取督导</w:t>
      </w:r>
      <w:r>
        <w:rPr>
          <w:rFonts w:eastAsia="仿宋_GB2312"/>
          <w:sz w:val="32"/>
          <w:szCs w:val="32"/>
        </w:rPr>
        <w:t>的，督导组重点关注项目可能存在的风险、疑点及问题，</w:t>
      </w:r>
      <w:r>
        <w:rPr>
          <w:rFonts w:hint="eastAsia" w:eastAsia="仿宋_GB2312"/>
          <w:sz w:val="32"/>
          <w:szCs w:val="32"/>
        </w:rPr>
        <w:t>重点</w:t>
      </w:r>
      <w:r>
        <w:rPr>
          <w:rFonts w:eastAsia="仿宋_GB2312"/>
          <w:sz w:val="32"/>
          <w:szCs w:val="32"/>
        </w:rPr>
        <w:t>核查督导对象对发行人信息披露真实性、准确性以及完整性的尽职调查工作是否勤勉尽责。</w:t>
      </w:r>
    </w:p>
    <w:p w14:paraId="51502D85">
      <w:pPr>
        <w:spacing w:line="560" w:lineRule="exact"/>
        <w:ind w:firstLine="643" w:firstLineChars="200"/>
        <w:rPr>
          <w:rFonts w:eastAsia="仿宋_GB2312"/>
          <w:sz w:val="32"/>
          <w:szCs w:val="32"/>
        </w:rPr>
      </w:pPr>
      <w:r>
        <w:rPr>
          <w:rFonts w:hint="eastAsia" w:hAnsi="仿宋_GB2312" w:eastAsia="仿宋_GB2312"/>
          <w:b/>
          <w:sz w:val="32"/>
          <w:szCs w:val="32"/>
          <w:lang w:eastAsia="zh-CN"/>
        </w:rPr>
        <w:t>第十六条</w:t>
      </w:r>
      <w:r>
        <w:rPr>
          <w:rFonts w:hint="eastAsia" w:hAnsi="仿宋_GB2312" w:eastAsia="仿宋_GB2312"/>
          <w:sz w:val="32"/>
          <w:szCs w:val="32"/>
        </w:rPr>
        <w:t xml:space="preserve"> </w:t>
      </w:r>
      <w:r>
        <w:rPr>
          <w:rFonts w:hAnsi="仿宋_GB2312" w:eastAsia="仿宋_GB2312"/>
          <w:sz w:val="32"/>
          <w:szCs w:val="32"/>
        </w:rPr>
        <w:t>督导组应当就现场督导中发现的主要问题及情况听取督导对象的解释说明，督导对象可以就相关问题提供书面说明材料及相关证据。</w:t>
      </w:r>
    </w:p>
    <w:p w14:paraId="6C7CF2D3">
      <w:pPr>
        <w:spacing w:line="560" w:lineRule="exact"/>
        <w:ind w:firstLine="643" w:firstLineChars="200"/>
        <w:rPr>
          <w:rFonts w:eastAsia="仿宋_GB2312"/>
          <w:sz w:val="32"/>
          <w:szCs w:val="32"/>
        </w:rPr>
      </w:pPr>
      <w:r>
        <w:rPr>
          <w:rFonts w:hint="eastAsia" w:hAnsi="仿宋_GB2312" w:eastAsia="仿宋_GB2312"/>
          <w:b/>
          <w:sz w:val="32"/>
          <w:szCs w:val="32"/>
          <w:lang w:eastAsia="zh-CN"/>
        </w:rPr>
        <w:t>第十七条</w:t>
      </w:r>
      <w:r>
        <w:rPr>
          <w:rFonts w:hint="eastAsia" w:hAnsi="仿宋_GB2312" w:eastAsia="仿宋_GB2312"/>
          <w:sz w:val="32"/>
          <w:szCs w:val="32"/>
        </w:rPr>
        <w:t xml:space="preserve"> </w:t>
      </w:r>
      <w:r>
        <w:rPr>
          <w:rFonts w:hAnsi="仿宋_GB2312" w:eastAsia="仿宋_GB2312"/>
          <w:sz w:val="32"/>
          <w:szCs w:val="32"/>
        </w:rPr>
        <w:t>现场督导原则上在进场后</w:t>
      </w:r>
      <w:r>
        <w:rPr>
          <w:rFonts w:eastAsia="仿宋_GB2312"/>
          <w:sz w:val="32"/>
          <w:szCs w:val="32"/>
        </w:rPr>
        <w:t>2</w:t>
      </w:r>
      <w:r>
        <w:rPr>
          <w:rFonts w:hAnsi="仿宋_GB2312" w:eastAsia="仿宋_GB2312"/>
          <w:sz w:val="32"/>
          <w:szCs w:val="32"/>
        </w:rPr>
        <w:t>周内完成现场工作。因督导对象未及时提供相关文件资料或者项目情况复杂等特殊情形，导致督导组难以在预计时间完成现场工作的，可以适当延长现场工作时间。</w:t>
      </w:r>
    </w:p>
    <w:p w14:paraId="6FAC000A">
      <w:pPr>
        <w:spacing w:line="560" w:lineRule="exact"/>
        <w:ind w:firstLine="643" w:firstLineChars="200"/>
        <w:rPr>
          <w:rFonts w:eastAsia="仿宋_GB2312"/>
          <w:sz w:val="32"/>
          <w:szCs w:val="32"/>
        </w:rPr>
      </w:pPr>
      <w:r>
        <w:rPr>
          <w:rFonts w:hint="eastAsia" w:hAnsi="仿宋_GB2312" w:eastAsia="仿宋_GB2312"/>
          <w:b/>
          <w:sz w:val="32"/>
          <w:szCs w:val="32"/>
          <w:lang w:eastAsia="zh-CN"/>
        </w:rPr>
        <w:t>第十八条</w:t>
      </w:r>
      <w:r>
        <w:rPr>
          <w:rFonts w:hint="eastAsia" w:hAnsi="仿宋_GB2312" w:eastAsia="仿宋_GB2312"/>
          <w:sz w:val="32"/>
          <w:szCs w:val="32"/>
        </w:rPr>
        <w:t xml:space="preserve"> </w:t>
      </w:r>
      <w:r>
        <w:rPr>
          <w:rFonts w:hAnsi="仿宋_GB2312" w:eastAsia="仿宋_GB2312"/>
          <w:sz w:val="32"/>
          <w:szCs w:val="32"/>
        </w:rPr>
        <w:t>督导对象及其相关人员收到现场督导通知书后，应当及时准备和提供有关文件和资料，保证所提供文件资料真实、准确、完整，并按要求到场接受询问，积极配合现场督导工作。</w:t>
      </w:r>
    </w:p>
    <w:p w14:paraId="0D119962">
      <w:pPr>
        <w:spacing w:line="560" w:lineRule="exact"/>
        <w:ind w:firstLine="640" w:firstLineChars="200"/>
        <w:rPr>
          <w:rFonts w:eastAsia="仿宋_GB2312"/>
          <w:sz w:val="32"/>
          <w:szCs w:val="32"/>
        </w:rPr>
      </w:pPr>
      <w:r>
        <w:rPr>
          <w:rFonts w:hAnsi="仿宋_GB2312" w:eastAsia="仿宋_GB2312"/>
          <w:sz w:val="32"/>
          <w:szCs w:val="32"/>
        </w:rPr>
        <w:t>督导对象及其相关人员不得拒绝、阻碍、逃避本所现场督导，不得</w:t>
      </w:r>
      <w:r>
        <w:rPr>
          <w:rFonts w:hint="eastAsia" w:eastAsia="仿宋_GB2312"/>
          <w:sz w:val="32"/>
          <w:szCs w:val="32"/>
        </w:rPr>
        <w:t>谎报、</w:t>
      </w:r>
      <w:r>
        <w:rPr>
          <w:rFonts w:hAnsi="仿宋_GB2312" w:eastAsia="仿宋_GB2312"/>
          <w:sz w:val="32"/>
          <w:szCs w:val="32"/>
        </w:rPr>
        <w:t>隐匿</w:t>
      </w:r>
      <w:r>
        <w:rPr>
          <w:rFonts w:hint="eastAsia" w:hAnsi="仿宋_GB2312" w:eastAsia="仿宋_GB2312"/>
          <w:sz w:val="32"/>
          <w:szCs w:val="32"/>
        </w:rPr>
        <w:t>、销毁</w:t>
      </w:r>
      <w:r>
        <w:rPr>
          <w:rFonts w:hAnsi="仿宋_GB2312" w:eastAsia="仿宋_GB2312"/>
          <w:sz w:val="32"/>
          <w:szCs w:val="32"/>
        </w:rPr>
        <w:t>相关</w:t>
      </w:r>
      <w:r>
        <w:rPr>
          <w:rFonts w:hint="eastAsia" w:eastAsia="仿宋_GB2312"/>
          <w:sz w:val="32"/>
          <w:szCs w:val="32"/>
        </w:rPr>
        <w:t>证据资料</w:t>
      </w:r>
      <w:r>
        <w:rPr>
          <w:rFonts w:hAnsi="仿宋_GB2312" w:eastAsia="仿宋_GB2312"/>
          <w:sz w:val="32"/>
          <w:szCs w:val="32"/>
        </w:rPr>
        <w:t>。</w:t>
      </w:r>
    </w:p>
    <w:p w14:paraId="3592C09B">
      <w:pPr>
        <w:numPr>
          <w:ilvl w:val="255"/>
          <w:numId w:val="0"/>
        </w:numPr>
        <w:spacing w:line="560" w:lineRule="exact"/>
        <w:ind w:firstLine="643" w:firstLineChars="200"/>
        <w:jc w:val="left"/>
        <w:rPr>
          <w:rFonts w:hAnsi="仿宋_GB2312" w:eastAsia="仿宋_GB2312"/>
          <w:sz w:val="32"/>
          <w:szCs w:val="32"/>
        </w:rPr>
      </w:pPr>
      <w:r>
        <w:rPr>
          <w:rFonts w:hint="eastAsia" w:hAnsi="仿宋_GB2312" w:eastAsia="仿宋_GB2312"/>
          <w:b/>
          <w:sz w:val="32"/>
          <w:szCs w:val="32"/>
          <w:lang w:eastAsia="zh-CN"/>
        </w:rPr>
        <w:t>第十九条</w:t>
      </w:r>
      <w:r>
        <w:rPr>
          <w:rFonts w:hint="eastAsia" w:hAnsi="仿宋_GB2312" w:eastAsia="仿宋_GB2312"/>
          <w:sz w:val="32"/>
          <w:szCs w:val="32"/>
        </w:rPr>
        <w:t xml:space="preserve"> </w:t>
      </w:r>
      <w:r>
        <w:rPr>
          <w:rFonts w:hAnsi="仿宋_GB2312" w:eastAsia="仿宋_GB2312"/>
          <w:sz w:val="32"/>
          <w:szCs w:val="32"/>
        </w:rPr>
        <w:t>发行人及其相关人员应当为督导对象配合本所实施现场督导提供必要的协助。</w:t>
      </w:r>
    </w:p>
    <w:p w14:paraId="3AECDF76">
      <w:pPr>
        <w:spacing w:line="560" w:lineRule="exact"/>
        <w:ind w:firstLine="643" w:firstLineChars="200"/>
        <w:rPr>
          <w:rFonts w:hAnsi="仿宋_GB2312" w:eastAsia="仿宋_GB2312"/>
          <w:sz w:val="32"/>
          <w:szCs w:val="32"/>
        </w:rPr>
      </w:pPr>
      <w:r>
        <w:rPr>
          <w:rFonts w:hint="eastAsia" w:hAnsi="仿宋_GB2312" w:eastAsia="仿宋_GB2312"/>
          <w:b/>
          <w:sz w:val="32"/>
          <w:szCs w:val="32"/>
          <w:lang w:eastAsia="zh-CN"/>
        </w:rPr>
        <w:t>第二十条</w:t>
      </w:r>
      <w:r>
        <w:rPr>
          <w:rFonts w:hint="eastAsia" w:hAnsi="仿宋_GB2312" w:eastAsia="仿宋_GB2312"/>
          <w:sz w:val="32"/>
          <w:szCs w:val="32"/>
        </w:rPr>
        <w:t xml:space="preserve"> 本所结合重点关注事项，对现场督导过程中获取的相关证据资料进行分析，形成现场督导报告。现场督导报告主要包括以下内容：</w:t>
      </w:r>
    </w:p>
    <w:p w14:paraId="78F30ED7">
      <w:pPr>
        <w:numPr>
          <w:ilvl w:val="0"/>
          <w:numId w:val="0"/>
        </w:numPr>
        <w:spacing w:line="560" w:lineRule="exact"/>
        <w:ind w:firstLine="640" w:firstLineChars="200"/>
        <w:rPr>
          <w:rFonts w:hAnsi="仿宋_GB2312" w:eastAsia="仿宋_GB2312"/>
          <w:sz w:val="32"/>
          <w:szCs w:val="32"/>
        </w:rPr>
      </w:pPr>
      <w:r>
        <w:rPr>
          <w:rFonts w:hint="eastAsia" w:ascii="Times New Roman" w:hAnsi="仿宋_GB2312" w:eastAsia="仿宋_GB2312" w:cs="Times New Roman"/>
          <w:b w:val="0"/>
          <w:bCs w:val="0"/>
          <w:kern w:val="2"/>
          <w:sz w:val="32"/>
          <w:szCs w:val="32"/>
          <w:lang w:val="en-US" w:eastAsia="zh-CN" w:bidi="ar-SA"/>
        </w:rPr>
        <w:t>（一）</w:t>
      </w:r>
      <w:r>
        <w:rPr>
          <w:rFonts w:hint="eastAsia" w:hAnsi="仿宋_GB2312" w:eastAsia="仿宋_GB2312"/>
          <w:sz w:val="32"/>
          <w:szCs w:val="32"/>
        </w:rPr>
        <w:t>督导项目基本情况；</w:t>
      </w:r>
    </w:p>
    <w:p w14:paraId="28355148">
      <w:pPr>
        <w:numPr>
          <w:ilvl w:val="0"/>
          <w:numId w:val="0"/>
        </w:numPr>
        <w:spacing w:line="560" w:lineRule="exact"/>
        <w:ind w:firstLine="640" w:firstLineChars="200"/>
        <w:rPr>
          <w:rFonts w:hAnsi="仿宋_GB2312" w:eastAsia="仿宋_GB2312"/>
          <w:sz w:val="32"/>
          <w:szCs w:val="32"/>
        </w:rPr>
      </w:pPr>
      <w:r>
        <w:rPr>
          <w:rFonts w:hint="eastAsia" w:ascii="Times New Roman" w:hAnsi="仿宋_GB2312" w:eastAsia="仿宋_GB2312" w:cs="Times New Roman"/>
          <w:b w:val="0"/>
          <w:bCs w:val="0"/>
          <w:kern w:val="2"/>
          <w:sz w:val="32"/>
          <w:szCs w:val="32"/>
          <w:lang w:val="en-US" w:eastAsia="zh-CN" w:bidi="ar-SA"/>
        </w:rPr>
        <w:t>（二）</w:t>
      </w:r>
      <w:r>
        <w:rPr>
          <w:rFonts w:hint="eastAsia" w:hAnsi="仿宋_GB2312" w:eastAsia="仿宋_GB2312"/>
          <w:sz w:val="32"/>
          <w:szCs w:val="32"/>
        </w:rPr>
        <w:t>现场督导人员安排及实施情况；</w:t>
      </w:r>
    </w:p>
    <w:p w14:paraId="23ECEDEA">
      <w:pPr>
        <w:numPr>
          <w:ilvl w:val="0"/>
          <w:numId w:val="0"/>
        </w:numPr>
        <w:spacing w:line="560" w:lineRule="exact"/>
        <w:ind w:firstLine="640" w:firstLineChars="200"/>
        <w:rPr>
          <w:rFonts w:hAnsi="仿宋_GB2312" w:eastAsia="仿宋_GB2312"/>
          <w:sz w:val="32"/>
          <w:szCs w:val="32"/>
        </w:rPr>
      </w:pPr>
      <w:r>
        <w:rPr>
          <w:rFonts w:hint="eastAsia" w:ascii="Times New Roman" w:hAnsi="仿宋_GB2312" w:eastAsia="仿宋_GB2312" w:cs="Times New Roman"/>
          <w:b w:val="0"/>
          <w:bCs w:val="0"/>
          <w:kern w:val="2"/>
          <w:sz w:val="32"/>
          <w:szCs w:val="32"/>
          <w:lang w:val="en-US" w:eastAsia="zh-CN" w:bidi="ar-SA"/>
        </w:rPr>
        <w:t>（三）</w:t>
      </w:r>
      <w:r>
        <w:rPr>
          <w:rFonts w:hint="eastAsia" w:hAnsi="仿宋_GB2312" w:eastAsia="仿宋_GB2312"/>
          <w:sz w:val="32"/>
          <w:szCs w:val="32"/>
        </w:rPr>
        <w:t>督导对象、发行人配合督导情况；</w:t>
      </w:r>
    </w:p>
    <w:p w14:paraId="3FB8E8B8">
      <w:pPr>
        <w:numPr>
          <w:ilvl w:val="0"/>
          <w:numId w:val="0"/>
        </w:numPr>
        <w:spacing w:line="560" w:lineRule="exact"/>
        <w:ind w:firstLine="640" w:firstLineChars="200"/>
        <w:rPr>
          <w:rFonts w:hAnsi="仿宋_GB2312" w:eastAsia="仿宋_GB2312"/>
          <w:sz w:val="32"/>
          <w:szCs w:val="32"/>
        </w:rPr>
      </w:pPr>
      <w:r>
        <w:rPr>
          <w:rFonts w:hint="eastAsia" w:ascii="Times New Roman" w:hAnsi="仿宋_GB2312" w:eastAsia="仿宋_GB2312" w:cs="Times New Roman"/>
          <w:b w:val="0"/>
          <w:bCs w:val="0"/>
          <w:kern w:val="2"/>
          <w:sz w:val="32"/>
          <w:szCs w:val="32"/>
          <w:lang w:val="en-US" w:eastAsia="zh-CN" w:bidi="ar-SA"/>
        </w:rPr>
        <w:t>（四）</w:t>
      </w:r>
      <w:r>
        <w:rPr>
          <w:rFonts w:hint="eastAsia" w:hAnsi="仿宋_GB2312" w:eastAsia="仿宋_GB2312"/>
          <w:sz w:val="32"/>
          <w:szCs w:val="32"/>
        </w:rPr>
        <w:t>督导中发现的主要问题及结论；</w:t>
      </w:r>
    </w:p>
    <w:p w14:paraId="4D663929">
      <w:pPr>
        <w:numPr>
          <w:ilvl w:val="0"/>
          <w:numId w:val="0"/>
        </w:numPr>
        <w:spacing w:line="560" w:lineRule="exact"/>
        <w:ind w:firstLine="640" w:firstLineChars="200"/>
        <w:rPr>
          <w:rFonts w:hAnsi="仿宋_GB2312" w:eastAsia="仿宋_GB2312"/>
          <w:sz w:val="32"/>
          <w:szCs w:val="32"/>
        </w:rPr>
      </w:pPr>
      <w:r>
        <w:rPr>
          <w:rFonts w:hint="eastAsia" w:ascii="Times New Roman" w:hAnsi="仿宋_GB2312" w:eastAsia="仿宋_GB2312" w:cs="Times New Roman"/>
          <w:b w:val="0"/>
          <w:bCs w:val="0"/>
          <w:kern w:val="2"/>
          <w:sz w:val="32"/>
          <w:szCs w:val="32"/>
          <w:lang w:val="en-US" w:eastAsia="zh-CN" w:bidi="ar-SA"/>
        </w:rPr>
        <w:t>（五）</w:t>
      </w:r>
      <w:r>
        <w:rPr>
          <w:rFonts w:hint="eastAsia" w:hAnsi="仿宋_GB2312" w:eastAsia="仿宋_GB2312"/>
          <w:sz w:val="32"/>
          <w:szCs w:val="32"/>
        </w:rPr>
        <w:t>其他需要说明的事项。</w:t>
      </w:r>
    </w:p>
    <w:p w14:paraId="5AFB673F">
      <w:pPr>
        <w:spacing w:line="560" w:lineRule="exact"/>
        <w:ind w:firstLine="643" w:firstLineChars="200"/>
        <w:rPr>
          <w:rFonts w:eastAsia="仿宋_GB2312"/>
          <w:sz w:val="32"/>
          <w:szCs w:val="32"/>
        </w:rPr>
      </w:pPr>
      <w:r>
        <w:rPr>
          <w:rFonts w:hint="eastAsia" w:hAnsi="仿宋_GB2312" w:eastAsia="仿宋_GB2312"/>
          <w:b/>
          <w:sz w:val="32"/>
          <w:szCs w:val="32"/>
          <w:lang w:eastAsia="zh-CN"/>
        </w:rPr>
        <w:t>第二十一条</w:t>
      </w:r>
      <w:r>
        <w:rPr>
          <w:rFonts w:hint="eastAsia" w:hAnsi="仿宋_GB2312" w:eastAsia="仿宋_GB2312"/>
          <w:sz w:val="32"/>
          <w:szCs w:val="32"/>
        </w:rPr>
        <w:t xml:space="preserve"> </w:t>
      </w:r>
      <w:r>
        <w:rPr>
          <w:rFonts w:hAnsi="仿宋_GB2312" w:eastAsia="仿宋_GB2312"/>
          <w:sz w:val="32"/>
          <w:szCs w:val="32"/>
        </w:rPr>
        <w:t>本所对现场督导中发现申请文件信息披露或者督导对象执业质量存在的问题，可以在审核中进一步问询，并要求发行人、督导对象进行补充说明、整改规范</w:t>
      </w:r>
      <w:r>
        <w:rPr>
          <w:rFonts w:hint="eastAsia" w:hAnsi="仿宋_GB2312" w:eastAsia="仿宋_GB2312"/>
          <w:sz w:val="32"/>
          <w:szCs w:val="32"/>
        </w:rPr>
        <w:t>。发行人、督导对象原则上应当在上市审核委员会审议会议召开前完成整改。</w:t>
      </w:r>
    </w:p>
    <w:p w14:paraId="70851F00">
      <w:pPr>
        <w:spacing w:line="560" w:lineRule="exact"/>
        <w:ind w:firstLine="643" w:firstLineChars="200"/>
        <w:rPr>
          <w:rFonts w:eastAsia="仿宋_GB2312"/>
          <w:sz w:val="32"/>
          <w:szCs w:val="32"/>
        </w:rPr>
      </w:pPr>
      <w:r>
        <w:rPr>
          <w:rFonts w:hint="eastAsia" w:hAnsi="仿宋_GB2312" w:eastAsia="仿宋_GB2312"/>
          <w:b/>
          <w:sz w:val="32"/>
          <w:szCs w:val="32"/>
          <w:lang w:eastAsia="zh-CN"/>
        </w:rPr>
        <w:t>第二十二条</w:t>
      </w:r>
      <w:r>
        <w:rPr>
          <w:rFonts w:hint="eastAsia" w:hAnsi="仿宋_GB2312" w:eastAsia="仿宋_GB2312"/>
          <w:sz w:val="32"/>
          <w:szCs w:val="32"/>
        </w:rPr>
        <w:t xml:space="preserve"> </w:t>
      </w:r>
      <w:r>
        <w:rPr>
          <w:rFonts w:hAnsi="仿宋_GB2312" w:eastAsia="仿宋_GB2312"/>
          <w:sz w:val="32"/>
          <w:szCs w:val="32"/>
        </w:rPr>
        <w:t>现场督导未发现与发行条件、上市条件和信息披露要求相关的重大疑问或者异常，且发行人和督导对象作出合理解释或者说明、不影响审核判断的，本所继续推进审核程序。</w:t>
      </w:r>
    </w:p>
    <w:p w14:paraId="3AB58C82">
      <w:pPr>
        <w:spacing w:line="560" w:lineRule="exact"/>
        <w:ind w:firstLine="643" w:firstLineChars="200"/>
        <w:rPr>
          <w:rFonts w:eastAsia="仿宋_GB2312"/>
          <w:sz w:val="32"/>
          <w:szCs w:val="32"/>
        </w:rPr>
      </w:pPr>
      <w:r>
        <w:rPr>
          <w:rFonts w:hint="eastAsia" w:hAnsi="仿宋_GB2312" w:eastAsia="仿宋_GB2312"/>
          <w:b/>
          <w:sz w:val="32"/>
          <w:szCs w:val="32"/>
          <w:lang w:eastAsia="zh-CN"/>
        </w:rPr>
        <w:t>第二十三条</w:t>
      </w:r>
      <w:r>
        <w:rPr>
          <w:rFonts w:hint="eastAsia" w:hAnsi="仿宋_GB2312" w:eastAsia="仿宋_GB2312"/>
          <w:sz w:val="32"/>
          <w:szCs w:val="32"/>
        </w:rPr>
        <w:t xml:space="preserve"> </w:t>
      </w:r>
      <w:r>
        <w:rPr>
          <w:rFonts w:hAnsi="仿宋_GB2312" w:eastAsia="仿宋_GB2312"/>
          <w:sz w:val="32"/>
          <w:szCs w:val="32"/>
        </w:rPr>
        <w:t>本所现场督导发现督导对象存在履职不到位、执业不规范等情形的，将采取出具监管工作函、谈话提醒等监管工作措施，要求其进行整改。</w:t>
      </w:r>
    </w:p>
    <w:p w14:paraId="18F12B69">
      <w:pPr>
        <w:spacing w:line="560" w:lineRule="exact"/>
        <w:ind w:firstLine="640" w:firstLineChars="200"/>
        <w:rPr>
          <w:rFonts w:hAnsi="仿宋_GB2312" w:eastAsia="仿宋_GB2312"/>
          <w:sz w:val="32"/>
          <w:szCs w:val="32"/>
        </w:rPr>
      </w:pPr>
      <w:r>
        <w:rPr>
          <w:rFonts w:hAnsi="仿宋_GB2312" w:eastAsia="仿宋_GB2312"/>
          <w:sz w:val="32"/>
          <w:szCs w:val="32"/>
        </w:rPr>
        <w:t>本所现场督导发现因督导对象未能勤勉尽责，导致信息披露资料不符合真实、准确、完整要求，或者存在其他违规行为的，视情节轻重，给予相应监管措施或者实施纪律处分。</w:t>
      </w:r>
    </w:p>
    <w:p w14:paraId="49458AC5">
      <w:pPr>
        <w:spacing w:line="560" w:lineRule="exact"/>
        <w:ind w:firstLine="643" w:firstLineChars="200"/>
        <w:rPr>
          <w:rFonts w:eastAsia="仿宋_GB2312"/>
          <w:sz w:val="32"/>
          <w:szCs w:val="32"/>
        </w:rPr>
      </w:pPr>
      <w:r>
        <w:rPr>
          <w:rFonts w:hint="eastAsia" w:eastAsia="仿宋_GB2312"/>
          <w:b/>
          <w:sz w:val="32"/>
          <w:szCs w:val="32"/>
          <w:lang w:eastAsia="zh-CN"/>
        </w:rPr>
        <w:t>第二十四条</w:t>
      </w:r>
      <w:r>
        <w:rPr>
          <w:rFonts w:hint="eastAsia" w:eastAsia="仿宋_GB2312"/>
          <w:sz w:val="32"/>
          <w:szCs w:val="32"/>
        </w:rPr>
        <w:t xml:space="preserve"> 保荐人、证券服务机构及其相关人员拒绝、阻碍、逃避本所现场督导，谎报、隐匿、销毁相关证据资料的，本所依据《上海证券交易所股票发行上市审核规则》等规定，视情节轻重，对保荐人、证券服务机构及其相关人员给予一定期限内不接受其提交或者签字的发行上市申请文件、信息披露文件的纪律处分。</w:t>
      </w:r>
    </w:p>
    <w:p w14:paraId="503DF962">
      <w:pPr>
        <w:spacing w:line="560" w:lineRule="exact"/>
        <w:ind w:firstLine="640" w:firstLineChars="200"/>
        <w:rPr>
          <w:rFonts w:eastAsia="仿宋_GB2312"/>
          <w:sz w:val="32"/>
          <w:szCs w:val="32"/>
        </w:rPr>
      </w:pPr>
      <w:r>
        <w:rPr>
          <w:rFonts w:hint="eastAsia" w:eastAsia="仿宋_GB2312"/>
          <w:sz w:val="32"/>
          <w:szCs w:val="32"/>
        </w:rPr>
        <w:t>保荐人、证券服务机构及其相关人员拒绝、阻碍、逃避现场督导导致督导工作难以正常开展的，本所可以视情况提请问题导向现场检查。</w:t>
      </w:r>
    </w:p>
    <w:p w14:paraId="265F628B">
      <w:pPr>
        <w:spacing w:line="560" w:lineRule="exact"/>
        <w:ind w:firstLine="643" w:firstLineChars="200"/>
        <w:rPr>
          <w:rFonts w:eastAsia="仿宋_GB2312"/>
          <w:sz w:val="32"/>
          <w:szCs w:val="32"/>
        </w:rPr>
      </w:pPr>
      <w:r>
        <w:rPr>
          <w:rFonts w:hint="eastAsia" w:hAnsi="仿宋_GB2312" w:eastAsia="仿宋_GB2312"/>
          <w:b/>
          <w:sz w:val="32"/>
          <w:szCs w:val="32"/>
          <w:lang w:eastAsia="zh-CN"/>
        </w:rPr>
        <w:t>第二十五条</w:t>
      </w:r>
      <w:r>
        <w:rPr>
          <w:rFonts w:hint="eastAsia" w:hAnsi="仿宋_GB2312" w:eastAsia="仿宋_GB2312"/>
          <w:sz w:val="32"/>
          <w:szCs w:val="32"/>
        </w:rPr>
        <w:t xml:space="preserve"> </w:t>
      </w:r>
      <w:r>
        <w:rPr>
          <w:rFonts w:hAnsi="仿宋_GB2312" w:eastAsia="仿宋_GB2312"/>
          <w:sz w:val="32"/>
          <w:szCs w:val="32"/>
        </w:rPr>
        <w:t>最近</w:t>
      </w:r>
      <w:r>
        <w:rPr>
          <w:rFonts w:eastAsia="仿宋_GB2312"/>
          <w:sz w:val="32"/>
          <w:szCs w:val="32"/>
        </w:rPr>
        <w:t>36</w:t>
      </w:r>
      <w:r>
        <w:rPr>
          <w:rFonts w:hAnsi="仿宋_GB2312" w:eastAsia="仿宋_GB2312"/>
          <w:sz w:val="32"/>
          <w:szCs w:val="32"/>
        </w:rPr>
        <w:t>个月内，督导对象及其相关责任人员因现场检查或者现场督导发现的违法违规问题被采取</w:t>
      </w:r>
      <w:r>
        <w:rPr>
          <w:rFonts w:hint="eastAsia" w:hAnsi="仿宋_GB2312" w:eastAsia="仿宋_GB2312"/>
          <w:sz w:val="32"/>
          <w:szCs w:val="32"/>
        </w:rPr>
        <w:t>行政处罚、</w:t>
      </w:r>
      <w:r>
        <w:rPr>
          <w:rFonts w:hAnsi="仿宋_GB2312" w:eastAsia="仿宋_GB2312"/>
          <w:sz w:val="32"/>
          <w:szCs w:val="32"/>
        </w:rPr>
        <w:t>行政监管措施或者自律</w:t>
      </w:r>
      <w:r>
        <w:rPr>
          <w:rFonts w:hint="eastAsia" w:hAnsi="仿宋_GB2312" w:eastAsia="仿宋_GB2312"/>
          <w:sz w:val="32"/>
          <w:szCs w:val="32"/>
        </w:rPr>
        <w:t>管理</w:t>
      </w:r>
      <w:r>
        <w:rPr>
          <w:rFonts w:hAnsi="仿宋_GB2312" w:eastAsia="仿宋_GB2312"/>
          <w:sz w:val="32"/>
          <w:szCs w:val="32"/>
        </w:rPr>
        <w:t>措施等，本次现场督导又发现同类问题且性质严重的，本所可以按照相关规定对相关单位和个人从重处理。</w:t>
      </w:r>
    </w:p>
    <w:p w14:paraId="0ABA6C1E">
      <w:pPr>
        <w:spacing w:line="560" w:lineRule="exact"/>
        <w:ind w:firstLine="643" w:firstLineChars="200"/>
        <w:rPr>
          <w:rFonts w:eastAsia="仿宋_GB2312"/>
          <w:sz w:val="32"/>
          <w:szCs w:val="32"/>
        </w:rPr>
      </w:pPr>
      <w:r>
        <w:rPr>
          <w:rFonts w:hint="eastAsia" w:hAnsi="仿宋_GB2312" w:eastAsia="仿宋_GB2312"/>
          <w:b/>
          <w:sz w:val="32"/>
          <w:szCs w:val="32"/>
          <w:lang w:eastAsia="zh-CN"/>
        </w:rPr>
        <w:t>第二十六条</w:t>
      </w:r>
      <w:r>
        <w:rPr>
          <w:rFonts w:hint="eastAsia" w:hAnsi="仿宋_GB2312" w:eastAsia="仿宋_GB2312"/>
          <w:sz w:val="32"/>
          <w:szCs w:val="32"/>
        </w:rPr>
        <w:t xml:space="preserve"> </w:t>
      </w:r>
      <w:r>
        <w:rPr>
          <w:rFonts w:hAnsi="仿宋_GB2312" w:eastAsia="仿宋_GB2312"/>
          <w:sz w:val="32"/>
          <w:szCs w:val="32"/>
        </w:rPr>
        <w:t>本所在审核或者现场督导中发现发行人存在与发行条件、上市条件或者信息披露要求相关的重大疑问或者异常，且未能提供合理解释、影响审核判断的，将按照中国证监会有关规定提请实施现场检查。</w:t>
      </w:r>
    </w:p>
    <w:p w14:paraId="1F557095">
      <w:pPr>
        <w:spacing w:line="560" w:lineRule="exact"/>
        <w:ind w:firstLine="643" w:firstLineChars="200"/>
        <w:rPr>
          <w:rFonts w:eastAsia="仿宋_GB2312"/>
          <w:sz w:val="32"/>
          <w:szCs w:val="32"/>
        </w:rPr>
      </w:pPr>
      <w:r>
        <w:rPr>
          <w:rFonts w:hint="eastAsia" w:hAnsi="仿宋_GB2312" w:eastAsia="仿宋_GB2312"/>
          <w:b/>
          <w:sz w:val="32"/>
          <w:szCs w:val="32"/>
          <w:lang w:eastAsia="zh-CN"/>
        </w:rPr>
        <w:t>第二十七条</w:t>
      </w:r>
      <w:r>
        <w:rPr>
          <w:rFonts w:hint="eastAsia" w:hAnsi="仿宋_GB2312" w:eastAsia="仿宋_GB2312"/>
          <w:sz w:val="32"/>
          <w:szCs w:val="32"/>
        </w:rPr>
        <w:t xml:space="preserve"> </w:t>
      </w:r>
      <w:r>
        <w:rPr>
          <w:rFonts w:hAnsi="仿宋_GB2312" w:eastAsia="仿宋_GB2312"/>
          <w:sz w:val="32"/>
          <w:szCs w:val="32"/>
        </w:rPr>
        <w:t>本所现场督导发现发行人、督导对象等涉嫌证券违法行为的，将依法报中国证监会查处。</w:t>
      </w:r>
    </w:p>
    <w:p w14:paraId="3E91358E">
      <w:pPr>
        <w:spacing w:line="560" w:lineRule="exact"/>
        <w:ind w:firstLine="643" w:firstLineChars="200"/>
        <w:rPr>
          <w:rFonts w:eastAsia="仿宋_GB2312"/>
          <w:sz w:val="32"/>
          <w:szCs w:val="32"/>
        </w:rPr>
      </w:pPr>
      <w:r>
        <w:rPr>
          <w:rFonts w:hint="eastAsia" w:hAnsi="仿宋_GB2312" w:eastAsia="仿宋_GB2312"/>
          <w:b/>
          <w:sz w:val="32"/>
          <w:szCs w:val="32"/>
          <w:lang w:eastAsia="zh-CN"/>
        </w:rPr>
        <w:t>第二十八条</w:t>
      </w:r>
      <w:r>
        <w:rPr>
          <w:rFonts w:hint="eastAsia" w:hAnsi="仿宋_GB2312" w:eastAsia="仿宋_GB2312"/>
          <w:sz w:val="32"/>
          <w:szCs w:val="32"/>
        </w:rPr>
        <w:t xml:space="preserve"> </w:t>
      </w:r>
      <w:r>
        <w:rPr>
          <w:rFonts w:hAnsi="仿宋_GB2312" w:eastAsia="仿宋_GB2312"/>
          <w:sz w:val="32"/>
          <w:szCs w:val="32"/>
        </w:rPr>
        <w:t>本所对现场督导中发现的督导对象执业质量问题，将纳入执业质量评价。</w:t>
      </w:r>
    </w:p>
    <w:p w14:paraId="3D7AAD69">
      <w:pPr>
        <w:spacing w:line="560" w:lineRule="exact"/>
        <w:ind w:firstLine="640" w:firstLineChars="200"/>
        <w:rPr>
          <w:rFonts w:eastAsia="仿宋_GB2312"/>
          <w:sz w:val="32"/>
          <w:szCs w:val="32"/>
        </w:rPr>
      </w:pPr>
      <w:r>
        <w:rPr>
          <w:rFonts w:hAnsi="仿宋_GB2312" w:eastAsia="仿宋_GB2312"/>
          <w:sz w:val="32"/>
          <w:szCs w:val="32"/>
        </w:rPr>
        <w:t>因执业质量问题被本所采取监管措施或者纪律处分的督导对象，应当根据内部管理规定对相关责任人员进行内部问责，并及时将问责情况报告本所。</w:t>
      </w:r>
    </w:p>
    <w:p w14:paraId="5E8777B9">
      <w:pPr>
        <w:spacing w:line="560" w:lineRule="exact"/>
        <w:ind w:firstLine="640" w:firstLineChars="200"/>
        <w:rPr>
          <w:rFonts w:eastAsia="仿宋_GB2312"/>
          <w:sz w:val="32"/>
          <w:szCs w:val="32"/>
        </w:rPr>
      </w:pPr>
      <w:r>
        <w:rPr>
          <w:rFonts w:hAnsi="仿宋_GB2312" w:eastAsia="仿宋_GB2312"/>
          <w:sz w:val="32"/>
          <w:szCs w:val="32"/>
        </w:rPr>
        <w:t>督导对象应当对本所现场督导发现的执业质量问题及时整改，本所在必要时可以对其整改情况及相关业务内部控制执行情况进行检查。</w:t>
      </w:r>
    </w:p>
    <w:p w14:paraId="128CF3F2">
      <w:pPr>
        <w:spacing w:line="560" w:lineRule="exact"/>
        <w:ind w:firstLine="643" w:firstLineChars="200"/>
        <w:jc w:val="left"/>
        <w:rPr>
          <w:rStyle w:val="11"/>
          <w:rFonts w:eastAsia="仿宋_GB2312"/>
          <w:highlight w:val="yellow"/>
        </w:rPr>
      </w:pPr>
      <w:r>
        <w:rPr>
          <w:rFonts w:hint="eastAsia" w:hAnsi="仿宋_GB2312" w:eastAsia="仿宋_GB2312"/>
          <w:b/>
          <w:sz w:val="32"/>
          <w:szCs w:val="32"/>
          <w:lang w:eastAsia="zh-CN"/>
        </w:rPr>
        <w:t>第二十九条</w:t>
      </w:r>
      <w:r>
        <w:rPr>
          <w:rFonts w:hint="eastAsia" w:hAnsi="仿宋_GB2312" w:eastAsia="仿宋_GB2312"/>
          <w:sz w:val="32"/>
          <w:szCs w:val="32"/>
        </w:rPr>
        <w:t xml:space="preserve"> </w:t>
      </w:r>
      <w:r>
        <w:rPr>
          <w:rFonts w:eastAsia="仿宋_GB2312"/>
          <w:sz w:val="32"/>
          <w:szCs w:val="32"/>
        </w:rPr>
        <w:t>本所通过公布现场督导规则、典型案例、开展业务培训等方式，提高现场督导工作透明度。</w:t>
      </w:r>
    </w:p>
    <w:p w14:paraId="568CE48C">
      <w:pPr>
        <w:spacing w:line="560" w:lineRule="exact"/>
        <w:ind w:firstLine="643" w:firstLineChars="200"/>
        <w:jc w:val="left"/>
        <w:rPr>
          <w:rFonts w:eastAsia="仿宋_GB2312"/>
          <w:sz w:val="32"/>
          <w:szCs w:val="32"/>
        </w:rPr>
      </w:pPr>
      <w:r>
        <w:rPr>
          <w:rFonts w:hint="eastAsia" w:hAnsi="仿宋_GB2312" w:eastAsia="仿宋_GB2312"/>
          <w:b/>
          <w:sz w:val="32"/>
          <w:szCs w:val="32"/>
          <w:lang w:eastAsia="zh-CN"/>
        </w:rPr>
        <w:t>第三十条</w:t>
      </w:r>
      <w:r>
        <w:rPr>
          <w:rFonts w:hint="eastAsia" w:eastAsia="仿宋_GB2312"/>
          <w:sz w:val="32"/>
          <w:szCs w:val="32"/>
        </w:rPr>
        <w:t xml:space="preserve"> </w:t>
      </w:r>
      <w:r>
        <w:rPr>
          <w:rFonts w:hint="eastAsia" w:hAnsi="仿宋_GB2312" w:eastAsia="仿宋_GB2312"/>
          <w:sz w:val="32"/>
          <w:szCs w:val="32"/>
        </w:rPr>
        <w:t>本所实施现场督导的结果，并不表明对发行人信息披露真实性、准确性、完整性作出保证，也不代表对发行人投资价值的实质性判断。</w:t>
      </w:r>
    </w:p>
    <w:p w14:paraId="3C641908">
      <w:pPr>
        <w:spacing w:line="560" w:lineRule="exact"/>
        <w:ind w:firstLine="643" w:firstLineChars="200"/>
        <w:jc w:val="left"/>
        <w:rPr>
          <w:rFonts w:eastAsia="仿宋_GB2312"/>
          <w:sz w:val="32"/>
          <w:szCs w:val="32"/>
        </w:rPr>
      </w:pPr>
      <w:r>
        <w:rPr>
          <w:rFonts w:hint="eastAsia" w:eastAsia="仿宋_GB2312"/>
          <w:b/>
          <w:bCs/>
          <w:sz w:val="32"/>
          <w:szCs w:val="32"/>
          <w:lang w:eastAsia="zh-CN"/>
        </w:rPr>
        <w:t>第三十一条</w:t>
      </w:r>
      <w:r>
        <w:rPr>
          <w:rFonts w:hint="eastAsia" w:eastAsia="仿宋_GB2312"/>
          <w:sz w:val="32"/>
          <w:szCs w:val="32"/>
        </w:rPr>
        <w:t xml:space="preserve"> </w:t>
      </w:r>
      <w:r>
        <w:rPr>
          <w:rFonts w:eastAsia="仿宋_GB2312"/>
          <w:sz w:val="32"/>
          <w:szCs w:val="32"/>
        </w:rPr>
        <w:t>本所在上市公司证券发行上市或者重大资产重组、转板公司转板等的审核中对保荐人、独立财务顾问、证券服务机构的现场督导，参照</w:t>
      </w:r>
      <w:r>
        <w:rPr>
          <w:rFonts w:hint="eastAsia" w:eastAsia="仿宋_GB2312"/>
          <w:sz w:val="32"/>
          <w:szCs w:val="32"/>
        </w:rPr>
        <w:t>适用</w:t>
      </w:r>
      <w:r>
        <w:rPr>
          <w:rFonts w:eastAsia="仿宋_GB2312"/>
          <w:sz w:val="32"/>
          <w:szCs w:val="32"/>
        </w:rPr>
        <w:t>本指引</w:t>
      </w:r>
      <w:r>
        <w:rPr>
          <w:rFonts w:hint="eastAsia" w:eastAsia="仿宋_GB2312"/>
          <w:sz w:val="32"/>
          <w:szCs w:val="32"/>
        </w:rPr>
        <w:t>，本指引</w:t>
      </w:r>
      <w:r>
        <w:rPr>
          <w:rFonts w:hint="eastAsia" w:eastAsia="仿宋_GB2312"/>
          <w:b w:val="0"/>
          <w:bCs/>
          <w:sz w:val="32"/>
          <w:szCs w:val="32"/>
          <w:lang w:eastAsia="zh-CN"/>
        </w:rPr>
        <w:t>第八条</w:t>
      </w:r>
      <w:r>
        <w:rPr>
          <w:rFonts w:hint="eastAsia" w:eastAsia="仿宋_GB2312"/>
          <w:sz w:val="32"/>
          <w:szCs w:val="32"/>
        </w:rPr>
        <w:t>规定除外。</w:t>
      </w:r>
    </w:p>
    <w:p w14:paraId="49FEDF2F">
      <w:pPr>
        <w:spacing w:line="560" w:lineRule="exact"/>
        <w:ind w:firstLine="643" w:firstLineChars="200"/>
        <w:rPr>
          <w:rFonts w:eastAsia="仿宋_GB2312"/>
          <w:sz w:val="32"/>
          <w:szCs w:val="32"/>
        </w:rPr>
      </w:pPr>
      <w:r>
        <w:rPr>
          <w:rFonts w:hint="eastAsia" w:hAnsi="仿宋_GB2312" w:eastAsia="仿宋_GB2312"/>
          <w:b/>
          <w:sz w:val="32"/>
          <w:szCs w:val="32"/>
          <w:lang w:eastAsia="zh-CN"/>
        </w:rPr>
        <w:t>第三十二条</w:t>
      </w:r>
      <w:r>
        <w:rPr>
          <w:rFonts w:hint="eastAsia" w:hAnsi="仿宋_GB2312" w:eastAsia="仿宋_GB2312"/>
          <w:sz w:val="32"/>
          <w:szCs w:val="32"/>
        </w:rPr>
        <w:t xml:space="preserve"> </w:t>
      </w:r>
      <w:r>
        <w:rPr>
          <w:rFonts w:hAnsi="仿宋_GB2312" w:eastAsia="仿宋_GB2312"/>
          <w:sz w:val="32"/>
          <w:szCs w:val="32"/>
        </w:rPr>
        <w:t>本指引由本所负责解释。</w:t>
      </w:r>
    </w:p>
    <w:p w14:paraId="451F2AD2">
      <w:pPr>
        <w:spacing w:line="560" w:lineRule="exact"/>
        <w:ind w:firstLine="643" w:firstLineChars="200"/>
        <w:rPr>
          <w:rFonts w:eastAsia="仿宋_GB2312"/>
          <w:sz w:val="32"/>
          <w:szCs w:val="32"/>
        </w:rPr>
      </w:pPr>
      <w:r>
        <w:rPr>
          <w:rFonts w:hint="eastAsia" w:hAnsi="仿宋_GB2312" w:eastAsia="仿宋_GB2312"/>
          <w:b/>
          <w:sz w:val="32"/>
          <w:szCs w:val="32"/>
          <w:lang w:eastAsia="zh-CN"/>
        </w:rPr>
        <w:t>第三十三条</w:t>
      </w:r>
      <w:r>
        <w:rPr>
          <w:rFonts w:hint="eastAsia" w:hAnsi="仿宋_GB2312" w:eastAsia="仿宋_GB2312"/>
          <w:sz w:val="32"/>
          <w:szCs w:val="32"/>
        </w:rPr>
        <w:t xml:space="preserve"> </w:t>
      </w:r>
      <w:r>
        <w:rPr>
          <w:rFonts w:hAnsi="仿宋_GB2312" w:eastAsia="仿宋_GB2312"/>
          <w:sz w:val="32"/>
          <w:szCs w:val="32"/>
        </w:rPr>
        <w:t>本指引自发布之日起施行。本所于</w:t>
      </w:r>
      <w:r>
        <w:rPr>
          <w:rFonts w:eastAsia="仿宋_GB2312"/>
          <w:sz w:val="32"/>
          <w:szCs w:val="32"/>
        </w:rPr>
        <w:t>2023年2月17日</w:t>
      </w:r>
      <w:r>
        <w:rPr>
          <w:rFonts w:hAnsi="仿宋_GB2312" w:eastAsia="仿宋_GB2312"/>
          <w:sz w:val="32"/>
          <w:szCs w:val="32"/>
        </w:rPr>
        <w:t>发布的《上海证券交易所发行上市审核规则适用指引第</w:t>
      </w:r>
      <w:r>
        <w:rPr>
          <w:rFonts w:eastAsia="仿宋_GB2312"/>
          <w:sz w:val="32"/>
          <w:szCs w:val="32"/>
        </w:rPr>
        <w:t>3</w:t>
      </w:r>
      <w:r>
        <w:rPr>
          <w:rFonts w:hAnsi="仿宋_GB2312" w:eastAsia="仿宋_GB2312"/>
          <w:sz w:val="32"/>
          <w:szCs w:val="32"/>
        </w:rPr>
        <w:t>号</w:t>
      </w:r>
      <w:r>
        <w:rPr>
          <w:rFonts w:eastAsia="仿宋_GB2312"/>
          <w:sz w:val="32"/>
          <w:szCs w:val="32"/>
        </w:rPr>
        <w:t>——</w:t>
      </w:r>
      <w:r>
        <w:rPr>
          <w:rFonts w:hAnsi="仿宋_GB2312" w:eastAsia="仿宋_GB2312"/>
          <w:sz w:val="32"/>
          <w:szCs w:val="32"/>
        </w:rPr>
        <w:t>现场督导》（上证发〔</w:t>
      </w:r>
      <w:r>
        <w:rPr>
          <w:rFonts w:eastAsia="仿宋_GB2312"/>
          <w:sz w:val="32"/>
          <w:szCs w:val="32"/>
        </w:rPr>
        <w:t>2023</w:t>
      </w:r>
      <w:r>
        <w:rPr>
          <w:rFonts w:hAnsi="仿宋_GB2312" w:eastAsia="仿宋_GB2312"/>
          <w:sz w:val="32"/>
          <w:szCs w:val="32"/>
        </w:rPr>
        <w:t>〕</w:t>
      </w:r>
      <w:r>
        <w:rPr>
          <w:rFonts w:eastAsia="仿宋_GB2312"/>
          <w:sz w:val="32"/>
          <w:szCs w:val="32"/>
        </w:rPr>
        <w:t>46</w:t>
      </w:r>
      <w:r>
        <w:rPr>
          <w:rFonts w:hAnsi="仿宋_GB2312" w:eastAsia="仿宋_GB2312"/>
          <w:sz w:val="32"/>
          <w:szCs w:val="32"/>
        </w:rPr>
        <w:t>号）同时废止。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4"/>
      </w:rPr>
      <w:id w:val="677505094"/>
    </w:sdtPr>
    <w:sdtEndPr>
      <w:rPr>
        <w:sz w:val="24"/>
      </w:rPr>
    </w:sdtEndPr>
    <w:sdtContent>
      <w:p w14:paraId="62C4ADAF">
        <w:pPr>
          <w:pStyle w:val="6"/>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w:t>
        </w:r>
        <w:r>
          <w:rPr>
            <w:sz w:val="24"/>
            <w:szCs w:val="24"/>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NzZmN2NmZDgyNmQ2NGY4ZDYzMjJjZjI2N2VhNzVkMmMifQ=="/>
  </w:docVars>
  <w:rsids>
    <w:rsidRoot w:val="007E43A8"/>
    <w:rsid w:val="0000031E"/>
    <w:rsid w:val="00001CCB"/>
    <w:rsid w:val="00003E58"/>
    <w:rsid w:val="00006F6C"/>
    <w:rsid w:val="000167BC"/>
    <w:rsid w:val="000172B9"/>
    <w:rsid w:val="00020774"/>
    <w:rsid w:val="00020AD9"/>
    <w:rsid w:val="00023E00"/>
    <w:rsid w:val="00030E95"/>
    <w:rsid w:val="00033668"/>
    <w:rsid w:val="000455A8"/>
    <w:rsid w:val="00051115"/>
    <w:rsid w:val="00054DA0"/>
    <w:rsid w:val="0005624D"/>
    <w:rsid w:val="00062996"/>
    <w:rsid w:val="000637A6"/>
    <w:rsid w:val="00070202"/>
    <w:rsid w:val="000719F2"/>
    <w:rsid w:val="0007413E"/>
    <w:rsid w:val="00081B31"/>
    <w:rsid w:val="00082709"/>
    <w:rsid w:val="00091555"/>
    <w:rsid w:val="00092346"/>
    <w:rsid w:val="00094DB3"/>
    <w:rsid w:val="000A006A"/>
    <w:rsid w:val="000A1528"/>
    <w:rsid w:val="000B09C8"/>
    <w:rsid w:val="000B15BE"/>
    <w:rsid w:val="000B1F36"/>
    <w:rsid w:val="000B27B0"/>
    <w:rsid w:val="000C25DE"/>
    <w:rsid w:val="000C36AB"/>
    <w:rsid w:val="000C7762"/>
    <w:rsid w:val="000D452B"/>
    <w:rsid w:val="000E1483"/>
    <w:rsid w:val="000F2709"/>
    <w:rsid w:val="000F2A73"/>
    <w:rsid w:val="000F7960"/>
    <w:rsid w:val="0010395E"/>
    <w:rsid w:val="00104D6C"/>
    <w:rsid w:val="00111294"/>
    <w:rsid w:val="00111521"/>
    <w:rsid w:val="00112182"/>
    <w:rsid w:val="00114681"/>
    <w:rsid w:val="0012313E"/>
    <w:rsid w:val="0012653A"/>
    <w:rsid w:val="0013385C"/>
    <w:rsid w:val="001357A7"/>
    <w:rsid w:val="00140680"/>
    <w:rsid w:val="00140899"/>
    <w:rsid w:val="00151D2D"/>
    <w:rsid w:val="00153954"/>
    <w:rsid w:val="00162D32"/>
    <w:rsid w:val="00163BAA"/>
    <w:rsid w:val="00167609"/>
    <w:rsid w:val="001727B8"/>
    <w:rsid w:val="00183B0C"/>
    <w:rsid w:val="001A15BF"/>
    <w:rsid w:val="001A467B"/>
    <w:rsid w:val="001B1771"/>
    <w:rsid w:val="001B51AF"/>
    <w:rsid w:val="001C5412"/>
    <w:rsid w:val="001C5E95"/>
    <w:rsid w:val="001D063C"/>
    <w:rsid w:val="001F208B"/>
    <w:rsid w:val="001F6B8A"/>
    <w:rsid w:val="002010C1"/>
    <w:rsid w:val="00201AE4"/>
    <w:rsid w:val="002037FD"/>
    <w:rsid w:val="00205A6F"/>
    <w:rsid w:val="00211083"/>
    <w:rsid w:val="002126E4"/>
    <w:rsid w:val="00215A4A"/>
    <w:rsid w:val="002216B8"/>
    <w:rsid w:val="00223F5C"/>
    <w:rsid w:val="00232A72"/>
    <w:rsid w:val="00237F5E"/>
    <w:rsid w:val="00242AD0"/>
    <w:rsid w:val="00242C10"/>
    <w:rsid w:val="00246DC8"/>
    <w:rsid w:val="00261312"/>
    <w:rsid w:val="00270D16"/>
    <w:rsid w:val="002727F9"/>
    <w:rsid w:val="002806EF"/>
    <w:rsid w:val="00282A5C"/>
    <w:rsid w:val="00286E5C"/>
    <w:rsid w:val="002944DF"/>
    <w:rsid w:val="00296BDE"/>
    <w:rsid w:val="002B1FA6"/>
    <w:rsid w:val="002C5FB7"/>
    <w:rsid w:val="002D0EDB"/>
    <w:rsid w:val="002D30AE"/>
    <w:rsid w:val="002D3148"/>
    <w:rsid w:val="002D3827"/>
    <w:rsid w:val="002D59FB"/>
    <w:rsid w:val="002E1CEA"/>
    <w:rsid w:val="002F4A81"/>
    <w:rsid w:val="002F694C"/>
    <w:rsid w:val="00300663"/>
    <w:rsid w:val="00300857"/>
    <w:rsid w:val="00303D5E"/>
    <w:rsid w:val="00304999"/>
    <w:rsid w:val="003119D7"/>
    <w:rsid w:val="00321249"/>
    <w:rsid w:val="003344E1"/>
    <w:rsid w:val="00335E06"/>
    <w:rsid w:val="003417B8"/>
    <w:rsid w:val="00343999"/>
    <w:rsid w:val="003456B1"/>
    <w:rsid w:val="00362BA1"/>
    <w:rsid w:val="00363241"/>
    <w:rsid w:val="00363ECE"/>
    <w:rsid w:val="00372213"/>
    <w:rsid w:val="00374218"/>
    <w:rsid w:val="003769C9"/>
    <w:rsid w:val="00376B8F"/>
    <w:rsid w:val="00384EE1"/>
    <w:rsid w:val="00387A89"/>
    <w:rsid w:val="0039110C"/>
    <w:rsid w:val="003911CF"/>
    <w:rsid w:val="003966EE"/>
    <w:rsid w:val="003A025E"/>
    <w:rsid w:val="003A0A1C"/>
    <w:rsid w:val="003A10E6"/>
    <w:rsid w:val="003A7D3C"/>
    <w:rsid w:val="003B25E8"/>
    <w:rsid w:val="003B4FEF"/>
    <w:rsid w:val="003B6AA7"/>
    <w:rsid w:val="003C184F"/>
    <w:rsid w:val="003C6C31"/>
    <w:rsid w:val="003D1F8D"/>
    <w:rsid w:val="003D39FE"/>
    <w:rsid w:val="003D3C16"/>
    <w:rsid w:val="003D5EBF"/>
    <w:rsid w:val="003E6922"/>
    <w:rsid w:val="003F2B9A"/>
    <w:rsid w:val="004007CF"/>
    <w:rsid w:val="00401C2E"/>
    <w:rsid w:val="00403832"/>
    <w:rsid w:val="00403FC9"/>
    <w:rsid w:val="00412180"/>
    <w:rsid w:val="00414DDE"/>
    <w:rsid w:val="0042157B"/>
    <w:rsid w:val="00423EAC"/>
    <w:rsid w:val="0042657A"/>
    <w:rsid w:val="00451D26"/>
    <w:rsid w:val="00451DAF"/>
    <w:rsid w:val="00452AD6"/>
    <w:rsid w:val="0045386A"/>
    <w:rsid w:val="00464F3D"/>
    <w:rsid w:val="00465D2E"/>
    <w:rsid w:val="00466AAA"/>
    <w:rsid w:val="004715D4"/>
    <w:rsid w:val="00471DE8"/>
    <w:rsid w:val="004721F1"/>
    <w:rsid w:val="004726BB"/>
    <w:rsid w:val="0047316A"/>
    <w:rsid w:val="004748A0"/>
    <w:rsid w:val="00483322"/>
    <w:rsid w:val="004875B0"/>
    <w:rsid w:val="004935DD"/>
    <w:rsid w:val="004A21D1"/>
    <w:rsid w:val="004A2A54"/>
    <w:rsid w:val="004A5D8D"/>
    <w:rsid w:val="004A7B35"/>
    <w:rsid w:val="004B306E"/>
    <w:rsid w:val="004B7486"/>
    <w:rsid w:val="004B79E9"/>
    <w:rsid w:val="004C2C8D"/>
    <w:rsid w:val="004C3114"/>
    <w:rsid w:val="004D3ABF"/>
    <w:rsid w:val="004E3A6E"/>
    <w:rsid w:val="004E42E3"/>
    <w:rsid w:val="004F2D90"/>
    <w:rsid w:val="004F528B"/>
    <w:rsid w:val="00500E24"/>
    <w:rsid w:val="0050191F"/>
    <w:rsid w:val="005058B2"/>
    <w:rsid w:val="005078BD"/>
    <w:rsid w:val="00510646"/>
    <w:rsid w:val="0052073D"/>
    <w:rsid w:val="00524368"/>
    <w:rsid w:val="005251C3"/>
    <w:rsid w:val="00540353"/>
    <w:rsid w:val="005414BF"/>
    <w:rsid w:val="005462D7"/>
    <w:rsid w:val="005520F7"/>
    <w:rsid w:val="005523ED"/>
    <w:rsid w:val="00555FB3"/>
    <w:rsid w:val="00563ADB"/>
    <w:rsid w:val="00574477"/>
    <w:rsid w:val="0058264A"/>
    <w:rsid w:val="00583DA3"/>
    <w:rsid w:val="005934F5"/>
    <w:rsid w:val="00595B00"/>
    <w:rsid w:val="005A3E47"/>
    <w:rsid w:val="005A4B32"/>
    <w:rsid w:val="005B0695"/>
    <w:rsid w:val="005B1D76"/>
    <w:rsid w:val="005B2740"/>
    <w:rsid w:val="005B35DE"/>
    <w:rsid w:val="005B6FB2"/>
    <w:rsid w:val="005C2FED"/>
    <w:rsid w:val="005D1F05"/>
    <w:rsid w:val="005D725B"/>
    <w:rsid w:val="005E0CBA"/>
    <w:rsid w:val="005F331A"/>
    <w:rsid w:val="005F4F73"/>
    <w:rsid w:val="00600B39"/>
    <w:rsid w:val="00601CC8"/>
    <w:rsid w:val="00602D7E"/>
    <w:rsid w:val="006067D7"/>
    <w:rsid w:val="00606CC5"/>
    <w:rsid w:val="00614653"/>
    <w:rsid w:val="00615DE1"/>
    <w:rsid w:val="00616BFB"/>
    <w:rsid w:val="00622FE1"/>
    <w:rsid w:val="00625D2C"/>
    <w:rsid w:val="00626C1D"/>
    <w:rsid w:val="00632A95"/>
    <w:rsid w:val="00634041"/>
    <w:rsid w:val="0063586E"/>
    <w:rsid w:val="00636455"/>
    <w:rsid w:val="0064068F"/>
    <w:rsid w:val="00644E37"/>
    <w:rsid w:val="00657ACC"/>
    <w:rsid w:val="0066169F"/>
    <w:rsid w:val="00661AA5"/>
    <w:rsid w:val="00667F2E"/>
    <w:rsid w:val="00671D6D"/>
    <w:rsid w:val="00673583"/>
    <w:rsid w:val="0067744D"/>
    <w:rsid w:val="006776EE"/>
    <w:rsid w:val="00677B4F"/>
    <w:rsid w:val="006958DB"/>
    <w:rsid w:val="006A05B7"/>
    <w:rsid w:val="006A3D7F"/>
    <w:rsid w:val="006A76AE"/>
    <w:rsid w:val="006B0E47"/>
    <w:rsid w:val="006B1A19"/>
    <w:rsid w:val="006B37A2"/>
    <w:rsid w:val="006B3801"/>
    <w:rsid w:val="006B3D83"/>
    <w:rsid w:val="006B496C"/>
    <w:rsid w:val="006B7376"/>
    <w:rsid w:val="006C57AE"/>
    <w:rsid w:val="006C6DA5"/>
    <w:rsid w:val="006C780C"/>
    <w:rsid w:val="006D2454"/>
    <w:rsid w:val="006D3177"/>
    <w:rsid w:val="006D33D7"/>
    <w:rsid w:val="006D4BBB"/>
    <w:rsid w:val="006D7861"/>
    <w:rsid w:val="006E3036"/>
    <w:rsid w:val="006E6175"/>
    <w:rsid w:val="006E7E95"/>
    <w:rsid w:val="006F0BAE"/>
    <w:rsid w:val="006F3E3D"/>
    <w:rsid w:val="00702B46"/>
    <w:rsid w:val="007046D4"/>
    <w:rsid w:val="00705BBE"/>
    <w:rsid w:val="007104FE"/>
    <w:rsid w:val="007111FF"/>
    <w:rsid w:val="007159E1"/>
    <w:rsid w:val="00724688"/>
    <w:rsid w:val="00730FDE"/>
    <w:rsid w:val="00740EE3"/>
    <w:rsid w:val="007542CA"/>
    <w:rsid w:val="007555F7"/>
    <w:rsid w:val="00761A9E"/>
    <w:rsid w:val="00762E34"/>
    <w:rsid w:val="007732FC"/>
    <w:rsid w:val="0078327E"/>
    <w:rsid w:val="007844C7"/>
    <w:rsid w:val="0078581C"/>
    <w:rsid w:val="0078710B"/>
    <w:rsid w:val="0078751B"/>
    <w:rsid w:val="00793645"/>
    <w:rsid w:val="007A380F"/>
    <w:rsid w:val="007A79CA"/>
    <w:rsid w:val="007B1B92"/>
    <w:rsid w:val="007B1EA5"/>
    <w:rsid w:val="007B42FE"/>
    <w:rsid w:val="007B7804"/>
    <w:rsid w:val="007C335A"/>
    <w:rsid w:val="007C78A2"/>
    <w:rsid w:val="007E43A8"/>
    <w:rsid w:val="007E7A69"/>
    <w:rsid w:val="007E7B9D"/>
    <w:rsid w:val="007F2C0D"/>
    <w:rsid w:val="007F62A0"/>
    <w:rsid w:val="007F7D26"/>
    <w:rsid w:val="008025FC"/>
    <w:rsid w:val="00821F0D"/>
    <w:rsid w:val="008226F8"/>
    <w:rsid w:val="00823CA7"/>
    <w:rsid w:val="008251BE"/>
    <w:rsid w:val="0084180D"/>
    <w:rsid w:val="008439BC"/>
    <w:rsid w:val="00844E65"/>
    <w:rsid w:val="00847868"/>
    <w:rsid w:val="00850AB1"/>
    <w:rsid w:val="0085113B"/>
    <w:rsid w:val="0085757C"/>
    <w:rsid w:val="00865958"/>
    <w:rsid w:val="00865D03"/>
    <w:rsid w:val="0087342D"/>
    <w:rsid w:val="0088190A"/>
    <w:rsid w:val="0088226A"/>
    <w:rsid w:val="00882446"/>
    <w:rsid w:val="00882651"/>
    <w:rsid w:val="008833C3"/>
    <w:rsid w:val="00883AE2"/>
    <w:rsid w:val="00890678"/>
    <w:rsid w:val="00890B36"/>
    <w:rsid w:val="008A076E"/>
    <w:rsid w:val="008B0868"/>
    <w:rsid w:val="008B6318"/>
    <w:rsid w:val="008B6757"/>
    <w:rsid w:val="008B6F5C"/>
    <w:rsid w:val="008B7860"/>
    <w:rsid w:val="008C084A"/>
    <w:rsid w:val="008C16D8"/>
    <w:rsid w:val="008C6722"/>
    <w:rsid w:val="008D134D"/>
    <w:rsid w:val="008E52D6"/>
    <w:rsid w:val="008E61F3"/>
    <w:rsid w:val="0090045A"/>
    <w:rsid w:val="009202FF"/>
    <w:rsid w:val="009246C0"/>
    <w:rsid w:val="00925307"/>
    <w:rsid w:val="0092666E"/>
    <w:rsid w:val="00946741"/>
    <w:rsid w:val="00961F0C"/>
    <w:rsid w:val="009719C3"/>
    <w:rsid w:val="00973ACE"/>
    <w:rsid w:val="00982A2D"/>
    <w:rsid w:val="009833E5"/>
    <w:rsid w:val="00990E94"/>
    <w:rsid w:val="009921F0"/>
    <w:rsid w:val="009924EA"/>
    <w:rsid w:val="0099517A"/>
    <w:rsid w:val="009952A1"/>
    <w:rsid w:val="009A1B8F"/>
    <w:rsid w:val="009A4493"/>
    <w:rsid w:val="009A632A"/>
    <w:rsid w:val="009A651E"/>
    <w:rsid w:val="009B7E54"/>
    <w:rsid w:val="009C7AE5"/>
    <w:rsid w:val="009D2FC6"/>
    <w:rsid w:val="009D51B7"/>
    <w:rsid w:val="009E3604"/>
    <w:rsid w:val="009F5D58"/>
    <w:rsid w:val="00A03A20"/>
    <w:rsid w:val="00A161B3"/>
    <w:rsid w:val="00A24E86"/>
    <w:rsid w:val="00A311EB"/>
    <w:rsid w:val="00A31F8F"/>
    <w:rsid w:val="00A34700"/>
    <w:rsid w:val="00A3600B"/>
    <w:rsid w:val="00A46A99"/>
    <w:rsid w:val="00A5079E"/>
    <w:rsid w:val="00A70240"/>
    <w:rsid w:val="00A714B3"/>
    <w:rsid w:val="00A748AA"/>
    <w:rsid w:val="00A863C8"/>
    <w:rsid w:val="00AA438F"/>
    <w:rsid w:val="00AA4CC0"/>
    <w:rsid w:val="00AB27BC"/>
    <w:rsid w:val="00AB491E"/>
    <w:rsid w:val="00AB79C3"/>
    <w:rsid w:val="00AC4426"/>
    <w:rsid w:val="00AC58B3"/>
    <w:rsid w:val="00AC6B41"/>
    <w:rsid w:val="00AD01D2"/>
    <w:rsid w:val="00AD1A21"/>
    <w:rsid w:val="00AD68D9"/>
    <w:rsid w:val="00AF027D"/>
    <w:rsid w:val="00AF598D"/>
    <w:rsid w:val="00B042DD"/>
    <w:rsid w:val="00B067E6"/>
    <w:rsid w:val="00B07A3E"/>
    <w:rsid w:val="00B12BA9"/>
    <w:rsid w:val="00B13B90"/>
    <w:rsid w:val="00B14C5E"/>
    <w:rsid w:val="00B1528A"/>
    <w:rsid w:val="00B2144A"/>
    <w:rsid w:val="00B30C1C"/>
    <w:rsid w:val="00B32C89"/>
    <w:rsid w:val="00B334C4"/>
    <w:rsid w:val="00B479DE"/>
    <w:rsid w:val="00B5021C"/>
    <w:rsid w:val="00B56AD5"/>
    <w:rsid w:val="00B71534"/>
    <w:rsid w:val="00B75E82"/>
    <w:rsid w:val="00B76FAC"/>
    <w:rsid w:val="00B8722F"/>
    <w:rsid w:val="00B945F8"/>
    <w:rsid w:val="00B94A03"/>
    <w:rsid w:val="00BA4953"/>
    <w:rsid w:val="00BB12C4"/>
    <w:rsid w:val="00BB6480"/>
    <w:rsid w:val="00BB79D2"/>
    <w:rsid w:val="00BC70E4"/>
    <w:rsid w:val="00BD2835"/>
    <w:rsid w:val="00BD3980"/>
    <w:rsid w:val="00BD54A3"/>
    <w:rsid w:val="00BE07D9"/>
    <w:rsid w:val="00BE2850"/>
    <w:rsid w:val="00BE29D9"/>
    <w:rsid w:val="00BF39E3"/>
    <w:rsid w:val="00C11C93"/>
    <w:rsid w:val="00C1353C"/>
    <w:rsid w:val="00C13A5D"/>
    <w:rsid w:val="00C208FE"/>
    <w:rsid w:val="00C23563"/>
    <w:rsid w:val="00C25633"/>
    <w:rsid w:val="00C25C82"/>
    <w:rsid w:val="00C26F21"/>
    <w:rsid w:val="00C3006F"/>
    <w:rsid w:val="00C30760"/>
    <w:rsid w:val="00C3396F"/>
    <w:rsid w:val="00C34DD6"/>
    <w:rsid w:val="00C36C77"/>
    <w:rsid w:val="00C5192A"/>
    <w:rsid w:val="00C609D7"/>
    <w:rsid w:val="00C712AC"/>
    <w:rsid w:val="00C72788"/>
    <w:rsid w:val="00C731C5"/>
    <w:rsid w:val="00C739F8"/>
    <w:rsid w:val="00C73F6B"/>
    <w:rsid w:val="00C777C6"/>
    <w:rsid w:val="00C859BF"/>
    <w:rsid w:val="00C85E2C"/>
    <w:rsid w:val="00C865A1"/>
    <w:rsid w:val="00C952D1"/>
    <w:rsid w:val="00C97456"/>
    <w:rsid w:val="00CA392A"/>
    <w:rsid w:val="00CB0FE2"/>
    <w:rsid w:val="00CB196F"/>
    <w:rsid w:val="00CB3E7E"/>
    <w:rsid w:val="00CB61EF"/>
    <w:rsid w:val="00CB6431"/>
    <w:rsid w:val="00CB6F9E"/>
    <w:rsid w:val="00CB71C5"/>
    <w:rsid w:val="00CC1FAE"/>
    <w:rsid w:val="00CC6C8D"/>
    <w:rsid w:val="00CC7B3C"/>
    <w:rsid w:val="00CD0DC5"/>
    <w:rsid w:val="00CD4D50"/>
    <w:rsid w:val="00CE4475"/>
    <w:rsid w:val="00CF1D7E"/>
    <w:rsid w:val="00CF58A5"/>
    <w:rsid w:val="00D003AC"/>
    <w:rsid w:val="00D074A6"/>
    <w:rsid w:val="00D13FBD"/>
    <w:rsid w:val="00D23F46"/>
    <w:rsid w:val="00D24B8F"/>
    <w:rsid w:val="00D277E1"/>
    <w:rsid w:val="00D36348"/>
    <w:rsid w:val="00D37ED3"/>
    <w:rsid w:val="00D42FB6"/>
    <w:rsid w:val="00D53E38"/>
    <w:rsid w:val="00D62BF0"/>
    <w:rsid w:val="00D65933"/>
    <w:rsid w:val="00D67321"/>
    <w:rsid w:val="00D77734"/>
    <w:rsid w:val="00D81AAE"/>
    <w:rsid w:val="00D81E06"/>
    <w:rsid w:val="00D855D5"/>
    <w:rsid w:val="00D861F3"/>
    <w:rsid w:val="00D94FB3"/>
    <w:rsid w:val="00D968C8"/>
    <w:rsid w:val="00DA186C"/>
    <w:rsid w:val="00DA26C1"/>
    <w:rsid w:val="00DA3429"/>
    <w:rsid w:val="00DB2327"/>
    <w:rsid w:val="00DC11A8"/>
    <w:rsid w:val="00DC3254"/>
    <w:rsid w:val="00DC3660"/>
    <w:rsid w:val="00DC5246"/>
    <w:rsid w:val="00DC5350"/>
    <w:rsid w:val="00DD1F3F"/>
    <w:rsid w:val="00DD340E"/>
    <w:rsid w:val="00DE3295"/>
    <w:rsid w:val="00DF08FE"/>
    <w:rsid w:val="00DF2E47"/>
    <w:rsid w:val="00E02EEB"/>
    <w:rsid w:val="00E0372C"/>
    <w:rsid w:val="00E17287"/>
    <w:rsid w:val="00E322FB"/>
    <w:rsid w:val="00E33B23"/>
    <w:rsid w:val="00E347C1"/>
    <w:rsid w:val="00E355D6"/>
    <w:rsid w:val="00E416A5"/>
    <w:rsid w:val="00E441C5"/>
    <w:rsid w:val="00E46841"/>
    <w:rsid w:val="00E46DA1"/>
    <w:rsid w:val="00E513E1"/>
    <w:rsid w:val="00E5779D"/>
    <w:rsid w:val="00E57F4D"/>
    <w:rsid w:val="00E6131A"/>
    <w:rsid w:val="00E62FCC"/>
    <w:rsid w:val="00E66126"/>
    <w:rsid w:val="00E72336"/>
    <w:rsid w:val="00E746DE"/>
    <w:rsid w:val="00E77405"/>
    <w:rsid w:val="00E82693"/>
    <w:rsid w:val="00E84282"/>
    <w:rsid w:val="00E9143F"/>
    <w:rsid w:val="00E92FF5"/>
    <w:rsid w:val="00E95112"/>
    <w:rsid w:val="00EB211D"/>
    <w:rsid w:val="00EB4307"/>
    <w:rsid w:val="00EB4339"/>
    <w:rsid w:val="00EB558A"/>
    <w:rsid w:val="00EC2D8D"/>
    <w:rsid w:val="00ED5032"/>
    <w:rsid w:val="00ED5033"/>
    <w:rsid w:val="00ED6A4B"/>
    <w:rsid w:val="00EE16C0"/>
    <w:rsid w:val="00EE38D1"/>
    <w:rsid w:val="00EF1EC9"/>
    <w:rsid w:val="00EF5DE2"/>
    <w:rsid w:val="00EF7435"/>
    <w:rsid w:val="00EF7E7D"/>
    <w:rsid w:val="00F01073"/>
    <w:rsid w:val="00F0741D"/>
    <w:rsid w:val="00F11049"/>
    <w:rsid w:val="00F1781F"/>
    <w:rsid w:val="00F25E97"/>
    <w:rsid w:val="00F36262"/>
    <w:rsid w:val="00F3714B"/>
    <w:rsid w:val="00F409AF"/>
    <w:rsid w:val="00F42F2E"/>
    <w:rsid w:val="00F452DA"/>
    <w:rsid w:val="00F47233"/>
    <w:rsid w:val="00F51C82"/>
    <w:rsid w:val="00F53D7A"/>
    <w:rsid w:val="00F601F8"/>
    <w:rsid w:val="00F64892"/>
    <w:rsid w:val="00F65B07"/>
    <w:rsid w:val="00F661B6"/>
    <w:rsid w:val="00F665DF"/>
    <w:rsid w:val="00F7050C"/>
    <w:rsid w:val="00F754BD"/>
    <w:rsid w:val="00F762F1"/>
    <w:rsid w:val="00F80DB2"/>
    <w:rsid w:val="00F81397"/>
    <w:rsid w:val="00F819A2"/>
    <w:rsid w:val="00F8434A"/>
    <w:rsid w:val="00F857BB"/>
    <w:rsid w:val="00F86D43"/>
    <w:rsid w:val="00F87AB1"/>
    <w:rsid w:val="00F9168A"/>
    <w:rsid w:val="00FA3E4B"/>
    <w:rsid w:val="00FB200C"/>
    <w:rsid w:val="00FB3209"/>
    <w:rsid w:val="00FC23ED"/>
    <w:rsid w:val="00FC356D"/>
    <w:rsid w:val="00FD16DC"/>
    <w:rsid w:val="00FD242F"/>
    <w:rsid w:val="00FD3B48"/>
    <w:rsid w:val="00FD5DB7"/>
    <w:rsid w:val="00FE1C6D"/>
    <w:rsid w:val="00FE3DD8"/>
    <w:rsid w:val="00FF08C3"/>
    <w:rsid w:val="00FF2A0B"/>
    <w:rsid w:val="00FF6EA8"/>
    <w:rsid w:val="04004828"/>
    <w:rsid w:val="04943B6B"/>
    <w:rsid w:val="092F0E1F"/>
    <w:rsid w:val="09EE08B0"/>
    <w:rsid w:val="12896320"/>
    <w:rsid w:val="12EE06CA"/>
    <w:rsid w:val="170A7574"/>
    <w:rsid w:val="23047966"/>
    <w:rsid w:val="261D690D"/>
    <w:rsid w:val="2793740B"/>
    <w:rsid w:val="2C8C2649"/>
    <w:rsid w:val="38E74FA9"/>
    <w:rsid w:val="3E0A304E"/>
    <w:rsid w:val="3F902E68"/>
    <w:rsid w:val="43825579"/>
    <w:rsid w:val="46802B6C"/>
    <w:rsid w:val="4B37429A"/>
    <w:rsid w:val="54950189"/>
    <w:rsid w:val="54B76B7A"/>
    <w:rsid w:val="65877658"/>
    <w:rsid w:val="6B1A7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9"/>
    <w:pPr>
      <w:keepNext/>
      <w:keepLines/>
      <w:pageBreakBefore/>
      <w:snapToGrid w:val="0"/>
      <w:spacing w:line="600" w:lineRule="exact"/>
      <w:jc w:val="center"/>
      <w:outlineLvl w:val="0"/>
    </w:pPr>
    <w:rPr>
      <w:rFonts w:eastAsia="黑体"/>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3"/>
    <w:semiHidden/>
    <w:unhideWhenUsed/>
    <w:qFormat/>
    <w:uiPriority w:val="99"/>
    <w:rPr>
      <w:rFonts w:ascii="宋体"/>
      <w:sz w:val="18"/>
      <w:szCs w:val="18"/>
    </w:rPr>
  </w:style>
  <w:style w:type="paragraph" w:styleId="4">
    <w:name w:val="annotation text"/>
    <w:basedOn w:val="1"/>
    <w:link w:val="18"/>
    <w:unhideWhenUsed/>
    <w:qFormat/>
    <w:uiPriority w:val="99"/>
    <w:pPr>
      <w:jc w:val="left"/>
    </w:p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9"/>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标题 1 Char"/>
    <w:basedOn w:val="10"/>
    <w:link w:val="2"/>
    <w:qFormat/>
    <w:uiPriority w:val="9"/>
    <w:rPr>
      <w:rFonts w:ascii="Times New Roman" w:hAnsi="Times New Roman" w:eastAsia="黑体" w:cs="Times New Roman"/>
      <w:b/>
      <w:bCs/>
      <w:kern w:val="44"/>
      <w:sz w:val="44"/>
      <w:szCs w:val="44"/>
    </w:rPr>
  </w:style>
  <w:style w:type="character" w:customStyle="1" w:styleId="13">
    <w:name w:val="文档结构图 Char"/>
    <w:basedOn w:val="10"/>
    <w:link w:val="3"/>
    <w:semiHidden/>
    <w:qFormat/>
    <w:uiPriority w:val="99"/>
    <w:rPr>
      <w:rFonts w:ascii="宋体" w:hAnsi="Times New Roman" w:eastAsia="宋体" w:cs="Times New Roman"/>
      <w:sz w:val="18"/>
      <w:szCs w:val="18"/>
    </w:rPr>
  </w:style>
  <w:style w:type="character" w:customStyle="1" w:styleId="14">
    <w:name w:val="页眉 Char"/>
    <w:basedOn w:val="10"/>
    <w:link w:val="7"/>
    <w:qFormat/>
    <w:uiPriority w:val="99"/>
    <w:rPr>
      <w:rFonts w:ascii="Times New Roman" w:hAnsi="Times New Roman" w:eastAsia="宋体" w:cs="Times New Roman"/>
      <w:sz w:val="18"/>
      <w:szCs w:val="18"/>
    </w:rPr>
  </w:style>
  <w:style w:type="character" w:customStyle="1" w:styleId="15">
    <w:name w:val="页脚 Char"/>
    <w:basedOn w:val="10"/>
    <w:link w:val="6"/>
    <w:qFormat/>
    <w:uiPriority w:val="99"/>
    <w:rPr>
      <w:rFonts w:ascii="Times New Roman" w:hAnsi="Times New Roman" w:eastAsia="宋体" w:cs="Times New Roman"/>
      <w:sz w:val="18"/>
      <w:szCs w:val="18"/>
    </w:rPr>
  </w:style>
  <w:style w:type="character" w:customStyle="1" w:styleId="16">
    <w:name w:val="批注框文本 Char"/>
    <w:basedOn w:val="10"/>
    <w:link w:val="5"/>
    <w:semiHidden/>
    <w:qFormat/>
    <w:uiPriority w:val="99"/>
    <w:rPr>
      <w:rFonts w:ascii="Times New Roman" w:hAnsi="Times New Roman" w:eastAsia="宋体" w:cs="Times New Roman"/>
      <w:sz w:val="18"/>
      <w:szCs w:val="18"/>
    </w:rPr>
  </w:style>
  <w:style w:type="paragraph" w:customStyle="1" w:styleId="1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
    <w:name w:val="批注文字 Char"/>
    <w:basedOn w:val="10"/>
    <w:link w:val="4"/>
    <w:qFormat/>
    <w:uiPriority w:val="99"/>
    <w:rPr>
      <w:rFonts w:ascii="Times New Roman" w:hAnsi="Times New Roman" w:eastAsia="宋体" w:cs="Times New Roman"/>
      <w:szCs w:val="24"/>
    </w:rPr>
  </w:style>
  <w:style w:type="character" w:customStyle="1" w:styleId="19">
    <w:name w:val="批注主题 Char"/>
    <w:basedOn w:val="18"/>
    <w:link w:val="8"/>
    <w:semiHidden/>
    <w:qFormat/>
    <w:uiPriority w:val="99"/>
    <w:rPr>
      <w:rFonts w:ascii="Times New Roman" w:hAnsi="Times New Roman" w:eastAsia="宋体" w:cs="Times New Roman"/>
      <w:b/>
      <w:bCs/>
      <w:szCs w:val="24"/>
    </w:rPr>
  </w:style>
  <w:style w:type="character" w:customStyle="1" w:styleId="20">
    <w:name w:val="不明显强调1"/>
    <w:basedOn w:val="10"/>
    <w:qFormat/>
    <w:uiPriority w:val="19"/>
    <w:rPr>
      <w:i/>
      <w:iCs/>
      <w:color w:val="7F7F7F" w:themeColor="text1" w:themeTint="7F"/>
    </w:rPr>
  </w:style>
  <w:style w:type="paragraph" w:customStyle="1" w:styleId="21">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2">
    <w:name w:val="_Style 3"/>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A3D013-E53A-4EBB-A89D-1EC954F33BB5}">
  <ds:schemaRefs/>
</ds:datastoreItem>
</file>

<file path=docProps/app.xml><?xml version="1.0" encoding="utf-8"?>
<Properties xmlns="http://schemas.openxmlformats.org/officeDocument/2006/extended-properties" xmlns:vt="http://schemas.openxmlformats.org/officeDocument/2006/docPropsVTypes">
  <Template>Normal</Template>
  <Pages>8</Pages>
  <Words>3616</Words>
  <Characters>3631</Characters>
  <Lines>26</Lines>
  <Paragraphs>7</Paragraphs>
  <TotalTime>221</TotalTime>
  <ScaleCrop>false</ScaleCrop>
  <LinksUpToDate>false</LinksUpToDate>
  <CharactersWithSpaces>3664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2024-03-20T04:54:00Z</dcterms:created>
  <dc:creator>user</dc:creator>
  <cp:lastModifiedBy>whxu</cp:lastModifiedBy>
  <cp:lastPrinted>2024-03-20T06:03:00Z</cp:lastPrinted>
  <dcterms:modified xsi:type="dcterms:W3CDTF">2025-09-11T01:31:47Z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3A03E756ED9A4E38A99FAD62906261AD_13</vt:lpwstr>
  </property>
  <property fmtid="{D5CDD505-2E9C-101B-9397-08002B2CF9AE}" pid="4" name="KSOTemplateDocerSaveRecord">
    <vt:lpwstr>eyJoZGlkIjoiODU1MjFmZWFjYWYyZmFkY2IwY2Q4ZjQwNWM1NjJkYzIiLCJ1c2VySWQiOiI0MTAwNTg2ODQifQ==</vt:lpwstr>
  </property>
</Properties>
</file>