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BF6AF8">
      <w:pPr>
        <w:suppressAutoHyphens/>
        <w:bidi w:val="0"/>
        <w:spacing w:line="560" w:lineRule="exact"/>
        <w:rPr>
          <w:rFonts w:hint="eastAsia" w:ascii="黑体" w:hAnsi="黑体" w:eastAsia="黑体" w:cs="黑体"/>
          <w:sz w:val="32"/>
          <w:szCs w:val="32"/>
          <w:lang w:val="en-US" w:eastAsia="zh"/>
        </w:rPr>
      </w:pPr>
      <w:r>
        <w:rPr>
          <w:rFonts w:hint="eastAsia" w:ascii="黑体" w:hAnsi="黑体" w:eastAsia="黑体" w:cs="黑体"/>
          <w:sz w:val="32"/>
          <w:szCs w:val="32"/>
          <w:lang w:val="en-US" w:eastAsia="zh"/>
        </w:rPr>
        <w:t>附件</w:t>
      </w:r>
    </w:p>
    <w:p w14:paraId="0757F13E">
      <w:pPr>
        <w:pStyle w:val="20"/>
        <w:shd w:val="clear" w:fill="FFFFFF"/>
        <w:spacing w:before="0" w:after="0" w:line="600" w:lineRule="exact"/>
        <w:rPr>
          <w:rFonts w:ascii="方正大标宋简体;Arial Unicode MS" w:hAnsi="方正大标宋简体;Arial Unicode MS" w:eastAsia="方正大标宋简体;Arial Unicode MS" w:cs="方正大标宋简体;Arial Unicode MS"/>
          <w:b/>
          <w:color w:val="000000"/>
          <w:sz w:val="36"/>
          <w:szCs w:val="36"/>
        </w:rPr>
      </w:pPr>
    </w:p>
    <w:p w14:paraId="790FDECD">
      <w:pPr>
        <w:suppressAutoHyphens/>
        <w:bidi w:val="0"/>
        <w:spacing w:line="560" w:lineRule="exact"/>
        <w:jc w:val="center"/>
        <w:rPr>
          <w:rFonts w:hint="eastAsia" w:ascii="方正大标宋简体" w:hAnsi="方正大标宋简体" w:eastAsia="方正大标宋简体" w:cs="方正大标宋简体"/>
          <w:sz w:val="44"/>
          <w:szCs w:val="44"/>
          <w:highlight w:val="none"/>
        </w:rPr>
      </w:pPr>
      <w:r>
        <w:rPr>
          <w:rFonts w:hint="eastAsia" w:ascii="方正大标宋简体" w:hAnsi="方正大标宋简体" w:eastAsia="方正大标宋简体" w:cs="方正大标宋简体"/>
          <w:sz w:val="44"/>
          <w:szCs w:val="44"/>
          <w:highlight w:val="none"/>
        </w:rPr>
        <w:t>上海证券交易所科创板发行上市审核规则适用指引第4号——转板上市报告书内容与格式</w:t>
      </w:r>
    </w:p>
    <w:p w14:paraId="1B641C76">
      <w:pPr>
        <w:spacing w:line="600" w:lineRule="exact"/>
        <w:ind w:right="0" w:firstLine="602"/>
        <w:jc w:val="center"/>
        <w:rPr>
          <w:rFonts w:ascii="仿宋_GB2312" w:hAnsi="仿宋_GB2312" w:eastAsia="仿宋_GB2312" w:cs="Arial"/>
          <w:b/>
          <w:color w:val="000000"/>
          <w:sz w:val="30"/>
          <w:szCs w:val="30"/>
        </w:rPr>
      </w:pPr>
    </w:p>
    <w:p w14:paraId="2D67145B">
      <w:pPr>
        <w:numPr>
          <w:ilvl w:val="0"/>
          <w:numId w:val="0"/>
        </w:numPr>
        <w:spacing w:line="600" w:lineRule="exact"/>
        <w:jc w:val="center"/>
        <w:outlineLvl w:val="1"/>
        <w:rPr>
          <w:rFonts w:ascii="黑体;SimHei" w:hAnsi="黑体;SimHei" w:eastAsia="黑体;SimHei" w:cs="黑体;SimHei"/>
          <w:b/>
          <w:sz w:val="30"/>
          <w:szCs w:val="30"/>
        </w:rPr>
      </w:pPr>
      <w:r>
        <w:rPr>
          <w:rFonts w:ascii="黑体;SimHei" w:hAnsi="黑体;SimHei" w:eastAsia="黑体;SimHei" w:cs="黑体;SimHei"/>
          <w:b/>
          <w:sz w:val="30"/>
          <w:szCs w:val="30"/>
        </w:rPr>
        <w:t>第一章  总则</w:t>
      </w:r>
    </w:p>
    <w:p w14:paraId="341BF1F2">
      <w:pPr>
        <w:pStyle w:val="21"/>
        <w:numPr>
          <w:ilvl w:val="0"/>
          <w:numId w:val="0"/>
        </w:numPr>
        <w:snapToGrid w:val="0"/>
        <w:spacing w:line="600" w:lineRule="exact"/>
        <w:ind w:left="0" w:leftChars="0" w:right="0" w:rightChars="0" w:firstLine="600" w:firstLineChars="0"/>
        <w:rPr>
          <w:rFonts w:ascii="仿宋_GB2312" w:hAnsi="仿宋_GB2312" w:eastAsia="仿宋_GB2312"/>
          <w:sz w:val="30"/>
          <w:szCs w:val="30"/>
        </w:rPr>
      </w:pPr>
      <w:r>
        <w:rPr>
          <w:rFonts w:hint="eastAsia" w:ascii="仿宋_GB2312" w:hAnsi="仿宋_GB2312" w:eastAsia="仿宋_GB2312" w:cs="黑体;SimHei"/>
          <w:b/>
          <w:bCs/>
          <w:color w:val="000000"/>
          <w:kern w:val="2"/>
          <w:sz w:val="30"/>
          <w:szCs w:val="30"/>
          <w:lang w:val="en-US" w:eastAsia="zh-CN" w:bidi="ar-SA"/>
        </w:rPr>
        <w:t xml:space="preserve">第一条 </w:t>
      </w:r>
      <w:r>
        <w:rPr>
          <w:rFonts w:ascii="仿宋_GB2312" w:hAnsi="仿宋_GB2312" w:eastAsia="仿宋_GB2312"/>
          <w:sz w:val="30"/>
          <w:szCs w:val="30"/>
        </w:rPr>
        <w:t>为了规范全国中小企业股份转让系统（以下简称全国股转系统）精选层挂牌公司（以下简称转板公司）在上海证券交易所（以下简称本所）科创板转板上市的信息披露行为，保护投资者合法权益，根据《中国证监会关于全国中小企业股份转让系统挂牌公司转板上市的指导意见》《全国中小企业股份转让系统挂牌公司向上海证券交易所科创板转板上市办法（试行）》等规定，制定本指引。</w:t>
      </w:r>
    </w:p>
    <w:p w14:paraId="4539F995">
      <w:pPr>
        <w:pStyle w:val="21"/>
        <w:numPr>
          <w:ilvl w:val="0"/>
          <w:numId w:val="0"/>
        </w:numPr>
        <w:snapToGrid w:val="0"/>
        <w:spacing w:line="600" w:lineRule="exact"/>
        <w:ind w:left="0" w:leftChars="0" w:right="0" w:rightChars="0" w:firstLine="600" w:firstLineChars="0"/>
        <w:rPr>
          <w:rFonts w:ascii="仿宋_GB2312" w:hAnsi="仿宋_GB2312" w:eastAsia="仿宋_GB2312"/>
          <w:sz w:val="30"/>
          <w:szCs w:val="30"/>
        </w:rPr>
      </w:pPr>
      <w:r>
        <w:rPr>
          <w:rFonts w:hint="eastAsia" w:ascii="仿宋_GB2312" w:hAnsi="仿宋_GB2312" w:eastAsia="仿宋_GB2312" w:cs="黑体;SimHei"/>
          <w:b/>
          <w:bCs/>
          <w:color w:val="000000"/>
          <w:kern w:val="2"/>
          <w:sz w:val="30"/>
          <w:szCs w:val="30"/>
          <w:lang w:val="en-US" w:eastAsia="zh-CN" w:bidi="ar-SA"/>
        </w:rPr>
        <w:t xml:space="preserve">第二条 </w:t>
      </w:r>
      <w:r>
        <w:rPr>
          <w:rFonts w:ascii="仿宋_GB2312" w:hAnsi="仿宋_GB2312" w:eastAsia="仿宋_GB2312"/>
          <w:sz w:val="30"/>
          <w:szCs w:val="30"/>
        </w:rPr>
        <w:t>转板公司申请转板至本所科创板上市的，应当按照本指引编制和披露转板上市报告书。</w:t>
      </w:r>
    </w:p>
    <w:p w14:paraId="098B0AEB">
      <w:pPr>
        <w:pStyle w:val="21"/>
        <w:numPr>
          <w:ilvl w:val="0"/>
          <w:numId w:val="0"/>
        </w:numPr>
        <w:snapToGrid w:val="0"/>
        <w:spacing w:line="600" w:lineRule="exact"/>
        <w:ind w:left="0" w:leftChars="0" w:right="0" w:rightChars="0" w:firstLine="600" w:firstLineChars="0"/>
        <w:rPr>
          <w:rFonts w:ascii="仿宋_GB2312" w:hAnsi="仿宋_GB2312" w:eastAsia="仿宋_GB2312"/>
          <w:sz w:val="30"/>
          <w:szCs w:val="30"/>
        </w:rPr>
      </w:pPr>
      <w:r>
        <w:rPr>
          <w:rFonts w:hint="eastAsia" w:ascii="仿宋_GB2312" w:hAnsi="仿宋_GB2312" w:eastAsia="仿宋_GB2312" w:cs="黑体;SimHei"/>
          <w:b/>
          <w:bCs/>
          <w:color w:val="000000"/>
          <w:kern w:val="2"/>
          <w:sz w:val="30"/>
          <w:szCs w:val="30"/>
          <w:lang w:val="en-US" w:eastAsia="zh-CN" w:bidi="ar-SA"/>
        </w:rPr>
        <w:t xml:space="preserve">第三条 </w:t>
      </w:r>
      <w:r>
        <w:rPr>
          <w:rFonts w:ascii="仿宋_GB2312" w:hAnsi="仿宋_GB2312" w:eastAsia="仿宋_GB2312"/>
          <w:sz w:val="30"/>
          <w:szCs w:val="30"/>
        </w:rPr>
        <w:t>本指引的规定是对转板上市报告书信息披露的最低要求。不论本指引是否有明确规定，凡对投资者作出价值判断和投资决策有重大影响的信息，均应披露。</w:t>
      </w:r>
    </w:p>
    <w:p w14:paraId="070BAABC">
      <w:pPr>
        <w:pStyle w:val="21"/>
        <w:numPr>
          <w:ilvl w:val="0"/>
          <w:numId w:val="0"/>
        </w:numPr>
        <w:snapToGrid w:val="0"/>
        <w:spacing w:line="600" w:lineRule="exact"/>
        <w:ind w:left="0" w:leftChars="0" w:right="0" w:rightChars="0" w:firstLine="600" w:firstLineChars="0"/>
        <w:rPr>
          <w:rFonts w:ascii="仿宋_GB2312" w:hAnsi="仿宋_GB2312" w:eastAsia="仿宋_GB2312"/>
          <w:sz w:val="30"/>
          <w:szCs w:val="30"/>
        </w:rPr>
      </w:pPr>
      <w:r>
        <w:rPr>
          <w:rFonts w:hint="eastAsia" w:ascii="仿宋_GB2312" w:hAnsi="仿宋_GB2312" w:eastAsia="仿宋_GB2312" w:cs="黑体;SimHei"/>
          <w:b/>
          <w:bCs/>
          <w:color w:val="000000"/>
          <w:kern w:val="2"/>
          <w:sz w:val="30"/>
          <w:szCs w:val="30"/>
          <w:lang w:val="en-US" w:eastAsia="zh-CN" w:bidi="ar-SA"/>
        </w:rPr>
        <w:t xml:space="preserve">第四条 </w:t>
      </w:r>
      <w:r>
        <w:rPr>
          <w:rFonts w:ascii="仿宋_GB2312" w:hAnsi="仿宋_GB2312" w:eastAsia="仿宋_GB2312"/>
          <w:sz w:val="30"/>
          <w:szCs w:val="30"/>
        </w:rPr>
        <w:t>转板公司作为信息披露第一责任人，应以投资者投资需求为导向编制转板上市报告书，为投资者作出价值判断和投资决策提供充分且必要的信息，保证相关信息的内容真实、准确、完整。</w:t>
      </w:r>
    </w:p>
    <w:p w14:paraId="658275AE">
      <w:pPr>
        <w:pStyle w:val="21"/>
        <w:numPr>
          <w:ilvl w:val="0"/>
          <w:numId w:val="0"/>
        </w:numPr>
        <w:snapToGrid w:val="0"/>
        <w:spacing w:line="600" w:lineRule="exact"/>
        <w:ind w:left="0" w:leftChars="0" w:right="0" w:rightChars="0" w:firstLine="600" w:firstLineChars="0"/>
        <w:rPr>
          <w:rFonts w:ascii="仿宋_GB2312" w:hAnsi="仿宋_GB2312" w:eastAsia="仿宋_GB2312"/>
          <w:sz w:val="30"/>
          <w:szCs w:val="30"/>
        </w:rPr>
      </w:pPr>
      <w:r>
        <w:rPr>
          <w:rFonts w:hint="eastAsia" w:ascii="仿宋_GB2312" w:hAnsi="仿宋_GB2312" w:eastAsia="仿宋_GB2312" w:cs="黑体;SimHei"/>
          <w:b/>
          <w:bCs/>
          <w:color w:val="000000"/>
          <w:kern w:val="2"/>
          <w:sz w:val="30"/>
          <w:szCs w:val="30"/>
          <w:lang w:val="en-US" w:eastAsia="zh-CN" w:bidi="ar-SA"/>
        </w:rPr>
        <w:t xml:space="preserve">第五条 </w:t>
      </w:r>
      <w:r>
        <w:rPr>
          <w:rFonts w:ascii="仿宋_GB2312" w:hAnsi="仿宋_GB2312" w:eastAsia="仿宋_GB2312"/>
          <w:sz w:val="30"/>
          <w:szCs w:val="30"/>
        </w:rPr>
        <w:t>转板公司在转板上市报告书中披露的财务会计资料应有充分的依据，所引用的转板公司的财务报表、盈利预测报告（如有）应由符合《证券法》规定的会计师事务所审计或审核。</w:t>
      </w:r>
    </w:p>
    <w:p w14:paraId="53B5DF47">
      <w:pPr>
        <w:pStyle w:val="21"/>
        <w:numPr>
          <w:ilvl w:val="0"/>
          <w:numId w:val="0"/>
        </w:numPr>
        <w:snapToGrid w:val="0"/>
        <w:spacing w:line="600" w:lineRule="exact"/>
        <w:ind w:left="0" w:leftChars="0" w:right="0" w:rightChars="0" w:firstLine="600" w:firstLineChars="0"/>
        <w:rPr>
          <w:rFonts w:ascii="仿宋_GB2312" w:hAnsi="仿宋_GB2312" w:eastAsia="仿宋_GB2312"/>
          <w:sz w:val="30"/>
          <w:szCs w:val="30"/>
        </w:rPr>
      </w:pPr>
      <w:r>
        <w:rPr>
          <w:rFonts w:hint="eastAsia" w:ascii="仿宋_GB2312" w:hAnsi="仿宋_GB2312" w:eastAsia="仿宋_GB2312" w:cs="黑体;SimHei"/>
          <w:b/>
          <w:bCs/>
          <w:color w:val="000000"/>
          <w:kern w:val="2"/>
          <w:sz w:val="30"/>
          <w:szCs w:val="30"/>
          <w:lang w:val="en-US" w:eastAsia="zh-CN" w:bidi="ar-SA"/>
        </w:rPr>
        <w:t xml:space="preserve">第六条 </w:t>
      </w:r>
      <w:r>
        <w:rPr>
          <w:rFonts w:ascii="仿宋_GB2312" w:hAnsi="仿宋_GB2312" w:eastAsia="仿宋_GB2312"/>
          <w:sz w:val="30"/>
          <w:szCs w:val="30"/>
        </w:rPr>
        <w:t>转板公司在转板上市报告书中披露盈利预测（如有）及其他涉及转板公司未来经营和财务状况信息，应谨慎、合理。</w:t>
      </w:r>
    </w:p>
    <w:p w14:paraId="291B281C">
      <w:pPr>
        <w:pStyle w:val="21"/>
        <w:numPr>
          <w:ilvl w:val="0"/>
          <w:numId w:val="0"/>
        </w:numPr>
        <w:snapToGrid w:val="0"/>
        <w:spacing w:line="600" w:lineRule="exact"/>
        <w:ind w:left="0" w:leftChars="0" w:right="0" w:rightChars="0" w:firstLine="600" w:firstLineChars="0"/>
        <w:rPr>
          <w:rFonts w:ascii="仿宋_GB2312" w:hAnsi="仿宋_GB2312" w:eastAsia="仿宋_GB2312"/>
          <w:sz w:val="30"/>
          <w:szCs w:val="30"/>
        </w:rPr>
      </w:pPr>
      <w:r>
        <w:rPr>
          <w:rFonts w:hint="eastAsia" w:ascii="仿宋_GB2312" w:hAnsi="仿宋_GB2312" w:eastAsia="仿宋_GB2312" w:cs="黑体;SimHei"/>
          <w:b/>
          <w:bCs/>
          <w:color w:val="000000"/>
          <w:kern w:val="2"/>
          <w:sz w:val="30"/>
          <w:szCs w:val="30"/>
          <w:lang w:val="en-US" w:eastAsia="zh-CN" w:bidi="ar-SA"/>
        </w:rPr>
        <w:t xml:space="preserve">第七条 </w:t>
      </w:r>
      <w:r>
        <w:rPr>
          <w:rFonts w:ascii="仿宋_GB2312" w:hAnsi="仿宋_GB2312" w:eastAsia="仿宋_GB2312"/>
          <w:sz w:val="30"/>
          <w:szCs w:val="30"/>
        </w:rPr>
        <w:t>转板公司应在转板上市报告书显要位置提示科创板投资风险，作如下声明：</w:t>
      </w:r>
    </w:p>
    <w:p w14:paraId="54FF87A4">
      <w:pPr>
        <w:snapToGrid w:val="0"/>
        <w:spacing w:line="600" w:lineRule="exact"/>
        <w:ind w:right="0" w:firstLine="600"/>
        <w:rPr>
          <w:rFonts w:ascii="仿宋_GB2312" w:hAnsi="仿宋_GB2312" w:eastAsia="仿宋_GB2312"/>
          <w:sz w:val="30"/>
          <w:szCs w:val="30"/>
        </w:rPr>
      </w:pPr>
      <w:r>
        <w:rPr>
          <w:rFonts w:ascii="仿宋_GB2312" w:hAnsi="仿宋_GB2312" w:eastAsia="仿宋_GB2312" w:cs="仿宋_GB2312"/>
          <w:sz w:val="30"/>
          <w:szCs w:val="30"/>
        </w:rPr>
        <w:t>“</w:t>
      </w:r>
      <w:r>
        <w:rPr>
          <w:rFonts w:ascii="仿宋_GB2312" w:hAnsi="仿宋_GB2312" w:eastAsia="仿宋_GB2312"/>
          <w:sz w:val="30"/>
          <w:szCs w:val="30"/>
        </w:rPr>
        <w:t>本公司股票拟转板至科创板市场上市，该市场具有较高的投资风险。科创板公司具有研发投入大、经营风险高、业绩不稳定、退市风险高等特点，投资者面临较大的市场风险。投资者应充分了解科创板市场的投资风险及本公司所披露的风险因素，审慎作出投资决定。”</w:t>
      </w:r>
    </w:p>
    <w:p w14:paraId="36349D28">
      <w:pPr>
        <w:pStyle w:val="21"/>
        <w:numPr>
          <w:ilvl w:val="0"/>
          <w:numId w:val="0"/>
        </w:numPr>
        <w:snapToGrid w:val="0"/>
        <w:spacing w:line="600" w:lineRule="exact"/>
        <w:ind w:left="0" w:leftChars="0" w:right="0" w:rightChars="0" w:firstLine="600" w:firstLineChars="0"/>
        <w:rPr>
          <w:rFonts w:ascii="仿宋_GB2312" w:hAnsi="仿宋_GB2312" w:eastAsia="仿宋_GB2312"/>
          <w:sz w:val="30"/>
          <w:szCs w:val="30"/>
        </w:rPr>
      </w:pPr>
      <w:r>
        <w:rPr>
          <w:rFonts w:hint="eastAsia" w:ascii="仿宋_GB2312" w:hAnsi="仿宋_GB2312" w:eastAsia="仿宋_GB2312" w:cs="黑体;SimHei"/>
          <w:b/>
          <w:bCs/>
          <w:color w:val="000000"/>
          <w:kern w:val="2"/>
          <w:sz w:val="30"/>
          <w:szCs w:val="30"/>
          <w:lang w:val="en-US" w:eastAsia="zh-CN" w:bidi="ar-SA"/>
        </w:rPr>
        <w:t xml:space="preserve">第八条 </w:t>
      </w:r>
      <w:r>
        <w:rPr>
          <w:rFonts w:ascii="仿宋_GB2312" w:hAnsi="仿宋_GB2312" w:eastAsia="仿宋_GB2312"/>
          <w:sz w:val="30"/>
          <w:szCs w:val="30"/>
        </w:rPr>
        <w:t>本指引某些具体要求对转板公司确实不适用的，转板公司可根据实际情况，在不影响披露内容完整性的前提下作适当调整，但应当在转板上市报告书中说明具体原因及修改情况。</w:t>
      </w:r>
    </w:p>
    <w:p w14:paraId="43DB2524">
      <w:pPr>
        <w:pStyle w:val="21"/>
        <w:numPr>
          <w:ilvl w:val="0"/>
          <w:numId w:val="0"/>
        </w:numPr>
        <w:snapToGrid w:val="0"/>
        <w:spacing w:line="600" w:lineRule="exact"/>
        <w:ind w:left="0" w:leftChars="0" w:right="0" w:rightChars="0" w:firstLine="600" w:firstLineChars="0"/>
        <w:rPr>
          <w:rFonts w:ascii="仿宋_GB2312" w:hAnsi="仿宋_GB2312" w:eastAsia="仿宋_GB2312"/>
          <w:sz w:val="30"/>
          <w:szCs w:val="30"/>
        </w:rPr>
      </w:pPr>
      <w:r>
        <w:rPr>
          <w:rFonts w:hint="eastAsia" w:ascii="仿宋_GB2312" w:hAnsi="仿宋_GB2312" w:eastAsia="仿宋_GB2312" w:cs="黑体;SimHei"/>
          <w:b/>
          <w:bCs/>
          <w:color w:val="000000"/>
          <w:kern w:val="2"/>
          <w:sz w:val="30"/>
          <w:szCs w:val="30"/>
          <w:lang w:val="en-US" w:eastAsia="zh-CN" w:bidi="ar-SA"/>
        </w:rPr>
        <w:t xml:space="preserve">第九条 </w:t>
      </w:r>
      <w:r>
        <w:rPr>
          <w:rFonts w:ascii="仿宋_GB2312" w:hAnsi="仿宋_GB2312" w:eastAsia="仿宋_GB2312"/>
          <w:sz w:val="30"/>
          <w:szCs w:val="30"/>
        </w:rPr>
        <w:t>转板公司有充分依据证明本指引要求披露的某些信息涉及国家秘密、商业秘密及其他因披露可能导致其违反国家有关保密法律法规规定或严重损害公司利益的，转板公司可按规定申请豁免按本指引披露。</w:t>
      </w:r>
    </w:p>
    <w:p w14:paraId="1C124D76">
      <w:pPr>
        <w:pStyle w:val="21"/>
        <w:numPr>
          <w:ilvl w:val="0"/>
          <w:numId w:val="0"/>
        </w:numPr>
        <w:snapToGrid w:val="0"/>
        <w:spacing w:line="600" w:lineRule="exact"/>
        <w:ind w:left="0" w:leftChars="0" w:right="0" w:rightChars="0" w:firstLine="600" w:firstLineChars="0"/>
        <w:rPr>
          <w:rFonts w:ascii="仿宋_GB2312" w:hAnsi="仿宋_GB2312" w:eastAsia="仿宋_GB2312"/>
          <w:sz w:val="30"/>
          <w:szCs w:val="30"/>
        </w:rPr>
      </w:pPr>
      <w:r>
        <w:rPr>
          <w:rFonts w:hint="eastAsia" w:ascii="仿宋_GB2312" w:hAnsi="仿宋_GB2312" w:eastAsia="仿宋_GB2312" w:cs="黑体;SimHei"/>
          <w:b/>
          <w:bCs/>
          <w:color w:val="000000"/>
          <w:kern w:val="2"/>
          <w:sz w:val="30"/>
          <w:szCs w:val="30"/>
          <w:lang w:val="en-US" w:eastAsia="zh-CN" w:bidi="ar-SA"/>
        </w:rPr>
        <w:t xml:space="preserve">第十条 </w:t>
      </w:r>
      <w:r>
        <w:rPr>
          <w:rFonts w:ascii="仿宋_GB2312" w:hAnsi="仿宋_GB2312" w:eastAsia="仿宋_GB2312"/>
          <w:sz w:val="30"/>
          <w:szCs w:val="30"/>
        </w:rPr>
        <w:t>转板上市报告书应便于投资者阅读，浅白易懂、简明扼要、逻辑清晰，尽量使用图表、图片或其他较为直观的披露方式，具有可读性和可理解性：</w:t>
      </w:r>
    </w:p>
    <w:p w14:paraId="73F3B82B">
      <w:pPr>
        <w:pStyle w:val="21"/>
        <w:snapToGrid w:val="0"/>
        <w:spacing w:line="600" w:lineRule="exact"/>
        <w:ind w:right="0" w:firstLine="600"/>
        <w:rPr>
          <w:rFonts w:ascii="仿宋_GB2312" w:hAnsi="仿宋_GB2312" w:eastAsia="仿宋_GB2312"/>
          <w:sz w:val="30"/>
          <w:szCs w:val="30"/>
        </w:rPr>
      </w:pPr>
      <w:r>
        <w:rPr>
          <w:rFonts w:ascii="仿宋_GB2312" w:hAnsi="仿宋_GB2312" w:eastAsia="仿宋_GB2312"/>
          <w:sz w:val="30"/>
          <w:szCs w:val="30"/>
        </w:rPr>
        <w:t>（一）应客观、全面，使用事实描述性语言，突出事件实质，不得选择性披露，不得使用市场推广的宣传用语；</w:t>
      </w:r>
    </w:p>
    <w:p w14:paraId="3499CCF9">
      <w:pPr>
        <w:pStyle w:val="21"/>
        <w:snapToGrid w:val="0"/>
        <w:spacing w:line="600" w:lineRule="exact"/>
        <w:ind w:right="0" w:firstLine="600"/>
        <w:rPr>
          <w:rFonts w:ascii="仿宋_GB2312" w:hAnsi="仿宋_GB2312" w:eastAsia="仿宋_GB2312"/>
          <w:sz w:val="30"/>
          <w:szCs w:val="30"/>
        </w:rPr>
      </w:pPr>
      <w:r>
        <w:rPr>
          <w:rFonts w:ascii="仿宋_GB2312" w:hAnsi="仿宋_GB2312" w:eastAsia="仿宋_GB2312"/>
          <w:sz w:val="30"/>
          <w:szCs w:val="30"/>
        </w:rPr>
        <w:t>（二）应使用直接、简洁、确定的语句，尽量避免使用艰深晦涩、生僻难懂的专业术语或公文用语；</w:t>
      </w:r>
    </w:p>
    <w:p w14:paraId="5AB37302">
      <w:pPr>
        <w:pStyle w:val="21"/>
        <w:snapToGrid w:val="0"/>
        <w:spacing w:line="600" w:lineRule="exact"/>
        <w:ind w:right="0" w:firstLine="600"/>
        <w:rPr>
          <w:rFonts w:ascii="仿宋_GB2312" w:hAnsi="仿宋_GB2312" w:eastAsia="仿宋_GB2312"/>
          <w:sz w:val="30"/>
          <w:szCs w:val="30"/>
        </w:rPr>
      </w:pPr>
      <w:r>
        <w:rPr>
          <w:rFonts w:ascii="仿宋_GB2312" w:hAnsi="仿宋_GB2312" w:eastAsia="仿宋_GB2312"/>
          <w:sz w:val="30"/>
          <w:szCs w:val="30"/>
        </w:rPr>
        <w:t>（三）披露内容应清晰、明确、具有相关性，并结合转板公司情况进行具体、准确地分析描述；</w:t>
      </w:r>
    </w:p>
    <w:p w14:paraId="44C57C47">
      <w:pPr>
        <w:pStyle w:val="21"/>
        <w:snapToGrid w:val="0"/>
        <w:spacing w:line="600" w:lineRule="exact"/>
        <w:ind w:right="0" w:firstLine="600"/>
        <w:rPr>
          <w:rFonts w:ascii="仿宋_GB2312" w:hAnsi="仿宋_GB2312" w:eastAsia="仿宋_GB2312"/>
          <w:sz w:val="30"/>
          <w:szCs w:val="30"/>
        </w:rPr>
      </w:pPr>
      <w:r>
        <w:rPr>
          <w:rFonts w:ascii="仿宋_GB2312" w:hAnsi="仿宋_GB2312" w:eastAsia="仿宋_GB2312"/>
          <w:sz w:val="30"/>
          <w:szCs w:val="30"/>
        </w:rPr>
        <w:t>（四）对不同章节或段落出现的同一语词、表述、事项的披露应具有一致性，在不影响信息披露的完整性和不致引起阅读不便的前提下，转板公司可采用相互引证的方法，对各相关部分的内容进行适当的技术处理，避免不必要的重复，保持文字简洁。</w:t>
      </w:r>
    </w:p>
    <w:p w14:paraId="2A4A38C1">
      <w:pPr>
        <w:pStyle w:val="21"/>
        <w:snapToGrid w:val="0"/>
        <w:spacing w:line="600" w:lineRule="exact"/>
        <w:ind w:right="0" w:firstLine="600"/>
        <w:rPr>
          <w:rFonts w:ascii="仿宋_GB2312" w:hAnsi="仿宋_GB2312" w:eastAsia="仿宋_GB2312"/>
          <w:sz w:val="30"/>
          <w:szCs w:val="30"/>
        </w:rPr>
      </w:pPr>
      <w:r>
        <w:rPr>
          <w:rFonts w:ascii="仿宋_GB2312" w:hAnsi="仿宋_GB2312" w:eastAsia="仿宋_GB2312"/>
          <w:sz w:val="30"/>
          <w:szCs w:val="30"/>
        </w:rPr>
        <w:t>（五）披露内容不得简单罗列、堆砌，避免前后多次重复、冗余、格式化、模板化。</w:t>
      </w:r>
    </w:p>
    <w:p w14:paraId="03FEB2D1">
      <w:pPr>
        <w:pStyle w:val="21"/>
        <w:numPr>
          <w:ilvl w:val="0"/>
          <w:numId w:val="0"/>
        </w:numPr>
        <w:snapToGrid w:val="0"/>
        <w:spacing w:line="600" w:lineRule="exact"/>
        <w:ind w:left="0" w:leftChars="0" w:right="0" w:rightChars="0" w:firstLine="600" w:firstLineChars="0"/>
        <w:rPr>
          <w:rFonts w:ascii="仿宋_GB2312" w:hAnsi="仿宋_GB2312" w:eastAsia="仿宋_GB2312"/>
          <w:sz w:val="30"/>
          <w:szCs w:val="30"/>
        </w:rPr>
      </w:pPr>
      <w:r>
        <w:rPr>
          <w:rFonts w:hint="eastAsia" w:ascii="仿宋_GB2312" w:hAnsi="仿宋_GB2312" w:eastAsia="仿宋_GB2312" w:cs="黑体;SimHei"/>
          <w:b/>
          <w:bCs/>
          <w:color w:val="000000"/>
          <w:kern w:val="2"/>
          <w:sz w:val="30"/>
          <w:szCs w:val="30"/>
          <w:lang w:val="en-US" w:eastAsia="zh-CN" w:bidi="ar-SA"/>
        </w:rPr>
        <w:t xml:space="preserve">第十一条 </w:t>
      </w:r>
      <w:r>
        <w:rPr>
          <w:rFonts w:ascii="仿宋_GB2312" w:hAnsi="仿宋_GB2312" w:eastAsia="仿宋_GB2312"/>
          <w:sz w:val="30"/>
          <w:szCs w:val="30"/>
        </w:rPr>
        <w:t>转板上市报告书引用相关意见、数据或有外文译本的，应符合下列要求：</w:t>
      </w:r>
    </w:p>
    <w:p w14:paraId="29134145">
      <w:pPr>
        <w:snapToGrid w:val="0"/>
        <w:spacing w:line="600" w:lineRule="exact"/>
        <w:ind w:right="0" w:firstLine="600"/>
        <w:rPr>
          <w:rFonts w:ascii="仿宋_GB2312" w:hAnsi="仿宋_GB2312" w:eastAsia="仿宋_GB2312"/>
          <w:sz w:val="30"/>
          <w:szCs w:val="30"/>
        </w:rPr>
      </w:pPr>
      <w:r>
        <w:rPr>
          <w:rFonts w:ascii="仿宋_GB2312" w:hAnsi="仿宋_GB2312" w:eastAsia="仿宋_GB2312"/>
          <w:sz w:val="30"/>
          <w:szCs w:val="30"/>
        </w:rPr>
        <w:t>（一）应准确引用与本次转板上市有关的中介机构的专业意见或报告；</w:t>
      </w:r>
    </w:p>
    <w:p w14:paraId="2D4D38C9">
      <w:pPr>
        <w:snapToGrid w:val="0"/>
        <w:spacing w:line="600" w:lineRule="exact"/>
        <w:ind w:right="0" w:firstLine="600"/>
        <w:rPr>
          <w:rFonts w:ascii="仿宋_GB2312" w:hAnsi="仿宋_GB2312" w:eastAsia="仿宋_GB2312"/>
          <w:sz w:val="30"/>
          <w:szCs w:val="30"/>
        </w:rPr>
      </w:pPr>
      <w:r>
        <w:rPr>
          <w:rFonts w:ascii="仿宋_GB2312" w:hAnsi="仿宋_GB2312" w:eastAsia="仿宋_GB2312"/>
          <w:sz w:val="30"/>
          <w:szCs w:val="30"/>
        </w:rPr>
        <w:t>（二）引用第三方数据或结论，应注明资料来源，确保有权威、客观、独立的依据并符合时效性要求；</w:t>
      </w:r>
    </w:p>
    <w:p w14:paraId="09B52C52">
      <w:pPr>
        <w:snapToGrid w:val="0"/>
        <w:spacing w:line="600" w:lineRule="exact"/>
        <w:ind w:right="0" w:firstLine="600"/>
        <w:rPr>
          <w:rFonts w:ascii="仿宋_GB2312" w:hAnsi="仿宋_GB2312" w:eastAsia="仿宋_GB2312"/>
          <w:sz w:val="30"/>
          <w:szCs w:val="30"/>
        </w:rPr>
      </w:pPr>
      <w:r>
        <w:rPr>
          <w:rFonts w:ascii="仿宋_GB2312" w:hAnsi="仿宋_GB2312" w:eastAsia="仿宋_GB2312"/>
          <w:sz w:val="30"/>
          <w:szCs w:val="30"/>
        </w:rPr>
        <w:t>（三）引用的数字应当采用阿拉伯数字，货币金额除特别说明外，应指人民币金额，并以元、千元、万元或亿元为单位；</w:t>
      </w:r>
    </w:p>
    <w:p w14:paraId="743A0B27">
      <w:pPr>
        <w:snapToGrid w:val="0"/>
        <w:spacing w:line="600" w:lineRule="exact"/>
        <w:ind w:right="0" w:firstLine="600"/>
        <w:rPr>
          <w:rFonts w:ascii="仿宋_GB2312" w:hAnsi="仿宋_GB2312" w:eastAsia="仿宋_GB2312"/>
          <w:sz w:val="30"/>
          <w:szCs w:val="30"/>
        </w:rPr>
      </w:pPr>
      <w:r>
        <w:rPr>
          <w:rFonts w:ascii="仿宋_GB2312" w:hAnsi="仿宋_GB2312" w:eastAsia="仿宋_GB2312"/>
          <w:sz w:val="30"/>
          <w:szCs w:val="30"/>
        </w:rPr>
        <w:t>（四）可根据有关规定或其他需求，编制转板上市报告书外文译本，但应当保证中、外文文本的一致性，并在外文文本上注明：“本转板上市报告书分别以中、英(或日、法等)文编制，在对中外文文本的理解上发生歧义时，以中文文本为准”。</w:t>
      </w:r>
    </w:p>
    <w:p w14:paraId="241862D1">
      <w:pPr>
        <w:pStyle w:val="21"/>
        <w:numPr>
          <w:ilvl w:val="0"/>
          <w:numId w:val="0"/>
        </w:numPr>
        <w:snapToGrid w:val="0"/>
        <w:spacing w:line="600" w:lineRule="exact"/>
        <w:ind w:left="0" w:leftChars="0" w:right="0" w:rightChars="0" w:firstLine="600" w:firstLineChars="0"/>
        <w:rPr>
          <w:rFonts w:ascii="仿宋_GB2312" w:hAnsi="仿宋_GB2312" w:eastAsia="仿宋_GB2312"/>
          <w:sz w:val="30"/>
          <w:szCs w:val="30"/>
        </w:rPr>
      </w:pPr>
      <w:r>
        <w:rPr>
          <w:rFonts w:hint="eastAsia" w:ascii="仿宋_GB2312" w:hAnsi="仿宋_GB2312" w:eastAsia="仿宋_GB2312" w:cs="黑体;SimHei"/>
          <w:b/>
          <w:bCs/>
          <w:color w:val="000000"/>
          <w:kern w:val="2"/>
          <w:sz w:val="30"/>
          <w:szCs w:val="30"/>
          <w:lang w:val="en-US" w:eastAsia="zh-CN" w:bidi="ar-SA"/>
        </w:rPr>
        <w:t xml:space="preserve">第十二条 </w:t>
      </w:r>
      <w:r>
        <w:rPr>
          <w:rFonts w:ascii="仿宋_GB2312" w:hAnsi="仿宋_GB2312" w:eastAsia="仿宋_GB2312"/>
          <w:sz w:val="30"/>
          <w:szCs w:val="30"/>
        </w:rPr>
        <w:t>信息披露事项涉及重要性水平判断的，转板公司应结合自身业务特点，区分重大合同、重要子公司及参股公司、关联交易、重大诉讼或仲裁、重要资源要素等不同事项，披露重要性水平的确定标准和选择依据。</w:t>
      </w:r>
    </w:p>
    <w:p w14:paraId="4D94C78B">
      <w:pPr>
        <w:pStyle w:val="21"/>
        <w:numPr>
          <w:ilvl w:val="0"/>
          <w:numId w:val="0"/>
        </w:numPr>
        <w:snapToGrid w:val="0"/>
        <w:spacing w:line="600" w:lineRule="exact"/>
        <w:ind w:left="0" w:leftChars="0" w:right="0" w:rightChars="0" w:firstLine="600" w:firstLineChars="0"/>
        <w:rPr>
          <w:rFonts w:ascii="仿宋_GB2312" w:hAnsi="仿宋_GB2312" w:eastAsia="仿宋_GB2312"/>
          <w:sz w:val="30"/>
          <w:szCs w:val="30"/>
        </w:rPr>
      </w:pPr>
      <w:r>
        <w:rPr>
          <w:rFonts w:hint="eastAsia" w:ascii="仿宋_GB2312" w:hAnsi="仿宋_GB2312" w:eastAsia="仿宋_GB2312" w:cs="黑体;SimHei"/>
          <w:b/>
          <w:bCs/>
          <w:color w:val="000000"/>
          <w:kern w:val="2"/>
          <w:sz w:val="30"/>
          <w:szCs w:val="30"/>
          <w:lang w:val="en-US" w:eastAsia="zh-CN" w:bidi="ar-SA"/>
        </w:rPr>
        <w:t xml:space="preserve">第十三条 </w:t>
      </w:r>
      <w:r>
        <w:rPr>
          <w:rFonts w:ascii="仿宋_GB2312" w:hAnsi="仿宋_GB2312" w:eastAsia="仿宋_GB2312"/>
          <w:sz w:val="30"/>
          <w:szCs w:val="30"/>
        </w:rPr>
        <w:t>转板公司下属企业的资产、收入或利润规模对转板公司有重大影响的，应参照本指引的规定披露该下属企业的相关信息。</w:t>
      </w:r>
    </w:p>
    <w:p w14:paraId="5BB528D7">
      <w:pPr>
        <w:pStyle w:val="21"/>
        <w:numPr>
          <w:ilvl w:val="0"/>
          <w:numId w:val="0"/>
        </w:numPr>
        <w:snapToGrid w:val="0"/>
        <w:spacing w:line="600" w:lineRule="exact"/>
        <w:ind w:left="0" w:leftChars="0" w:right="0" w:rightChars="0" w:firstLine="600" w:firstLineChars="0"/>
        <w:rPr>
          <w:rFonts w:ascii="仿宋_GB2312" w:hAnsi="仿宋_GB2312" w:eastAsia="仿宋_GB2312"/>
          <w:sz w:val="30"/>
          <w:szCs w:val="30"/>
        </w:rPr>
      </w:pPr>
      <w:r>
        <w:rPr>
          <w:rFonts w:hint="eastAsia" w:ascii="仿宋_GB2312" w:hAnsi="仿宋_GB2312" w:eastAsia="仿宋_GB2312" w:cs="黑体;SimHei"/>
          <w:b/>
          <w:bCs/>
          <w:color w:val="000000"/>
          <w:kern w:val="2"/>
          <w:sz w:val="30"/>
          <w:szCs w:val="30"/>
          <w:lang w:val="en-US" w:eastAsia="zh-CN" w:bidi="ar-SA"/>
        </w:rPr>
        <w:t xml:space="preserve">第十四条 </w:t>
      </w:r>
      <w:r>
        <w:rPr>
          <w:rFonts w:ascii="仿宋_GB2312" w:hAnsi="仿宋_GB2312" w:eastAsia="仿宋_GB2312"/>
          <w:sz w:val="30"/>
          <w:szCs w:val="30"/>
        </w:rPr>
        <w:t>转板公司在报送申请文件后，发生应予披露事项的，应按规定及时履行信息披露义务。</w:t>
      </w:r>
    </w:p>
    <w:p w14:paraId="5C53B862">
      <w:pPr>
        <w:pStyle w:val="21"/>
        <w:numPr>
          <w:ilvl w:val="0"/>
          <w:numId w:val="0"/>
        </w:numPr>
        <w:snapToGrid w:val="0"/>
        <w:spacing w:line="600" w:lineRule="exact"/>
        <w:ind w:left="0" w:leftChars="0" w:right="0" w:rightChars="0" w:firstLine="600" w:firstLineChars="0"/>
        <w:rPr>
          <w:rFonts w:ascii="仿宋_GB2312" w:hAnsi="仿宋_GB2312" w:eastAsia="仿宋_GB2312"/>
          <w:sz w:val="30"/>
          <w:szCs w:val="30"/>
        </w:rPr>
      </w:pPr>
      <w:r>
        <w:rPr>
          <w:rFonts w:hint="eastAsia" w:ascii="仿宋_GB2312" w:hAnsi="仿宋_GB2312" w:eastAsia="仿宋_GB2312" w:cs="黑体;SimHei"/>
          <w:b/>
          <w:bCs/>
          <w:color w:val="000000"/>
          <w:kern w:val="2"/>
          <w:sz w:val="30"/>
          <w:szCs w:val="30"/>
          <w:lang w:val="en-US" w:eastAsia="zh-CN" w:bidi="ar-SA"/>
        </w:rPr>
        <w:t xml:space="preserve">第十五条 </w:t>
      </w:r>
      <w:r>
        <w:rPr>
          <w:rFonts w:ascii="仿宋_GB2312" w:hAnsi="仿宋_GB2312" w:eastAsia="仿宋_GB2312"/>
          <w:sz w:val="30"/>
          <w:szCs w:val="30"/>
        </w:rPr>
        <w:t>申请文件受理后，转板公司应按规定履行预先披露程序。</w:t>
      </w:r>
    </w:p>
    <w:p w14:paraId="6BDCC845">
      <w:pPr>
        <w:pStyle w:val="21"/>
        <w:numPr>
          <w:ilvl w:val="0"/>
          <w:numId w:val="0"/>
        </w:numPr>
        <w:snapToGrid w:val="0"/>
        <w:spacing w:line="600" w:lineRule="exact"/>
        <w:ind w:left="0" w:leftChars="0" w:right="0" w:rightChars="0" w:firstLine="600" w:firstLineChars="0"/>
        <w:rPr>
          <w:rFonts w:ascii="仿宋_GB2312" w:hAnsi="仿宋_GB2312" w:eastAsia="仿宋_GB2312"/>
          <w:sz w:val="30"/>
          <w:szCs w:val="30"/>
        </w:rPr>
      </w:pPr>
      <w:r>
        <w:rPr>
          <w:rFonts w:hint="eastAsia" w:ascii="仿宋_GB2312" w:hAnsi="仿宋_GB2312" w:eastAsia="仿宋_GB2312" w:cs="黑体;SimHei"/>
          <w:b/>
          <w:bCs/>
          <w:color w:val="000000"/>
          <w:kern w:val="2"/>
          <w:sz w:val="30"/>
          <w:szCs w:val="30"/>
          <w:lang w:val="en-US" w:eastAsia="zh-CN" w:bidi="ar-SA"/>
        </w:rPr>
        <w:t xml:space="preserve">第十六条 </w:t>
      </w:r>
      <w:r>
        <w:rPr>
          <w:rFonts w:ascii="仿宋_GB2312" w:hAnsi="仿宋_GB2312" w:eastAsia="仿宋_GB2312"/>
          <w:sz w:val="30"/>
          <w:szCs w:val="30"/>
        </w:rPr>
        <w:t>转板公司转板上市前应在本所网站和中国证监会指定网站全文刊登转板上市报告书，同时在中国证监会指定报刊刊登提示性公告，告知投资者网上刊登的地址及获取文件的途径。</w:t>
      </w:r>
    </w:p>
    <w:p w14:paraId="240957B4">
      <w:pPr>
        <w:snapToGrid w:val="0"/>
        <w:spacing w:line="600" w:lineRule="exact"/>
        <w:ind w:right="0" w:firstLine="600"/>
        <w:rPr>
          <w:rFonts w:ascii="仿宋_GB2312" w:hAnsi="仿宋_GB2312" w:eastAsia="仿宋_GB2312"/>
          <w:sz w:val="30"/>
          <w:szCs w:val="30"/>
        </w:rPr>
      </w:pPr>
      <w:r>
        <w:rPr>
          <w:rFonts w:ascii="仿宋_GB2312" w:hAnsi="仿宋_GB2312" w:eastAsia="仿宋_GB2312"/>
          <w:sz w:val="30"/>
          <w:szCs w:val="30"/>
        </w:rPr>
        <w:t>转板公司可以将转板上市报告书以及有关附件刊登于其他报刊和网站，但披露内容应完全一致，且不得早于在本所网站、中国证监会指定报刊和网站的披露时间。</w:t>
      </w:r>
    </w:p>
    <w:p w14:paraId="50440118">
      <w:pPr>
        <w:numPr>
          <w:ilvl w:val="0"/>
          <w:numId w:val="0"/>
        </w:numPr>
        <w:spacing w:line="600" w:lineRule="exact"/>
        <w:jc w:val="center"/>
        <w:outlineLvl w:val="1"/>
        <w:rPr>
          <w:rFonts w:ascii="黑体;SimHei" w:hAnsi="黑体;SimHei" w:eastAsia="黑体;SimHei" w:cs="黑体;SimHei"/>
          <w:b/>
          <w:sz w:val="30"/>
          <w:szCs w:val="30"/>
        </w:rPr>
      </w:pPr>
      <w:r>
        <w:rPr>
          <w:rFonts w:ascii="黑体;SimHei" w:hAnsi="黑体;SimHei" w:eastAsia="黑体;SimHei" w:cs="黑体;SimHei"/>
          <w:b/>
          <w:sz w:val="30"/>
          <w:szCs w:val="30"/>
        </w:rPr>
        <w:t>第二章  转板上市报告书</w:t>
      </w:r>
    </w:p>
    <w:p w14:paraId="26BC305A">
      <w:pPr>
        <w:numPr>
          <w:ilvl w:val="0"/>
          <w:numId w:val="0"/>
        </w:numPr>
        <w:snapToGrid w:val="0"/>
        <w:spacing w:line="600" w:lineRule="exact"/>
        <w:jc w:val="center"/>
        <w:outlineLvl w:val="2"/>
        <w:rPr>
          <w:rFonts w:ascii="仿宋_GB2312" w:hAnsi="仿宋_GB2312" w:eastAsia="仿宋_GB2312" w:cs="Calibri"/>
          <w:b/>
          <w:sz w:val="30"/>
          <w:szCs w:val="30"/>
        </w:rPr>
      </w:pPr>
      <w:r>
        <w:rPr>
          <w:rFonts w:ascii="仿宋_GB2312" w:hAnsi="仿宋_GB2312" w:eastAsia="仿宋_GB2312" w:cs="Calibri"/>
          <w:b/>
          <w:sz w:val="30"/>
          <w:szCs w:val="30"/>
        </w:rPr>
        <w:t>第一节 封面、书脊、扉页、目录、释义</w:t>
      </w:r>
    </w:p>
    <w:p w14:paraId="5CE34973">
      <w:pPr>
        <w:pStyle w:val="21"/>
        <w:numPr>
          <w:ilvl w:val="0"/>
          <w:numId w:val="0"/>
        </w:numPr>
        <w:snapToGrid w:val="0"/>
        <w:spacing w:line="600" w:lineRule="exact"/>
        <w:ind w:left="0" w:leftChars="0" w:right="0" w:rightChars="0" w:firstLine="600" w:firstLineChars="0"/>
        <w:rPr>
          <w:rFonts w:ascii="仿宋_GB2312" w:hAnsi="仿宋_GB2312" w:eastAsia="仿宋_GB2312"/>
          <w:sz w:val="30"/>
          <w:szCs w:val="30"/>
        </w:rPr>
      </w:pPr>
      <w:r>
        <w:rPr>
          <w:rFonts w:hint="eastAsia" w:ascii="仿宋_GB2312" w:hAnsi="仿宋_GB2312" w:eastAsia="仿宋_GB2312" w:cs="黑体;SimHei"/>
          <w:b/>
          <w:bCs/>
          <w:color w:val="000000"/>
          <w:kern w:val="2"/>
          <w:sz w:val="30"/>
          <w:szCs w:val="30"/>
          <w:lang w:val="en-US" w:eastAsia="zh-CN" w:bidi="ar-SA"/>
        </w:rPr>
        <w:t xml:space="preserve">第十七条 </w:t>
      </w:r>
      <w:r>
        <w:rPr>
          <w:rFonts w:ascii="仿宋_GB2312" w:hAnsi="仿宋_GB2312" w:eastAsia="仿宋_GB2312"/>
          <w:sz w:val="30"/>
          <w:szCs w:val="30"/>
        </w:rPr>
        <w:t>转板上市报告书文本封面应标有“×××公司向上海证券交易所科创板转板上市报告书”字样，并载明转板公司、保荐人的名称和住所。同时，明确提</w:t>
      </w:r>
      <w:bookmarkStart w:id="0" w:name="_GoBack"/>
      <w:bookmarkEnd w:id="0"/>
      <w:r>
        <w:rPr>
          <w:rFonts w:ascii="仿宋_GB2312" w:hAnsi="仿宋_GB2312" w:eastAsia="仿宋_GB2312"/>
          <w:sz w:val="30"/>
          <w:szCs w:val="30"/>
        </w:rPr>
        <w:t>示科创板投资风险，依照本指引</w:t>
      </w:r>
      <w:r>
        <w:rPr>
          <w:rFonts w:hint="eastAsia" w:ascii="仿宋_GB2312" w:hAnsi="仿宋_GB2312" w:eastAsia="仿宋_GB2312"/>
          <w:sz w:val="30"/>
          <w:szCs w:val="30"/>
          <w:lang w:eastAsia="zh-CN"/>
        </w:rPr>
        <w:t>第七条</w:t>
      </w:r>
      <w:r>
        <w:rPr>
          <w:rFonts w:ascii="仿宋_GB2312" w:hAnsi="仿宋_GB2312" w:eastAsia="仿宋_GB2312"/>
          <w:sz w:val="30"/>
          <w:szCs w:val="30"/>
        </w:rPr>
        <w:t>作出恰当的声明。</w:t>
      </w:r>
    </w:p>
    <w:p w14:paraId="53B0CB81">
      <w:pPr>
        <w:pStyle w:val="21"/>
        <w:numPr>
          <w:ilvl w:val="0"/>
          <w:numId w:val="0"/>
        </w:numPr>
        <w:snapToGrid w:val="0"/>
        <w:spacing w:line="600" w:lineRule="exact"/>
        <w:ind w:left="0" w:leftChars="0" w:right="0" w:rightChars="0" w:firstLine="600" w:firstLineChars="0"/>
        <w:rPr>
          <w:rFonts w:ascii="仿宋_GB2312" w:hAnsi="仿宋_GB2312" w:eastAsia="仿宋_GB2312"/>
          <w:sz w:val="30"/>
          <w:szCs w:val="30"/>
        </w:rPr>
      </w:pPr>
      <w:r>
        <w:rPr>
          <w:rFonts w:hint="eastAsia" w:ascii="仿宋_GB2312" w:hAnsi="仿宋_GB2312" w:eastAsia="仿宋_GB2312" w:cs="黑体;SimHei"/>
          <w:b/>
          <w:bCs/>
          <w:color w:val="000000"/>
          <w:kern w:val="2"/>
          <w:sz w:val="30"/>
          <w:szCs w:val="30"/>
          <w:lang w:val="en-US" w:eastAsia="zh-CN" w:bidi="ar-SA"/>
        </w:rPr>
        <w:t xml:space="preserve">第十八条 </w:t>
      </w:r>
      <w:r>
        <w:rPr>
          <w:rFonts w:ascii="仿宋_GB2312" w:hAnsi="仿宋_GB2312" w:eastAsia="仿宋_GB2312"/>
          <w:sz w:val="30"/>
          <w:szCs w:val="30"/>
        </w:rPr>
        <w:t>转板上市报告书纸质文本书脊应标有“×××公司向上海证券交易所科创板转板上市报告书”字样。</w:t>
      </w:r>
    </w:p>
    <w:p w14:paraId="471B4393">
      <w:pPr>
        <w:pStyle w:val="21"/>
        <w:numPr>
          <w:ilvl w:val="0"/>
          <w:numId w:val="0"/>
        </w:numPr>
        <w:snapToGrid w:val="0"/>
        <w:spacing w:line="600" w:lineRule="exact"/>
        <w:ind w:left="0" w:leftChars="0" w:right="0" w:rightChars="0" w:firstLine="600" w:firstLineChars="0"/>
        <w:rPr>
          <w:rFonts w:ascii="仿宋_GB2312" w:hAnsi="仿宋_GB2312" w:eastAsia="仿宋_GB2312"/>
          <w:sz w:val="30"/>
          <w:szCs w:val="30"/>
        </w:rPr>
      </w:pPr>
      <w:r>
        <w:rPr>
          <w:rFonts w:hint="eastAsia" w:ascii="仿宋_GB2312" w:hAnsi="仿宋_GB2312" w:eastAsia="仿宋_GB2312" w:cs="黑体;SimHei"/>
          <w:b/>
          <w:bCs/>
          <w:color w:val="000000"/>
          <w:kern w:val="2"/>
          <w:sz w:val="30"/>
          <w:szCs w:val="30"/>
          <w:lang w:val="en-US" w:eastAsia="zh-CN" w:bidi="ar-SA"/>
        </w:rPr>
        <w:t xml:space="preserve">第十九条 </w:t>
      </w:r>
      <w:r>
        <w:rPr>
          <w:rFonts w:ascii="仿宋_GB2312" w:hAnsi="仿宋_GB2312" w:eastAsia="仿宋_GB2312"/>
          <w:sz w:val="30"/>
          <w:szCs w:val="30"/>
        </w:rPr>
        <w:t>转板公司应在转板上市报告书扉页的显要位置载明：</w:t>
      </w:r>
    </w:p>
    <w:p w14:paraId="57FC1030">
      <w:pPr>
        <w:snapToGrid w:val="0"/>
        <w:spacing w:line="600" w:lineRule="exact"/>
        <w:ind w:right="0" w:firstLine="450"/>
        <w:rPr>
          <w:rFonts w:ascii="仿宋_GB2312" w:hAnsi="仿宋_GB2312" w:eastAsia="仿宋_GB2312"/>
          <w:sz w:val="30"/>
          <w:szCs w:val="30"/>
        </w:rPr>
      </w:pPr>
      <w:r>
        <w:rPr>
          <w:rFonts w:ascii="仿宋_GB2312" w:hAnsi="仿宋_GB2312" w:eastAsia="仿宋_GB2312" w:cs="仿宋_GB2312"/>
          <w:sz w:val="30"/>
          <w:szCs w:val="30"/>
        </w:rPr>
        <w:t>“</w:t>
      </w:r>
      <w:r>
        <w:rPr>
          <w:rFonts w:ascii="仿宋_GB2312" w:hAnsi="仿宋_GB2312" w:eastAsia="仿宋_GB2312"/>
          <w:sz w:val="30"/>
          <w:szCs w:val="30"/>
        </w:rPr>
        <w:t>上海证券交易所对本次转板上市所作的任何决定或意见，均不表明其对申请文件及所披露信息的真实性、准确性、完整性作出保证，也不表明其对公司的盈利能力、投资价值或者对投资者的收益作出实质性判断或保证。任何与之相反的声明均属虚假不实陈述。”</w:t>
      </w:r>
    </w:p>
    <w:p w14:paraId="00D340CF">
      <w:pPr>
        <w:snapToGrid w:val="0"/>
        <w:spacing w:line="600" w:lineRule="exact"/>
        <w:ind w:right="0" w:firstLine="600"/>
        <w:rPr>
          <w:rFonts w:ascii="仿宋_GB2312" w:hAnsi="仿宋_GB2312" w:eastAsia="仿宋_GB2312"/>
          <w:sz w:val="30"/>
          <w:szCs w:val="30"/>
        </w:rPr>
      </w:pPr>
      <w:r>
        <w:rPr>
          <w:rFonts w:ascii="仿宋_GB2312" w:hAnsi="仿宋_GB2312" w:eastAsia="仿宋_GB2312" w:cs="仿宋_GB2312"/>
          <w:sz w:val="30"/>
          <w:szCs w:val="30"/>
        </w:rPr>
        <w:t>“</w:t>
      </w:r>
      <w:r>
        <w:rPr>
          <w:rFonts w:ascii="仿宋_GB2312" w:hAnsi="仿宋_GB2312" w:eastAsia="仿宋_GB2312"/>
          <w:sz w:val="30"/>
          <w:szCs w:val="30"/>
        </w:rPr>
        <w:t>根据《证券法》的规定，本公司股票上市后，公司经营与收益的变化由本公司自行负责；投资者自主判断公司的投资价值，自主作出投资决策，自行承担股票上市后因公司经营与收益变化或者股票价格变动引致的投资风险。”</w:t>
      </w:r>
    </w:p>
    <w:p w14:paraId="1474BC3B">
      <w:pPr>
        <w:pStyle w:val="21"/>
        <w:numPr>
          <w:ilvl w:val="0"/>
          <w:numId w:val="0"/>
        </w:numPr>
        <w:snapToGrid w:val="0"/>
        <w:spacing w:line="600" w:lineRule="exact"/>
        <w:ind w:left="0" w:leftChars="0" w:right="0" w:rightChars="0" w:firstLine="600" w:firstLineChars="0"/>
        <w:rPr>
          <w:rFonts w:ascii="仿宋_GB2312" w:hAnsi="仿宋_GB2312" w:eastAsia="仿宋_GB2312"/>
          <w:sz w:val="30"/>
          <w:szCs w:val="30"/>
        </w:rPr>
      </w:pPr>
      <w:r>
        <w:rPr>
          <w:rFonts w:hint="eastAsia" w:ascii="仿宋_GB2312" w:hAnsi="仿宋_GB2312" w:eastAsia="仿宋_GB2312" w:cs="黑体;SimHei"/>
          <w:b/>
          <w:bCs/>
          <w:color w:val="000000"/>
          <w:kern w:val="2"/>
          <w:sz w:val="30"/>
          <w:szCs w:val="30"/>
          <w:lang w:val="en-US" w:eastAsia="zh-CN" w:bidi="ar-SA"/>
        </w:rPr>
        <w:t xml:space="preserve">第二十条 </w:t>
      </w:r>
      <w:r>
        <w:rPr>
          <w:rFonts w:ascii="仿宋_GB2312" w:hAnsi="仿宋_GB2312" w:eastAsia="仿宋_GB2312"/>
          <w:sz w:val="30"/>
          <w:szCs w:val="30"/>
        </w:rPr>
        <w:t>转板公司应在转板上市报告书扉页作如下声明：</w:t>
      </w:r>
    </w:p>
    <w:p w14:paraId="0E1C91FA">
      <w:pPr>
        <w:snapToGrid w:val="0"/>
        <w:spacing w:line="600" w:lineRule="exact"/>
        <w:ind w:right="0" w:firstLine="450"/>
        <w:rPr>
          <w:rFonts w:ascii="仿宋_GB2312" w:hAnsi="仿宋_GB2312" w:eastAsia="仿宋_GB2312"/>
          <w:sz w:val="30"/>
          <w:szCs w:val="30"/>
        </w:rPr>
      </w:pPr>
      <w:r>
        <w:rPr>
          <w:rFonts w:ascii="仿宋_GB2312" w:hAnsi="仿宋_GB2312" w:eastAsia="仿宋_GB2312" w:cs="仿宋_GB2312"/>
          <w:sz w:val="30"/>
          <w:szCs w:val="30"/>
        </w:rPr>
        <w:t>“</w:t>
      </w:r>
      <w:r>
        <w:rPr>
          <w:rFonts w:ascii="仿宋_GB2312" w:hAnsi="仿宋_GB2312" w:eastAsia="仿宋_GB2312"/>
          <w:sz w:val="30"/>
          <w:szCs w:val="30"/>
        </w:rPr>
        <w:t>转板公司及全体董事、监事、高级管理人员承诺转板上市报告书及其他信息披露资料不存在虚假记载、误导性陈述或重大遗漏，并对其真实性、准确性、完整性承担个别和连带的法律责任。”</w:t>
      </w:r>
    </w:p>
    <w:p w14:paraId="28E23701">
      <w:pPr>
        <w:snapToGrid w:val="0"/>
        <w:spacing w:line="600" w:lineRule="exact"/>
        <w:ind w:right="0" w:firstLine="600"/>
        <w:rPr>
          <w:rFonts w:ascii="仿宋_GB2312" w:hAnsi="仿宋_GB2312" w:eastAsia="仿宋_GB2312"/>
          <w:sz w:val="30"/>
          <w:szCs w:val="30"/>
        </w:rPr>
      </w:pPr>
      <w:r>
        <w:rPr>
          <w:rFonts w:ascii="仿宋_GB2312" w:hAnsi="仿宋_GB2312" w:eastAsia="仿宋_GB2312" w:cs="仿宋_GB2312"/>
          <w:sz w:val="30"/>
          <w:szCs w:val="30"/>
        </w:rPr>
        <w:t>“</w:t>
      </w:r>
      <w:r>
        <w:rPr>
          <w:rFonts w:ascii="仿宋_GB2312" w:hAnsi="仿宋_GB2312" w:eastAsia="仿宋_GB2312"/>
          <w:sz w:val="30"/>
          <w:szCs w:val="30"/>
        </w:rPr>
        <w:t>转板公司控股股东、实际控制人承诺本转板上市报告书不存在虚假记载、误导性陈述或重大遗漏，并对其真实性、准确性、完整性承担个别和连带的法律责任。”</w:t>
      </w:r>
    </w:p>
    <w:p w14:paraId="26973FFD">
      <w:pPr>
        <w:snapToGrid w:val="0"/>
        <w:spacing w:line="600" w:lineRule="exact"/>
        <w:ind w:right="0" w:firstLine="600"/>
        <w:rPr>
          <w:rFonts w:ascii="仿宋_GB2312" w:hAnsi="仿宋_GB2312" w:eastAsia="仿宋_GB2312"/>
          <w:sz w:val="30"/>
          <w:szCs w:val="30"/>
        </w:rPr>
      </w:pPr>
      <w:r>
        <w:rPr>
          <w:rFonts w:ascii="仿宋_GB2312" w:hAnsi="仿宋_GB2312" w:eastAsia="仿宋_GB2312" w:cs="仿宋_GB2312"/>
          <w:sz w:val="30"/>
          <w:szCs w:val="30"/>
        </w:rPr>
        <w:t>“</w:t>
      </w:r>
      <w:r>
        <w:rPr>
          <w:rFonts w:ascii="仿宋_GB2312" w:hAnsi="仿宋_GB2312" w:eastAsia="仿宋_GB2312"/>
          <w:sz w:val="30"/>
          <w:szCs w:val="30"/>
        </w:rPr>
        <w:t>公司负责人和主管会计工作的负责人、会计机构负责人保证转板上市报告书中财务会计资料真实、完整。”</w:t>
      </w:r>
    </w:p>
    <w:p w14:paraId="65FF82C8">
      <w:pPr>
        <w:snapToGrid w:val="0"/>
        <w:spacing w:line="600" w:lineRule="exact"/>
        <w:ind w:right="0" w:firstLine="600"/>
        <w:rPr>
          <w:rFonts w:ascii="仿宋_GB2312" w:hAnsi="仿宋_GB2312" w:eastAsia="仿宋_GB2312"/>
          <w:sz w:val="30"/>
          <w:szCs w:val="30"/>
        </w:rPr>
      </w:pPr>
      <w:r>
        <w:rPr>
          <w:rFonts w:ascii="仿宋_GB2312" w:hAnsi="仿宋_GB2312" w:eastAsia="仿宋_GB2312" w:cs="仿宋_GB2312"/>
          <w:sz w:val="30"/>
          <w:szCs w:val="30"/>
        </w:rPr>
        <w:t>“</w:t>
      </w:r>
      <w:r>
        <w:rPr>
          <w:rFonts w:ascii="仿宋_GB2312" w:hAnsi="仿宋_GB2312" w:eastAsia="仿宋_GB2312"/>
          <w:sz w:val="30"/>
          <w:szCs w:val="30"/>
        </w:rPr>
        <w:t>转板公司及全体董事、监事、高级管理人员、转板公司的控股股东、实际控制人以及保荐人承诺因转板上市报告书及其他信息披露资料有虚假记载、误导性陈述或者重大遗漏，致使投资者在证券交易中遭受损失的，将依法赔偿投资者损失。”</w:t>
      </w:r>
    </w:p>
    <w:p w14:paraId="1295CD3C">
      <w:pPr>
        <w:snapToGrid w:val="0"/>
        <w:spacing w:line="600" w:lineRule="exact"/>
        <w:ind w:right="0" w:firstLine="600"/>
        <w:rPr>
          <w:rFonts w:ascii="仿宋_GB2312" w:hAnsi="仿宋_GB2312" w:eastAsia="仿宋_GB2312"/>
          <w:sz w:val="30"/>
          <w:szCs w:val="30"/>
        </w:rPr>
      </w:pPr>
      <w:r>
        <w:rPr>
          <w:rFonts w:ascii="仿宋_GB2312" w:hAnsi="仿宋_GB2312" w:eastAsia="仿宋_GB2312" w:cs="仿宋_GB2312"/>
          <w:sz w:val="30"/>
          <w:szCs w:val="30"/>
        </w:rPr>
        <w:t>“</w:t>
      </w:r>
      <w:r>
        <w:rPr>
          <w:rFonts w:ascii="仿宋_GB2312" w:hAnsi="仿宋_GB2312" w:eastAsia="仿宋_GB2312"/>
          <w:sz w:val="30"/>
          <w:szCs w:val="30"/>
        </w:rPr>
        <w:t>保荐人及证券服务机构承诺因其为转板公司本次转板上市制作、出具的文件有虚假记载、误导性陈述或者重大遗漏，给投资者造成损失的，将依法赔偿投资者损失。”</w:t>
      </w:r>
    </w:p>
    <w:p w14:paraId="56EDAF1D">
      <w:pPr>
        <w:pStyle w:val="21"/>
        <w:numPr>
          <w:ilvl w:val="0"/>
          <w:numId w:val="0"/>
        </w:numPr>
        <w:snapToGrid w:val="0"/>
        <w:spacing w:line="600" w:lineRule="exact"/>
        <w:ind w:left="0" w:leftChars="0" w:right="0" w:rightChars="0" w:firstLine="600" w:firstLineChars="0"/>
        <w:rPr>
          <w:rFonts w:ascii="仿宋_GB2312" w:hAnsi="仿宋_GB2312" w:eastAsia="仿宋_GB2312"/>
          <w:sz w:val="30"/>
          <w:szCs w:val="30"/>
        </w:rPr>
      </w:pPr>
      <w:r>
        <w:rPr>
          <w:rFonts w:hint="eastAsia" w:ascii="仿宋_GB2312" w:hAnsi="仿宋_GB2312" w:eastAsia="仿宋_GB2312" w:cs="黑体;SimHei"/>
          <w:b/>
          <w:bCs/>
          <w:color w:val="000000"/>
          <w:kern w:val="2"/>
          <w:sz w:val="30"/>
          <w:szCs w:val="30"/>
          <w:lang w:val="en-US" w:eastAsia="zh-CN" w:bidi="ar-SA"/>
        </w:rPr>
        <w:t xml:space="preserve">第二十一条 </w:t>
      </w:r>
      <w:r>
        <w:rPr>
          <w:rFonts w:ascii="仿宋_GB2312" w:hAnsi="仿宋_GB2312" w:eastAsia="仿宋_GB2312"/>
          <w:sz w:val="30"/>
          <w:szCs w:val="30"/>
        </w:rPr>
        <w:t>转板上市报告书扉页应列表载明下列内容：</w:t>
      </w:r>
    </w:p>
    <w:p w14:paraId="60E8393C">
      <w:pPr>
        <w:pStyle w:val="3"/>
        <w:snapToGrid w:val="0"/>
        <w:spacing w:before="0" w:after="0" w:line="600" w:lineRule="exact"/>
        <w:ind w:left="0" w:right="0" w:firstLine="600"/>
        <w:jc w:val="both"/>
        <w:rPr>
          <w:rFonts w:ascii="仿宋_GB2312" w:hAnsi="仿宋_GB2312" w:eastAsia="仿宋_GB2312" w:cs="Times New Roman"/>
          <w:kern w:val="2"/>
          <w:lang w:eastAsia="zh-CN"/>
        </w:rPr>
      </w:pPr>
      <w:r>
        <w:rPr>
          <w:rFonts w:ascii="仿宋_GB2312" w:hAnsi="仿宋_GB2312" w:eastAsia="仿宋_GB2312" w:cs="Times New Roman"/>
          <w:kern w:val="2"/>
          <w:lang w:eastAsia="zh-CN"/>
        </w:rPr>
        <w:t>（一）每股面值；</w:t>
      </w:r>
    </w:p>
    <w:p w14:paraId="58C80C66">
      <w:pPr>
        <w:pStyle w:val="3"/>
        <w:snapToGrid w:val="0"/>
        <w:spacing w:before="0" w:after="0" w:line="600" w:lineRule="exact"/>
        <w:ind w:left="0" w:right="0" w:firstLine="600"/>
        <w:jc w:val="both"/>
        <w:rPr>
          <w:rFonts w:ascii="仿宋_GB2312" w:hAnsi="仿宋_GB2312" w:eastAsia="仿宋_GB2312" w:cs="Times New Roman"/>
          <w:kern w:val="2"/>
          <w:lang w:eastAsia="zh-CN"/>
        </w:rPr>
      </w:pPr>
      <w:r>
        <w:rPr>
          <w:rFonts w:ascii="仿宋_GB2312" w:hAnsi="仿宋_GB2312" w:eastAsia="仿宋_GB2312" w:cs="Times New Roman"/>
          <w:kern w:val="2"/>
          <w:lang w:eastAsia="zh-CN"/>
        </w:rPr>
        <w:t>（二）转板上市首日开盘参考价；</w:t>
      </w:r>
    </w:p>
    <w:p w14:paraId="3B57C648">
      <w:pPr>
        <w:pStyle w:val="3"/>
        <w:snapToGrid w:val="0"/>
        <w:spacing w:before="0" w:after="0" w:line="600" w:lineRule="exact"/>
        <w:ind w:left="0" w:right="0" w:firstLine="600"/>
        <w:jc w:val="both"/>
        <w:rPr>
          <w:rFonts w:ascii="仿宋_GB2312" w:hAnsi="仿宋_GB2312" w:eastAsia="仿宋_GB2312" w:cs="Times New Roman"/>
          <w:kern w:val="2"/>
          <w:lang w:eastAsia="zh-CN"/>
        </w:rPr>
      </w:pPr>
      <w:r>
        <w:rPr>
          <w:rFonts w:ascii="仿宋_GB2312" w:hAnsi="仿宋_GB2312" w:eastAsia="仿宋_GB2312" w:cs="Times New Roman"/>
          <w:kern w:val="2"/>
          <w:lang w:eastAsia="zh-CN"/>
        </w:rPr>
        <w:t>（三）预计转板上市日期；</w:t>
      </w:r>
    </w:p>
    <w:p w14:paraId="559060C4">
      <w:pPr>
        <w:pStyle w:val="3"/>
        <w:snapToGrid w:val="0"/>
        <w:spacing w:before="0" w:after="0" w:line="600" w:lineRule="exact"/>
        <w:ind w:left="0" w:right="0" w:firstLine="600"/>
        <w:jc w:val="both"/>
        <w:rPr>
          <w:rFonts w:ascii="仿宋_GB2312" w:hAnsi="仿宋_GB2312" w:eastAsia="仿宋_GB2312" w:cs="Times New Roman"/>
          <w:kern w:val="2"/>
          <w:lang w:eastAsia="zh-CN"/>
        </w:rPr>
      </w:pPr>
      <w:r>
        <w:rPr>
          <w:rFonts w:ascii="仿宋_GB2312" w:hAnsi="仿宋_GB2312" w:eastAsia="仿宋_GB2312" w:cs="Times New Roman"/>
          <w:kern w:val="2"/>
          <w:lang w:eastAsia="zh-CN"/>
        </w:rPr>
        <w:t>（四）拟上市的证券交易所和板块；</w:t>
      </w:r>
    </w:p>
    <w:p w14:paraId="29D74BB5">
      <w:pPr>
        <w:pStyle w:val="3"/>
        <w:snapToGrid w:val="0"/>
        <w:spacing w:before="0" w:after="0" w:line="600" w:lineRule="exact"/>
        <w:ind w:left="0" w:right="0" w:firstLine="600"/>
        <w:jc w:val="both"/>
        <w:rPr>
          <w:rFonts w:ascii="仿宋_GB2312" w:hAnsi="仿宋_GB2312" w:eastAsia="仿宋_GB2312" w:cs="Times New Roman"/>
          <w:kern w:val="2"/>
          <w:lang w:eastAsia="zh-CN"/>
        </w:rPr>
      </w:pPr>
      <w:r>
        <w:rPr>
          <w:rFonts w:ascii="仿宋_GB2312" w:hAnsi="仿宋_GB2312" w:eastAsia="仿宋_GB2312" w:cs="Times New Roman"/>
          <w:kern w:val="2"/>
          <w:lang w:eastAsia="zh-CN"/>
        </w:rPr>
        <w:t>（五）转板公司总股本；</w:t>
      </w:r>
    </w:p>
    <w:p w14:paraId="2A61F6F1">
      <w:pPr>
        <w:pStyle w:val="3"/>
        <w:snapToGrid w:val="0"/>
        <w:spacing w:before="0" w:after="0" w:line="600" w:lineRule="exact"/>
        <w:ind w:left="0" w:right="0" w:firstLine="600"/>
        <w:jc w:val="both"/>
        <w:rPr>
          <w:rFonts w:ascii="仿宋_GB2312" w:hAnsi="仿宋_GB2312" w:eastAsia="仿宋_GB2312" w:cs="Times New Roman"/>
          <w:kern w:val="2"/>
          <w:lang w:eastAsia="zh-CN"/>
        </w:rPr>
      </w:pPr>
      <w:r>
        <w:rPr>
          <w:rFonts w:ascii="仿宋_GB2312" w:hAnsi="仿宋_GB2312" w:eastAsia="仿宋_GB2312" w:cs="Times New Roman"/>
          <w:kern w:val="2"/>
          <w:lang w:eastAsia="zh-CN"/>
        </w:rPr>
        <w:t>（六）保荐人；</w:t>
      </w:r>
    </w:p>
    <w:p w14:paraId="270E39DE">
      <w:pPr>
        <w:pStyle w:val="3"/>
        <w:snapToGrid w:val="0"/>
        <w:spacing w:before="0" w:after="0" w:line="600" w:lineRule="exact"/>
        <w:ind w:left="0" w:right="0" w:firstLine="600"/>
        <w:jc w:val="both"/>
        <w:rPr>
          <w:rFonts w:ascii="仿宋_GB2312" w:hAnsi="仿宋_GB2312" w:eastAsia="仿宋_GB2312" w:cs="Times New Roman"/>
          <w:kern w:val="2"/>
          <w:lang w:eastAsia="zh-CN"/>
        </w:rPr>
      </w:pPr>
      <w:r>
        <w:rPr>
          <w:rFonts w:ascii="仿宋_GB2312" w:hAnsi="仿宋_GB2312" w:eastAsia="仿宋_GB2312" w:cs="Times New Roman"/>
          <w:kern w:val="2"/>
          <w:lang w:eastAsia="zh-CN"/>
        </w:rPr>
        <w:t>（七）转板上市报告书签署日期。</w:t>
      </w:r>
    </w:p>
    <w:p w14:paraId="4894737C">
      <w:pPr>
        <w:pStyle w:val="21"/>
        <w:numPr>
          <w:ilvl w:val="0"/>
          <w:numId w:val="0"/>
        </w:numPr>
        <w:snapToGrid w:val="0"/>
        <w:spacing w:line="600" w:lineRule="exact"/>
        <w:ind w:left="0" w:leftChars="0" w:right="0" w:rightChars="0" w:firstLine="600" w:firstLineChars="0"/>
        <w:rPr>
          <w:rFonts w:ascii="仿宋_GB2312" w:hAnsi="仿宋_GB2312" w:eastAsia="仿宋_GB2312"/>
          <w:sz w:val="30"/>
          <w:szCs w:val="30"/>
        </w:rPr>
      </w:pPr>
      <w:r>
        <w:rPr>
          <w:rFonts w:hint="eastAsia" w:ascii="仿宋_GB2312" w:hAnsi="仿宋_GB2312" w:eastAsia="仿宋_GB2312" w:cs="黑体;SimHei"/>
          <w:b/>
          <w:bCs/>
          <w:color w:val="000000"/>
          <w:kern w:val="2"/>
          <w:sz w:val="30"/>
          <w:szCs w:val="30"/>
          <w:lang w:val="en-US" w:eastAsia="zh-CN" w:bidi="ar-SA"/>
        </w:rPr>
        <w:t xml:space="preserve">第二十二条 </w:t>
      </w:r>
      <w:r>
        <w:rPr>
          <w:rFonts w:ascii="仿宋_GB2312" w:hAnsi="仿宋_GB2312" w:eastAsia="仿宋_GB2312"/>
          <w:sz w:val="30"/>
          <w:szCs w:val="30"/>
        </w:rPr>
        <w:t>转板公司应根据本指引及相关规定，针对实际情况作“重大事项提示”，以简要语言仅就重大风险提示和其他转板公司认为应当提醒投资者特别关注的重要事项进行披露，并索引至转板上市报告书正文内容，不应在重大事项提示及转板上市报告书正文中进行重复表述。</w:t>
      </w:r>
    </w:p>
    <w:p w14:paraId="48100541">
      <w:pPr>
        <w:pStyle w:val="21"/>
        <w:numPr>
          <w:ilvl w:val="0"/>
          <w:numId w:val="0"/>
        </w:numPr>
        <w:snapToGrid w:val="0"/>
        <w:spacing w:line="600" w:lineRule="exact"/>
        <w:ind w:left="0" w:leftChars="0" w:right="0" w:rightChars="0" w:firstLine="600" w:firstLineChars="0"/>
        <w:rPr>
          <w:rFonts w:ascii="仿宋_GB2312" w:hAnsi="仿宋_GB2312" w:eastAsia="仿宋_GB2312"/>
          <w:sz w:val="30"/>
          <w:szCs w:val="30"/>
        </w:rPr>
      </w:pPr>
      <w:r>
        <w:rPr>
          <w:rFonts w:hint="eastAsia" w:ascii="仿宋_GB2312" w:hAnsi="仿宋_GB2312" w:eastAsia="仿宋_GB2312" w:cs="黑体;SimHei"/>
          <w:b/>
          <w:bCs/>
          <w:color w:val="000000"/>
          <w:kern w:val="2"/>
          <w:sz w:val="30"/>
          <w:szCs w:val="30"/>
          <w:lang w:val="en-US" w:eastAsia="zh-CN" w:bidi="ar-SA"/>
        </w:rPr>
        <w:t xml:space="preserve">第二十三条 </w:t>
      </w:r>
      <w:r>
        <w:rPr>
          <w:rFonts w:ascii="仿宋_GB2312" w:hAnsi="仿宋_GB2312" w:eastAsia="仿宋_GB2312"/>
          <w:sz w:val="30"/>
          <w:szCs w:val="30"/>
        </w:rPr>
        <w:t>转板上市报告书的目录应标明各章、节的标题及相应的页码，内容编排也应符合通行的惯例。</w:t>
      </w:r>
    </w:p>
    <w:p w14:paraId="246D7DCA">
      <w:pPr>
        <w:pStyle w:val="21"/>
        <w:numPr>
          <w:ilvl w:val="0"/>
          <w:numId w:val="0"/>
        </w:numPr>
        <w:snapToGrid w:val="0"/>
        <w:spacing w:line="600" w:lineRule="exact"/>
        <w:ind w:left="0" w:leftChars="0" w:right="0" w:rightChars="0" w:firstLine="600" w:firstLineChars="0"/>
        <w:rPr>
          <w:rFonts w:ascii="仿宋_GB2312" w:hAnsi="仿宋_GB2312" w:eastAsia="仿宋_GB2312"/>
          <w:sz w:val="30"/>
          <w:szCs w:val="30"/>
        </w:rPr>
      </w:pPr>
      <w:r>
        <w:rPr>
          <w:rFonts w:hint="eastAsia" w:ascii="仿宋_GB2312" w:hAnsi="仿宋_GB2312" w:eastAsia="仿宋_GB2312" w:cs="黑体;SimHei"/>
          <w:b/>
          <w:bCs/>
          <w:color w:val="000000"/>
          <w:kern w:val="2"/>
          <w:sz w:val="30"/>
          <w:szCs w:val="30"/>
          <w:lang w:val="en-US" w:eastAsia="zh-CN" w:bidi="ar-SA"/>
        </w:rPr>
        <w:t xml:space="preserve">第二十四条 </w:t>
      </w:r>
      <w:r>
        <w:rPr>
          <w:rFonts w:ascii="仿宋_GB2312" w:hAnsi="仿宋_GB2312" w:eastAsia="仿宋_GB2312"/>
          <w:sz w:val="30"/>
          <w:szCs w:val="30"/>
        </w:rPr>
        <w:t>转板公司应对可能造成投资者理解障碍及有特定含义的术语作出释义。转板上市报告书的释义应在目录次页列示。</w:t>
      </w:r>
    </w:p>
    <w:p w14:paraId="3B3F3F29">
      <w:pPr>
        <w:numPr>
          <w:ilvl w:val="0"/>
          <w:numId w:val="0"/>
        </w:numPr>
        <w:snapToGrid w:val="0"/>
        <w:spacing w:line="600" w:lineRule="exact"/>
        <w:jc w:val="center"/>
        <w:outlineLvl w:val="2"/>
        <w:rPr>
          <w:rFonts w:ascii="仿宋_GB2312" w:hAnsi="仿宋_GB2312" w:eastAsia="仿宋_GB2312" w:cs="Calibri"/>
          <w:b/>
          <w:sz w:val="30"/>
          <w:szCs w:val="30"/>
        </w:rPr>
      </w:pPr>
      <w:r>
        <w:rPr>
          <w:rFonts w:ascii="仿宋_GB2312" w:hAnsi="仿宋_GB2312" w:eastAsia="仿宋_GB2312" w:cs="Calibri"/>
          <w:b/>
          <w:sz w:val="30"/>
          <w:szCs w:val="30"/>
        </w:rPr>
        <w:t>第二节 概览</w:t>
      </w:r>
    </w:p>
    <w:p w14:paraId="2FDF9DED">
      <w:pPr>
        <w:pStyle w:val="21"/>
        <w:numPr>
          <w:ilvl w:val="0"/>
          <w:numId w:val="0"/>
        </w:numPr>
        <w:snapToGrid w:val="0"/>
        <w:spacing w:line="600" w:lineRule="exact"/>
        <w:ind w:left="0" w:leftChars="0" w:right="0" w:rightChars="0" w:firstLine="600" w:firstLineChars="0"/>
        <w:rPr>
          <w:rFonts w:ascii="仿宋_GB2312" w:hAnsi="仿宋_GB2312" w:eastAsia="仿宋_GB2312"/>
          <w:sz w:val="30"/>
          <w:szCs w:val="30"/>
        </w:rPr>
      </w:pPr>
      <w:r>
        <w:rPr>
          <w:rFonts w:hint="eastAsia" w:ascii="仿宋_GB2312" w:hAnsi="仿宋_GB2312" w:eastAsia="仿宋_GB2312" w:cs="黑体;SimHei"/>
          <w:b/>
          <w:bCs/>
          <w:color w:val="000000"/>
          <w:kern w:val="2"/>
          <w:sz w:val="30"/>
          <w:szCs w:val="30"/>
          <w:lang w:val="en-US" w:eastAsia="zh-CN" w:bidi="ar-SA"/>
        </w:rPr>
        <w:t xml:space="preserve">第二十五条 </w:t>
      </w:r>
      <w:r>
        <w:rPr>
          <w:rFonts w:ascii="仿宋_GB2312" w:hAnsi="仿宋_GB2312" w:eastAsia="仿宋_GB2312"/>
          <w:sz w:val="30"/>
          <w:szCs w:val="30"/>
        </w:rPr>
        <w:t>转板公司应对转板上市报告书作精确、扼要的概览，确保概览内容具体清晰、易于理解，不得披露除转板上市报告书其他章节披露内容以外的转板公司其他信息。</w:t>
      </w:r>
    </w:p>
    <w:p w14:paraId="2F72084A">
      <w:pPr>
        <w:pStyle w:val="21"/>
        <w:numPr>
          <w:ilvl w:val="0"/>
          <w:numId w:val="0"/>
        </w:numPr>
        <w:snapToGrid w:val="0"/>
        <w:spacing w:line="600" w:lineRule="exact"/>
        <w:ind w:left="0" w:leftChars="0" w:right="0" w:rightChars="0" w:firstLine="600" w:firstLineChars="0"/>
        <w:rPr>
          <w:rFonts w:ascii="仿宋_GB2312" w:hAnsi="仿宋_GB2312" w:eastAsia="仿宋_GB2312"/>
          <w:sz w:val="30"/>
          <w:szCs w:val="30"/>
        </w:rPr>
      </w:pPr>
      <w:r>
        <w:rPr>
          <w:rFonts w:hint="eastAsia" w:ascii="仿宋_GB2312" w:hAnsi="仿宋_GB2312" w:eastAsia="仿宋_GB2312" w:cs="黑体;SimHei"/>
          <w:b/>
          <w:bCs/>
          <w:color w:val="000000"/>
          <w:kern w:val="2"/>
          <w:sz w:val="30"/>
          <w:szCs w:val="30"/>
          <w:lang w:val="en-US" w:eastAsia="zh-CN" w:bidi="ar-SA"/>
        </w:rPr>
        <w:t xml:space="preserve">第二十六条 </w:t>
      </w:r>
      <w:r>
        <w:rPr>
          <w:rFonts w:ascii="仿宋_GB2312" w:hAnsi="仿宋_GB2312" w:eastAsia="仿宋_GB2312"/>
          <w:sz w:val="30"/>
          <w:szCs w:val="30"/>
        </w:rPr>
        <w:t>转板公司应在转板上市报告书概览的显要位置声明：“本概览仅对转板上市报告书全文作扼要提示。投资者作出投资决策前，应认真阅读转板上市报告书全文。”</w:t>
      </w:r>
    </w:p>
    <w:p w14:paraId="514292D6">
      <w:pPr>
        <w:pStyle w:val="21"/>
        <w:numPr>
          <w:ilvl w:val="0"/>
          <w:numId w:val="0"/>
        </w:numPr>
        <w:snapToGrid w:val="0"/>
        <w:spacing w:line="600" w:lineRule="exact"/>
        <w:ind w:left="0" w:leftChars="0" w:right="0" w:rightChars="0" w:firstLine="600" w:firstLineChars="0"/>
        <w:rPr>
          <w:rFonts w:ascii="仿宋_GB2312" w:hAnsi="仿宋_GB2312" w:eastAsia="仿宋_GB2312"/>
          <w:sz w:val="30"/>
          <w:szCs w:val="30"/>
        </w:rPr>
      </w:pPr>
      <w:r>
        <w:rPr>
          <w:rFonts w:hint="eastAsia" w:ascii="仿宋_GB2312" w:hAnsi="仿宋_GB2312" w:eastAsia="仿宋_GB2312" w:cs="黑体;SimHei"/>
          <w:b/>
          <w:bCs/>
          <w:color w:val="000000"/>
          <w:kern w:val="2"/>
          <w:sz w:val="30"/>
          <w:szCs w:val="30"/>
          <w:lang w:val="en-US" w:eastAsia="zh-CN" w:bidi="ar-SA"/>
        </w:rPr>
        <w:t xml:space="preserve">第二十七条 </w:t>
      </w:r>
      <w:r>
        <w:rPr>
          <w:rFonts w:ascii="仿宋_GB2312" w:hAnsi="仿宋_GB2312" w:eastAsia="仿宋_GB2312"/>
          <w:sz w:val="30"/>
          <w:szCs w:val="30"/>
        </w:rPr>
        <w:t>转板上市报告书概览的内容至少包括下列各部分：</w:t>
      </w:r>
    </w:p>
    <w:p w14:paraId="38FDD084">
      <w:pPr>
        <w:pStyle w:val="21"/>
        <w:snapToGrid w:val="0"/>
        <w:spacing w:line="600" w:lineRule="exact"/>
        <w:ind w:right="0" w:firstLine="600"/>
        <w:rPr>
          <w:rFonts w:ascii="仿宋_GB2312" w:hAnsi="仿宋_GB2312" w:eastAsia="仿宋_GB2312"/>
          <w:sz w:val="30"/>
          <w:szCs w:val="30"/>
        </w:rPr>
      </w:pPr>
      <w:r>
        <w:rPr>
          <w:rFonts w:ascii="仿宋_GB2312" w:hAnsi="仿宋_GB2312" w:eastAsia="仿宋_GB2312"/>
          <w:sz w:val="30"/>
          <w:szCs w:val="30"/>
        </w:rPr>
        <w:t>（一）转板公司应披露本次转板上市的基本情况，参考格式如下：</w:t>
      </w:r>
    </w:p>
    <w:tbl>
      <w:tblPr>
        <w:tblStyle w:val="7"/>
        <w:tblW w:w="8414" w:type="dxa"/>
        <w:jc w:val="center"/>
        <w:tblLayout w:type="fixed"/>
        <w:tblCellMar>
          <w:top w:w="0" w:type="dxa"/>
          <w:left w:w="108" w:type="dxa"/>
          <w:bottom w:w="0" w:type="dxa"/>
          <w:right w:w="108" w:type="dxa"/>
        </w:tblCellMar>
      </w:tblPr>
      <w:tblGrid>
        <w:gridCol w:w="2694"/>
        <w:gridCol w:w="1758"/>
        <w:gridCol w:w="2211"/>
        <w:gridCol w:w="1751"/>
      </w:tblGrid>
      <w:tr w14:paraId="1D8C670D">
        <w:tblPrEx>
          <w:tblCellMar>
            <w:top w:w="0" w:type="dxa"/>
            <w:left w:w="108" w:type="dxa"/>
            <w:bottom w:w="0" w:type="dxa"/>
            <w:right w:w="108" w:type="dxa"/>
          </w:tblCellMar>
        </w:tblPrEx>
        <w:trPr>
          <w:jc w:val="center"/>
        </w:trPr>
        <w:tc>
          <w:tcPr>
            <w:tcW w:w="8414" w:type="dxa"/>
            <w:gridSpan w:val="4"/>
            <w:tcBorders>
              <w:top w:val="single" w:color="000000" w:sz="4" w:space="0"/>
              <w:left w:val="single" w:color="000000" w:sz="4" w:space="0"/>
              <w:bottom w:val="single" w:color="000000" w:sz="4" w:space="0"/>
              <w:right w:val="single" w:color="000000" w:sz="4" w:space="0"/>
            </w:tcBorders>
            <w:vAlign w:val="center"/>
          </w:tcPr>
          <w:p w14:paraId="76497EA0">
            <w:pPr>
              <w:snapToGrid w:val="0"/>
              <w:spacing w:line="600" w:lineRule="exact"/>
              <w:jc w:val="center"/>
              <w:rPr>
                <w:rFonts w:ascii="宋体;SimSun" w:hAnsi="宋体;SimSun" w:cs="宋体;SimSun"/>
                <w:b/>
                <w:kern w:val="0"/>
                <w:sz w:val="28"/>
                <w:szCs w:val="30"/>
              </w:rPr>
            </w:pPr>
            <w:r>
              <w:rPr>
                <w:rFonts w:ascii="宋体;SimSun" w:hAnsi="宋体;SimSun" w:cs="宋体;SimSun"/>
                <w:b/>
                <w:kern w:val="0"/>
                <w:sz w:val="28"/>
                <w:szCs w:val="30"/>
              </w:rPr>
              <w:t>（一）转板公司基本情况</w:t>
            </w:r>
          </w:p>
        </w:tc>
      </w:tr>
      <w:tr w14:paraId="58FAB644">
        <w:tblPrEx>
          <w:tblCellMar>
            <w:top w:w="0" w:type="dxa"/>
            <w:left w:w="108" w:type="dxa"/>
            <w:bottom w:w="0" w:type="dxa"/>
            <w:right w:w="108" w:type="dxa"/>
          </w:tblCellMar>
        </w:tblPrEx>
        <w:trPr>
          <w:jc w:val="center"/>
        </w:trPr>
        <w:tc>
          <w:tcPr>
            <w:tcW w:w="2694" w:type="dxa"/>
            <w:tcBorders>
              <w:top w:val="single" w:color="000000" w:sz="4" w:space="0"/>
              <w:left w:val="single" w:color="000000" w:sz="4" w:space="0"/>
              <w:bottom w:val="single" w:color="000000" w:sz="4" w:space="0"/>
              <w:right w:val="single" w:color="000000" w:sz="4" w:space="0"/>
            </w:tcBorders>
            <w:vAlign w:val="center"/>
          </w:tcPr>
          <w:p w14:paraId="7618C790">
            <w:pPr>
              <w:pStyle w:val="21"/>
              <w:snapToGrid w:val="0"/>
              <w:ind w:right="0" w:firstLine="0"/>
              <w:jc w:val="left"/>
              <w:rPr>
                <w:rFonts w:ascii="宋体;SimSun" w:hAnsi="宋体;SimSun" w:cs="宋体;SimSun"/>
                <w:kern w:val="0"/>
                <w:sz w:val="24"/>
                <w:szCs w:val="24"/>
              </w:rPr>
            </w:pPr>
            <w:r>
              <w:rPr>
                <w:rFonts w:ascii="宋体;SimSun" w:hAnsi="宋体;SimSun" w:cs="宋体;SimSun"/>
                <w:kern w:val="0"/>
                <w:sz w:val="24"/>
                <w:szCs w:val="24"/>
              </w:rPr>
              <w:t>转板公司名称</w:t>
            </w:r>
          </w:p>
        </w:tc>
        <w:tc>
          <w:tcPr>
            <w:tcW w:w="1758" w:type="dxa"/>
            <w:tcBorders>
              <w:top w:val="single" w:color="000000" w:sz="4" w:space="0"/>
              <w:left w:val="single" w:color="000000" w:sz="4" w:space="0"/>
              <w:bottom w:val="single" w:color="000000" w:sz="4" w:space="0"/>
              <w:right w:val="single" w:color="000000" w:sz="4" w:space="0"/>
            </w:tcBorders>
            <w:vAlign w:val="center"/>
          </w:tcPr>
          <w:p w14:paraId="6F5370A6">
            <w:pPr>
              <w:pStyle w:val="21"/>
              <w:snapToGrid w:val="0"/>
              <w:ind w:right="0" w:firstLine="0"/>
              <w:jc w:val="left"/>
              <w:rPr>
                <w:rFonts w:ascii="宋体;SimSun" w:hAnsi="宋体;SimSun" w:cs="宋体;SimSun"/>
                <w:kern w:val="0"/>
                <w:sz w:val="24"/>
                <w:szCs w:val="24"/>
              </w:rPr>
            </w:pPr>
          </w:p>
        </w:tc>
        <w:tc>
          <w:tcPr>
            <w:tcW w:w="2211" w:type="dxa"/>
            <w:tcBorders>
              <w:top w:val="single" w:color="000000" w:sz="4" w:space="0"/>
              <w:left w:val="single" w:color="000000" w:sz="4" w:space="0"/>
              <w:bottom w:val="single" w:color="000000" w:sz="4" w:space="0"/>
              <w:right w:val="single" w:color="000000" w:sz="4" w:space="0"/>
            </w:tcBorders>
            <w:vAlign w:val="center"/>
          </w:tcPr>
          <w:p w14:paraId="3B3478E1">
            <w:pPr>
              <w:pStyle w:val="21"/>
              <w:snapToGrid w:val="0"/>
              <w:ind w:right="0" w:firstLine="0"/>
              <w:jc w:val="left"/>
              <w:rPr>
                <w:rFonts w:ascii="宋体;SimSun" w:hAnsi="宋体;SimSun" w:cs="宋体;SimSun"/>
                <w:kern w:val="0"/>
                <w:sz w:val="24"/>
                <w:szCs w:val="24"/>
              </w:rPr>
            </w:pPr>
            <w:r>
              <w:rPr>
                <w:rFonts w:ascii="宋体;SimSun" w:hAnsi="宋体;SimSun" w:cs="宋体;SimSun"/>
                <w:kern w:val="0"/>
                <w:sz w:val="24"/>
                <w:szCs w:val="24"/>
              </w:rPr>
              <w:t>成立日期</w:t>
            </w:r>
          </w:p>
        </w:tc>
        <w:tc>
          <w:tcPr>
            <w:tcW w:w="1751" w:type="dxa"/>
            <w:tcBorders>
              <w:top w:val="single" w:color="000000" w:sz="4" w:space="0"/>
              <w:left w:val="single" w:color="000000" w:sz="4" w:space="0"/>
              <w:bottom w:val="single" w:color="000000" w:sz="4" w:space="0"/>
              <w:right w:val="single" w:color="000000" w:sz="4" w:space="0"/>
            </w:tcBorders>
            <w:vAlign w:val="center"/>
          </w:tcPr>
          <w:p w14:paraId="45C7E555">
            <w:pPr>
              <w:pStyle w:val="21"/>
              <w:snapToGrid w:val="0"/>
              <w:ind w:right="0" w:firstLine="0"/>
              <w:rPr>
                <w:rFonts w:ascii="宋体;SimSun" w:hAnsi="宋体;SimSun" w:cs="宋体;SimSun"/>
                <w:kern w:val="0"/>
                <w:sz w:val="24"/>
                <w:szCs w:val="24"/>
              </w:rPr>
            </w:pPr>
          </w:p>
        </w:tc>
      </w:tr>
      <w:tr w14:paraId="66411B39">
        <w:tblPrEx>
          <w:tblCellMar>
            <w:top w:w="0" w:type="dxa"/>
            <w:left w:w="108" w:type="dxa"/>
            <w:bottom w:w="0" w:type="dxa"/>
            <w:right w:w="108" w:type="dxa"/>
          </w:tblCellMar>
        </w:tblPrEx>
        <w:trPr>
          <w:jc w:val="center"/>
        </w:trPr>
        <w:tc>
          <w:tcPr>
            <w:tcW w:w="2694" w:type="dxa"/>
            <w:tcBorders>
              <w:top w:val="single" w:color="000000" w:sz="4" w:space="0"/>
              <w:left w:val="single" w:color="000000" w:sz="4" w:space="0"/>
              <w:bottom w:val="single" w:color="000000" w:sz="4" w:space="0"/>
              <w:right w:val="single" w:color="000000" w:sz="4" w:space="0"/>
            </w:tcBorders>
            <w:vAlign w:val="center"/>
          </w:tcPr>
          <w:p w14:paraId="78DB7872">
            <w:pPr>
              <w:pStyle w:val="21"/>
              <w:snapToGrid w:val="0"/>
              <w:ind w:right="0" w:firstLine="0"/>
              <w:jc w:val="left"/>
              <w:rPr>
                <w:rFonts w:ascii="宋体;SimSun" w:hAnsi="宋体;SimSun" w:cs="宋体;SimSun"/>
                <w:kern w:val="0"/>
                <w:sz w:val="24"/>
                <w:szCs w:val="24"/>
              </w:rPr>
            </w:pPr>
            <w:r>
              <w:rPr>
                <w:rFonts w:ascii="宋体;SimSun" w:hAnsi="宋体;SimSun" w:cs="宋体;SimSun"/>
                <w:kern w:val="0"/>
                <w:sz w:val="24"/>
                <w:szCs w:val="24"/>
              </w:rPr>
              <w:t>注册资本</w:t>
            </w:r>
          </w:p>
        </w:tc>
        <w:tc>
          <w:tcPr>
            <w:tcW w:w="1758" w:type="dxa"/>
            <w:tcBorders>
              <w:top w:val="single" w:color="000000" w:sz="4" w:space="0"/>
              <w:left w:val="single" w:color="000000" w:sz="4" w:space="0"/>
              <w:bottom w:val="single" w:color="000000" w:sz="4" w:space="0"/>
              <w:right w:val="single" w:color="000000" w:sz="4" w:space="0"/>
            </w:tcBorders>
            <w:vAlign w:val="center"/>
          </w:tcPr>
          <w:p w14:paraId="0F32C7E9">
            <w:pPr>
              <w:pStyle w:val="21"/>
              <w:snapToGrid w:val="0"/>
              <w:ind w:right="0" w:firstLine="0"/>
              <w:jc w:val="left"/>
              <w:rPr>
                <w:rFonts w:ascii="宋体;SimSun" w:hAnsi="宋体;SimSun" w:cs="宋体;SimSun"/>
                <w:kern w:val="0"/>
                <w:sz w:val="24"/>
                <w:szCs w:val="24"/>
              </w:rPr>
            </w:pPr>
          </w:p>
        </w:tc>
        <w:tc>
          <w:tcPr>
            <w:tcW w:w="2211" w:type="dxa"/>
            <w:tcBorders>
              <w:top w:val="single" w:color="000000" w:sz="4" w:space="0"/>
              <w:left w:val="single" w:color="000000" w:sz="4" w:space="0"/>
              <w:bottom w:val="single" w:color="000000" w:sz="4" w:space="0"/>
              <w:right w:val="single" w:color="000000" w:sz="4" w:space="0"/>
            </w:tcBorders>
            <w:vAlign w:val="center"/>
          </w:tcPr>
          <w:p w14:paraId="25476EC0">
            <w:pPr>
              <w:pStyle w:val="21"/>
              <w:snapToGrid w:val="0"/>
              <w:ind w:right="0" w:firstLine="0"/>
              <w:jc w:val="left"/>
              <w:rPr>
                <w:rFonts w:ascii="宋体;SimSun" w:hAnsi="宋体;SimSun" w:cs="宋体;SimSun"/>
                <w:kern w:val="0"/>
                <w:sz w:val="24"/>
                <w:szCs w:val="24"/>
              </w:rPr>
            </w:pPr>
            <w:r>
              <w:rPr>
                <w:rFonts w:ascii="宋体;SimSun" w:hAnsi="宋体;SimSun" w:cs="宋体;SimSun"/>
                <w:kern w:val="0"/>
                <w:sz w:val="24"/>
                <w:szCs w:val="24"/>
              </w:rPr>
              <w:t>法定代表人</w:t>
            </w:r>
          </w:p>
        </w:tc>
        <w:tc>
          <w:tcPr>
            <w:tcW w:w="1751" w:type="dxa"/>
            <w:tcBorders>
              <w:top w:val="single" w:color="000000" w:sz="4" w:space="0"/>
              <w:left w:val="single" w:color="000000" w:sz="4" w:space="0"/>
              <w:bottom w:val="single" w:color="000000" w:sz="4" w:space="0"/>
              <w:right w:val="single" w:color="000000" w:sz="4" w:space="0"/>
            </w:tcBorders>
            <w:vAlign w:val="center"/>
          </w:tcPr>
          <w:p w14:paraId="3C14633B">
            <w:pPr>
              <w:pStyle w:val="21"/>
              <w:snapToGrid w:val="0"/>
              <w:ind w:right="0" w:firstLine="0"/>
              <w:rPr>
                <w:rFonts w:ascii="宋体;SimSun" w:hAnsi="宋体;SimSun" w:cs="宋体;SimSun"/>
                <w:kern w:val="0"/>
                <w:sz w:val="24"/>
                <w:szCs w:val="24"/>
              </w:rPr>
            </w:pPr>
          </w:p>
        </w:tc>
      </w:tr>
      <w:tr w14:paraId="0855CFEE">
        <w:tblPrEx>
          <w:tblCellMar>
            <w:top w:w="0" w:type="dxa"/>
            <w:left w:w="108" w:type="dxa"/>
            <w:bottom w:w="0" w:type="dxa"/>
            <w:right w:w="108" w:type="dxa"/>
          </w:tblCellMar>
        </w:tblPrEx>
        <w:trPr>
          <w:jc w:val="center"/>
        </w:trPr>
        <w:tc>
          <w:tcPr>
            <w:tcW w:w="2694" w:type="dxa"/>
            <w:tcBorders>
              <w:top w:val="single" w:color="000000" w:sz="4" w:space="0"/>
              <w:left w:val="single" w:color="000000" w:sz="4" w:space="0"/>
              <w:bottom w:val="single" w:color="000000" w:sz="4" w:space="0"/>
              <w:right w:val="single" w:color="000000" w:sz="4" w:space="0"/>
            </w:tcBorders>
            <w:vAlign w:val="center"/>
          </w:tcPr>
          <w:p w14:paraId="24359798">
            <w:pPr>
              <w:pStyle w:val="21"/>
              <w:snapToGrid w:val="0"/>
              <w:ind w:right="0" w:firstLine="0"/>
              <w:jc w:val="left"/>
              <w:rPr>
                <w:rFonts w:ascii="宋体;SimSun" w:hAnsi="宋体;SimSun" w:cs="宋体;SimSun"/>
                <w:kern w:val="0"/>
                <w:sz w:val="24"/>
                <w:szCs w:val="24"/>
              </w:rPr>
            </w:pPr>
            <w:r>
              <w:rPr>
                <w:rFonts w:ascii="宋体;SimSun" w:hAnsi="宋体;SimSun" w:cs="宋体;SimSun"/>
                <w:kern w:val="0"/>
                <w:sz w:val="24"/>
                <w:szCs w:val="24"/>
              </w:rPr>
              <w:t>注册地址</w:t>
            </w:r>
          </w:p>
        </w:tc>
        <w:tc>
          <w:tcPr>
            <w:tcW w:w="1758" w:type="dxa"/>
            <w:tcBorders>
              <w:top w:val="single" w:color="000000" w:sz="4" w:space="0"/>
              <w:left w:val="single" w:color="000000" w:sz="4" w:space="0"/>
              <w:bottom w:val="single" w:color="000000" w:sz="4" w:space="0"/>
              <w:right w:val="single" w:color="000000" w:sz="4" w:space="0"/>
            </w:tcBorders>
            <w:vAlign w:val="center"/>
          </w:tcPr>
          <w:p w14:paraId="20AF04C1">
            <w:pPr>
              <w:pStyle w:val="21"/>
              <w:snapToGrid w:val="0"/>
              <w:ind w:right="0" w:firstLine="0"/>
              <w:jc w:val="left"/>
              <w:rPr>
                <w:rFonts w:ascii="宋体;SimSun" w:hAnsi="宋体;SimSun" w:cs="宋体;SimSun"/>
                <w:kern w:val="0"/>
                <w:sz w:val="24"/>
                <w:szCs w:val="24"/>
              </w:rPr>
            </w:pPr>
          </w:p>
        </w:tc>
        <w:tc>
          <w:tcPr>
            <w:tcW w:w="2211" w:type="dxa"/>
            <w:tcBorders>
              <w:top w:val="single" w:color="000000" w:sz="4" w:space="0"/>
              <w:left w:val="single" w:color="000000" w:sz="4" w:space="0"/>
              <w:bottom w:val="single" w:color="000000" w:sz="4" w:space="0"/>
              <w:right w:val="single" w:color="000000" w:sz="4" w:space="0"/>
            </w:tcBorders>
            <w:vAlign w:val="center"/>
          </w:tcPr>
          <w:p w14:paraId="405D44A6">
            <w:pPr>
              <w:pStyle w:val="21"/>
              <w:snapToGrid w:val="0"/>
              <w:ind w:right="0" w:firstLine="0"/>
              <w:jc w:val="left"/>
              <w:rPr>
                <w:rFonts w:ascii="宋体;SimSun" w:hAnsi="宋体;SimSun" w:cs="宋体;SimSun"/>
                <w:kern w:val="0"/>
                <w:sz w:val="24"/>
                <w:szCs w:val="24"/>
              </w:rPr>
            </w:pPr>
            <w:r>
              <w:rPr>
                <w:rFonts w:ascii="宋体;SimSun" w:hAnsi="宋体;SimSun" w:cs="宋体;SimSun"/>
                <w:kern w:val="0"/>
                <w:sz w:val="24"/>
                <w:szCs w:val="24"/>
              </w:rPr>
              <w:t>主要生产经营地址</w:t>
            </w:r>
          </w:p>
        </w:tc>
        <w:tc>
          <w:tcPr>
            <w:tcW w:w="1751" w:type="dxa"/>
            <w:tcBorders>
              <w:top w:val="single" w:color="000000" w:sz="4" w:space="0"/>
              <w:left w:val="single" w:color="000000" w:sz="4" w:space="0"/>
              <w:bottom w:val="single" w:color="000000" w:sz="4" w:space="0"/>
              <w:right w:val="single" w:color="000000" w:sz="4" w:space="0"/>
            </w:tcBorders>
            <w:vAlign w:val="center"/>
          </w:tcPr>
          <w:p w14:paraId="5D339CD1">
            <w:pPr>
              <w:pStyle w:val="21"/>
              <w:snapToGrid w:val="0"/>
              <w:ind w:right="0" w:firstLine="0"/>
              <w:rPr>
                <w:rFonts w:ascii="宋体;SimSun" w:hAnsi="宋体;SimSun" w:cs="宋体;SimSun"/>
                <w:kern w:val="0"/>
                <w:sz w:val="24"/>
                <w:szCs w:val="24"/>
              </w:rPr>
            </w:pPr>
          </w:p>
        </w:tc>
      </w:tr>
      <w:tr w14:paraId="33F74325">
        <w:tblPrEx>
          <w:tblCellMar>
            <w:top w:w="0" w:type="dxa"/>
            <w:left w:w="108" w:type="dxa"/>
            <w:bottom w:w="0" w:type="dxa"/>
            <w:right w:w="108" w:type="dxa"/>
          </w:tblCellMar>
        </w:tblPrEx>
        <w:trPr>
          <w:jc w:val="center"/>
        </w:trPr>
        <w:tc>
          <w:tcPr>
            <w:tcW w:w="2694" w:type="dxa"/>
            <w:tcBorders>
              <w:top w:val="single" w:color="000000" w:sz="4" w:space="0"/>
              <w:left w:val="single" w:color="000000" w:sz="4" w:space="0"/>
              <w:bottom w:val="single" w:color="000000" w:sz="4" w:space="0"/>
              <w:right w:val="single" w:color="000000" w:sz="4" w:space="0"/>
            </w:tcBorders>
            <w:vAlign w:val="center"/>
          </w:tcPr>
          <w:p w14:paraId="00AB2794">
            <w:pPr>
              <w:pStyle w:val="21"/>
              <w:snapToGrid w:val="0"/>
              <w:ind w:right="0" w:firstLine="0"/>
              <w:jc w:val="left"/>
              <w:rPr>
                <w:rFonts w:ascii="宋体;SimSun" w:hAnsi="宋体;SimSun" w:cs="宋体;SimSun"/>
                <w:kern w:val="0"/>
                <w:sz w:val="24"/>
                <w:szCs w:val="24"/>
              </w:rPr>
            </w:pPr>
            <w:r>
              <w:rPr>
                <w:rFonts w:ascii="宋体;SimSun" w:hAnsi="宋体;SimSun" w:cs="宋体;SimSun"/>
                <w:kern w:val="0"/>
                <w:sz w:val="24"/>
                <w:szCs w:val="24"/>
              </w:rPr>
              <w:t>控股股东</w:t>
            </w:r>
          </w:p>
        </w:tc>
        <w:tc>
          <w:tcPr>
            <w:tcW w:w="1758" w:type="dxa"/>
            <w:tcBorders>
              <w:top w:val="single" w:color="000000" w:sz="4" w:space="0"/>
              <w:left w:val="single" w:color="000000" w:sz="4" w:space="0"/>
              <w:bottom w:val="single" w:color="000000" w:sz="4" w:space="0"/>
              <w:right w:val="single" w:color="000000" w:sz="4" w:space="0"/>
            </w:tcBorders>
            <w:vAlign w:val="center"/>
          </w:tcPr>
          <w:p w14:paraId="05F91698">
            <w:pPr>
              <w:pStyle w:val="21"/>
              <w:snapToGrid w:val="0"/>
              <w:ind w:right="0" w:firstLine="0"/>
              <w:jc w:val="left"/>
              <w:rPr>
                <w:rFonts w:ascii="宋体;SimSun" w:hAnsi="宋体;SimSun" w:cs="宋体;SimSun"/>
                <w:kern w:val="0"/>
                <w:sz w:val="24"/>
                <w:szCs w:val="24"/>
              </w:rPr>
            </w:pPr>
          </w:p>
        </w:tc>
        <w:tc>
          <w:tcPr>
            <w:tcW w:w="2211" w:type="dxa"/>
            <w:tcBorders>
              <w:top w:val="single" w:color="000000" w:sz="4" w:space="0"/>
              <w:left w:val="single" w:color="000000" w:sz="4" w:space="0"/>
              <w:bottom w:val="single" w:color="000000" w:sz="4" w:space="0"/>
              <w:right w:val="single" w:color="000000" w:sz="4" w:space="0"/>
            </w:tcBorders>
            <w:vAlign w:val="center"/>
          </w:tcPr>
          <w:p w14:paraId="23FC6ED1">
            <w:pPr>
              <w:pStyle w:val="21"/>
              <w:snapToGrid w:val="0"/>
              <w:ind w:right="0" w:firstLine="0"/>
              <w:jc w:val="left"/>
              <w:rPr>
                <w:rFonts w:ascii="宋体;SimSun" w:hAnsi="宋体;SimSun" w:cs="宋体;SimSun"/>
                <w:kern w:val="0"/>
                <w:sz w:val="24"/>
                <w:szCs w:val="24"/>
              </w:rPr>
            </w:pPr>
            <w:r>
              <w:rPr>
                <w:rFonts w:ascii="宋体;SimSun" w:hAnsi="宋体;SimSun" w:cs="宋体;SimSun"/>
                <w:kern w:val="0"/>
                <w:sz w:val="24"/>
                <w:szCs w:val="24"/>
              </w:rPr>
              <w:t>实际控制人</w:t>
            </w:r>
          </w:p>
        </w:tc>
        <w:tc>
          <w:tcPr>
            <w:tcW w:w="1751" w:type="dxa"/>
            <w:tcBorders>
              <w:top w:val="single" w:color="000000" w:sz="4" w:space="0"/>
              <w:left w:val="single" w:color="000000" w:sz="4" w:space="0"/>
              <w:bottom w:val="single" w:color="000000" w:sz="4" w:space="0"/>
              <w:right w:val="single" w:color="000000" w:sz="4" w:space="0"/>
            </w:tcBorders>
            <w:vAlign w:val="center"/>
          </w:tcPr>
          <w:p w14:paraId="5EE30BE7">
            <w:pPr>
              <w:pStyle w:val="21"/>
              <w:snapToGrid w:val="0"/>
              <w:ind w:right="0" w:firstLine="0"/>
              <w:rPr>
                <w:rFonts w:ascii="宋体;SimSun" w:hAnsi="宋体;SimSun" w:cs="宋体;SimSun"/>
                <w:kern w:val="0"/>
                <w:sz w:val="24"/>
                <w:szCs w:val="24"/>
              </w:rPr>
            </w:pPr>
          </w:p>
        </w:tc>
      </w:tr>
      <w:tr w14:paraId="50ACEE96">
        <w:tblPrEx>
          <w:tblCellMar>
            <w:top w:w="0" w:type="dxa"/>
            <w:left w:w="108" w:type="dxa"/>
            <w:bottom w:w="0" w:type="dxa"/>
            <w:right w:w="108" w:type="dxa"/>
          </w:tblCellMar>
        </w:tblPrEx>
        <w:trPr>
          <w:jc w:val="center"/>
        </w:trPr>
        <w:tc>
          <w:tcPr>
            <w:tcW w:w="2694" w:type="dxa"/>
            <w:tcBorders>
              <w:top w:val="single" w:color="000000" w:sz="4" w:space="0"/>
              <w:left w:val="single" w:color="000000" w:sz="4" w:space="0"/>
              <w:bottom w:val="single" w:color="000000" w:sz="4" w:space="0"/>
              <w:right w:val="single" w:color="000000" w:sz="4" w:space="0"/>
            </w:tcBorders>
            <w:vAlign w:val="center"/>
          </w:tcPr>
          <w:p w14:paraId="42520CD8">
            <w:pPr>
              <w:pStyle w:val="21"/>
              <w:snapToGrid w:val="0"/>
              <w:ind w:right="0" w:firstLine="0"/>
              <w:jc w:val="left"/>
              <w:rPr>
                <w:rFonts w:ascii="宋体;SimSun" w:hAnsi="宋体;SimSun" w:cs="宋体;SimSun"/>
                <w:kern w:val="0"/>
                <w:sz w:val="24"/>
                <w:szCs w:val="24"/>
              </w:rPr>
            </w:pPr>
            <w:r>
              <w:rPr>
                <w:rFonts w:ascii="宋体;SimSun" w:hAnsi="宋体;SimSun" w:cs="宋体;SimSun"/>
                <w:kern w:val="0"/>
                <w:sz w:val="24"/>
                <w:szCs w:val="24"/>
              </w:rPr>
              <w:t>行业分类</w:t>
            </w:r>
          </w:p>
        </w:tc>
        <w:tc>
          <w:tcPr>
            <w:tcW w:w="1758" w:type="dxa"/>
            <w:tcBorders>
              <w:top w:val="single" w:color="000000" w:sz="4" w:space="0"/>
              <w:left w:val="single" w:color="000000" w:sz="4" w:space="0"/>
              <w:bottom w:val="single" w:color="000000" w:sz="4" w:space="0"/>
              <w:right w:val="single" w:color="000000" w:sz="4" w:space="0"/>
            </w:tcBorders>
            <w:vAlign w:val="center"/>
          </w:tcPr>
          <w:p w14:paraId="42D566F4">
            <w:pPr>
              <w:pStyle w:val="21"/>
              <w:snapToGrid w:val="0"/>
              <w:ind w:right="0" w:firstLine="0"/>
              <w:jc w:val="left"/>
              <w:rPr>
                <w:rFonts w:ascii="宋体;SimSun" w:hAnsi="宋体;SimSun" w:cs="宋体;SimSun"/>
                <w:kern w:val="0"/>
                <w:sz w:val="24"/>
                <w:szCs w:val="24"/>
              </w:rPr>
            </w:pPr>
          </w:p>
        </w:tc>
        <w:tc>
          <w:tcPr>
            <w:tcW w:w="2211" w:type="dxa"/>
            <w:tcBorders>
              <w:top w:val="single" w:color="000000" w:sz="4" w:space="0"/>
              <w:left w:val="single" w:color="000000" w:sz="4" w:space="0"/>
              <w:bottom w:val="single" w:color="000000" w:sz="4" w:space="0"/>
              <w:right w:val="single" w:color="000000" w:sz="4" w:space="0"/>
            </w:tcBorders>
            <w:vAlign w:val="center"/>
          </w:tcPr>
          <w:p w14:paraId="02D06BBD">
            <w:pPr>
              <w:pStyle w:val="21"/>
              <w:snapToGrid w:val="0"/>
              <w:ind w:right="0" w:firstLine="0"/>
              <w:jc w:val="left"/>
              <w:rPr>
                <w:rFonts w:ascii="宋体;SimSun" w:hAnsi="宋体;SimSun" w:cs="宋体;SimSun"/>
                <w:kern w:val="0"/>
                <w:sz w:val="24"/>
                <w:szCs w:val="24"/>
              </w:rPr>
            </w:pPr>
            <w:r>
              <w:rPr>
                <w:rFonts w:ascii="宋体;SimSun" w:hAnsi="宋体;SimSun" w:cs="宋体;SimSun"/>
                <w:kern w:val="0"/>
                <w:sz w:val="24"/>
                <w:szCs w:val="24"/>
              </w:rPr>
              <w:t>股东人数（人）</w:t>
            </w:r>
          </w:p>
        </w:tc>
        <w:tc>
          <w:tcPr>
            <w:tcW w:w="1751" w:type="dxa"/>
            <w:tcBorders>
              <w:top w:val="single" w:color="000000" w:sz="4" w:space="0"/>
              <w:left w:val="single" w:color="000000" w:sz="4" w:space="0"/>
              <w:bottom w:val="single" w:color="000000" w:sz="4" w:space="0"/>
              <w:right w:val="single" w:color="000000" w:sz="4" w:space="0"/>
            </w:tcBorders>
            <w:vAlign w:val="center"/>
          </w:tcPr>
          <w:p w14:paraId="05641EC2">
            <w:pPr>
              <w:pStyle w:val="21"/>
              <w:snapToGrid w:val="0"/>
              <w:ind w:right="0" w:firstLine="0"/>
              <w:rPr>
                <w:rFonts w:ascii="宋体;SimSun" w:hAnsi="宋体;SimSun" w:cs="宋体;SimSun"/>
                <w:kern w:val="0"/>
                <w:sz w:val="24"/>
                <w:szCs w:val="24"/>
              </w:rPr>
            </w:pPr>
          </w:p>
        </w:tc>
      </w:tr>
      <w:tr w14:paraId="568D80F5">
        <w:tblPrEx>
          <w:tblCellMar>
            <w:top w:w="0" w:type="dxa"/>
            <w:left w:w="108" w:type="dxa"/>
            <w:bottom w:w="0" w:type="dxa"/>
            <w:right w:w="108" w:type="dxa"/>
          </w:tblCellMar>
        </w:tblPrEx>
        <w:trPr>
          <w:jc w:val="center"/>
        </w:trPr>
        <w:tc>
          <w:tcPr>
            <w:tcW w:w="2694" w:type="dxa"/>
            <w:tcBorders>
              <w:top w:val="single" w:color="000000" w:sz="4" w:space="0"/>
              <w:left w:val="single" w:color="000000" w:sz="4" w:space="0"/>
              <w:bottom w:val="single" w:color="000000" w:sz="4" w:space="0"/>
              <w:right w:val="single" w:color="000000" w:sz="4" w:space="0"/>
            </w:tcBorders>
            <w:vAlign w:val="center"/>
          </w:tcPr>
          <w:p w14:paraId="58815D43">
            <w:pPr>
              <w:pStyle w:val="21"/>
              <w:snapToGrid w:val="0"/>
              <w:ind w:right="0" w:firstLine="0"/>
              <w:rPr>
                <w:rFonts w:ascii="宋体;SimSun" w:hAnsi="宋体;SimSun" w:cs="宋体;SimSun"/>
                <w:kern w:val="0"/>
                <w:sz w:val="24"/>
                <w:szCs w:val="24"/>
              </w:rPr>
            </w:pPr>
            <w:r>
              <w:rPr>
                <w:rFonts w:ascii="宋体;SimSun" w:hAnsi="宋体;SimSun" w:cs="宋体;SimSun"/>
                <w:kern w:val="0"/>
                <w:sz w:val="24"/>
                <w:szCs w:val="24"/>
              </w:rPr>
              <w:t>精选层挂牌时间</w:t>
            </w:r>
          </w:p>
        </w:tc>
        <w:tc>
          <w:tcPr>
            <w:tcW w:w="1758" w:type="dxa"/>
            <w:tcBorders>
              <w:top w:val="single" w:color="000000" w:sz="4" w:space="0"/>
              <w:left w:val="single" w:color="000000" w:sz="4" w:space="0"/>
              <w:bottom w:val="single" w:color="000000" w:sz="4" w:space="0"/>
              <w:right w:val="single" w:color="000000" w:sz="4" w:space="0"/>
            </w:tcBorders>
            <w:vAlign w:val="center"/>
          </w:tcPr>
          <w:p w14:paraId="07C5D23B">
            <w:pPr>
              <w:pStyle w:val="21"/>
              <w:snapToGrid w:val="0"/>
              <w:ind w:right="0" w:firstLine="0"/>
              <w:rPr>
                <w:rFonts w:ascii="宋体;SimSun" w:hAnsi="宋体;SimSun" w:cs="宋体;SimSun"/>
                <w:kern w:val="0"/>
                <w:sz w:val="24"/>
                <w:szCs w:val="24"/>
              </w:rPr>
            </w:pPr>
          </w:p>
        </w:tc>
        <w:tc>
          <w:tcPr>
            <w:tcW w:w="2211" w:type="dxa"/>
            <w:tcBorders>
              <w:top w:val="single" w:color="000000" w:sz="4" w:space="0"/>
              <w:left w:val="single" w:color="000000" w:sz="4" w:space="0"/>
              <w:bottom w:val="single" w:color="000000" w:sz="4" w:space="0"/>
              <w:right w:val="single" w:color="000000" w:sz="4" w:space="0"/>
            </w:tcBorders>
            <w:vAlign w:val="center"/>
          </w:tcPr>
          <w:p w14:paraId="5FB4C3BA">
            <w:pPr>
              <w:pStyle w:val="21"/>
              <w:snapToGrid w:val="0"/>
              <w:ind w:right="0" w:firstLine="0"/>
              <w:rPr>
                <w:rFonts w:ascii="宋体;SimSun" w:hAnsi="宋体;SimSun" w:cs="宋体;SimSun"/>
                <w:kern w:val="0"/>
                <w:sz w:val="24"/>
                <w:szCs w:val="24"/>
              </w:rPr>
            </w:pPr>
            <w:r>
              <w:rPr>
                <w:rFonts w:ascii="宋体;SimSun" w:hAnsi="宋体;SimSun" w:cs="宋体;SimSun"/>
                <w:kern w:val="0"/>
                <w:sz w:val="24"/>
                <w:szCs w:val="24"/>
              </w:rPr>
              <w:t>最近一年是否存在应当调出精选层情形</w:t>
            </w:r>
          </w:p>
        </w:tc>
        <w:tc>
          <w:tcPr>
            <w:tcW w:w="1751" w:type="dxa"/>
            <w:tcBorders>
              <w:top w:val="single" w:color="000000" w:sz="4" w:space="0"/>
              <w:left w:val="single" w:color="000000" w:sz="4" w:space="0"/>
              <w:bottom w:val="single" w:color="000000" w:sz="4" w:space="0"/>
              <w:right w:val="single" w:color="000000" w:sz="4" w:space="0"/>
            </w:tcBorders>
            <w:vAlign w:val="center"/>
          </w:tcPr>
          <w:p w14:paraId="0EE70ED6">
            <w:pPr>
              <w:pStyle w:val="21"/>
              <w:snapToGrid w:val="0"/>
              <w:ind w:right="0" w:firstLine="0"/>
              <w:rPr>
                <w:rFonts w:ascii="宋体;SimSun" w:hAnsi="宋体;SimSun" w:cs="宋体;SimSun"/>
                <w:kern w:val="0"/>
                <w:sz w:val="24"/>
                <w:szCs w:val="24"/>
              </w:rPr>
            </w:pPr>
          </w:p>
        </w:tc>
      </w:tr>
      <w:tr w14:paraId="5E4AE8B1">
        <w:tblPrEx>
          <w:tblCellMar>
            <w:top w:w="0" w:type="dxa"/>
            <w:left w:w="108" w:type="dxa"/>
            <w:bottom w:w="0" w:type="dxa"/>
            <w:right w:w="108" w:type="dxa"/>
          </w:tblCellMar>
        </w:tblPrEx>
        <w:trPr>
          <w:jc w:val="center"/>
        </w:trPr>
        <w:tc>
          <w:tcPr>
            <w:tcW w:w="2694" w:type="dxa"/>
            <w:tcBorders>
              <w:top w:val="single" w:color="000000" w:sz="4" w:space="0"/>
              <w:left w:val="single" w:color="000000" w:sz="4" w:space="0"/>
              <w:bottom w:val="single" w:color="000000" w:sz="4" w:space="0"/>
              <w:right w:val="single" w:color="000000" w:sz="4" w:space="0"/>
            </w:tcBorders>
            <w:vAlign w:val="center"/>
          </w:tcPr>
          <w:p w14:paraId="03CB8333">
            <w:pPr>
              <w:pStyle w:val="21"/>
              <w:snapToGrid w:val="0"/>
              <w:ind w:right="0" w:firstLine="0"/>
              <w:rPr>
                <w:rFonts w:ascii="宋体;SimSun" w:hAnsi="宋体;SimSun" w:cs="宋体;SimSun"/>
                <w:kern w:val="0"/>
                <w:sz w:val="24"/>
                <w:szCs w:val="24"/>
              </w:rPr>
            </w:pPr>
            <w:r>
              <w:rPr>
                <w:rFonts w:ascii="宋体;SimSun" w:hAnsi="宋体;SimSun" w:cs="宋体;SimSun"/>
                <w:kern w:val="0"/>
                <w:sz w:val="24"/>
                <w:szCs w:val="24"/>
              </w:rPr>
              <w:t>公众股东持股比例（%）</w:t>
            </w:r>
          </w:p>
        </w:tc>
        <w:tc>
          <w:tcPr>
            <w:tcW w:w="1758" w:type="dxa"/>
            <w:tcBorders>
              <w:top w:val="single" w:color="000000" w:sz="4" w:space="0"/>
              <w:left w:val="single" w:color="000000" w:sz="4" w:space="0"/>
              <w:bottom w:val="single" w:color="000000" w:sz="4" w:space="0"/>
              <w:right w:val="single" w:color="000000" w:sz="4" w:space="0"/>
            </w:tcBorders>
            <w:vAlign w:val="center"/>
          </w:tcPr>
          <w:p w14:paraId="4651EB0C">
            <w:pPr>
              <w:pStyle w:val="21"/>
              <w:snapToGrid w:val="0"/>
              <w:ind w:right="0" w:firstLine="0"/>
              <w:rPr>
                <w:rFonts w:ascii="宋体;SimSun" w:hAnsi="宋体;SimSun" w:cs="宋体;SimSun"/>
                <w:kern w:val="0"/>
                <w:sz w:val="24"/>
                <w:szCs w:val="24"/>
              </w:rPr>
            </w:pPr>
          </w:p>
        </w:tc>
        <w:tc>
          <w:tcPr>
            <w:tcW w:w="2211" w:type="dxa"/>
            <w:tcBorders>
              <w:top w:val="single" w:color="000000" w:sz="4" w:space="0"/>
              <w:left w:val="single" w:color="000000" w:sz="4" w:space="0"/>
              <w:bottom w:val="single" w:color="000000" w:sz="4" w:space="0"/>
              <w:right w:val="single" w:color="000000" w:sz="4" w:space="0"/>
            </w:tcBorders>
            <w:vAlign w:val="center"/>
          </w:tcPr>
          <w:p w14:paraId="41AD842F">
            <w:pPr>
              <w:pStyle w:val="21"/>
              <w:snapToGrid w:val="0"/>
              <w:ind w:right="0" w:firstLine="0"/>
              <w:rPr>
                <w:rFonts w:ascii="宋体;SimSun" w:hAnsi="宋体;SimSun" w:cs="宋体;SimSun"/>
                <w:kern w:val="0"/>
                <w:sz w:val="24"/>
                <w:szCs w:val="24"/>
              </w:rPr>
            </w:pPr>
            <w:r>
              <w:rPr>
                <w:rFonts w:ascii="宋体;SimSun" w:hAnsi="宋体;SimSun" w:cs="宋体;SimSun"/>
                <w:kern w:val="0"/>
                <w:sz w:val="24"/>
                <w:szCs w:val="24"/>
              </w:rPr>
              <w:t>董事会决议公告日前连续60个交易日累计成交量（万股）</w:t>
            </w:r>
          </w:p>
        </w:tc>
        <w:tc>
          <w:tcPr>
            <w:tcW w:w="1751" w:type="dxa"/>
            <w:tcBorders>
              <w:top w:val="single" w:color="000000" w:sz="4" w:space="0"/>
              <w:left w:val="single" w:color="000000" w:sz="4" w:space="0"/>
              <w:bottom w:val="single" w:color="000000" w:sz="4" w:space="0"/>
              <w:right w:val="single" w:color="000000" w:sz="4" w:space="0"/>
            </w:tcBorders>
            <w:vAlign w:val="center"/>
          </w:tcPr>
          <w:p w14:paraId="447339DB">
            <w:pPr>
              <w:pStyle w:val="21"/>
              <w:snapToGrid w:val="0"/>
              <w:ind w:right="0" w:firstLine="0"/>
              <w:rPr>
                <w:rFonts w:ascii="宋体;SimSun" w:hAnsi="宋体;SimSun" w:cs="宋体;SimSun"/>
                <w:kern w:val="0"/>
                <w:sz w:val="24"/>
                <w:szCs w:val="24"/>
              </w:rPr>
            </w:pPr>
          </w:p>
        </w:tc>
      </w:tr>
      <w:tr w14:paraId="3F621105">
        <w:tblPrEx>
          <w:tblCellMar>
            <w:top w:w="0" w:type="dxa"/>
            <w:left w:w="108" w:type="dxa"/>
            <w:bottom w:w="0" w:type="dxa"/>
            <w:right w:w="108" w:type="dxa"/>
          </w:tblCellMar>
        </w:tblPrEx>
        <w:trPr>
          <w:jc w:val="center"/>
        </w:trPr>
        <w:tc>
          <w:tcPr>
            <w:tcW w:w="2694" w:type="dxa"/>
            <w:tcBorders>
              <w:top w:val="single" w:color="000000" w:sz="4" w:space="0"/>
              <w:left w:val="single" w:color="000000" w:sz="4" w:space="0"/>
              <w:bottom w:val="single" w:color="000000" w:sz="4" w:space="0"/>
              <w:right w:val="single" w:color="000000" w:sz="4" w:space="0"/>
            </w:tcBorders>
            <w:vAlign w:val="center"/>
          </w:tcPr>
          <w:p w14:paraId="71AC770D">
            <w:pPr>
              <w:pStyle w:val="21"/>
              <w:snapToGrid w:val="0"/>
              <w:ind w:right="0" w:firstLine="0"/>
              <w:rPr>
                <w:rFonts w:ascii="宋体;SimSun" w:hAnsi="宋体;SimSun" w:cs="宋体;SimSun"/>
                <w:kern w:val="0"/>
                <w:sz w:val="24"/>
                <w:szCs w:val="24"/>
              </w:rPr>
            </w:pPr>
            <w:r>
              <w:rPr>
                <w:rFonts w:ascii="宋体;SimSun" w:hAnsi="宋体;SimSun" w:cs="Arial"/>
                <w:color w:val="000000"/>
                <w:kern w:val="0"/>
                <w:sz w:val="24"/>
                <w:szCs w:val="24"/>
              </w:rPr>
              <w:t>本次上市无限售流通股的股票数量</w:t>
            </w:r>
          </w:p>
        </w:tc>
        <w:tc>
          <w:tcPr>
            <w:tcW w:w="1758" w:type="dxa"/>
            <w:tcBorders>
              <w:top w:val="single" w:color="000000" w:sz="4" w:space="0"/>
              <w:left w:val="single" w:color="000000" w:sz="4" w:space="0"/>
              <w:bottom w:val="single" w:color="000000" w:sz="4" w:space="0"/>
              <w:right w:val="single" w:color="000000" w:sz="4" w:space="0"/>
            </w:tcBorders>
            <w:vAlign w:val="center"/>
          </w:tcPr>
          <w:p w14:paraId="125D9DCD">
            <w:pPr>
              <w:pStyle w:val="21"/>
              <w:snapToGrid w:val="0"/>
              <w:ind w:right="0" w:firstLine="0"/>
              <w:rPr>
                <w:rFonts w:ascii="宋体;SimSun" w:hAnsi="宋体;SimSun" w:cs="宋体;SimSun"/>
                <w:kern w:val="0"/>
                <w:sz w:val="24"/>
                <w:szCs w:val="24"/>
              </w:rPr>
            </w:pPr>
          </w:p>
        </w:tc>
        <w:tc>
          <w:tcPr>
            <w:tcW w:w="2211" w:type="dxa"/>
            <w:tcBorders>
              <w:top w:val="single" w:color="000000" w:sz="4" w:space="0"/>
              <w:left w:val="single" w:color="000000" w:sz="4" w:space="0"/>
              <w:bottom w:val="single" w:color="000000" w:sz="4" w:space="0"/>
              <w:right w:val="single" w:color="000000" w:sz="4" w:space="0"/>
            </w:tcBorders>
            <w:vAlign w:val="center"/>
          </w:tcPr>
          <w:p w14:paraId="52D6644F">
            <w:pPr>
              <w:pStyle w:val="21"/>
              <w:snapToGrid w:val="0"/>
              <w:ind w:right="0" w:firstLine="0"/>
              <w:rPr>
                <w:rFonts w:ascii="宋体;SimSun" w:hAnsi="宋体;SimSun" w:cs="宋体;SimSun"/>
                <w:kern w:val="0"/>
                <w:sz w:val="24"/>
                <w:szCs w:val="24"/>
              </w:rPr>
            </w:pPr>
            <w:r>
              <w:rPr>
                <w:rFonts w:ascii="宋体;SimSun" w:hAnsi="宋体;SimSun" w:cs="Arial"/>
                <w:color w:val="000000"/>
                <w:kern w:val="0"/>
                <w:sz w:val="24"/>
                <w:szCs w:val="24"/>
              </w:rPr>
              <w:t>本次上市限售流通股的股票数量</w:t>
            </w:r>
          </w:p>
        </w:tc>
        <w:tc>
          <w:tcPr>
            <w:tcW w:w="1751" w:type="dxa"/>
            <w:tcBorders>
              <w:top w:val="single" w:color="000000" w:sz="4" w:space="0"/>
              <w:left w:val="single" w:color="000000" w:sz="4" w:space="0"/>
              <w:bottom w:val="single" w:color="000000" w:sz="4" w:space="0"/>
              <w:right w:val="single" w:color="000000" w:sz="4" w:space="0"/>
            </w:tcBorders>
            <w:vAlign w:val="center"/>
          </w:tcPr>
          <w:p w14:paraId="03A08D4A">
            <w:pPr>
              <w:pStyle w:val="21"/>
              <w:snapToGrid w:val="0"/>
              <w:ind w:right="0" w:firstLine="0"/>
              <w:rPr>
                <w:rFonts w:ascii="宋体;SimSun" w:hAnsi="宋体;SimSun" w:cs="宋体;SimSun"/>
                <w:kern w:val="0"/>
                <w:sz w:val="24"/>
                <w:szCs w:val="24"/>
              </w:rPr>
            </w:pPr>
          </w:p>
        </w:tc>
      </w:tr>
      <w:tr w14:paraId="708F66D2">
        <w:tblPrEx>
          <w:tblCellMar>
            <w:top w:w="0" w:type="dxa"/>
            <w:left w:w="108" w:type="dxa"/>
            <w:bottom w:w="0" w:type="dxa"/>
            <w:right w:w="108" w:type="dxa"/>
          </w:tblCellMar>
        </w:tblPrEx>
        <w:trPr>
          <w:jc w:val="center"/>
        </w:trPr>
        <w:tc>
          <w:tcPr>
            <w:tcW w:w="2694" w:type="dxa"/>
            <w:tcBorders>
              <w:top w:val="single" w:color="000000" w:sz="4" w:space="0"/>
              <w:left w:val="single" w:color="000000" w:sz="4" w:space="0"/>
              <w:bottom w:val="single" w:color="000000" w:sz="4" w:space="0"/>
              <w:right w:val="single" w:color="000000" w:sz="4" w:space="0"/>
            </w:tcBorders>
            <w:vAlign w:val="center"/>
          </w:tcPr>
          <w:p w14:paraId="7D5E42C5">
            <w:pPr>
              <w:pStyle w:val="21"/>
              <w:snapToGrid w:val="0"/>
              <w:ind w:right="0" w:firstLine="0"/>
              <w:rPr>
                <w:rFonts w:ascii="宋体;SimSun" w:hAnsi="宋体;SimSun" w:cs="Arial"/>
                <w:color w:val="000000"/>
                <w:kern w:val="0"/>
                <w:sz w:val="24"/>
                <w:szCs w:val="24"/>
              </w:rPr>
            </w:pPr>
            <w:r>
              <w:rPr>
                <w:rFonts w:ascii="宋体;SimSun" w:hAnsi="宋体;SimSun" w:cs="Arial"/>
                <w:color w:val="000000"/>
                <w:kern w:val="0"/>
                <w:sz w:val="24"/>
                <w:szCs w:val="24"/>
              </w:rPr>
              <w:t>在其他市场挂牌交易情况</w:t>
            </w:r>
          </w:p>
        </w:tc>
        <w:tc>
          <w:tcPr>
            <w:tcW w:w="1758" w:type="dxa"/>
            <w:tcBorders>
              <w:top w:val="single" w:color="000000" w:sz="4" w:space="0"/>
              <w:left w:val="single" w:color="000000" w:sz="4" w:space="0"/>
              <w:bottom w:val="single" w:color="000000" w:sz="4" w:space="0"/>
              <w:right w:val="single" w:color="000000" w:sz="4" w:space="0"/>
            </w:tcBorders>
            <w:vAlign w:val="center"/>
          </w:tcPr>
          <w:p w14:paraId="5402A9E4">
            <w:pPr>
              <w:pStyle w:val="21"/>
              <w:snapToGrid w:val="0"/>
              <w:ind w:right="0" w:firstLine="0"/>
              <w:rPr>
                <w:rFonts w:ascii="宋体;SimSun" w:hAnsi="宋体;SimSun" w:cs="宋体;SimSun"/>
                <w:color w:val="000000"/>
                <w:kern w:val="0"/>
                <w:sz w:val="24"/>
                <w:szCs w:val="24"/>
              </w:rPr>
            </w:pPr>
          </w:p>
        </w:tc>
        <w:tc>
          <w:tcPr>
            <w:tcW w:w="2211" w:type="dxa"/>
            <w:tcBorders>
              <w:top w:val="single" w:color="000000" w:sz="4" w:space="0"/>
              <w:left w:val="single" w:color="000000" w:sz="4" w:space="0"/>
              <w:bottom w:val="single" w:color="000000" w:sz="4" w:space="0"/>
              <w:right w:val="single" w:color="000000" w:sz="4" w:space="0"/>
            </w:tcBorders>
            <w:vAlign w:val="center"/>
          </w:tcPr>
          <w:p w14:paraId="6832148F">
            <w:pPr>
              <w:pStyle w:val="21"/>
              <w:snapToGrid w:val="0"/>
              <w:ind w:right="0" w:firstLine="0"/>
              <w:rPr>
                <w:rFonts w:ascii="宋体;SimSun" w:hAnsi="宋体;SimSun" w:cs="宋体;SimSun"/>
                <w:kern w:val="0"/>
                <w:sz w:val="24"/>
                <w:szCs w:val="24"/>
              </w:rPr>
            </w:pPr>
            <w:r>
              <w:rPr>
                <w:rFonts w:ascii="宋体;SimSun" w:hAnsi="宋体;SimSun" w:cs="宋体;SimSun"/>
                <w:kern w:val="0"/>
                <w:sz w:val="24"/>
                <w:szCs w:val="24"/>
              </w:rPr>
              <w:t>交易市值</w:t>
            </w:r>
          </w:p>
        </w:tc>
        <w:tc>
          <w:tcPr>
            <w:tcW w:w="1751" w:type="dxa"/>
            <w:tcBorders>
              <w:top w:val="single" w:color="000000" w:sz="4" w:space="0"/>
              <w:left w:val="single" w:color="000000" w:sz="4" w:space="0"/>
              <w:bottom w:val="single" w:color="000000" w:sz="4" w:space="0"/>
              <w:right w:val="single" w:color="000000" w:sz="4" w:space="0"/>
            </w:tcBorders>
            <w:vAlign w:val="center"/>
          </w:tcPr>
          <w:p w14:paraId="718B46B5">
            <w:pPr>
              <w:pStyle w:val="21"/>
              <w:snapToGrid w:val="0"/>
              <w:ind w:right="0" w:firstLine="0"/>
              <w:rPr>
                <w:rFonts w:ascii="宋体;SimSun" w:hAnsi="宋体;SimSun" w:cs="宋体;SimSun"/>
                <w:kern w:val="0"/>
                <w:sz w:val="24"/>
                <w:szCs w:val="24"/>
              </w:rPr>
            </w:pPr>
          </w:p>
        </w:tc>
      </w:tr>
      <w:tr w14:paraId="0132CE49">
        <w:tblPrEx>
          <w:tblCellMar>
            <w:top w:w="0" w:type="dxa"/>
            <w:left w:w="108" w:type="dxa"/>
            <w:bottom w:w="0" w:type="dxa"/>
            <w:right w:w="108" w:type="dxa"/>
          </w:tblCellMar>
        </w:tblPrEx>
        <w:trPr>
          <w:jc w:val="center"/>
        </w:trPr>
        <w:tc>
          <w:tcPr>
            <w:tcW w:w="8414" w:type="dxa"/>
            <w:gridSpan w:val="4"/>
            <w:tcBorders>
              <w:top w:val="single" w:color="000000" w:sz="4" w:space="0"/>
              <w:left w:val="single" w:color="000000" w:sz="4" w:space="0"/>
              <w:bottom w:val="single" w:color="000000" w:sz="4" w:space="0"/>
              <w:right w:val="single" w:color="000000" w:sz="4" w:space="0"/>
            </w:tcBorders>
            <w:vAlign w:val="center"/>
          </w:tcPr>
          <w:p w14:paraId="331F412E">
            <w:pPr>
              <w:snapToGrid w:val="0"/>
              <w:spacing w:line="600" w:lineRule="exact"/>
              <w:jc w:val="center"/>
              <w:rPr>
                <w:rFonts w:ascii="宋体;SimSun" w:hAnsi="宋体;SimSun" w:cs="宋体;SimSun"/>
                <w:kern w:val="0"/>
                <w:sz w:val="24"/>
                <w:szCs w:val="24"/>
              </w:rPr>
            </w:pPr>
            <w:r>
              <w:rPr>
                <w:rFonts w:ascii="宋体;SimSun" w:hAnsi="宋体;SimSun" w:cs="宋体;SimSun"/>
                <w:b/>
                <w:kern w:val="0"/>
                <w:sz w:val="28"/>
                <w:szCs w:val="30"/>
              </w:rPr>
              <w:t>（二）本次转板上市的基本情况</w:t>
            </w:r>
          </w:p>
        </w:tc>
      </w:tr>
      <w:tr w14:paraId="47045481">
        <w:tblPrEx>
          <w:tblCellMar>
            <w:top w:w="0" w:type="dxa"/>
            <w:left w:w="108" w:type="dxa"/>
            <w:bottom w:w="0" w:type="dxa"/>
            <w:right w:w="108" w:type="dxa"/>
          </w:tblCellMar>
        </w:tblPrEx>
        <w:trPr>
          <w:jc w:val="center"/>
        </w:trPr>
        <w:tc>
          <w:tcPr>
            <w:tcW w:w="2694" w:type="dxa"/>
            <w:tcBorders>
              <w:top w:val="single" w:color="000000" w:sz="4" w:space="0"/>
              <w:left w:val="single" w:color="000000" w:sz="4" w:space="0"/>
              <w:bottom w:val="single" w:color="000000" w:sz="4" w:space="0"/>
              <w:right w:val="single" w:color="000000" w:sz="4" w:space="0"/>
            </w:tcBorders>
            <w:vAlign w:val="center"/>
          </w:tcPr>
          <w:p w14:paraId="409A42E3">
            <w:pPr>
              <w:pStyle w:val="21"/>
              <w:snapToGrid w:val="0"/>
              <w:ind w:right="0" w:firstLine="0"/>
              <w:jc w:val="left"/>
              <w:rPr>
                <w:rFonts w:ascii="宋体;SimSun" w:hAnsi="宋体;SimSun" w:cs="宋体;SimSun"/>
                <w:kern w:val="0"/>
                <w:sz w:val="24"/>
                <w:szCs w:val="24"/>
              </w:rPr>
            </w:pPr>
            <w:r>
              <w:rPr>
                <w:rFonts w:ascii="宋体;SimSun" w:hAnsi="宋体;SimSun" w:cs="宋体;SimSun"/>
                <w:kern w:val="0"/>
                <w:sz w:val="24"/>
                <w:szCs w:val="24"/>
              </w:rPr>
              <w:t>股票种类</w:t>
            </w:r>
          </w:p>
        </w:tc>
        <w:tc>
          <w:tcPr>
            <w:tcW w:w="1758" w:type="dxa"/>
            <w:tcBorders>
              <w:top w:val="single" w:color="000000" w:sz="4" w:space="0"/>
              <w:left w:val="single" w:color="000000" w:sz="4" w:space="0"/>
              <w:bottom w:val="single" w:color="000000" w:sz="4" w:space="0"/>
              <w:right w:val="single" w:color="000000" w:sz="4" w:space="0"/>
            </w:tcBorders>
            <w:vAlign w:val="center"/>
          </w:tcPr>
          <w:p w14:paraId="456EEF38">
            <w:pPr>
              <w:pStyle w:val="21"/>
              <w:snapToGrid w:val="0"/>
              <w:ind w:right="0" w:firstLine="0"/>
              <w:jc w:val="left"/>
              <w:rPr>
                <w:rFonts w:ascii="宋体;SimSun" w:hAnsi="宋体;SimSun" w:cs="宋体;SimSun"/>
                <w:kern w:val="0"/>
                <w:sz w:val="24"/>
                <w:szCs w:val="24"/>
              </w:rPr>
            </w:pPr>
          </w:p>
        </w:tc>
        <w:tc>
          <w:tcPr>
            <w:tcW w:w="2211" w:type="dxa"/>
            <w:tcBorders>
              <w:top w:val="single" w:color="000000" w:sz="4" w:space="0"/>
              <w:left w:val="single" w:color="000000" w:sz="4" w:space="0"/>
              <w:bottom w:val="single" w:color="000000" w:sz="4" w:space="0"/>
              <w:right w:val="single" w:color="000000" w:sz="4" w:space="0"/>
            </w:tcBorders>
            <w:vAlign w:val="center"/>
          </w:tcPr>
          <w:p w14:paraId="35E4ACE9">
            <w:pPr>
              <w:pStyle w:val="21"/>
              <w:snapToGrid w:val="0"/>
              <w:ind w:right="0" w:firstLine="0"/>
              <w:jc w:val="left"/>
              <w:rPr>
                <w:rFonts w:ascii="宋体;SimSun" w:hAnsi="宋体;SimSun" w:cs="宋体;SimSun"/>
                <w:kern w:val="0"/>
                <w:sz w:val="24"/>
                <w:szCs w:val="24"/>
              </w:rPr>
            </w:pPr>
            <w:r>
              <w:rPr>
                <w:rFonts w:ascii="宋体;SimSun" w:hAnsi="宋体;SimSun" w:cs="宋体;SimSun"/>
                <w:kern w:val="0"/>
                <w:sz w:val="24"/>
                <w:szCs w:val="24"/>
              </w:rPr>
              <w:t>每股面值</w:t>
            </w:r>
          </w:p>
        </w:tc>
        <w:tc>
          <w:tcPr>
            <w:tcW w:w="1751" w:type="dxa"/>
            <w:tcBorders>
              <w:top w:val="single" w:color="000000" w:sz="4" w:space="0"/>
              <w:left w:val="single" w:color="000000" w:sz="4" w:space="0"/>
              <w:bottom w:val="single" w:color="000000" w:sz="4" w:space="0"/>
              <w:right w:val="single" w:color="000000" w:sz="4" w:space="0"/>
            </w:tcBorders>
            <w:vAlign w:val="center"/>
          </w:tcPr>
          <w:p w14:paraId="1B7A187D">
            <w:pPr>
              <w:pStyle w:val="21"/>
              <w:snapToGrid w:val="0"/>
              <w:ind w:right="0" w:firstLine="0"/>
              <w:jc w:val="left"/>
              <w:rPr>
                <w:rFonts w:ascii="宋体;SimSun" w:hAnsi="宋体;SimSun" w:cs="宋体;SimSun"/>
                <w:kern w:val="0"/>
                <w:sz w:val="24"/>
                <w:szCs w:val="24"/>
              </w:rPr>
            </w:pPr>
          </w:p>
        </w:tc>
      </w:tr>
      <w:tr w14:paraId="0B932E8D">
        <w:tblPrEx>
          <w:tblCellMar>
            <w:top w:w="0" w:type="dxa"/>
            <w:left w:w="108" w:type="dxa"/>
            <w:bottom w:w="0" w:type="dxa"/>
            <w:right w:w="108" w:type="dxa"/>
          </w:tblCellMar>
        </w:tblPrEx>
        <w:trPr>
          <w:jc w:val="center"/>
        </w:trPr>
        <w:tc>
          <w:tcPr>
            <w:tcW w:w="2694" w:type="dxa"/>
            <w:tcBorders>
              <w:top w:val="single" w:color="000000" w:sz="4" w:space="0"/>
              <w:left w:val="single" w:color="000000" w:sz="4" w:space="0"/>
              <w:bottom w:val="single" w:color="000000" w:sz="4" w:space="0"/>
              <w:right w:val="single" w:color="000000" w:sz="4" w:space="0"/>
            </w:tcBorders>
            <w:vAlign w:val="center"/>
          </w:tcPr>
          <w:p w14:paraId="1E60CD8A">
            <w:pPr>
              <w:pStyle w:val="21"/>
              <w:snapToGrid w:val="0"/>
              <w:ind w:right="0" w:firstLine="0"/>
              <w:jc w:val="left"/>
              <w:rPr>
                <w:rFonts w:ascii="宋体;SimSun" w:hAnsi="宋体;SimSun" w:cs="宋体;SimSun"/>
                <w:kern w:val="0"/>
                <w:sz w:val="24"/>
                <w:szCs w:val="24"/>
              </w:rPr>
            </w:pPr>
            <w:r>
              <w:rPr>
                <w:rFonts w:ascii="宋体;SimSun" w:hAnsi="宋体;SimSun" w:cs="宋体;SimSun"/>
                <w:kern w:val="0"/>
                <w:sz w:val="24"/>
                <w:szCs w:val="24"/>
              </w:rPr>
              <w:t>转板上市股数</w:t>
            </w:r>
          </w:p>
        </w:tc>
        <w:tc>
          <w:tcPr>
            <w:tcW w:w="1758" w:type="dxa"/>
            <w:tcBorders>
              <w:top w:val="single" w:color="000000" w:sz="4" w:space="0"/>
              <w:left w:val="single" w:color="000000" w:sz="4" w:space="0"/>
              <w:bottom w:val="single" w:color="000000" w:sz="4" w:space="0"/>
              <w:right w:val="single" w:color="000000" w:sz="4" w:space="0"/>
            </w:tcBorders>
            <w:vAlign w:val="center"/>
          </w:tcPr>
          <w:p w14:paraId="2818C8B2">
            <w:pPr>
              <w:pStyle w:val="21"/>
              <w:snapToGrid w:val="0"/>
              <w:ind w:right="0" w:firstLine="0"/>
              <w:jc w:val="left"/>
              <w:rPr>
                <w:rFonts w:ascii="宋体;SimSun" w:hAnsi="宋体;SimSun" w:cs="宋体;SimSun"/>
                <w:kern w:val="0"/>
                <w:sz w:val="24"/>
                <w:szCs w:val="24"/>
              </w:rPr>
            </w:pPr>
          </w:p>
        </w:tc>
        <w:tc>
          <w:tcPr>
            <w:tcW w:w="2211" w:type="dxa"/>
            <w:tcBorders>
              <w:top w:val="single" w:color="000000" w:sz="4" w:space="0"/>
              <w:left w:val="single" w:color="000000" w:sz="4" w:space="0"/>
              <w:bottom w:val="single" w:color="000000" w:sz="4" w:space="0"/>
              <w:right w:val="single" w:color="000000" w:sz="4" w:space="0"/>
            </w:tcBorders>
            <w:vAlign w:val="center"/>
          </w:tcPr>
          <w:p w14:paraId="69EFD872">
            <w:pPr>
              <w:pStyle w:val="21"/>
              <w:snapToGrid w:val="0"/>
              <w:ind w:right="0" w:firstLine="0"/>
              <w:jc w:val="left"/>
              <w:rPr>
                <w:rFonts w:ascii="宋体;SimSun" w:hAnsi="宋体;SimSun" w:cs="宋体;SimSun"/>
                <w:kern w:val="0"/>
                <w:sz w:val="24"/>
                <w:szCs w:val="24"/>
              </w:rPr>
            </w:pPr>
            <w:r>
              <w:rPr>
                <w:rFonts w:ascii="宋体;SimSun" w:hAnsi="宋体;SimSun" w:cs="宋体;SimSun"/>
                <w:kern w:val="0"/>
                <w:sz w:val="24"/>
                <w:szCs w:val="24"/>
              </w:rPr>
              <w:t>转板上市首日开盘参考价</w:t>
            </w:r>
          </w:p>
        </w:tc>
        <w:tc>
          <w:tcPr>
            <w:tcW w:w="1751" w:type="dxa"/>
            <w:tcBorders>
              <w:top w:val="single" w:color="000000" w:sz="4" w:space="0"/>
              <w:left w:val="single" w:color="000000" w:sz="4" w:space="0"/>
              <w:bottom w:val="single" w:color="000000" w:sz="4" w:space="0"/>
              <w:right w:val="single" w:color="000000" w:sz="4" w:space="0"/>
            </w:tcBorders>
            <w:vAlign w:val="center"/>
          </w:tcPr>
          <w:p w14:paraId="0E324092">
            <w:pPr>
              <w:pStyle w:val="21"/>
              <w:snapToGrid w:val="0"/>
              <w:ind w:right="0" w:firstLine="0"/>
              <w:jc w:val="left"/>
              <w:rPr>
                <w:rFonts w:ascii="宋体;SimSun" w:hAnsi="宋体;SimSun" w:cs="宋体;SimSun"/>
                <w:kern w:val="0"/>
                <w:sz w:val="24"/>
                <w:szCs w:val="24"/>
              </w:rPr>
            </w:pPr>
          </w:p>
        </w:tc>
      </w:tr>
      <w:tr w14:paraId="25C05AA2">
        <w:tblPrEx>
          <w:tblCellMar>
            <w:top w:w="0" w:type="dxa"/>
            <w:left w:w="108" w:type="dxa"/>
            <w:bottom w:w="0" w:type="dxa"/>
            <w:right w:w="108" w:type="dxa"/>
          </w:tblCellMar>
        </w:tblPrEx>
        <w:trPr>
          <w:jc w:val="center"/>
        </w:trPr>
        <w:tc>
          <w:tcPr>
            <w:tcW w:w="2694" w:type="dxa"/>
            <w:tcBorders>
              <w:top w:val="single" w:color="000000" w:sz="4" w:space="0"/>
              <w:left w:val="single" w:color="000000" w:sz="4" w:space="0"/>
              <w:bottom w:val="single" w:color="000000" w:sz="4" w:space="0"/>
              <w:right w:val="single" w:color="000000" w:sz="4" w:space="0"/>
            </w:tcBorders>
            <w:vAlign w:val="center"/>
          </w:tcPr>
          <w:p w14:paraId="3035CDB4">
            <w:pPr>
              <w:pStyle w:val="21"/>
              <w:snapToGrid w:val="0"/>
              <w:ind w:right="0" w:firstLine="0"/>
              <w:jc w:val="left"/>
              <w:rPr>
                <w:rFonts w:ascii="宋体;SimSun" w:hAnsi="宋体;SimSun" w:cs="宋体;SimSun"/>
                <w:kern w:val="0"/>
                <w:sz w:val="24"/>
                <w:szCs w:val="24"/>
              </w:rPr>
            </w:pPr>
            <w:r>
              <w:rPr>
                <w:rFonts w:ascii="宋体;SimSun" w:hAnsi="宋体;SimSun" w:cs="宋体;SimSun"/>
                <w:kern w:val="0"/>
                <w:sz w:val="24"/>
                <w:szCs w:val="24"/>
              </w:rPr>
              <w:t>标明计算基础和口径的市盈率</w:t>
            </w:r>
          </w:p>
        </w:tc>
        <w:tc>
          <w:tcPr>
            <w:tcW w:w="1758" w:type="dxa"/>
            <w:tcBorders>
              <w:top w:val="single" w:color="000000" w:sz="4" w:space="0"/>
              <w:left w:val="single" w:color="000000" w:sz="4" w:space="0"/>
              <w:bottom w:val="single" w:color="000000" w:sz="4" w:space="0"/>
              <w:right w:val="single" w:color="000000" w:sz="4" w:space="0"/>
            </w:tcBorders>
            <w:vAlign w:val="center"/>
          </w:tcPr>
          <w:p w14:paraId="6BD698F3">
            <w:pPr>
              <w:pStyle w:val="21"/>
              <w:snapToGrid w:val="0"/>
              <w:ind w:right="0" w:firstLine="0"/>
              <w:jc w:val="left"/>
              <w:rPr>
                <w:rFonts w:ascii="宋体;SimSun" w:hAnsi="宋体;SimSun" w:cs="宋体;SimSun"/>
                <w:kern w:val="0"/>
                <w:sz w:val="24"/>
                <w:szCs w:val="24"/>
              </w:rPr>
            </w:pPr>
          </w:p>
        </w:tc>
        <w:tc>
          <w:tcPr>
            <w:tcW w:w="2211" w:type="dxa"/>
            <w:tcBorders>
              <w:top w:val="single" w:color="000000" w:sz="4" w:space="0"/>
              <w:left w:val="single" w:color="000000" w:sz="4" w:space="0"/>
              <w:bottom w:val="single" w:color="000000" w:sz="4" w:space="0"/>
              <w:right w:val="single" w:color="000000" w:sz="4" w:space="0"/>
            </w:tcBorders>
            <w:vAlign w:val="center"/>
          </w:tcPr>
          <w:p w14:paraId="1FCD965D">
            <w:pPr>
              <w:pStyle w:val="21"/>
              <w:snapToGrid w:val="0"/>
              <w:ind w:right="0" w:firstLine="0"/>
              <w:jc w:val="left"/>
              <w:rPr>
                <w:rFonts w:ascii="宋体;SimSun" w:hAnsi="宋体;SimSun" w:cs="宋体;SimSun"/>
                <w:kern w:val="0"/>
                <w:sz w:val="24"/>
                <w:szCs w:val="24"/>
              </w:rPr>
            </w:pPr>
            <w:r>
              <w:rPr>
                <w:rFonts w:ascii="宋体;SimSun" w:hAnsi="宋体;SimSun" w:cs="宋体;SimSun"/>
                <w:kern w:val="0"/>
                <w:sz w:val="24"/>
                <w:szCs w:val="24"/>
              </w:rPr>
              <w:t>预测净利润及转板上市后每股收益</w:t>
            </w:r>
          </w:p>
        </w:tc>
        <w:tc>
          <w:tcPr>
            <w:tcW w:w="1751" w:type="dxa"/>
            <w:tcBorders>
              <w:top w:val="single" w:color="000000" w:sz="4" w:space="0"/>
              <w:left w:val="single" w:color="000000" w:sz="4" w:space="0"/>
              <w:bottom w:val="single" w:color="000000" w:sz="4" w:space="0"/>
              <w:right w:val="single" w:color="000000" w:sz="4" w:space="0"/>
            </w:tcBorders>
            <w:vAlign w:val="center"/>
          </w:tcPr>
          <w:p w14:paraId="08CEB350">
            <w:pPr>
              <w:pStyle w:val="21"/>
              <w:snapToGrid w:val="0"/>
              <w:ind w:right="0" w:firstLine="0"/>
              <w:jc w:val="left"/>
              <w:rPr>
                <w:rFonts w:ascii="宋体;SimSun" w:hAnsi="宋体;SimSun" w:cs="宋体;SimSun"/>
                <w:kern w:val="0"/>
                <w:sz w:val="24"/>
                <w:szCs w:val="24"/>
              </w:rPr>
            </w:pPr>
          </w:p>
        </w:tc>
      </w:tr>
      <w:tr w14:paraId="3B70A2ED">
        <w:tblPrEx>
          <w:tblCellMar>
            <w:top w:w="0" w:type="dxa"/>
            <w:left w:w="108" w:type="dxa"/>
            <w:bottom w:w="0" w:type="dxa"/>
            <w:right w:w="108" w:type="dxa"/>
          </w:tblCellMar>
        </w:tblPrEx>
        <w:trPr>
          <w:jc w:val="center"/>
        </w:trPr>
        <w:tc>
          <w:tcPr>
            <w:tcW w:w="8414" w:type="dxa"/>
            <w:gridSpan w:val="4"/>
            <w:tcBorders>
              <w:top w:val="single" w:color="000000" w:sz="4" w:space="0"/>
              <w:left w:val="single" w:color="000000" w:sz="4" w:space="0"/>
              <w:bottom w:val="single" w:color="000000" w:sz="4" w:space="0"/>
              <w:right w:val="single" w:color="000000" w:sz="4" w:space="0"/>
            </w:tcBorders>
            <w:vAlign w:val="center"/>
          </w:tcPr>
          <w:p w14:paraId="01B1950C">
            <w:pPr>
              <w:snapToGrid w:val="0"/>
              <w:spacing w:line="600" w:lineRule="exact"/>
              <w:jc w:val="center"/>
              <w:rPr>
                <w:rFonts w:ascii="宋体;SimSun" w:hAnsi="宋体;SimSun" w:cs="宋体;SimSun"/>
                <w:kern w:val="0"/>
                <w:sz w:val="24"/>
                <w:szCs w:val="24"/>
              </w:rPr>
            </w:pPr>
            <w:r>
              <w:rPr>
                <w:rFonts w:ascii="宋体;SimSun" w:hAnsi="宋体;SimSun" w:cs="宋体;SimSun"/>
                <w:b/>
                <w:kern w:val="0"/>
                <w:sz w:val="28"/>
                <w:szCs w:val="30"/>
              </w:rPr>
              <w:t>（三）本次转板上市的重要日期</w:t>
            </w:r>
          </w:p>
        </w:tc>
      </w:tr>
      <w:tr w14:paraId="019A8E24">
        <w:tblPrEx>
          <w:tblCellMar>
            <w:top w:w="0" w:type="dxa"/>
            <w:left w:w="108" w:type="dxa"/>
            <w:bottom w:w="0" w:type="dxa"/>
            <w:right w:w="108" w:type="dxa"/>
          </w:tblCellMar>
        </w:tblPrEx>
        <w:trPr>
          <w:jc w:val="center"/>
        </w:trPr>
        <w:tc>
          <w:tcPr>
            <w:tcW w:w="2694" w:type="dxa"/>
            <w:tcBorders>
              <w:top w:val="single" w:color="000000" w:sz="4" w:space="0"/>
              <w:left w:val="single" w:color="000000" w:sz="4" w:space="0"/>
              <w:bottom w:val="single" w:color="000000" w:sz="4" w:space="0"/>
              <w:right w:val="single" w:color="000000" w:sz="4" w:space="0"/>
            </w:tcBorders>
            <w:vAlign w:val="center"/>
          </w:tcPr>
          <w:p w14:paraId="5C652FEE">
            <w:pPr>
              <w:pStyle w:val="21"/>
              <w:snapToGrid w:val="0"/>
              <w:ind w:right="0" w:firstLine="0"/>
              <w:rPr>
                <w:rFonts w:ascii="宋体;SimSun" w:hAnsi="宋体;SimSun" w:cs="Arial"/>
                <w:color w:val="000000"/>
                <w:kern w:val="0"/>
                <w:sz w:val="24"/>
                <w:szCs w:val="24"/>
              </w:rPr>
            </w:pPr>
            <w:r>
              <w:rPr>
                <w:rFonts w:ascii="宋体;SimSun" w:hAnsi="宋体;SimSun" w:cs="Arial"/>
                <w:color w:val="000000"/>
                <w:kern w:val="0"/>
                <w:sz w:val="24"/>
                <w:szCs w:val="24"/>
              </w:rPr>
              <w:t>刊登转板上市公告日期</w:t>
            </w:r>
          </w:p>
        </w:tc>
        <w:tc>
          <w:tcPr>
            <w:tcW w:w="1758" w:type="dxa"/>
            <w:tcBorders>
              <w:top w:val="single" w:color="000000" w:sz="4" w:space="0"/>
              <w:left w:val="single" w:color="000000" w:sz="4" w:space="0"/>
              <w:bottom w:val="single" w:color="000000" w:sz="4" w:space="0"/>
              <w:right w:val="single" w:color="000000" w:sz="4" w:space="0"/>
            </w:tcBorders>
            <w:vAlign w:val="center"/>
          </w:tcPr>
          <w:p w14:paraId="5E4E4F82">
            <w:pPr>
              <w:pStyle w:val="21"/>
              <w:snapToGrid w:val="0"/>
              <w:ind w:right="0" w:firstLine="480"/>
              <w:rPr>
                <w:rFonts w:ascii="宋体;SimSun" w:hAnsi="宋体;SimSun" w:cs="Arial"/>
                <w:color w:val="000000"/>
                <w:kern w:val="0"/>
                <w:sz w:val="24"/>
                <w:szCs w:val="24"/>
              </w:rPr>
            </w:pPr>
            <w:r>
              <w:rPr>
                <w:rFonts w:ascii="宋体;SimSun" w:hAnsi="宋体;SimSun" w:cs="Arial"/>
                <w:color w:val="000000"/>
                <w:kern w:val="0"/>
                <w:sz w:val="24"/>
                <w:szCs w:val="24"/>
              </w:rPr>
              <w:t>　</w:t>
            </w:r>
          </w:p>
        </w:tc>
        <w:tc>
          <w:tcPr>
            <w:tcW w:w="2211" w:type="dxa"/>
            <w:tcBorders>
              <w:top w:val="single" w:color="000000" w:sz="4" w:space="0"/>
              <w:left w:val="single" w:color="000000" w:sz="4" w:space="0"/>
              <w:bottom w:val="single" w:color="000000" w:sz="4" w:space="0"/>
              <w:right w:val="single" w:color="000000" w:sz="4" w:space="0"/>
            </w:tcBorders>
            <w:vAlign w:val="center"/>
          </w:tcPr>
          <w:p w14:paraId="7AFAF3C9">
            <w:pPr>
              <w:snapToGrid w:val="0"/>
              <w:rPr>
                <w:rFonts w:ascii="宋体;SimSun" w:hAnsi="宋体;SimSun" w:cs="Arial"/>
                <w:color w:val="000000"/>
                <w:kern w:val="0"/>
                <w:sz w:val="24"/>
                <w:szCs w:val="24"/>
              </w:rPr>
            </w:pPr>
            <w:r>
              <w:rPr>
                <w:rFonts w:ascii="宋体;SimSun" w:hAnsi="宋体;SimSun" w:cs="Arial"/>
                <w:color w:val="000000"/>
                <w:kern w:val="0"/>
                <w:sz w:val="24"/>
                <w:szCs w:val="24"/>
              </w:rPr>
              <w:t>转板上市日期</w:t>
            </w:r>
          </w:p>
        </w:tc>
        <w:tc>
          <w:tcPr>
            <w:tcW w:w="1751" w:type="dxa"/>
            <w:tcBorders>
              <w:top w:val="single" w:color="000000" w:sz="4" w:space="0"/>
              <w:left w:val="single" w:color="000000" w:sz="4" w:space="0"/>
              <w:bottom w:val="single" w:color="000000" w:sz="4" w:space="0"/>
              <w:right w:val="single" w:color="000000" w:sz="4" w:space="0"/>
            </w:tcBorders>
            <w:vAlign w:val="center"/>
          </w:tcPr>
          <w:p w14:paraId="69C13A40">
            <w:pPr>
              <w:pStyle w:val="21"/>
              <w:snapToGrid w:val="0"/>
              <w:ind w:right="0" w:firstLine="480"/>
              <w:rPr>
                <w:rFonts w:ascii="宋体;SimSun" w:hAnsi="宋体;SimSun" w:cs="Arial"/>
                <w:color w:val="000000"/>
                <w:kern w:val="0"/>
                <w:sz w:val="24"/>
                <w:szCs w:val="24"/>
              </w:rPr>
            </w:pPr>
            <w:r>
              <w:rPr>
                <w:rFonts w:ascii="宋体;SimSun" w:hAnsi="宋体;SimSun" w:cs="Arial"/>
                <w:color w:val="000000"/>
                <w:kern w:val="0"/>
                <w:sz w:val="24"/>
                <w:szCs w:val="24"/>
              </w:rPr>
              <w:t>　</w:t>
            </w:r>
          </w:p>
        </w:tc>
      </w:tr>
      <w:tr w14:paraId="5542A47E">
        <w:tblPrEx>
          <w:tblCellMar>
            <w:top w:w="0" w:type="dxa"/>
            <w:left w:w="108" w:type="dxa"/>
            <w:bottom w:w="0" w:type="dxa"/>
            <w:right w:w="108" w:type="dxa"/>
          </w:tblCellMar>
        </w:tblPrEx>
        <w:trPr>
          <w:trHeight w:val="503" w:hRule="atLeast"/>
          <w:jc w:val="center"/>
        </w:trPr>
        <w:tc>
          <w:tcPr>
            <w:tcW w:w="8414" w:type="dxa"/>
            <w:gridSpan w:val="4"/>
            <w:tcBorders>
              <w:top w:val="single" w:color="000000" w:sz="4" w:space="0"/>
              <w:left w:val="single" w:color="000000" w:sz="4" w:space="0"/>
              <w:bottom w:val="single" w:color="000000" w:sz="4" w:space="0"/>
              <w:right w:val="single" w:color="000000" w:sz="4" w:space="0"/>
            </w:tcBorders>
            <w:vAlign w:val="center"/>
          </w:tcPr>
          <w:p w14:paraId="5992A1B3">
            <w:pPr>
              <w:pStyle w:val="21"/>
              <w:snapToGrid w:val="0"/>
              <w:ind w:right="0" w:firstLine="562"/>
              <w:jc w:val="center"/>
              <w:rPr>
                <w:rFonts w:ascii="宋体;SimSun" w:hAnsi="宋体;SimSun" w:cs="Arial"/>
                <w:color w:val="000000"/>
                <w:kern w:val="0"/>
                <w:sz w:val="24"/>
                <w:szCs w:val="24"/>
              </w:rPr>
            </w:pPr>
            <w:r>
              <w:rPr>
                <w:rFonts w:ascii="宋体;SimSun" w:hAnsi="宋体;SimSun" w:cs="宋体;SimSun"/>
                <w:b/>
                <w:kern w:val="0"/>
                <w:sz w:val="28"/>
                <w:szCs w:val="30"/>
              </w:rPr>
              <w:t>（四）本次转板上市的有关中介机构</w:t>
            </w:r>
          </w:p>
        </w:tc>
      </w:tr>
      <w:tr w14:paraId="250759A2">
        <w:tblPrEx>
          <w:tblCellMar>
            <w:top w:w="0" w:type="dxa"/>
            <w:left w:w="108" w:type="dxa"/>
            <w:bottom w:w="0" w:type="dxa"/>
            <w:right w:w="108" w:type="dxa"/>
          </w:tblCellMar>
        </w:tblPrEx>
        <w:trPr>
          <w:jc w:val="center"/>
        </w:trPr>
        <w:tc>
          <w:tcPr>
            <w:tcW w:w="2694" w:type="dxa"/>
            <w:tcBorders>
              <w:top w:val="single" w:color="000000" w:sz="4" w:space="0"/>
              <w:left w:val="single" w:color="000000" w:sz="4" w:space="0"/>
              <w:bottom w:val="single" w:color="000000" w:sz="4" w:space="0"/>
              <w:right w:val="single" w:color="000000" w:sz="4" w:space="0"/>
            </w:tcBorders>
            <w:vAlign w:val="center"/>
          </w:tcPr>
          <w:p w14:paraId="09B86C2D">
            <w:pPr>
              <w:pStyle w:val="21"/>
              <w:snapToGrid w:val="0"/>
              <w:ind w:right="0" w:firstLine="0"/>
              <w:rPr>
                <w:rFonts w:ascii="宋体;SimSun" w:hAnsi="宋体;SimSun" w:cs="Arial"/>
                <w:color w:val="000000"/>
                <w:kern w:val="0"/>
                <w:sz w:val="24"/>
                <w:szCs w:val="24"/>
              </w:rPr>
            </w:pPr>
            <w:r>
              <w:rPr>
                <w:rFonts w:ascii="宋体;SimSun" w:hAnsi="宋体;SimSun" w:cs="Arial"/>
                <w:color w:val="000000"/>
                <w:kern w:val="0"/>
                <w:sz w:val="24"/>
                <w:szCs w:val="24"/>
              </w:rPr>
              <w:t>保荐人</w:t>
            </w:r>
          </w:p>
        </w:tc>
        <w:tc>
          <w:tcPr>
            <w:tcW w:w="1758" w:type="dxa"/>
            <w:tcBorders>
              <w:top w:val="single" w:color="000000" w:sz="4" w:space="0"/>
              <w:left w:val="single" w:color="000000" w:sz="4" w:space="0"/>
              <w:bottom w:val="single" w:color="000000" w:sz="4" w:space="0"/>
              <w:right w:val="single" w:color="000000" w:sz="4" w:space="0"/>
            </w:tcBorders>
            <w:vAlign w:val="center"/>
          </w:tcPr>
          <w:p w14:paraId="7C131D2A">
            <w:pPr>
              <w:pStyle w:val="21"/>
              <w:snapToGrid w:val="0"/>
              <w:ind w:right="0" w:firstLine="480"/>
              <w:rPr>
                <w:rFonts w:ascii="宋体;SimSun" w:hAnsi="宋体;SimSun" w:cs="Arial"/>
                <w:color w:val="000000"/>
                <w:kern w:val="0"/>
                <w:sz w:val="24"/>
                <w:szCs w:val="24"/>
              </w:rPr>
            </w:pPr>
          </w:p>
        </w:tc>
        <w:tc>
          <w:tcPr>
            <w:tcW w:w="2211" w:type="dxa"/>
            <w:tcBorders>
              <w:top w:val="single" w:color="000000" w:sz="4" w:space="0"/>
              <w:left w:val="single" w:color="000000" w:sz="4" w:space="0"/>
              <w:bottom w:val="single" w:color="000000" w:sz="4" w:space="0"/>
              <w:right w:val="single" w:color="000000" w:sz="4" w:space="0"/>
            </w:tcBorders>
            <w:vAlign w:val="center"/>
          </w:tcPr>
          <w:p w14:paraId="54A5E32B">
            <w:pPr>
              <w:snapToGrid w:val="0"/>
              <w:rPr>
                <w:rFonts w:ascii="宋体;SimSun" w:hAnsi="宋体;SimSun" w:cs="Arial"/>
                <w:color w:val="000000"/>
                <w:kern w:val="0"/>
                <w:sz w:val="24"/>
                <w:szCs w:val="24"/>
              </w:rPr>
            </w:pPr>
            <w:r>
              <w:rPr>
                <w:rFonts w:ascii="宋体;SimSun" w:hAnsi="宋体;SimSun" w:cs="Arial"/>
                <w:color w:val="000000"/>
                <w:kern w:val="0"/>
                <w:sz w:val="24"/>
                <w:szCs w:val="24"/>
              </w:rPr>
              <w:t>转板公司律师</w:t>
            </w:r>
          </w:p>
        </w:tc>
        <w:tc>
          <w:tcPr>
            <w:tcW w:w="1751" w:type="dxa"/>
            <w:tcBorders>
              <w:top w:val="single" w:color="000000" w:sz="4" w:space="0"/>
              <w:left w:val="single" w:color="000000" w:sz="4" w:space="0"/>
              <w:bottom w:val="single" w:color="000000" w:sz="4" w:space="0"/>
              <w:right w:val="single" w:color="000000" w:sz="4" w:space="0"/>
            </w:tcBorders>
            <w:vAlign w:val="center"/>
          </w:tcPr>
          <w:p w14:paraId="2A7A3949">
            <w:pPr>
              <w:pStyle w:val="21"/>
              <w:snapToGrid w:val="0"/>
              <w:ind w:right="0" w:firstLine="480"/>
              <w:rPr>
                <w:rFonts w:ascii="宋体;SimSun" w:hAnsi="宋体;SimSun" w:cs="Arial"/>
                <w:color w:val="000000"/>
                <w:kern w:val="0"/>
                <w:sz w:val="24"/>
                <w:szCs w:val="24"/>
              </w:rPr>
            </w:pPr>
          </w:p>
        </w:tc>
      </w:tr>
      <w:tr w14:paraId="277874B4">
        <w:tblPrEx>
          <w:tblCellMar>
            <w:top w:w="0" w:type="dxa"/>
            <w:left w:w="108" w:type="dxa"/>
            <w:bottom w:w="0" w:type="dxa"/>
            <w:right w:w="108" w:type="dxa"/>
          </w:tblCellMar>
        </w:tblPrEx>
        <w:trPr>
          <w:jc w:val="center"/>
        </w:trPr>
        <w:tc>
          <w:tcPr>
            <w:tcW w:w="2694" w:type="dxa"/>
            <w:tcBorders>
              <w:top w:val="single" w:color="000000" w:sz="4" w:space="0"/>
              <w:left w:val="single" w:color="000000" w:sz="4" w:space="0"/>
              <w:bottom w:val="single" w:color="000000" w:sz="4" w:space="0"/>
              <w:right w:val="single" w:color="000000" w:sz="4" w:space="0"/>
            </w:tcBorders>
            <w:vAlign w:val="center"/>
          </w:tcPr>
          <w:p w14:paraId="6D8885E7">
            <w:pPr>
              <w:pStyle w:val="21"/>
              <w:snapToGrid w:val="0"/>
              <w:ind w:right="0" w:firstLine="0"/>
              <w:rPr>
                <w:rFonts w:ascii="宋体;SimSun" w:hAnsi="宋体;SimSun" w:cs="Arial"/>
                <w:color w:val="000000"/>
                <w:kern w:val="0"/>
                <w:sz w:val="24"/>
                <w:szCs w:val="24"/>
              </w:rPr>
            </w:pPr>
            <w:r>
              <w:rPr>
                <w:rFonts w:ascii="宋体;SimSun" w:hAnsi="宋体;SimSun" w:cs="Arial"/>
                <w:color w:val="000000"/>
                <w:kern w:val="0"/>
                <w:sz w:val="24"/>
                <w:szCs w:val="24"/>
              </w:rPr>
              <w:t>审计机构</w:t>
            </w:r>
          </w:p>
        </w:tc>
        <w:tc>
          <w:tcPr>
            <w:tcW w:w="1758" w:type="dxa"/>
            <w:tcBorders>
              <w:top w:val="single" w:color="000000" w:sz="4" w:space="0"/>
              <w:left w:val="single" w:color="000000" w:sz="4" w:space="0"/>
              <w:bottom w:val="single" w:color="000000" w:sz="4" w:space="0"/>
              <w:right w:val="single" w:color="000000" w:sz="4" w:space="0"/>
            </w:tcBorders>
            <w:vAlign w:val="center"/>
          </w:tcPr>
          <w:p w14:paraId="3D1507F2">
            <w:pPr>
              <w:pStyle w:val="21"/>
              <w:snapToGrid w:val="0"/>
              <w:ind w:right="0" w:firstLine="480"/>
              <w:rPr>
                <w:rFonts w:ascii="宋体;SimSun" w:hAnsi="宋体;SimSun" w:cs="Arial"/>
                <w:color w:val="000000"/>
                <w:kern w:val="0"/>
                <w:sz w:val="24"/>
                <w:szCs w:val="24"/>
              </w:rPr>
            </w:pPr>
          </w:p>
        </w:tc>
        <w:tc>
          <w:tcPr>
            <w:tcW w:w="2211" w:type="dxa"/>
            <w:tcBorders>
              <w:top w:val="single" w:color="000000" w:sz="4" w:space="0"/>
              <w:left w:val="single" w:color="000000" w:sz="4" w:space="0"/>
              <w:bottom w:val="single" w:color="000000" w:sz="4" w:space="0"/>
              <w:right w:val="single" w:color="000000" w:sz="4" w:space="0"/>
            </w:tcBorders>
            <w:vAlign w:val="center"/>
          </w:tcPr>
          <w:p w14:paraId="5141A6AA">
            <w:pPr>
              <w:snapToGrid w:val="0"/>
              <w:rPr>
                <w:rFonts w:ascii="宋体;SimSun" w:hAnsi="宋体;SimSun" w:cs="Arial"/>
                <w:color w:val="000000"/>
                <w:kern w:val="0"/>
                <w:sz w:val="24"/>
                <w:szCs w:val="24"/>
              </w:rPr>
            </w:pPr>
            <w:r>
              <w:rPr>
                <w:rFonts w:ascii="宋体;SimSun" w:hAnsi="宋体;SimSun" w:cs="Arial"/>
                <w:color w:val="000000"/>
                <w:kern w:val="0"/>
                <w:sz w:val="24"/>
                <w:szCs w:val="24"/>
              </w:rPr>
              <w:t>评估机构（如有）</w:t>
            </w:r>
          </w:p>
        </w:tc>
        <w:tc>
          <w:tcPr>
            <w:tcW w:w="1751" w:type="dxa"/>
            <w:tcBorders>
              <w:top w:val="single" w:color="000000" w:sz="4" w:space="0"/>
              <w:left w:val="single" w:color="000000" w:sz="4" w:space="0"/>
              <w:bottom w:val="single" w:color="000000" w:sz="4" w:space="0"/>
              <w:right w:val="single" w:color="000000" w:sz="4" w:space="0"/>
            </w:tcBorders>
            <w:vAlign w:val="center"/>
          </w:tcPr>
          <w:p w14:paraId="718C3559">
            <w:pPr>
              <w:pStyle w:val="21"/>
              <w:snapToGrid w:val="0"/>
              <w:ind w:right="0" w:firstLine="480"/>
              <w:rPr>
                <w:rFonts w:ascii="宋体;SimSun" w:hAnsi="宋体;SimSun" w:cs="Arial"/>
                <w:color w:val="000000"/>
                <w:kern w:val="0"/>
                <w:sz w:val="24"/>
                <w:szCs w:val="24"/>
              </w:rPr>
            </w:pPr>
          </w:p>
        </w:tc>
      </w:tr>
    </w:tbl>
    <w:p w14:paraId="6B12ED79">
      <w:pPr>
        <w:pStyle w:val="21"/>
        <w:snapToGrid w:val="0"/>
        <w:spacing w:line="600" w:lineRule="exact"/>
        <w:ind w:right="0" w:firstLine="600"/>
        <w:rPr>
          <w:rFonts w:ascii="仿宋_GB2312" w:hAnsi="仿宋_GB2312" w:eastAsia="仿宋_GB2312"/>
          <w:sz w:val="30"/>
          <w:szCs w:val="30"/>
        </w:rPr>
      </w:pPr>
      <w:r>
        <w:rPr>
          <w:rFonts w:ascii="仿宋_GB2312" w:hAnsi="仿宋_GB2312" w:eastAsia="仿宋_GB2312"/>
          <w:sz w:val="30"/>
          <w:szCs w:val="30"/>
        </w:rPr>
        <w:t>（二）列表披露转板公司报告期的主要财务数据和财务指标，参考格式如下：</w:t>
      </w:r>
    </w:p>
    <w:tbl>
      <w:tblPr>
        <w:tblStyle w:val="7"/>
        <w:tblW w:w="8522" w:type="dxa"/>
        <w:tblInd w:w="0" w:type="dxa"/>
        <w:tblLayout w:type="fixed"/>
        <w:tblCellMar>
          <w:top w:w="0" w:type="dxa"/>
          <w:left w:w="108" w:type="dxa"/>
          <w:bottom w:w="0" w:type="dxa"/>
          <w:right w:w="108" w:type="dxa"/>
        </w:tblCellMar>
      </w:tblPr>
      <w:tblGrid>
        <w:gridCol w:w="2802"/>
        <w:gridCol w:w="1417"/>
        <w:gridCol w:w="1418"/>
        <w:gridCol w:w="1417"/>
        <w:gridCol w:w="1468"/>
      </w:tblGrid>
      <w:tr w14:paraId="6BB4BFB8">
        <w:tblPrEx>
          <w:tblCellMar>
            <w:top w:w="0" w:type="dxa"/>
            <w:left w:w="108" w:type="dxa"/>
            <w:bottom w:w="0" w:type="dxa"/>
            <w:right w:w="108" w:type="dxa"/>
          </w:tblCellMar>
        </w:tblPrEx>
        <w:tc>
          <w:tcPr>
            <w:tcW w:w="2802" w:type="dxa"/>
            <w:tcBorders>
              <w:top w:val="single" w:color="000000" w:sz="4" w:space="0"/>
              <w:left w:val="single" w:color="000000" w:sz="4" w:space="0"/>
              <w:bottom w:val="single" w:color="000000" w:sz="4" w:space="0"/>
              <w:right w:val="single" w:color="000000" w:sz="4" w:space="0"/>
            </w:tcBorders>
            <w:vAlign w:val="center"/>
          </w:tcPr>
          <w:p w14:paraId="6EE40065">
            <w:pPr>
              <w:pStyle w:val="21"/>
              <w:snapToGrid w:val="0"/>
              <w:ind w:right="0" w:firstLine="0"/>
              <w:jc w:val="center"/>
              <w:rPr>
                <w:rFonts w:ascii="宋体;SimSun" w:hAnsi="宋体;SimSun" w:cs="宋体;SimSun"/>
                <w:kern w:val="0"/>
                <w:sz w:val="24"/>
                <w:szCs w:val="24"/>
              </w:rPr>
            </w:pPr>
            <w:r>
              <w:rPr>
                <w:rFonts w:ascii="宋体;SimSun" w:hAnsi="宋体;SimSun" w:cs="宋体;SimSun"/>
                <w:kern w:val="0"/>
                <w:sz w:val="24"/>
                <w:szCs w:val="24"/>
              </w:rPr>
              <w:t>项 目</w:t>
            </w:r>
          </w:p>
        </w:tc>
        <w:tc>
          <w:tcPr>
            <w:tcW w:w="1417" w:type="dxa"/>
            <w:tcBorders>
              <w:top w:val="single" w:color="000000" w:sz="4" w:space="0"/>
              <w:left w:val="single" w:color="000000" w:sz="4" w:space="0"/>
              <w:bottom w:val="single" w:color="000000" w:sz="4" w:space="0"/>
              <w:right w:val="single" w:color="000000" w:sz="4" w:space="0"/>
            </w:tcBorders>
            <w:vAlign w:val="center"/>
          </w:tcPr>
          <w:p w14:paraId="17DC959F">
            <w:pPr>
              <w:pStyle w:val="21"/>
              <w:snapToGrid w:val="0"/>
              <w:ind w:right="0" w:firstLine="0"/>
              <w:rPr>
                <w:rFonts w:ascii="宋体;SimSun" w:hAnsi="宋体;SimSun" w:cs="宋体;SimSun"/>
                <w:kern w:val="0"/>
                <w:sz w:val="24"/>
                <w:szCs w:val="24"/>
              </w:rPr>
            </w:pPr>
          </w:p>
        </w:tc>
        <w:tc>
          <w:tcPr>
            <w:tcW w:w="1418" w:type="dxa"/>
            <w:tcBorders>
              <w:top w:val="single" w:color="000000" w:sz="4" w:space="0"/>
              <w:left w:val="single" w:color="000000" w:sz="4" w:space="0"/>
              <w:bottom w:val="single" w:color="000000" w:sz="4" w:space="0"/>
              <w:right w:val="single" w:color="000000" w:sz="4" w:space="0"/>
            </w:tcBorders>
            <w:vAlign w:val="center"/>
          </w:tcPr>
          <w:p w14:paraId="0A2358DA">
            <w:pPr>
              <w:pStyle w:val="21"/>
              <w:snapToGrid w:val="0"/>
              <w:ind w:right="0" w:firstLine="0"/>
              <w:rPr>
                <w:rFonts w:ascii="宋体;SimSun" w:hAnsi="宋体;SimSun" w:cs="宋体;SimSun"/>
                <w:kern w:val="0"/>
                <w:sz w:val="24"/>
                <w:szCs w:val="24"/>
              </w:rPr>
            </w:pPr>
          </w:p>
        </w:tc>
        <w:tc>
          <w:tcPr>
            <w:tcW w:w="1417" w:type="dxa"/>
            <w:tcBorders>
              <w:top w:val="single" w:color="000000" w:sz="4" w:space="0"/>
              <w:left w:val="single" w:color="000000" w:sz="4" w:space="0"/>
              <w:bottom w:val="single" w:color="000000" w:sz="4" w:space="0"/>
              <w:right w:val="single" w:color="000000" w:sz="4" w:space="0"/>
            </w:tcBorders>
            <w:vAlign w:val="center"/>
          </w:tcPr>
          <w:p w14:paraId="384F5128">
            <w:pPr>
              <w:pStyle w:val="21"/>
              <w:snapToGrid w:val="0"/>
              <w:ind w:right="0" w:firstLine="0"/>
              <w:rPr>
                <w:rFonts w:ascii="宋体;SimSun" w:hAnsi="宋体;SimSun" w:cs="宋体;SimSun"/>
                <w:kern w:val="0"/>
                <w:sz w:val="24"/>
                <w:szCs w:val="24"/>
              </w:rPr>
            </w:pPr>
          </w:p>
        </w:tc>
        <w:tc>
          <w:tcPr>
            <w:tcW w:w="1468" w:type="dxa"/>
            <w:tcBorders>
              <w:top w:val="single" w:color="000000" w:sz="4" w:space="0"/>
              <w:left w:val="single" w:color="000000" w:sz="4" w:space="0"/>
              <w:bottom w:val="single" w:color="000000" w:sz="4" w:space="0"/>
              <w:right w:val="single" w:color="000000" w:sz="4" w:space="0"/>
            </w:tcBorders>
            <w:vAlign w:val="center"/>
          </w:tcPr>
          <w:p w14:paraId="63B48D84">
            <w:pPr>
              <w:pStyle w:val="21"/>
              <w:snapToGrid w:val="0"/>
              <w:ind w:right="0" w:firstLine="0"/>
              <w:rPr>
                <w:rFonts w:ascii="宋体;SimSun" w:hAnsi="宋体;SimSun" w:cs="宋体;SimSun"/>
                <w:kern w:val="0"/>
                <w:sz w:val="24"/>
                <w:szCs w:val="24"/>
              </w:rPr>
            </w:pPr>
          </w:p>
        </w:tc>
      </w:tr>
      <w:tr w14:paraId="002E968F">
        <w:tblPrEx>
          <w:tblCellMar>
            <w:top w:w="0" w:type="dxa"/>
            <w:left w:w="108" w:type="dxa"/>
            <w:bottom w:w="0" w:type="dxa"/>
            <w:right w:w="108" w:type="dxa"/>
          </w:tblCellMar>
        </w:tblPrEx>
        <w:tc>
          <w:tcPr>
            <w:tcW w:w="2802" w:type="dxa"/>
            <w:tcBorders>
              <w:top w:val="single" w:color="000000" w:sz="4" w:space="0"/>
              <w:left w:val="single" w:color="000000" w:sz="4" w:space="0"/>
              <w:bottom w:val="single" w:color="000000" w:sz="4" w:space="0"/>
              <w:right w:val="single" w:color="000000" w:sz="4" w:space="0"/>
            </w:tcBorders>
            <w:vAlign w:val="center"/>
          </w:tcPr>
          <w:p w14:paraId="1A4A912C">
            <w:pPr>
              <w:pStyle w:val="21"/>
              <w:snapToGrid w:val="0"/>
              <w:ind w:right="0" w:firstLine="0"/>
              <w:rPr>
                <w:rFonts w:ascii="宋体;SimSun" w:hAnsi="宋体;SimSun" w:cs="宋体;SimSun"/>
                <w:kern w:val="0"/>
                <w:sz w:val="24"/>
                <w:szCs w:val="24"/>
              </w:rPr>
            </w:pPr>
            <w:r>
              <w:rPr>
                <w:rFonts w:ascii="宋体;SimSun" w:hAnsi="宋体;SimSun" w:cs="宋体;SimSun"/>
                <w:kern w:val="0"/>
                <w:sz w:val="24"/>
                <w:szCs w:val="24"/>
              </w:rPr>
              <w:t>资产总额（万元）</w:t>
            </w:r>
          </w:p>
        </w:tc>
        <w:tc>
          <w:tcPr>
            <w:tcW w:w="1417" w:type="dxa"/>
            <w:tcBorders>
              <w:top w:val="single" w:color="000000" w:sz="4" w:space="0"/>
              <w:left w:val="single" w:color="000000" w:sz="4" w:space="0"/>
              <w:bottom w:val="single" w:color="000000" w:sz="4" w:space="0"/>
              <w:right w:val="single" w:color="000000" w:sz="4" w:space="0"/>
            </w:tcBorders>
            <w:vAlign w:val="center"/>
          </w:tcPr>
          <w:p w14:paraId="750A7F80">
            <w:pPr>
              <w:pStyle w:val="21"/>
              <w:snapToGrid w:val="0"/>
              <w:ind w:right="0" w:firstLine="0"/>
              <w:rPr>
                <w:rFonts w:ascii="宋体;SimSun" w:hAnsi="宋体;SimSun" w:cs="宋体;SimSun"/>
                <w:kern w:val="0"/>
                <w:sz w:val="24"/>
                <w:szCs w:val="24"/>
              </w:rPr>
            </w:pPr>
          </w:p>
        </w:tc>
        <w:tc>
          <w:tcPr>
            <w:tcW w:w="1418" w:type="dxa"/>
            <w:tcBorders>
              <w:top w:val="single" w:color="000000" w:sz="4" w:space="0"/>
              <w:left w:val="single" w:color="000000" w:sz="4" w:space="0"/>
              <w:bottom w:val="single" w:color="000000" w:sz="4" w:space="0"/>
              <w:right w:val="single" w:color="000000" w:sz="4" w:space="0"/>
            </w:tcBorders>
            <w:vAlign w:val="center"/>
          </w:tcPr>
          <w:p w14:paraId="27128DF6">
            <w:pPr>
              <w:pStyle w:val="21"/>
              <w:snapToGrid w:val="0"/>
              <w:ind w:right="0" w:firstLine="0"/>
              <w:rPr>
                <w:rFonts w:ascii="宋体;SimSun" w:hAnsi="宋体;SimSun" w:cs="宋体;SimSun"/>
                <w:kern w:val="0"/>
                <w:sz w:val="24"/>
                <w:szCs w:val="24"/>
              </w:rPr>
            </w:pPr>
          </w:p>
        </w:tc>
        <w:tc>
          <w:tcPr>
            <w:tcW w:w="1417" w:type="dxa"/>
            <w:tcBorders>
              <w:top w:val="single" w:color="000000" w:sz="4" w:space="0"/>
              <w:left w:val="single" w:color="000000" w:sz="4" w:space="0"/>
              <w:bottom w:val="single" w:color="000000" w:sz="4" w:space="0"/>
              <w:right w:val="single" w:color="000000" w:sz="4" w:space="0"/>
            </w:tcBorders>
            <w:vAlign w:val="center"/>
          </w:tcPr>
          <w:p w14:paraId="64FEB9B9">
            <w:pPr>
              <w:pStyle w:val="21"/>
              <w:snapToGrid w:val="0"/>
              <w:ind w:right="0" w:firstLine="0"/>
              <w:rPr>
                <w:rFonts w:ascii="宋体;SimSun" w:hAnsi="宋体;SimSun" w:cs="宋体;SimSun"/>
                <w:kern w:val="0"/>
                <w:sz w:val="24"/>
                <w:szCs w:val="24"/>
              </w:rPr>
            </w:pPr>
          </w:p>
        </w:tc>
        <w:tc>
          <w:tcPr>
            <w:tcW w:w="1468" w:type="dxa"/>
            <w:tcBorders>
              <w:top w:val="single" w:color="000000" w:sz="4" w:space="0"/>
              <w:left w:val="single" w:color="000000" w:sz="4" w:space="0"/>
              <w:bottom w:val="single" w:color="000000" w:sz="4" w:space="0"/>
              <w:right w:val="single" w:color="000000" w:sz="4" w:space="0"/>
            </w:tcBorders>
            <w:vAlign w:val="center"/>
          </w:tcPr>
          <w:p w14:paraId="4EDC3122">
            <w:pPr>
              <w:pStyle w:val="21"/>
              <w:snapToGrid w:val="0"/>
              <w:ind w:right="0" w:firstLine="0"/>
              <w:rPr>
                <w:rFonts w:ascii="宋体;SimSun" w:hAnsi="宋体;SimSun" w:cs="宋体;SimSun"/>
                <w:kern w:val="0"/>
                <w:sz w:val="24"/>
                <w:szCs w:val="24"/>
              </w:rPr>
            </w:pPr>
          </w:p>
        </w:tc>
      </w:tr>
      <w:tr w14:paraId="02368FFC">
        <w:tblPrEx>
          <w:tblCellMar>
            <w:top w:w="0" w:type="dxa"/>
            <w:left w:w="108" w:type="dxa"/>
            <w:bottom w:w="0" w:type="dxa"/>
            <w:right w:w="108" w:type="dxa"/>
          </w:tblCellMar>
        </w:tblPrEx>
        <w:tc>
          <w:tcPr>
            <w:tcW w:w="2802" w:type="dxa"/>
            <w:tcBorders>
              <w:top w:val="single" w:color="000000" w:sz="4" w:space="0"/>
              <w:left w:val="single" w:color="000000" w:sz="4" w:space="0"/>
              <w:bottom w:val="single" w:color="000000" w:sz="4" w:space="0"/>
              <w:right w:val="single" w:color="000000" w:sz="4" w:space="0"/>
            </w:tcBorders>
            <w:vAlign w:val="center"/>
          </w:tcPr>
          <w:p w14:paraId="5495C48D">
            <w:pPr>
              <w:pStyle w:val="21"/>
              <w:snapToGrid w:val="0"/>
              <w:ind w:right="0" w:firstLine="0"/>
              <w:rPr>
                <w:rFonts w:ascii="宋体;SimSun" w:hAnsi="宋体;SimSun" w:cs="宋体;SimSun"/>
                <w:kern w:val="0"/>
                <w:sz w:val="24"/>
                <w:szCs w:val="24"/>
              </w:rPr>
            </w:pPr>
            <w:r>
              <w:rPr>
                <w:rFonts w:ascii="宋体;SimSun" w:hAnsi="宋体;SimSun" w:cs="宋体;SimSun"/>
                <w:kern w:val="0"/>
                <w:sz w:val="24"/>
                <w:szCs w:val="24"/>
              </w:rPr>
              <w:t>归属于母公司所有者权益（万元）</w:t>
            </w:r>
          </w:p>
        </w:tc>
        <w:tc>
          <w:tcPr>
            <w:tcW w:w="1417" w:type="dxa"/>
            <w:tcBorders>
              <w:top w:val="single" w:color="000000" w:sz="4" w:space="0"/>
              <w:left w:val="single" w:color="000000" w:sz="4" w:space="0"/>
              <w:bottom w:val="single" w:color="000000" w:sz="4" w:space="0"/>
              <w:right w:val="single" w:color="000000" w:sz="4" w:space="0"/>
            </w:tcBorders>
            <w:vAlign w:val="center"/>
          </w:tcPr>
          <w:p w14:paraId="12C2B5DD">
            <w:pPr>
              <w:pStyle w:val="21"/>
              <w:snapToGrid w:val="0"/>
              <w:ind w:right="0" w:firstLine="0"/>
              <w:rPr>
                <w:rFonts w:ascii="宋体;SimSun" w:hAnsi="宋体;SimSun" w:cs="宋体;SimSun"/>
                <w:kern w:val="0"/>
                <w:sz w:val="24"/>
                <w:szCs w:val="24"/>
              </w:rPr>
            </w:pPr>
          </w:p>
        </w:tc>
        <w:tc>
          <w:tcPr>
            <w:tcW w:w="1418" w:type="dxa"/>
            <w:tcBorders>
              <w:top w:val="single" w:color="000000" w:sz="4" w:space="0"/>
              <w:left w:val="single" w:color="000000" w:sz="4" w:space="0"/>
              <w:bottom w:val="single" w:color="000000" w:sz="4" w:space="0"/>
              <w:right w:val="single" w:color="000000" w:sz="4" w:space="0"/>
            </w:tcBorders>
            <w:vAlign w:val="center"/>
          </w:tcPr>
          <w:p w14:paraId="0AF79AA3">
            <w:pPr>
              <w:pStyle w:val="21"/>
              <w:snapToGrid w:val="0"/>
              <w:ind w:right="0" w:firstLine="0"/>
              <w:rPr>
                <w:rFonts w:ascii="宋体;SimSun" w:hAnsi="宋体;SimSun" w:cs="宋体;SimSun"/>
                <w:kern w:val="0"/>
                <w:sz w:val="24"/>
                <w:szCs w:val="24"/>
              </w:rPr>
            </w:pPr>
          </w:p>
        </w:tc>
        <w:tc>
          <w:tcPr>
            <w:tcW w:w="1417" w:type="dxa"/>
            <w:tcBorders>
              <w:top w:val="single" w:color="000000" w:sz="4" w:space="0"/>
              <w:left w:val="single" w:color="000000" w:sz="4" w:space="0"/>
              <w:bottom w:val="single" w:color="000000" w:sz="4" w:space="0"/>
              <w:right w:val="single" w:color="000000" w:sz="4" w:space="0"/>
            </w:tcBorders>
            <w:vAlign w:val="center"/>
          </w:tcPr>
          <w:p w14:paraId="6BEC1583">
            <w:pPr>
              <w:pStyle w:val="21"/>
              <w:snapToGrid w:val="0"/>
              <w:ind w:right="0" w:firstLine="0"/>
              <w:rPr>
                <w:rFonts w:ascii="宋体;SimSun" w:hAnsi="宋体;SimSun" w:cs="宋体;SimSun"/>
                <w:kern w:val="0"/>
                <w:sz w:val="24"/>
                <w:szCs w:val="24"/>
              </w:rPr>
            </w:pPr>
          </w:p>
        </w:tc>
        <w:tc>
          <w:tcPr>
            <w:tcW w:w="1468" w:type="dxa"/>
            <w:tcBorders>
              <w:top w:val="single" w:color="000000" w:sz="4" w:space="0"/>
              <w:left w:val="single" w:color="000000" w:sz="4" w:space="0"/>
              <w:bottom w:val="single" w:color="000000" w:sz="4" w:space="0"/>
              <w:right w:val="single" w:color="000000" w:sz="4" w:space="0"/>
            </w:tcBorders>
            <w:vAlign w:val="center"/>
          </w:tcPr>
          <w:p w14:paraId="6EC5B095">
            <w:pPr>
              <w:pStyle w:val="21"/>
              <w:snapToGrid w:val="0"/>
              <w:ind w:right="0" w:firstLine="0"/>
              <w:rPr>
                <w:rFonts w:ascii="宋体;SimSun" w:hAnsi="宋体;SimSun" w:cs="宋体;SimSun"/>
                <w:kern w:val="0"/>
                <w:sz w:val="24"/>
                <w:szCs w:val="24"/>
              </w:rPr>
            </w:pPr>
          </w:p>
        </w:tc>
      </w:tr>
      <w:tr w14:paraId="77E80A60">
        <w:tblPrEx>
          <w:tblCellMar>
            <w:top w:w="0" w:type="dxa"/>
            <w:left w:w="108" w:type="dxa"/>
            <w:bottom w:w="0" w:type="dxa"/>
            <w:right w:w="108" w:type="dxa"/>
          </w:tblCellMar>
        </w:tblPrEx>
        <w:tc>
          <w:tcPr>
            <w:tcW w:w="2802" w:type="dxa"/>
            <w:tcBorders>
              <w:top w:val="single" w:color="000000" w:sz="4" w:space="0"/>
              <w:left w:val="single" w:color="000000" w:sz="4" w:space="0"/>
              <w:bottom w:val="single" w:color="000000" w:sz="4" w:space="0"/>
              <w:right w:val="single" w:color="000000" w:sz="4" w:space="0"/>
            </w:tcBorders>
            <w:vAlign w:val="center"/>
          </w:tcPr>
          <w:p w14:paraId="2F1B8B3E">
            <w:pPr>
              <w:pStyle w:val="21"/>
              <w:snapToGrid w:val="0"/>
              <w:ind w:right="0" w:firstLine="0"/>
              <w:rPr>
                <w:rFonts w:ascii="宋体;SimSun" w:hAnsi="宋体;SimSun" w:cs="宋体;SimSun"/>
                <w:kern w:val="0"/>
                <w:sz w:val="24"/>
                <w:szCs w:val="24"/>
              </w:rPr>
            </w:pPr>
            <w:r>
              <w:rPr>
                <w:rFonts w:ascii="宋体;SimSun" w:hAnsi="宋体;SimSun" w:cs="宋体;SimSun"/>
                <w:kern w:val="0"/>
                <w:sz w:val="24"/>
                <w:szCs w:val="24"/>
              </w:rPr>
              <w:t>资产负债率（母公司）（%）</w:t>
            </w:r>
          </w:p>
        </w:tc>
        <w:tc>
          <w:tcPr>
            <w:tcW w:w="1417" w:type="dxa"/>
            <w:tcBorders>
              <w:top w:val="single" w:color="000000" w:sz="4" w:space="0"/>
              <w:left w:val="single" w:color="000000" w:sz="4" w:space="0"/>
              <w:bottom w:val="single" w:color="000000" w:sz="4" w:space="0"/>
              <w:right w:val="single" w:color="000000" w:sz="4" w:space="0"/>
            </w:tcBorders>
            <w:vAlign w:val="center"/>
          </w:tcPr>
          <w:p w14:paraId="2BDF59F1">
            <w:pPr>
              <w:pStyle w:val="21"/>
              <w:snapToGrid w:val="0"/>
              <w:ind w:right="0" w:firstLine="0"/>
              <w:rPr>
                <w:rFonts w:ascii="宋体;SimSun" w:hAnsi="宋体;SimSun" w:cs="宋体;SimSun"/>
                <w:kern w:val="0"/>
                <w:sz w:val="24"/>
                <w:szCs w:val="24"/>
              </w:rPr>
            </w:pPr>
          </w:p>
        </w:tc>
        <w:tc>
          <w:tcPr>
            <w:tcW w:w="1418" w:type="dxa"/>
            <w:tcBorders>
              <w:top w:val="single" w:color="000000" w:sz="4" w:space="0"/>
              <w:left w:val="single" w:color="000000" w:sz="4" w:space="0"/>
              <w:bottom w:val="single" w:color="000000" w:sz="4" w:space="0"/>
              <w:right w:val="single" w:color="000000" w:sz="4" w:space="0"/>
            </w:tcBorders>
            <w:vAlign w:val="center"/>
          </w:tcPr>
          <w:p w14:paraId="26E66F1A">
            <w:pPr>
              <w:pStyle w:val="21"/>
              <w:snapToGrid w:val="0"/>
              <w:ind w:right="0" w:firstLine="0"/>
              <w:rPr>
                <w:rFonts w:ascii="宋体;SimSun" w:hAnsi="宋体;SimSun" w:cs="宋体;SimSun"/>
                <w:kern w:val="0"/>
                <w:sz w:val="24"/>
                <w:szCs w:val="24"/>
              </w:rPr>
            </w:pPr>
          </w:p>
        </w:tc>
        <w:tc>
          <w:tcPr>
            <w:tcW w:w="1417" w:type="dxa"/>
            <w:tcBorders>
              <w:top w:val="single" w:color="000000" w:sz="4" w:space="0"/>
              <w:left w:val="single" w:color="000000" w:sz="4" w:space="0"/>
              <w:bottom w:val="single" w:color="000000" w:sz="4" w:space="0"/>
              <w:right w:val="single" w:color="000000" w:sz="4" w:space="0"/>
            </w:tcBorders>
            <w:vAlign w:val="center"/>
          </w:tcPr>
          <w:p w14:paraId="662FB9B6">
            <w:pPr>
              <w:pStyle w:val="21"/>
              <w:snapToGrid w:val="0"/>
              <w:ind w:right="0" w:firstLine="0"/>
              <w:rPr>
                <w:rFonts w:ascii="宋体;SimSun" w:hAnsi="宋体;SimSun" w:cs="宋体;SimSun"/>
                <w:kern w:val="0"/>
                <w:sz w:val="24"/>
                <w:szCs w:val="24"/>
              </w:rPr>
            </w:pPr>
          </w:p>
        </w:tc>
        <w:tc>
          <w:tcPr>
            <w:tcW w:w="1468" w:type="dxa"/>
            <w:tcBorders>
              <w:top w:val="single" w:color="000000" w:sz="4" w:space="0"/>
              <w:left w:val="single" w:color="000000" w:sz="4" w:space="0"/>
              <w:bottom w:val="single" w:color="000000" w:sz="4" w:space="0"/>
              <w:right w:val="single" w:color="000000" w:sz="4" w:space="0"/>
            </w:tcBorders>
            <w:vAlign w:val="center"/>
          </w:tcPr>
          <w:p w14:paraId="4A238769">
            <w:pPr>
              <w:pStyle w:val="21"/>
              <w:snapToGrid w:val="0"/>
              <w:ind w:right="0" w:firstLine="0"/>
              <w:rPr>
                <w:rFonts w:ascii="宋体;SimSun" w:hAnsi="宋体;SimSun" w:cs="宋体;SimSun"/>
                <w:kern w:val="0"/>
                <w:sz w:val="24"/>
                <w:szCs w:val="24"/>
              </w:rPr>
            </w:pPr>
          </w:p>
        </w:tc>
      </w:tr>
      <w:tr w14:paraId="42290BD5">
        <w:tblPrEx>
          <w:tblCellMar>
            <w:top w:w="0" w:type="dxa"/>
            <w:left w:w="108" w:type="dxa"/>
            <w:bottom w:w="0" w:type="dxa"/>
            <w:right w:w="108" w:type="dxa"/>
          </w:tblCellMar>
        </w:tblPrEx>
        <w:tc>
          <w:tcPr>
            <w:tcW w:w="2802" w:type="dxa"/>
            <w:tcBorders>
              <w:top w:val="single" w:color="000000" w:sz="4" w:space="0"/>
              <w:left w:val="single" w:color="000000" w:sz="4" w:space="0"/>
              <w:bottom w:val="single" w:color="000000" w:sz="4" w:space="0"/>
              <w:right w:val="single" w:color="000000" w:sz="4" w:space="0"/>
            </w:tcBorders>
            <w:vAlign w:val="center"/>
          </w:tcPr>
          <w:p w14:paraId="497C3036">
            <w:pPr>
              <w:pStyle w:val="21"/>
              <w:snapToGrid w:val="0"/>
              <w:ind w:right="0" w:firstLine="0"/>
              <w:rPr>
                <w:rFonts w:ascii="宋体;SimSun" w:hAnsi="宋体;SimSun" w:cs="宋体;SimSun"/>
                <w:kern w:val="0"/>
                <w:sz w:val="24"/>
                <w:szCs w:val="24"/>
              </w:rPr>
            </w:pPr>
            <w:r>
              <w:rPr>
                <w:rFonts w:ascii="宋体;SimSun" w:hAnsi="宋体;SimSun" w:cs="宋体;SimSun"/>
                <w:kern w:val="0"/>
                <w:sz w:val="24"/>
                <w:szCs w:val="24"/>
              </w:rPr>
              <w:t>营业收入（万元）</w:t>
            </w:r>
          </w:p>
        </w:tc>
        <w:tc>
          <w:tcPr>
            <w:tcW w:w="1417" w:type="dxa"/>
            <w:tcBorders>
              <w:top w:val="single" w:color="000000" w:sz="4" w:space="0"/>
              <w:left w:val="single" w:color="000000" w:sz="4" w:space="0"/>
              <w:bottom w:val="single" w:color="000000" w:sz="4" w:space="0"/>
              <w:right w:val="single" w:color="000000" w:sz="4" w:space="0"/>
            </w:tcBorders>
            <w:vAlign w:val="center"/>
          </w:tcPr>
          <w:p w14:paraId="6BFBD33E">
            <w:pPr>
              <w:pStyle w:val="21"/>
              <w:snapToGrid w:val="0"/>
              <w:ind w:right="0" w:firstLine="0"/>
              <w:rPr>
                <w:rFonts w:ascii="宋体;SimSun" w:hAnsi="宋体;SimSun" w:cs="宋体;SimSun"/>
                <w:kern w:val="0"/>
                <w:sz w:val="24"/>
                <w:szCs w:val="24"/>
              </w:rPr>
            </w:pPr>
          </w:p>
        </w:tc>
        <w:tc>
          <w:tcPr>
            <w:tcW w:w="1418" w:type="dxa"/>
            <w:tcBorders>
              <w:top w:val="single" w:color="000000" w:sz="4" w:space="0"/>
              <w:left w:val="single" w:color="000000" w:sz="4" w:space="0"/>
              <w:bottom w:val="single" w:color="000000" w:sz="4" w:space="0"/>
              <w:right w:val="single" w:color="000000" w:sz="4" w:space="0"/>
            </w:tcBorders>
            <w:vAlign w:val="center"/>
          </w:tcPr>
          <w:p w14:paraId="0B90B1F7">
            <w:pPr>
              <w:pStyle w:val="21"/>
              <w:snapToGrid w:val="0"/>
              <w:ind w:right="0" w:firstLine="0"/>
              <w:rPr>
                <w:rFonts w:ascii="宋体;SimSun" w:hAnsi="宋体;SimSun" w:cs="宋体;SimSun"/>
                <w:kern w:val="0"/>
                <w:sz w:val="24"/>
                <w:szCs w:val="24"/>
              </w:rPr>
            </w:pPr>
          </w:p>
        </w:tc>
        <w:tc>
          <w:tcPr>
            <w:tcW w:w="1417" w:type="dxa"/>
            <w:tcBorders>
              <w:top w:val="single" w:color="000000" w:sz="4" w:space="0"/>
              <w:left w:val="single" w:color="000000" w:sz="4" w:space="0"/>
              <w:bottom w:val="single" w:color="000000" w:sz="4" w:space="0"/>
              <w:right w:val="single" w:color="000000" w:sz="4" w:space="0"/>
            </w:tcBorders>
            <w:vAlign w:val="center"/>
          </w:tcPr>
          <w:p w14:paraId="4F0CE0F2">
            <w:pPr>
              <w:pStyle w:val="21"/>
              <w:snapToGrid w:val="0"/>
              <w:ind w:right="0" w:firstLine="0"/>
              <w:rPr>
                <w:rFonts w:ascii="宋体;SimSun" w:hAnsi="宋体;SimSun" w:cs="宋体;SimSun"/>
                <w:kern w:val="0"/>
                <w:sz w:val="24"/>
                <w:szCs w:val="24"/>
              </w:rPr>
            </w:pPr>
          </w:p>
        </w:tc>
        <w:tc>
          <w:tcPr>
            <w:tcW w:w="1468" w:type="dxa"/>
            <w:tcBorders>
              <w:top w:val="single" w:color="000000" w:sz="4" w:space="0"/>
              <w:left w:val="single" w:color="000000" w:sz="4" w:space="0"/>
              <w:bottom w:val="single" w:color="000000" w:sz="4" w:space="0"/>
              <w:right w:val="single" w:color="000000" w:sz="4" w:space="0"/>
            </w:tcBorders>
            <w:vAlign w:val="center"/>
          </w:tcPr>
          <w:p w14:paraId="758B9A67">
            <w:pPr>
              <w:pStyle w:val="21"/>
              <w:snapToGrid w:val="0"/>
              <w:ind w:right="0" w:firstLine="0"/>
              <w:rPr>
                <w:rFonts w:ascii="宋体;SimSun" w:hAnsi="宋体;SimSun" w:cs="宋体;SimSun"/>
                <w:kern w:val="0"/>
                <w:sz w:val="24"/>
                <w:szCs w:val="24"/>
              </w:rPr>
            </w:pPr>
          </w:p>
        </w:tc>
      </w:tr>
      <w:tr w14:paraId="44D7A48A">
        <w:tblPrEx>
          <w:tblCellMar>
            <w:top w:w="0" w:type="dxa"/>
            <w:left w:w="108" w:type="dxa"/>
            <w:bottom w:w="0" w:type="dxa"/>
            <w:right w:w="108" w:type="dxa"/>
          </w:tblCellMar>
        </w:tblPrEx>
        <w:tc>
          <w:tcPr>
            <w:tcW w:w="2802" w:type="dxa"/>
            <w:tcBorders>
              <w:top w:val="single" w:color="000000" w:sz="4" w:space="0"/>
              <w:left w:val="single" w:color="000000" w:sz="4" w:space="0"/>
              <w:bottom w:val="single" w:color="000000" w:sz="4" w:space="0"/>
              <w:right w:val="single" w:color="000000" w:sz="4" w:space="0"/>
            </w:tcBorders>
            <w:vAlign w:val="center"/>
          </w:tcPr>
          <w:p w14:paraId="3F8B3547">
            <w:pPr>
              <w:pStyle w:val="21"/>
              <w:snapToGrid w:val="0"/>
              <w:ind w:right="0" w:firstLine="0"/>
              <w:rPr>
                <w:rFonts w:ascii="宋体;SimSun" w:hAnsi="宋体;SimSun" w:cs="宋体;SimSun"/>
                <w:kern w:val="0"/>
                <w:sz w:val="24"/>
                <w:szCs w:val="24"/>
              </w:rPr>
            </w:pPr>
            <w:r>
              <w:rPr>
                <w:rFonts w:ascii="宋体;SimSun" w:hAnsi="宋体;SimSun" w:cs="宋体;SimSun"/>
                <w:kern w:val="0"/>
                <w:sz w:val="24"/>
                <w:szCs w:val="24"/>
              </w:rPr>
              <w:t>净利润（万元）</w:t>
            </w:r>
          </w:p>
        </w:tc>
        <w:tc>
          <w:tcPr>
            <w:tcW w:w="1417" w:type="dxa"/>
            <w:tcBorders>
              <w:top w:val="single" w:color="000000" w:sz="4" w:space="0"/>
              <w:left w:val="single" w:color="000000" w:sz="4" w:space="0"/>
              <w:bottom w:val="single" w:color="000000" w:sz="4" w:space="0"/>
              <w:right w:val="single" w:color="000000" w:sz="4" w:space="0"/>
            </w:tcBorders>
            <w:vAlign w:val="center"/>
          </w:tcPr>
          <w:p w14:paraId="70AEDFAD">
            <w:pPr>
              <w:pStyle w:val="21"/>
              <w:snapToGrid w:val="0"/>
              <w:ind w:right="0" w:firstLine="0"/>
              <w:rPr>
                <w:rFonts w:ascii="宋体;SimSun" w:hAnsi="宋体;SimSun" w:cs="宋体;SimSun"/>
                <w:kern w:val="0"/>
                <w:sz w:val="24"/>
                <w:szCs w:val="24"/>
              </w:rPr>
            </w:pPr>
          </w:p>
        </w:tc>
        <w:tc>
          <w:tcPr>
            <w:tcW w:w="1418" w:type="dxa"/>
            <w:tcBorders>
              <w:top w:val="single" w:color="000000" w:sz="4" w:space="0"/>
              <w:left w:val="single" w:color="000000" w:sz="4" w:space="0"/>
              <w:bottom w:val="single" w:color="000000" w:sz="4" w:space="0"/>
              <w:right w:val="single" w:color="000000" w:sz="4" w:space="0"/>
            </w:tcBorders>
            <w:vAlign w:val="center"/>
          </w:tcPr>
          <w:p w14:paraId="654AB366">
            <w:pPr>
              <w:pStyle w:val="21"/>
              <w:snapToGrid w:val="0"/>
              <w:ind w:right="0" w:firstLine="0"/>
              <w:rPr>
                <w:rFonts w:ascii="宋体;SimSun" w:hAnsi="宋体;SimSun" w:cs="宋体;SimSun"/>
                <w:kern w:val="0"/>
                <w:sz w:val="24"/>
                <w:szCs w:val="24"/>
              </w:rPr>
            </w:pPr>
          </w:p>
        </w:tc>
        <w:tc>
          <w:tcPr>
            <w:tcW w:w="1417" w:type="dxa"/>
            <w:tcBorders>
              <w:top w:val="single" w:color="000000" w:sz="4" w:space="0"/>
              <w:left w:val="single" w:color="000000" w:sz="4" w:space="0"/>
              <w:bottom w:val="single" w:color="000000" w:sz="4" w:space="0"/>
              <w:right w:val="single" w:color="000000" w:sz="4" w:space="0"/>
            </w:tcBorders>
            <w:vAlign w:val="center"/>
          </w:tcPr>
          <w:p w14:paraId="59747B96">
            <w:pPr>
              <w:pStyle w:val="21"/>
              <w:snapToGrid w:val="0"/>
              <w:ind w:right="0" w:firstLine="0"/>
              <w:rPr>
                <w:rFonts w:ascii="宋体;SimSun" w:hAnsi="宋体;SimSun" w:cs="宋体;SimSun"/>
                <w:kern w:val="0"/>
                <w:sz w:val="24"/>
                <w:szCs w:val="24"/>
              </w:rPr>
            </w:pPr>
          </w:p>
        </w:tc>
        <w:tc>
          <w:tcPr>
            <w:tcW w:w="1468" w:type="dxa"/>
            <w:tcBorders>
              <w:top w:val="single" w:color="000000" w:sz="4" w:space="0"/>
              <w:left w:val="single" w:color="000000" w:sz="4" w:space="0"/>
              <w:bottom w:val="single" w:color="000000" w:sz="4" w:space="0"/>
              <w:right w:val="single" w:color="000000" w:sz="4" w:space="0"/>
            </w:tcBorders>
            <w:vAlign w:val="center"/>
          </w:tcPr>
          <w:p w14:paraId="278717B4">
            <w:pPr>
              <w:pStyle w:val="21"/>
              <w:snapToGrid w:val="0"/>
              <w:ind w:right="0" w:firstLine="0"/>
              <w:rPr>
                <w:rFonts w:ascii="宋体;SimSun" w:hAnsi="宋体;SimSun" w:cs="宋体;SimSun"/>
                <w:kern w:val="0"/>
                <w:sz w:val="24"/>
                <w:szCs w:val="24"/>
              </w:rPr>
            </w:pPr>
          </w:p>
        </w:tc>
      </w:tr>
      <w:tr w14:paraId="2DFCD154">
        <w:tblPrEx>
          <w:tblCellMar>
            <w:top w:w="0" w:type="dxa"/>
            <w:left w:w="108" w:type="dxa"/>
            <w:bottom w:w="0" w:type="dxa"/>
            <w:right w:w="108" w:type="dxa"/>
          </w:tblCellMar>
        </w:tblPrEx>
        <w:tc>
          <w:tcPr>
            <w:tcW w:w="2802" w:type="dxa"/>
            <w:tcBorders>
              <w:top w:val="single" w:color="000000" w:sz="4" w:space="0"/>
              <w:left w:val="single" w:color="000000" w:sz="4" w:space="0"/>
              <w:bottom w:val="single" w:color="000000" w:sz="4" w:space="0"/>
              <w:right w:val="single" w:color="000000" w:sz="4" w:space="0"/>
            </w:tcBorders>
            <w:vAlign w:val="center"/>
          </w:tcPr>
          <w:p w14:paraId="6FCBF76E">
            <w:pPr>
              <w:pStyle w:val="21"/>
              <w:snapToGrid w:val="0"/>
              <w:ind w:right="0" w:firstLine="0"/>
              <w:rPr>
                <w:rFonts w:ascii="宋体;SimSun" w:hAnsi="宋体;SimSun" w:cs="宋体;SimSun"/>
                <w:kern w:val="0"/>
                <w:sz w:val="24"/>
                <w:szCs w:val="24"/>
              </w:rPr>
            </w:pPr>
            <w:r>
              <w:rPr>
                <w:rFonts w:ascii="宋体;SimSun" w:hAnsi="宋体;SimSun" w:cs="宋体;SimSun"/>
                <w:kern w:val="0"/>
                <w:sz w:val="24"/>
                <w:szCs w:val="24"/>
              </w:rPr>
              <w:t>归属于母公司所有者的净利润（万元）</w:t>
            </w:r>
          </w:p>
        </w:tc>
        <w:tc>
          <w:tcPr>
            <w:tcW w:w="1417" w:type="dxa"/>
            <w:tcBorders>
              <w:top w:val="single" w:color="000000" w:sz="4" w:space="0"/>
              <w:left w:val="single" w:color="000000" w:sz="4" w:space="0"/>
              <w:bottom w:val="single" w:color="000000" w:sz="4" w:space="0"/>
              <w:right w:val="single" w:color="000000" w:sz="4" w:space="0"/>
            </w:tcBorders>
            <w:vAlign w:val="center"/>
          </w:tcPr>
          <w:p w14:paraId="20823953">
            <w:pPr>
              <w:pStyle w:val="21"/>
              <w:snapToGrid w:val="0"/>
              <w:ind w:right="0" w:firstLine="0"/>
              <w:rPr>
                <w:rFonts w:ascii="宋体;SimSun" w:hAnsi="宋体;SimSun" w:cs="宋体;SimSun"/>
                <w:kern w:val="0"/>
                <w:sz w:val="24"/>
                <w:szCs w:val="24"/>
              </w:rPr>
            </w:pPr>
          </w:p>
        </w:tc>
        <w:tc>
          <w:tcPr>
            <w:tcW w:w="1418" w:type="dxa"/>
            <w:tcBorders>
              <w:top w:val="single" w:color="000000" w:sz="4" w:space="0"/>
              <w:left w:val="single" w:color="000000" w:sz="4" w:space="0"/>
              <w:bottom w:val="single" w:color="000000" w:sz="4" w:space="0"/>
              <w:right w:val="single" w:color="000000" w:sz="4" w:space="0"/>
            </w:tcBorders>
            <w:vAlign w:val="center"/>
          </w:tcPr>
          <w:p w14:paraId="6E82D900">
            <w:pPr>
              <w:pStyle w:val="21"/>
              <w:snapToGrid w:val="0"/>
              <w:ind w:right="0" w:firstLine="0"/>
              <w:rPr>
                <w:rFonts w:ascii="宋体;SimSun" w:hAnsi="宋体;SimSun" w:cs="宋体;SimSun"/>
                <w:kern w:val="0"/>
                <w:sz w:val="24"/>
                <w:szCs w:val="24"/>
              </w:rPr>
            </w:pPr>
          </w:p>
        </w:tc>
        <w:tc>
          <w:tcPr>
            <w:tcW w:w="1417" w:type="dxa"/>
            <w:tcBorders>
              <w:top w:val="single" w:color="000000" w:sz="4" w:space="0"/>
              <w:left w:val="single" w:color="000000" w:sz="4" w:space="0"/>
              <w:bottom w:val="single" w:color="000000" w:sz="4" w:space="0"/>
              <w:right w:val="single" w:color="000000" w:sz="4" w:space="0"/>
            </w:tcBorders>
            <w:vAlign w:val="center"/>
          </w:tcPr>
          <w:p w14:paraId="394F4673">
            <w:pPr>
              <w:pStyle w:val="21"/>
              <w:snapToGrid w:val="0"/>
              <w:ind w:right="0" w:firstLine="0"/>
              <w:rPr>
                <w:rFonts w:ascii="宋体;SimSun" w:hAnsi="宋体;SimSun" w:cs="宋体;SimSun"/>
                <w:kern w:val="0"/>
                <w:sz w:val="24"/>
                <w:szCs w:val="24"/>
              </w:rPr>
            </w:pPr>
          </w:p>
        </w:tc>
        <w:tc>
          <w:tcPr>
            <w:tcW w:w="1468" w:type="dxa"/>
            <w:tcBorders>
              <w:top w:val="single" w:color="000000" w:sz="4" w:space="0"/>
              <w:left w:val="single" w:color="000000" w:sz="4" w:space="0"/>
              <w:bottom w:val="single" w:color="000000" w:sz="4" w:space="0"/>
              <w:right w:val="single" w:color="000000" w:sz="4" w:space="0"/>
            </w:tcBorders>
            <w:vAlign w:val="center"/>
          </w:tcPr>
          <w:p w14:paraId="4F416D28">
            <w:pPr>
              <w:pStyle w:val="21"/>
              <w:snapToGrid w:val="0"/>
              <w:ind w:right="0" w:firstLine="0"/>
              <w:rPr>
                <w:rFonts w:ascii="宋体;SimSun" w:hAnsi="宋体;SimSun" w:cs="宋体;SimSun"/>
                <w:kern w:val="0"/>
                <w:sz w:val="24"/>
                <w:szCs w:val="24"/>
              </w:rPr>
            </w:pPr>
          </w:p>
        </w:tc>
      </w:tr>
      <w:tr w14:paraId="7B7E0C74">
        <w:tblPrEx>
          <w:tblCellMar>
            <w:top w:w="0" w:type="dxa"/>
            <w:left w:w="108" w:type="dxa"/>
            <w:bottom w:w="0" w:type="dxa"/>
            <w:right w:w="108" w:type="dxa"/>
          </w:tblCellMar>
        </w:tblPrEx>
        <w:tc>
          <w:tcPr>
            <w:tcW w:w="2802" w:type="dxa"/>
            <w:tcBorders>
              <w:top w:val="single" w:color="000000" w:sz="4" w:space="0"/>
              <w:left w:val="single" w:color="000000" w:sz="4" w:space="0"/>
              <w:bottom w:val="single" w:color="000000" w:sz="4" w:space="0"/>
              <w:right w:val="single" w:color="000000" w:sz="4" w:space="0"/>
            </w:tcBorders>
            <w:vAlign w:val="center"/>
          </w:tcPr>
          <w:p w14:paraId="428C0809">
            <w:pPr>
              <w:pStyle w:val="21"/>
              <w:snapToGrid w:val="0"/>
              <w:ind w:right="0" w:firstLine="0"/>
              <w:rPr>
                <w:rFonts w:ascii="宋体;SimSun" w:hAnsi="宋体;SimSun" w:cs="宋体;SimSun"/>
                <w:kern w:val="0"/>
                <w:sz w:val="24"/>
                <w:szCs w:val="24"/>
              </w:rPr>
            </w:pPr>
            <w:r>
              <w:rPr>
                <w:rFonts w:ascii="宋体;SimSun" w:hAnsi="宋体;SimSun" w:cs="宋体;SimSun"/>
                <w:kern w:val="0"/>
                <w:sz w:val="24"/>
                <w:szCs w:val="24"/>
              </w:rPr>
              <w:t>扣除非经常损益后归属于母公司所有者的净利润（万元）</w:t>
            </w:r>
          </w:p>
        </w:tc>
        <w:tc>
          <w:tcPr>
            <w:tcW w:w="1417" w:type="dxa"/>
            <w:tcBorders>
              <w:top w:val="single" w:color="000000" w:sz="4" w:space="0"/>
              <w:left w:val="single" w:color="000000" w:sz="4" w:space="0"/>
              <w:bottom w:val="single" w:color="000000" w:sz="4" w:space="0"/>
              <w:right w:val="single" w:color="000000" w:sz="4" w:space="0"/>
            </w:tcBorders>
            <w:vAlign w:val="center"/>
          </w:tcPr>
          <w:p w14:paraId="55CCCA66">
            <w:pPr>
              <w:pStyle w:val="21"/>
              <w:snapToGrid w:val="0"/>
              <w:ind w:right="0" w:firstLine="0"/>
              <w:rPr>
                <w:rFonts w:ascii="宋体;SimSun" w:hAnsi="宋体;SimSun" w:cs="宋体;SimSun"/>
                <w:kern w:val="0"/>
                <w:sz w:val="24"/>
                <w:szCs w:val="24"/>
              </w:rPr>
            </w:pPr>
          </w:p>
        </w:tc>
        <w:tc>
          <w:tcPr>
            <w:tcW w:w="1418" w:type="dxa"/>
            <w:tcBorders>
              <w:top w:val="single" w:color="000000" w:sz="4" w:space="0"/>
              <w:left w:val="single" w:color="000000" w:sz="4" w:space="0"/>
              <w:bottom w:val="single" w:color="000000" w:sz="4" w:space="0"/>
              <w:right w:val="single" w:color="000000" w:sz="4" w:space="0"/>
            </w:tcBorders>
            <w:vAlign w:val="center"/>
          </w:tcPr>
          <w:p w14:paraId="4E354F4D">
            <w:pPr>
              <w:pStyle w:val="21"/>
              <w:snapToGrid w:val="0"/>
              <w:ind w:right="0" w:firstLine="0"/>
              <w:rPr>
                <w:rFonts w:ascii="宋体;SimSun" w:hAnsi="宋体;SimSun" w:cs="宋体;SimSun"/>
                <w:kern w:val="0"/>
                <w:sz w:val="24"/>
                <w:szCs w:val="24"/>
              </w:rPr>
            </w:pPr>
          </w:p>
        </w:tc>
        <w:tc>
          <w:tcPr>
            <w:tcW w:w="1417" w:type="dxa"/>
            <w:tcBorders>
              <w:top w:val="single" w:color="000000" w:sz="4" w:space="0"/>
              <w:left w:val="single" w:color="000000" w:sz="4" w:space="0"/>
              <w:bottom w:val="single" w:color="000000" w:sz="4" w:space="0"/>
              <w:right w:val="single" w:color="000000" w:sz="4" w:space="0"/>
            </w:tcBorders>
            <w:vAlign w:val="center"/>
          </w:tcPr>
          <w:p w14:paraId="5C49D51B">
            <w:pPr>
              <w:pStyle w:val="21"/>
              <w:snapToGrid w:val="0"/>
              <w:ind w:right="0" w:firstLine="0"/>
              <w:rPr>
                <w:rFonts w:ascii="宋体;SimSun" w:hAnsi="宋体;SimSun" w:cs="宋体;SimSun"/>
                <w:kern w:val="0"/>
                <w:sz w:val="24"/>
                <w:szCs w:val="24"/>
              </w:rPr>
            </w:pPr>
          </w:p>
        </w:tc>
        <w:tc>
          <w:tcPr>
            <w:tcW w:w="1468" w:type="dxa"/>
            <w:tcBorders>
              <w:top w:val="single" w:color="000000" w:sz="4" w:space="0"/>
              <w:left w:val="single" w:color="000000" w:sz="4" w:space="0"/>
              <w:bottom w:val="single" w:color="000000" w:sz="4" w:space="0"/>
              <w:right w:val="single" w:color="000000" w:sz="4" w:space="0"/>
            </w:tcBorders>
            <w:vAlign w:val="center"/>
          </w:tcPr>
          <w:p w14:paraId="274FB7B3">
            <w:pPr>
              <w:pStyle w:val="21"/>
              <w:snapToGrid w:val="0"/>
              <w:ind w:right="0" w:firstLine="0"/>
              <w:rPr>
                <w:rFonts w:ascii="宋体;SimSun" w:hAnsi="宋体;SimSun" w:cs="宋体;SimSun"/>
                <w:kern w:val="0"/>
                <w:sz w:val="24"/>
                <w:szCs w:val="24"/>
              </w:rPr>
            </w:pPr>
          </w:p>
        </w:tc>
      </w:tr>
      <w:tr w14:paraId="28F60C4A">
        <w:tblPrEx>
          <w:tblCellMar>
            <w:top w:w="0" w:type="dxa"/>
            <w:left w:w="108" w:type="dxa"/>
            <w:bottom w:w="0" w:type="dxa"/>
            <w:right w:w="108" w:type="dxa"/>
          </w:tblCellMar>
        </w:tblPrEx>
        <w:tc>
          <w:tcPr>
            <w:tcW w:w="2802" w:type="dxa"/>
            <w:tcBorders>
              <w:top w:val="single" w:color="000000" w:sz="4" w:space="0"/>
              <w:left w:val="single" w:color="000000" w:sz="4" w:space="0"/>
              <w:bottom w:val="single" w:color="000000" w:sz="4" w:space="0"/>
              <w:right w:val="single" w:color="000000" w:sz="4" w:space="0"/>
            </w:tcBorders>
            <w:vAlign w:val="center"/>
          </w:tcPr>
          <w:p w14:paraId="0181C676">
            <w:pPr>
              <w:pStyle w:val="21"/>
              <w:snapToGrid w:val="0"/>
              <w:ind w:right="0" w:firstLine="0"/>
              <w:rPr>
                <w:rFonts w:ascii="宋体;SimSun" w:hAnsi="宋体;SimSun" w:cs="宋体;SimSun"/>
                <w:kern w:val="0"/>
                <w:sz w:val="24"/>
                <w:szCs w:val="24"/>
              </w:rPr>
            </w:pPr>
            <w:r>
              <w:rPr>
                <w:rFonts w:ascii="宋体;SimSun" w:hAnsi="宋体;SimSun" w:cs="宋体;SimSun"/>
                <w:kern w:val="0"/>
                <w:sz w:val="24"/>
                <w:szCs w:val="24"/>
              </w:rPr>
              <w:t>基本每股收益（元）</w:t>
            </w:r>
          </w:p>
        </w:tc>
        <w:tc>
          <w:tcPr>
            <w:tcW w:w="1417" w:type="dxa"/>
            <w:tcBorders>
              <w:top w:val="single" w:color="000000" w:sz="4" w:space="0"/>
              <w:left w:val="single" w:color="000000" w:sz="4" w:space="0"/>
              <w:bottom w:val="single" w:color="000000" w:sz="4" w:space="0"/>
              <w:right w:val="single" w:color="000000" w:sz="4" w:space="0"/>
            </w:tcBorders>
            <w:vAlign w:val="center"/>
          </w:tcPr>
          <w:p w14:paraId="684133C7">
            <w:pPr>
              <w:pStyle w:val="21"/>
              <w:snapToGrid w:val="0"/>
              <w:ind w:right="0" w:firstLine="0"/>
              <w:rPr>
                <w:rFonts w:ascii="宋体;SimSun" w:hAnsi="宋体;SimSun" w:cs="宋体;SimSun"/>
                <w:kern w:val="0"/>
                <w:sz w:val="24"/>
                <w:szCs w:val="24"/>
              </w:rPr>
            </w:pPr>
          </w:p>
        </w:tc>
        <w:tc>
          <w:tcPr>
            <w:tcW w:w="1418" w:type="dxa"/>
            <w:tcBorders>
              <w:top w:val="single" w:color="000000" w:sz="4" w:space="0"/>
              <w:left w:val="single" w:color="000000" w:sz="4" w:space="0"/>
              <w:bottom w:val="single" w:color="000000" w:sz="4" w:space="0"/>
              <w:right w:val="single" w:color="000000" w:sz="4" w:space="0"/>
            </w:tcBorders>
            <w:vAlign w:val="center"/>
          </w:tcPr>
          <w:p w14:paraId="689E8818">
            <w:pPr>
              <w:pStyle w:val="21"/>
              <w:snapToGrid w:val="0"/>
              <w:ind w:right="0" w:firstLine="0"/>
              <w:rPr>
                <w:rFonts w:ascii="宋体;SimSun" w:hAnsi="宋体;SimSun" w:cs="宋体;SimSun"/>
                <w:kern w:val="0"/>
                <w:sz w:val="24"/>
                <w:szCs w:val="24"/>
              </w:rPr>
            </w:pPr>
          </w:p>
        </w:tc>
        <w:tc>
          <w:tcPr>
            <w:tcW w:w="1417" w:type="dxa"/>
            <w:tcBorders>
              <w:top w:val="single" w:color="000000" w:sz="4" w:space="0"/>
              <w:left w:val="single" w:color="000000" w:sz="4" w:space="0"/>
              <w:bottom w:val="single" w:color="000000" w:sz="4" w:space="0"/>
              <w:right w:val="single" w:color="000000" w:sz="4" w:space="0"/>
            </w:tcBorders>
            <w:vAlign w:val="center"/>
          </w:tcPr>
          <w:p w14:paraId="13A1EA77">
            <w:pPr>
              <w:pStyle w:val="21"/>
              <w:snapToGrid w:val="0"/>
              <w:ind w:right="0" w:firstLine="0"/>
              <w:rPr>
                <w:rFonts w:ascii="宋体;SimSun" w:hAnsi="宋体;SimSun" w:cs="宋体;SimSun"/>
                <w:kern w:val="0"/>
                <w:sz w:val="24"/>
                <w:szCs w:val="24"/>
              </w:rPr>
            </w:pPr>
          </w:p>
        </w:tc>
        <w:tc>
          <w:tcPr>
            <w:tcW w:w="1468" w:type="dxa"/>
            <w:tcBorders>
              <w:top w:val="single" w:color="000000" w:sz="4" w:space="0"/>
              <w:left w:val="single" w:color="000000" w:sz="4" w:space="0"/>
              <w:bottom w:val="single" w:color="000000" w:sz="4" w:space="0"/>
              <w:right w:val="single" w:color="000000" w:sz="4" w:space="0"/>
            </w:tcBorders>
            <w:vAlign w:val="center"/>
          </w:tcPr>
          <w:p w14:paraId="42D30148">
            <w:pPr>
              <w:pStyle w:val="21"/>
              <w:snapToGrid w:val="0"/>
              <w:ind w:right="0" w:firstLine="0"/>
              <w:rPr>
                <w:rFonts w:ascii="宋体;SimSun" w:hAnsi="宋体;SimSun" w:cs="宋体;SimSun"/>
                <w:kern w:val="0"/>
                <w:sz w:val="24"/>
                <w:szCs w:val="24"/>
              </w:rPr>
            </w:pPr>
          </w:p>
        </w:tc>
      </w:tr>
      <w:tr w14:paraId="21C8F4BB">
        <w:tblPrEx>
          <w:tblCellMar>
            <w:top w:w="0" w:type="dxa"/>
            <w:left w:w="108" w:type="dxa"/>
            <w:bottom w:w="0" w:type="dxa"/>
            <w:right w:w="108" w:type="dxa"/>
          </w:tblCellMar>
        </w:tblPrEx>
        <w:tc>
          <w:tcPr>
            <w:tcW w:w="2802" w:type="dxa"/>
            <w:tcBorders>
              <w:top w:val="single" w:color="000000" w:sz="4" w:space="0"/>
              <w:left w:val="single" w:color="000000" w:sz="4" w:space="0"/>
              <w:bottom w:val="single" w:color="000000" w:sz="4" w:space="0"/>
              <w:right w:val="single" w:color="000000" w:sz="4" w:space="0"/>
            </w:tcBorders>
            <w:vAlign w:val="center"/>
          </w:tcPr>
          <w:p w14:paraId="237B5063">
            <w:pPr>
              <w:pStyle w:val="21"/>
              <w:snapToGrid w:val="0"/>
              <w:ind w:right="0" w:firstLine="0"/>
              <w:rPr>
                <w:rFonts w:ascii="宋体;SimSun" w:hAnsi="宋体;SimSun" w:cs="宋体;SimSun"/>
                <w:kern w:val="0"/>
                <w:sz w:val="24"/>
                <w:szCs w:val="24"/>
              </w:rPr>
            </w:pPr>
            <w:r>
              <w:rPr>
                <w:rFonts w:ascii="宋体;SimSun" w:hAnsi="宋体;SimSun" w:cs="宋体;SimSun"/>
                <w:kern w:val="0"/>
                <w:sz w:val="24"/>
                <w:szCs w:val="24"/>
              </w:rPr>
              <w:t>加权平均净资产收益率（%）</w:t>
            </w:r>
          </w:p>
        </w:tc>
        <w:tc>
          <w:tcPr>
            <w:tcW w:w="1417" w:type="dxa"/>
            <w:tcBorders>
              <w:top w:val="single" w:color="000000" w:sz="4" w:space="0"/>
              <w:left w:val="single" w:color="000000" w:sz="4" w:space="0"/>
              <w:bottom w:val="single" w:color="000000" w:sz="4" w:space="0"/>
              <w:right w:val="single" w:color="000000" w:sz="4" w:space="0"/>
            </w:tcBorders>
            <w:vAlign w:val="center"/>
          </w:tcPr>
          <w:p w14:paraId="428DFE9F">
            <w:pPr>
              <w:pStyle w:val="21"/>
              <w:snapToGrid w:val="0"/>
              <w:ind w:right="0" w:firstLine="0"/>
              <w:rPr>
                <w:rFonts w:ascii="宋体;SimSun" w:hAnsi="宋体;SimSun" w:cs="宋体;SimSun"/>
                <w:kern w:val="0"/>
                <w:sz w:val="24"/>
                <w:szCs w:val="24"/>
              </w:rPr>
            </w:pPr>
          </w:p>
        </w:tc>
        <w:tc>
          <w:tcPr>
            <w:tcW w:w="1418" w:type="dxa"/>
            <w:tcBorders>
              <w:top w:val="single" w:color="000000" w:sz="4" w:space="0"/>
              <w:left w:val="single" w:color="000000" w:sz="4" w:space="0"/>
              <w:bottom w:val="single" w:color="000000" w:sz="4" w:space="0"/>
              <w:right w:val="single" w:color="000000" w:sz="4" w:space="0"/>
            </w:tcBorders>
            <w:vAlign w:val="center"/>
          </w:tcPr>
          <w:p w14:paraId="1793E0E9">
            <w:pPr>
              <w:pStyle w:val="21"/>
              <w:snapToGrid w:val="0"/>
              <w:ind w:right="0" w:firstLine="0"/>
              <w:rPr>
                <w:rFonts w:ascii="宋体;SimSun" w:hAnsi="宋体;SimSun" w:cs="宋体;SimSun"/>
                <w:kern w:val="0"/>
                <w:sz w:val="24"/>
                <w:szCs w:val="24"/>
              </w:rPr>
            </w:pPr>
          </w:p>
        </w:tc>
        <w:tc>
          <w:tcPr>
            <w:tcW w:w="1417" w:type="dxa"/>
            <w:tcBorders>
              <w:top w:val="single" w:color="000000" w:sz="4" w:space="0"/>
              <w:left w:val="single" w:color="000000" w:sz="4" w:space="0"/>
              <w:bottom w:val="single" w:color="000000" w:sz="4" w:space="0"/>
              <w:right w:val="single" w:color="000000" w:sz="4" w:space="0"/>
            </w:tcBorders>
            <w:vAlign w:val="center"/>
          </w:tcPr>
          <w:p w14:paraId="5BFEF590">
            <w:pPr>
              <w:pStyle w:val="21"/>
              <w:snapToGrid w:val="0"/>
              <w:ind w:right="0" w:firstLine="0"/>
              <w:rPr>
                <w:rFonts w:ascii="宋体;SimSun" w:hAnsi="宋体;SimSun" w:cs="宋体;SimSun"/>
                <w:kern w:val="0"/>
                <w:sz w:val="24"/>
                <w:szCs w:val="24"/>
              </w:rPr>
            </w:pPr>
          </w:p>
        </w:tc>
        <w:tc>
          <w:tcPr>
            <w:tcW w:w="1468" w:type="dxa"/>
            <w:tcBorders>
              <w:top w:val="single" w:color="000000" w:sz="4" w:space="0"/>
              <w:left w:val="single" w:color="000000" w:sz="4" w:space="0"/>
              <w:bottom w:val="single" w:color="000000" w:sz="4" w:space="0"/>
              <w:right w:val="single" w:color="000000" w:sz="4" w:space="0"/>
            </w:tcBorders>
            <w:vAlign w:val="center"/>
          </w:tcPr>
          <w:p w14:paraId="1D3C578A">
            <w:pPr>
              <w:pStyle w:val="21"/>
              <w:snapToGrid w:val="0"/>
              <w:ind w:right="0" w:firstLine="0"/>
              <w:rPr>
                <w:rFonts w:ascii="宋体;SimSun" w:hAnsi="宋体;SimSun" w:cs="宋体;SimSun"/>
                <w:kern w:val="0"/>
                <w:sz w:val="24"/>
                <w:szCs w:val="24"/>
              </w:rPr>
            </w:pPr>
          </w:p>
        </w:tc>
      </w:tr>
      <w:tr w14:paraId="4F5FD76F">
        <w:tblPrEx>
          <w:tblCellMar>
            <w:top w:w="0" w:type="dxa"/>
            <w:left w:w="108" w:type="dxa"/>
            <w:bottom w:w="0" w:type="dxa"/>
            <w:right w:w="108" w:type="dxa"/>
          </w:tblCellMar>
        </w:tblPrEx>
        <w:tc>
          <w:tcPr>
            <w:tcW w:w="2802" w:type="dxa"/>
            <w:tcBorders>
              <w:top w:val="single" w:color="000000" w:sz="4" w:space="0"/>
              <w:left w:val="single" w:color="000000" w:sz="4" w:space="0"/>
              <w:bottom w:val="single" w:color="000000" w:sz="4" w:space="0"/>
              <w:right w:val="single" w:color="000000" w:sz="4" w:space="0"/>
            </w:tcBorders>
            <w:vAlign w:val="center"/>
          </w:tcPr>
          <w:p w14:paraId="32630787">
            <w:pPr>
              <w:pStyle w:val="21"/>
              <w:snapToGrid w:val="0"/>
              <w:ind w:right="0" w:firstLine="0"/>
              <w:rPr>
                <w:rFonts w:ascii="宋体;SimSun" w:hAnsi="宋体;SimSun" w:cs="宋体;SimSun"/>
                <w:kern w:val="0"/>
                <w:sz w:val="24"/>
                <w:szCs w:val="24"/>
              </w:rPr>
            </w:pPr>
            <w:r>
              <w:rPr>
                <w:rFonts w:ascii="宋体;SimSun" w:hAnsi="宋体;SimSun" w:cs="宋体;SimSun"/>
                <w:kern w:val="0"/>
                <w:sz w:val="24"/>
                <w:szCs w:val="24"/>
              </w:rPr>
              <w:t>经营活动产生的现金流量净额（万元）</w:t>
            </w:r>
          </w:p>
        </w:tc>
        <w:tc>
          <w:tcPr>
            <w:tcW w:w="1417" w:type="dxa"/>
            <w:tcBorders>
              <w:top w:val="single" w:color="000000" w:sz="4" w:space="0"/>
              <w:left w:val="single" w:color="000000" w:sz="4" w:space="0"/>
              <w:bottom w:val="single" w:color="000000" w:sz="4" w:space="0"/>
              <w:right w:val="single" w:color="000000" w:sz="4" w:space="0"/>
            </w:tcBorders>
            <w:vAlign w:val="center"/>
          </w:tcPr>
          <w:p w14:paraId="3BEEDDB1">
            <w:pPr>
              <w:pStyle w:val="21"/>
              <w:snapToGrid w:val="0"/>
              <w:ind w:right="0" w:firstLine="0"/>
              <w:rPr>
                <w:rFonts w:ascii="宋体;SimSun" w:hAnsi="宋体;SimSun" w:cs="宋体;SimSun"/>
                <w:kern w:val="0"/>
                <w:sz w:val="24"/>
                <w:szCs w:val="24"/>
              </w:rPr>
            </w:pPr>
          </w:p>
        </w:tc>
        <w:tc>
          <w:tcPr>
            <w:tcW w:w="1418" w:type="dxa"/>
            <w:tcBorders>
              <w:top w:val="single" w:color="000000" w:sz="4" w:space="0"/>
              <w:left w:val="single" w:color="000000" w:sz="4" w:space="0"/>
              <w:bottom w:val="single" w:color="000000" w:sz="4" w:space="0"/>
              <w:right w:val="single" w:color="000000" w:sz="4" w:space="0"/>
            </w:tcBorders>
            <w:vAlign w:val="center"/>
          </w:tcPr>
          <w:p w14:paraId="046B270A">
            <w:pPr>
              <w:pStyle w:val="21"/>
              <w:snapToGrid w:val="0"/>
              <w:ind w:right="0" w:firstLine="0"/>
              <w:rPr>
                <w:rFonts w:ascii="宋体;SimSun" w:hAnsi="宋体;SimSun" w:cs="宋体;SimSun"/>
                <w:kern w:val="0"/>
                <w:sz w:val="24"/>
                <w:szCs w:val="24"/>
              </w:rPr>
            </w:pPr>
          </w:p>
        </w:tc>
        <w:tc>
          <w:tcPr>
            <w:tcW w:w="1417" w:type="dxa"/>
            <w:tcBorders>
              <w:top w:val="single" w:color="000000" w:sz="4" w:space="0"/>
              <w:left w:val="single" w:color="000000" w:sz="4" w:space="0"/>
              <w:bottom w:val="single" w:color="000000" w:sz="4" w:space="0"/>
              <w:right w:val="single" w:color="000000" w:sz="4" w:space="0"/>
            </w:tcBorders>
            <w:vAlign w:val="center"/>
          </w:tcPr>
          <w:p w14:paraId="0F69B0A8">
            <w:pPr>
              <w:pStyle w:val="21"/>
              <w:snapToGrid w:val="0"/>
              <w:ind w:right="0" w:firstLine="0"/>
              <w:rPr>
                <w:rFonts w:ascii="宋体;SimSun" w:hAnsi="宋体;SimSun" w:cs="宋体;SimSun"/>
                <w:kern w:val="0"/>
                <w:sz w:val="24"/>
                <w:szCs w:val="24"/>
              </w:rPr>
            </w:pPr>
          </w:p>
        </w:tc>
        <w:tc>
          <w:tcPr>
            <w:tcW w:w="1468" w:type="dxa"/>
            <w:tcBorders>
              <w:top w:val="single" w:color="000000" w:sz="4" w:space="0"/>
              <w:left w:val="single" w:color="000000" w:sz="4" w:space="0"/>
              <w:bottom w:val="single" w:color="000000" w:sz="4" w:space="0"/>
              <w:right w:val="single" w:color="000000" w:sz="4" w:space="0"/>
            </w:tcBorders>
            <w:vAlign w:val="center"/>
          </w:tcPr>
          <w:p w14:paraId="12602A33">
            <w:pPr>
              <w:pStyle w:val="21"/>
              <w:snapToGrid w:val="0"/>
              <w:ind w:right="0" w:firstLine="0"/>
              <w:rPr>
                <w:rFonts w:ascii="宋体;SimSun" w:hAnsi="宋体;SimSun" w:cs="宋体;SimSun"/>
                <w:kern w:val="0"/>
                <w:sz w:val="24"/>
                <w:szCs w:val="24"/>
              </w:rPr>
            </w:pPr>
          </w:p>
        </w:tc>
      </w:tr>
      <w:tr w14:paraId="2F7A55C0">
        <w:tblPrEx>
          <w:tblCellMar>
            <w:top w:w="0" w:type="dxa"/>
            <w:left w:w="108" w:type="dxa"/>
            <w:bottom w:w="0" w:type="dxa"/>
            <w:right w:w="108" w:type="dxa"/>
          </w:tblCellMar>
        </w:tblPrEx>
        <w:tc>
          <w:tcPr>
            <w:tcW w:w="2802" w:type="dxa"/>
            <w:tcBorders>
              <w:top w:val="single" w:color="000000" w:sz="4" w:space="0"/>
              <w:left w:val="single" w:color="000000" w:sz="4" w:space="0"/>
              <w:bottom w:val="single" w:color="000000" w:sz="4" w:space="0"/>
              <w:right w:val="single" w:color="000000" w:sz="4" w:space="0"/>
            </w:tcBorders>
            <w:vAlign w:val="center"/>
          </w:tcPr>
          <w:p w14:paraId="38631DD2">
            <w:pPr>
              <w:pStyle w:val="21"/>
              <w:snapToGrid w:val="0"/>
              <w:ind w:right="0" w:firstLine="0"/>
              <w:rPr>
                <w:rFonts w:ascii="宋体;SimSun" w:hAnsi="宋体;SimSun" w:cs="宋体;SimSun"/>
                <w:kern w:val="0"/>
                <w:sz w:val="24"/>
                <w:szCs w:val="24"/>
              </w:rPr>
            </w:pPr>
            <w:r>
              <w:rPr>
                <w:rFonts w:ascii="宋体;SimSun" w:hAnsi="宋体;SimSun" w:cs="宋体;SimSun"/>
                <w:kern w:val="0"/>
                <w:sz w:val="24"/>
                <w:szCs w:val="24"/>
              </w:rPr>
              <w:t>现金分红（万元）</w:t>
            </w:r>
          </w:p>
        </w:tc>
        <w:tc>
          <w:tcPr>
            <w:tcW w:w="1417" w:type="dxa"/>
            <w:tcBorders>
              <w:top w:val="single" w:color="000000" w:sz="4" w:space="0"/>
              <w:left w:val="single" w:color="000000" w:sz="4" w:space="0"/>
              <w:bottom w:val="single" w:color="000000" w:sz="4" w:space="0"/>
              <w:right w:val="single" w:color="000000" w:sz="4" w:space="0"/>
            </w:tcBorders>
            <w:vAlign w:val="center"/>
          </w:tcPr>
          <w:p w14:paraId="3E8C0507">
            <w:pPr>
              <w:pStyle w:val="21"/>
              <w:snapToGrid w:val="0"/>
              <w:ind w:right="0" w:firstLine="0"/>
              <w:rPr>
                <w:rFonts w:ascii="宋体;SimSun" w:hAnsi="宋体;SimSun" w:cs="宋体;SimSun"/>
                <w:kern w:val="0"/>
                <w:sz w:val="24"/>
                <w:szCs w:val="24"/>
              </w:rPr>
            </w:pPr>
          </w:p>
        </w:tc>
        <w:tc>
          <w:tcPr>
            <w:tcW w:w="1418" w:type="dxa"/>
            <w:tcBorders>
              <w:top w:val="single" w:color="000000" w:sz="4" w:space="0"/>
              <w:left w:val="single" w:color="000000" w:sz="4" w:space="0"/>
              <w:bottom w:val="single" w:color="000000" w:sz="4" w:space="0"/>
              <w:right w:val="single" w:color="000000" w:sz="4" w:space="0"/>
            </w:tcBorders>
            <w:vAlign w:val="center"/>
          </w:tcPr>
          <w:p w14:paraId="618AEC32">
            <w:pPr>
              <w:pStyle w:val="21"/>
              <w:snapToGrid w:val="0"/>
              <w:ind w:right="0" w:firstLine="0"/>
              <w:rPr>
                <w:rFonts w:ascii="宋体;SimSun" w:hAnsi="宋体;SimSun" w:cs="宋体;SimSun"/>
                <w:kern w:val="0"/>
                <w:sz w:val="24"/>
                <w:szCs w:val="24"/>
              </w:rPr>
            </w:pPr>
          </w:p>
        </w:tc>
        <w:tc>
          <w:tcPr>
            <w:tcW w:w="1417" w:type="dxa"/>
            <w:tcBorders>
              <w:top w:val="single" w:color="000000" w:sz="4" w:space="0"/>
              <w:left w:val="single" w:color="000000" w:sz="4" w:space="0"/>
              <w:bottom w:val="single" w:color="000000" w:sz="4" w:space="0"/>
              <w:right w:val="single" w:color="000000" w:sz="4" w:space="0"/>
            </w:tcBorders>
            <w:vAlign w:val="center"/>
          </w:tcPr>
          <w:p w14:paraId="7D11D46E">
            <w:pPr>
              <w:pStyle w:val="21"/>
              <w:snapToGrid w:val="0"/>
              <w:ind w:right="0" w:firstLine="0"/>
              <w:rPr>
                <w:rFonts w:ascii="宋体;SimSun" w:hAnsi="宋体;SimSun" w:cs="宋体;SimSun"/>
                <w:kern w:val="0"/>
                <w:sz w:val="24"/>
                <w:szCs w:val="24"/>
              </w:rPr>
            </w:pPr>
          </w:p>
        </w:tc>
        <w:tc>
          <w:tcPr>
            <w:tcW w:w="1468" w:type="dxa"/>
            <w:tcBorders>
              <w:top w:val="single" w:color="000000" w:sz="4" w:space="0"/>
              <w:left w:val="single" w:color="000000" w:sz="4" w:space="0"/>
              <w:bottom w:val="single" w:color="000000" w:sz="4" w:space="0"/>
              <w:right w:val="single" w:color="000000" w:sz="4" w:space="0"/>
            </w:tcBorders>
            <w:vAlign w:val="center"/>
          </w:tcPr>
          <w:p w14:paraId="40FB2E2C">
            <w:pPr>
              <w:pStyle w:val="21"/>
              <w:snapToGrid w:val="0"/>
              <w:ind w:right="0" w:firstLine="0"/>
              <w:rPr>
                <w:rFonts w:ascii="宋体;SimSun" w:hAnsi="宋体;SimSun" w:cs="宋体;SimSun"/>
                <w:kern w:val="0"/>
                <w:sz w:val="24"/>
                <w:szCs w:val="24"/>
              </w:rPr>
            </w:pPr>
          </w:p>
        </w:tc>
      </w:tr>
      <w:tr w14:paraId="6F0D948D">
        <w:tblPrEx>
          <w:tblCellMar>
            <w:top w:w="0" w:type="dxa"/>
            <w:left w:w="108" w:type="dxa"/>
            <w:bottom w:w="0" w:type="dxa"/>
            <w:right w:w="108" w:type="dxa"/>
          </w:tblCellMar>
        </w:tblPrEx>
        <w:tc>
          <w:tcPr>
            <w:tcW w:w="2802" w:type="dxa"/>
            <w:tcBorders>
              <w:top w:val="single" w:color="000000" w:sz="4" w:space="0"/>
              <w:left w:val="single" w:color="000000" w:sz="4" w:space="0"/>
              <w:bottom w:val="single" w:color="000000" w:sz="4" w:space="0"/>
              <w:right w:val="single" w:color="000000" w:sz="4" w:space="0"/>
            </w:tcBorders>
            <w:vAlign w:val="center"/>
          </w:tcPr>
          <w:p w14:paraId="5444DE03">
            <w:pPr>
              <w:pStyle w:val="21"/>
              <w:snapToGrid w:val="0"/>
              <w:ind w:right="0" w:firstLine="0"/>
              <w:rPr>
                <w:rFonts w:ascii="宋体;SimSun" w:hAnsi="宋体;SimSun" w:cs="宋体;SimSun"/>
                <w:kern w:val="0"/>
                <w:sz w:val="24"/>
                <w:szCs w:val="24"/>
              </w:rPr>
            </w:pPr>
            <w:r>
              <w:rPr>
                <w:rFonts w:ascii="宋体;SimSun" w:hAnsi="宋体;SimSun" w:cs="宋体;SimSun"/>
                <w:kern w:val="0"/>
                <w:sz w:val="24"/>
                <w:szCs w:val="24"/>
              </w:rPr>
              <w:t>研发投入占营业收入的比例（%）</w:t>
            </w:r>
          </w:p>
        </w:tc>
        <w:tc>
          <w:tcPr>
            <w:tcW w:w="1417" w:type="dxa"/>
            <w:tcBorders>
              <w:top w:val="single" w:color="000000" w:sz="4" w:space="0"/>
              <w:left w:val="single" w:color="000000" w:sz="4" w:space="0"/>
              <w:bottom w:val="single" w:color="000000" w:sz="4" w:space="0"/>
              <w:right w:val="single" w:color="000000" w:sz="4" w:space="0"/>
            </w:tcBorders>
            <w:vAlign w:val="center"/>
          </w:tcPr>
          <w:p w14:paraId="1A97C2D6">
            <w:pPr>
              <w:pStyle w:val="21"/>
              <w:snapToGrid w:val="0"/>
              <w:ind w:right="0" w:firstLine="0"/>
              <w:rPr>
                <w:rFonts w:ascii="宋体;SimSun" w:hAnsi="宋体;SimSun" w:cs="宋体;SimSun"/>
                <w:kern w:val="0"/>
                <w:sz w:val="24"/>
                <w:szCs w:val="24"/>
              </w:rPr>
            </w:pPr>
          </w:p>
        </w:tc>
        <w:tc>
          <w:tcPr>
            <w:tcW w:w="1418" w:type="dxa"/>
            <w:tcBorders>
              <w:top w:val="single" w:color="000000" w:sz="4" w:space="0"/>
              <w:left w:val="single" w:color="000000" w:sz="4" w:space="0"/>
              <w:bottom w:val="single" w:color="000000" w:sz="4" w:space="0"/>
              <w:right w:val="single" w:color="000000" w:sz="4" w:space="0"/>
            </w:tcBorders>
            <w:vAlign w:val="center"/>
          </w:tcPr>
          <w:p w14:paraId="7FE952CB">
            <w:pPr>
              <w:pStyle w:val="21"/>
              <w:snapToGrid w:val="0"/>
              <w:ind w:right="0" w:firstLine="0"/>
              <w:rPr>
                <w:rFonts w:ascii="宋体;SimSun" w:hAnsi="宋体;SimSun" w:cs="宋体;SimSun"/>
                <w:kern w:val="0"/>
                <w:sz w:val="24"/>
                <w:szCs w:val="24"/>
              </w:rPr>
            </w:pPr>
          </w:p>
        </w:tc>
        <w:tc>
          <w:tcPr>
            <w:tcW w:w="1417" w:type="dxa"/>
            <w:tcBorders>
              <w:top w:val="single" w:color="000000" w:sz="4" w:space="0"/>
              <w:left w:val="single" w:color="000000" w:sz="4" w:space="0"/>
              <w:bottom w:val="single" w:color="000000" w:sz="4" w:space="0"/>
              <w:right w:val="single" w:color="000000" w:sz="4" w:space="0"/>
            </w:tcBorders>
            <w:vAlign w:val="center"/>
          </w:tcPr>
          <w:p w14:paraId="094FA265">
            <w:pPr>
              <w:pStyle w:val="21"/>
              <w:snapToGrid w:val="0"/>
              <w:ind w:right="0" w:firstLine="0"/>
              <w:rPr>
                <w:rFonts w:ascii="宋体;SimSun" w:hAnsi="宋体;SimSun" w:cs="宋体;SimSun"/>
                <w:kern w:val="0"/>
                <w:sz w:val="24"/>
                <w:szCs w:val="24"/>
              </w:rPr>
            </w:pPr>
          </w:p>
        </w:tc>
        <w:tc>
          <w:tcPr>
            <w:tcW w:w="1468" w:type="dxa"/>
            <w:tcBorders>
              <w:top w:val="single" w:color="000000" w:sz="4" w:space="0"/>
              <w:left w:val="single" w:color="000000" w:sz="4" w:space="0"/>
              <w:bottom w:val="single" w:color="000000" w:sz="4" w:space="0"/>
              <w:right w:val="single" w:color="000000" w:sz="4" w:space="0"/>
            </w:tcBorders>
            <w:vAlign w:val="center"/>
          </w:tcPr>
          <w:p w14:paraId="4D3186C9">
            <w:pPr>
              <w:pStyle w:val="21"/>
              <w:snapToGrid w:val="0"/>
              <w:ind w:right="0" w:firstLine="0"/>
              <w:rPr>
                <w:rFonts w:ascii="宋体;SimSun" w:hAnsi="宋体;SimSun" w:cs="宋体;SimSun"/>
                <w:kern w:val="0"/>
                <w:sz w:val="24"/>
                <w:szCs w:val="24"/>
              </w:rPr>
            </w:pPr>
          </w:p>
        </w:tc>
      </w:tr>
    </w:tbl>
    <w:p w14:paraId="50BE5FEC">
      <w:pPr>
        <w:pStyle w:val="21"/>
        <w:snapToGrid w:val="0"/>
        <w:spacing w:line="600" w:lineRule="exact"/>
        <w:ind w:right="0" w:firstLine="600"/>
        <w:rPr>
          <w:rFonts w:ascii="仿宋_GB2312" w:hAnsi="仿宋_GB2312" w:eastAsia="仿宋_GB2312"/>
          <w:sz w:val="30"/>
          <w:szCs w:val="30"/>
        </w:rPr>
      </w:pPr>
      <w:r>
        <w:rPr>
          <w:rFonts w:ascii="仿宋_GB2312" w:hAnsi="仿宋_GB2312" w:eastAsia="仿宋_GB2312"/>
          <w:sz w:val="30"/>
          <w:szCs w:val="30"/>
        </w:rPr>
        <w:t>（三）结合主要经营和财务数据概述转板公司的主营业务经营情况，包括主要业务或产品、主要经营模式、竞争地位以及其他有助于投资者了解转板公司业务特点的重要信息；</w:t>
      </w:r>
    </w:p>
    <w:p w14:paraId="0500AC0C">
      <w:pPr>
        <w:pStyle w:val="21"/>
        <w:snapToGrid w:val="0"/>
        <w:spacing w:line="600" w:lineRule="exact"/>
        <w:ind w:right="0" w:firstLine="600"/>
        <w:rPr>
          <w:rFonts w:ascii="仿宋_GB2312" w:hAnsi="仿宋_GB2312" w:eastAsia="仿宋_GB2312"/>
          <w:sz w:val="30"/>
          <w:szCs w:val="30"/>
        </w:rPr>
      </w:pPr>
      <w:r>
        <w:rPr>
          <w:rFonts w:ascii="仿宋_GB2312" w:hAnsi="仿宋_GB2312" w:eastAsia="仿宋_GB2312"/>
          <w:sz w:val="30"/>
          <w:szCs w:val="30"/>
        </w:rPr>
        <w:t>（四）简要披露转板公司科创属性、技术先进性、模式创新性、研发技术产业化情况及未来发展战略；</w:t>
      </w:r>
    </w:p>
    <w:p w14:paraId="49137FD2">
      <w:pPr>
        <w:pStyle w:val="21"/>
        <w:snapToGrid w:val="0"/>
        <w:spacing w:line="600" w:lineRule="exact"/>
        <w:ind w:right="0" w:firstLine="600"/>
        <w:rPr>
          <w:rFonts w:ascii="仿宋_GB2312" w:hAnsi="仿宋_GB2312" w:eastAsia="仿宋_GB2312"/>
          <w:sz w:val="30"/>
          <w:szCs w:val="30"/>
        </w:rPr>
      </w:pPr>
      <w:r>
        <w:rPr>
          <w:rFonts w:ascii="仿宋_GB2312" w:hAnsi="仿宋_GB2312" w:eastAsia="仿宋_GB2312"/>
          <w:sz w:val="30"/>
          <w:szCs w:val="30"/>
        </w:rPr>
        <w:t>（五）披露转板公司选择的具体上市标准；</w:t>
      </w:r>
    </w:p>
    <w:p w14:paraId="74D1D010">
      <w:pPr>
        <w:pStyle w:val="21"/>
        <w:snapToGrid w:val="0"/>
        <w:spacing w:line="600" w:lineRule="exact"/>
        <w:ind w:right="0" w:firstLine="600"/>
        <w:rPr>
          <w:rFonts w:ascii="仿宋_GB2312" w:hAnsi="仿宋_GB2312" w:eastAsia="仿宋_GB2312"/>
          <w:sz w:val="30"/>
          <w:szCs w:val="30"/>
        </w:rPr>
      </w:pPr>
      <w:r>
        <w:rPr>
          <w:rFonts w:ascii="仿宋_GB2312" w:hAnsi="仿宋_GB2312" w:eastAsia="仿宋_GB2312"/>
          <w:sz w:val="30"/>
          <w:szCs w:val="30"/>
        </w:rPr>
        <w:t>（六）简要披露转板公司的公司治理特殊安排等重要事项（如有）；</w:t>
      </w:r>
    </w:p>
    <w:p w14:paraId="009EEA26">
      <w:pPr>
        <w:pStyle w:val="21"/>
        <w:snapToGrid w:val="0"/>
        <w:spacing w:line="600" w:lineRule="exact"/>
        <w:ind w:right="0" w:firstLine="600"/>
        <w:rPr>
          <w:rFonts w:ascii="仿宋_GB2312" w:hAnsi="仿宋_GB2312" w:eastAsia="仿宋_GB2312"/>
          <w:sz w:val="30"/>
          <w:szCs w:val="30"/>
        </w:rPr>
      </w:pPr>
      <w:r>
        <w:rPr>
          <w:rFonts w:ascii="仿宋_GB2312" w:hAnsi="仿宋_GB2312" w:eastAsia="仿宋_GB2312"/>
          <w:sz w:val="30"/>
          <w:szCs w:val="30"/>
        </w:rPr>
        <w:t>（七）其他需要说明的重要事项。</w:t>
      </w:r>
    </w:p>
    <w:p w14:paraId="4CC8470C">
      <w:pPr>
        <w:numPr>
          <w:ilvl w:val="0"/>
          <w:numId w:val="0"/>
        </w:numPr>
        <w:snapToGrid w:val="0"/>
        <w:spacing w:line="600" w:lineRule="exact"/>
        <w:jc w:val="center"/>
        <w:outlineLvl w:val="2"/>
        <w:rPr>
          <w:rFonts w:ascii="仿宋_GB2312" w:hAnsi="仿宋_GB2312" w:eastAsia="仿宋_GB2312" w:cs="Calibri"/>
          <w:b/>
          <w:sz w:val="30"/>
          <w:szCs w:val="30"/>
        </w:rPr>
      </w:pPr>
      <w:r>
        <w:rPr>
          <w:rFonts w:ascii="仿宋_GB2312" w:hAnsi="仿宋_GB2312" w:eastAsia="仿宋_GB2312" w:cs="Calibri"/>
          <w:b/>
          <w:sz w:val="30"/>
          <w:szCs w:val="30"/>
        </w:rPr>
        <w:t>第三节 风险因素</w:t>
      </w:r>
    </w:p>
    <w:p w14:paraId="128A579E">
      <w:pPr>
        <w:pStyle w:val="21"/>
        <w:numPr>
          <w:ilvl w:val="0"/>
          <w:numId w:val="0"/>
        </w:numPr>
        <w:snapToGrid w:val="0"/>
        <w:spacing w:line="600" w:lineRule="exact"/>
        <w:ind w:left="0" w:leftChars="0" w:right="0" w:rightChars="0" w:firstLine="600" w:firstLineChars="0"/>
        <w:rPr>
          <w:rFonts w:ascii="仿宋_GB2312" w:hAnsi="仿宋_GB2312" w:eastAsia="仿宋_GB2312"/>
          <w:sz w:val="30"/>
          <w:szCs w:val="30"/>
        </w:rPr>
      </w:pPr>
      <w:r>
        <w:rPr>
          <w:rFonts w:hint="eastAsia" w:ascii="仿宋_GB2312" w:hAnsi="仿宋_GB2312" w:eastAsia="仿宋_GB2312" w:cs="黑体;SimHei"/>
          <w:b/>
          <w:bCs/>
          <w:color w:val="000000"/>
          <w:kern w:val="2"/>
          <w:sz w:val="30"/>
          <w:szCs w:val="30"/>
          <w:lang w:val="en-US" w:eastAsia="zh-CN" w:bidi="ar-SA"/>
        </w:rPr>
        <w:t xml:space="preserve">第二十八条 </w:t>
      </w:r>
      <w:r>
        <w:rPr>
          <w:rFonts w:ascii="仿宋_GB2312" w:hAnsi="仿宋_GB2312" w:eastAsia="仿宋_GB2312"/>
          <w:sz w:val="30"/>
          <w:szCs w:val="30"/>
        </w:rPr>
        <w:t>转板公司应遵循重要性原则按顺序简明易懂地披露可能直接或间接对转板公司及本次转板上市产生重大不利影响的所有风险因素。</w:t>
      </w:r>
    </w:p>
    <w:p w14:paraId="6065197D">
      <w:pPr>
        <w:pStyle w:val="21"/>
        <w:snapToGrid w:val="0"/>
        <w:spacing w:line="600" w:lineRule="exact"/>
        <w:ind w:right="0" w:firstLine="600"/>
        <w:rPr>
          <w:rFonts w:ascii="仿宋_GB2312" w:hAnsi="仿宋_GB2312" w:eastAsia="仿宋_GB2312"/>
          <w:sz w:val="30"/>
          <w:szCs w:val="30"/>
        </w:rPr>
      </w:pPr>
      <w:r>
        <w:rPr>
          <w:rFonts w:ascii="仿宋_GB2312" w:hAnsi="仿宋_GB2312" w:eastAsia="仿宋_GB2312"/>
          <w:sz w:val="30"/>
          <w:szCs w:val="30"/>
        </w:rPr>
        <w:t>风险因素所依赖的事实应当与转板上市报告书其他章节披露的信息保持一致。转板公司应以方便投资者投资决策参考的原则对风险因素进行分类列示。</w:t>
      </w:r>
    </w:p>
    <w:p w14:paraId="2295CB57">
      <w:pPr>
        <w:pStyle w:val="21"/>
        <w:numPr>
          <w:ilvl w:val="0"/>
          <w:numId w:val="0"/>
        </w:numPr>
        <w:snapToGrid w:val="0"/>
        <w:spacing w:line="600" w:lineRule="exact"/>
        <w:ind w:left="0" w:leftChars="0" w:right="0" w:rightChars="0" w:firstLine="600" w:firstLineChars="0"/>
        <w:rPr>
          <w:rFonts w:ascii="仿宋_GB2312" w:hAnsi="仿宋_GB2312" w:eastAsia="仿宋_GB2312"/>
          <w:sz w:val="30"/>
          <w:szCs w:val="30"/>
        </w:rPr>
      </w:pPr>
      <w:r>
        <w:rPr>
          <w:rFonts w:hint="eastAsia" w:ascii="仿宋_GB2312" w:hAnsi="仿宋_GB2312" w:eastAsia="仿宋_GB2312" w:cs="黑体;SimHei"/>
          <w:b/>
          <w:bCs/>
          <w:color w:val="000000"/>
          <w:kern w:val="2"/>
          <w:sz w:val="30"/>
          <w:szCs w:val="30"/>
          <w:lang w:val="en-US" w:eastAsia="zh-CN" w:bidi="ar-SA"/>
        </w:rPr>
        <w:t xml:space="preserve">第二十九条 </w:t>
      </w:r>
      <w:r>
        <w:rPr>
          <w:rFonts w:ascii="仿宋_GB2312" w:hAnsi="仿宋_GB2312" w:eastAsia="仿宋_GB2312"/>
          <w:sz w:val="30"/>
          <w:szCs w:val="30"/>
        </w:rPr>
        <w:t>转板公司披露风险因素时，应针对风险的实际情况，使用恰当的标题概括描述其风险点，不得使用模糊表述。在披露具体风险时，应对风险的具体情形、产生的原因、目前的发展阶段和对转板公司的影响程度进行充分揭示。</w:t>
      </w:r>
    </w:p>
    <w:p w14:paraId="4B8D4FA8">
      <w:pPr>
        <w:pStyle w:val="21"/>
        <w:numPr>
          <w:ilvl w:val="0"/>
          <w:numId w:val="0"/>
        </w:numPr>
        <w:snapToGrid w:val="0"/>
        <w:spacing w:line="600" w:lineRule="exact"/>
        <w:ind w:left="0" w:leftChars="0" w:right="0" w:rightChars="0" w:firstLine="600" w:firstLineChars="0"/>
        <w:rPr>
          <w:rFonts w:ascii="仿宋_GB2312" w:hAnsi="仿宋_GB2312" w:eastAsia="仿宋_GB2312"/>
          <w:sz w:val="30"/>
          <w:szCs w:val="30"/>
        </w:rPr>
      </w:pPr>
      <w:r>
        <w:rPr>
          <w:rFonts w:hint="eastAsia" w:ascii="仿宋_GB2312" w:hAnsi="仿宋_GB2312" w:eastAsia="仿宋_GB2312" w:cs="黑体;SimHei"/>
          <w:b/>
          <w:bCs/>
          <w:color w:val="000000"/>
          <w:kern w:val="2"/>
          <w:sz w:val="30"/>
          <w:szCs w:val="30"/>
          <w:lang w:val="en-US" w:eastAsia="zh-CN" w:bidi="ar-SA"/>
        </w:rPr>
        <w:t xml:space="preserve">第三十条 </w:t>
      </w:r>
      <w:r>
        <w:rPr>
          <w:rFonts w:ascii="仿宋_GB2312" w:hAnsi="仿宋_GB2312" w:eastAsia="仿宋_GB2312"/>
          <w:sz w:val="30"/>
          <w:szCs w:val="30"/>
        </w:rPr>
        <w:t>转板公司应尽量对风险因素作定量分析，对导致风险的变动性因素作敏感性分析。无法进行定量分析的，应有针对性地作出定性描述，以清晰方式告知投资者可能发生的最不利情况。</w:t>
      </w:r>
    </w:p>
    <w:p w14:paraId="4F2E7B70">
      <w:pPr>
        <w:pStyle w:val="21"/>
        <w:numPr>
          <w:ilvl w:val="0"/>
          <w:numId w:val="0"/>
        </w:numPr>
        <w:snapToGrid w:val="0"/>
        <w:spacing w:line="600" w:lineRule="exact"/>
        <w:ind w:left="0" w:leftChars="0" w:right="0" w:rightChars="0" w:firstLine="600" w:firstLineChars="0"/>
        <w:rPr>
          <w:rFonts w:ascii="仿宋_GB2312" w:hAnsi="仿宋_GB2312" w:eastAsia="仿宋_GB2312"/>
          <w:sz w:val="30"/>
          <w:szCs w:val="30"/>
        </w:rPr>
      </w:pPr>
      <w:r>
        <w:rPr>
          <w:rFonts w:hint="eastAsia" w:ascii="仿宋_GB2312" w:hAnsi="仿宋_GB2312" w:eastAsia="仿宋_GB2312" w:cs="黑体;SimHei"/>
          <w:b/>
          <w:bCs/>
          <w:color w:val="000000"/>
          <w:kern w:val="2"/>
          <w:sz w:val="30"/>
          <w:szCs w:val="30"/>
          <w:lang w:val="en-US" w:eastAsia="zh-CN" w:bidi="ar-SA"/>
        </w:rPr>
        <w:t xml:space="preserve">第三十一条 </w:t>
      </w:r>
      <w:r>
        <w:rPr>
          <w:rFonts w:ascii="仿宋_GB2312" w:hAnsi="仿宋_GB2312" w:eastAsia="仿宋_GB2312"/>
          <w:sz w:val="30"/>
          <w:szCs w:val="30"/>
        </w:rPr>
        <w:t>一项风险因素不得描述多个风险。风险因素中不得包含风险对策、转板公司竞争优势及类似表述。</w:t>
      </w:r>
    </w:p>
    <w:p w14:paraId="5C38A5BE">
      <w:pPr>
        <w:numPr>
          <w:ilvl w:val="0"/>
          <w:numId w:val="0"/>
        </w:numPr>
        <w:snapToGrid w:val="0"/>
        <w:spacing w:line="600" w:lineRule="exact"/>
        <w:jc w:val="center"/>
        <w:outlineLvl w:val="2"/>
        <w:rPr>
          <w:rFonts w:ascii="仿宋_GB2312" w:hAnsi="仿宋_GB2312" w:eastAsia="仿宋_GB2312" w:cs="Calibri"/>
          <w:b/>
          <w:sz w:val="30"/>
          <w:szCs w:val="30"/>
        </w:rPr>
      </w:pPr>
      <w:r>
        <w:rPr>
          <w:rFonts w:ascii="仿宋_GB2312" w:hAnsi="仿宋_GB2312" w:eastAsia="仿宋_GB2312" w:cs="Calibri"/>
          <w:b/>
          <w:sz w:val="30"/>
          <w:szCs w:val="30"/>
        </w:rPr>
        <w:t>第四节 转板公司基本情况</w:t>
      </w:r>
    </w:p>
    <w:p w14:paraId="7252EE7A">
      <w:pPr>
        <w:pStyle w:val="21"/>
        <w:numPr>
          <w:ilvl w:val="0"/>
          <w:numId w:val="0"/>
        </w:numPr>
        <w:snapToGrid w:val="0"/>
        <w:spacing w:line="600" w:lineRule="exact"/>
        <w:ind w:left="0" w:leftChars="0" w:right="0" w:rightChars="0" w:firstLine="600" w:firstLineChars="0"/>
        <w:rPr>
          <w:rFonts w:ascii="仿宋_GB2312" w:hAnsi="仿宋_GB2312" w:eastAsia="仿宋_GB2312"/>
          <w:sz w:val="30"/>
          <w:szCs w:val="30"/>
        </w:rPr>
      </w:pPr>
      <w:r>
        <w:rPr>
          <w:rFonts w:hint="eastAsia" w:ascii="仿宋_GB2312" w:hAnsi="仿宋_GB2312" w:eastAsia="仿宋_GB2312" w:cs="黑体;SimHei"/>
          <w:b/>
          <w:bCs/>
          <w:color w:val="000000"/>
          <w:kern w:val="2"/>
          <w:sz w:val="30"/>
          <w:szCs w:val="30"/>
          <w:lang w:val="en-US" w:eastAsia="zh-CN" w:bidi="ar-SA"/>
        </w:rPr>
        <w:t xml:space="preserve">第三十二条 </w:t>
      </w:r>
      <w:r>
        <w:rPr>
          <w:rFonts w:ascii="仿宋_GB2312" w:hAnsi="仿宋_GB2312" w:eastAsia="仿宋_GB2312"/>
          <w:sz w:val="30"/>
          <w:szCs w:val="30"/>
        </w:rPr>
        <w:t>转板公司应当披露其基本情况，主要包括：</w:t>
      </w:r>
    </w:p>
    <w:p w14:paraId="44825755">
      <w:pPr>
        <w:snapToGrid w:val="0"/>
        <w:spacing w:line="600" w:lineRule="exact"/>
        <w:ind w:right="0" w:firstLine="600"/>
        <w:rPr>
          <w:rFonts w:ascii="仿宋_GB2312" w:hAnsi="仿宋_GB2312" w:eastAsia="仿宋_GB2312"/>
          <w:sz w:val="30"/>
          <w:szCs w:val="30"/>
        </w:rPr>
      </w:pPr>
      <w:r>
        <w:rPr>
          <w:rFonts w:ascii="仿宋_GB2312" w:hAnsi="仿宋_GB2312" w:eastAsia="仿宋_GB2312"/>
          <w:sz w:val="30"/>
          <w:szCs w:val="30"/>
        </w:rPr>
        <w:t>（一）注册中、英文名称；</w:t>
      </w:r>
    </w:p>
    <w:p w14:paraId="441420BD">
      <w:pPr>
        <w:snapToGrid w:val="0"/>
        <w:spacing w:line="600" w:lineRule="exact"/>
        <w:ind w:right="0" w:firstLine="600"/>
        <w:rPr>
          <w:rFonts w:ascii="仿宋_GB2312" w:hAnsi="仿宋_GB2312" w:eastAsia="仿宋_GB2312"/>
          <w:sz w:val="30"/>
          <w:szCs w:val="30"/>
        </w:rPr>
      </w:pPr>
      <w:r>
        <w:rPr>
          <w:rFonts w:ascii="仿宋_GB2312" w:hAnsi="仿宋_GB2312" w:eastAsia="仿宋_GB2312"/>
          <w:sz w:val="30"/>
          <w:szCs w:val="30"/>
        </w:rPr>
        <w:t>（二）注册资本；</w:t>
      </w:r>
    </w:p>
    <w:p w14:paraId="6F526C94">
      <w:pPr>
        <w:snapToGrid w:val="0"/>
        <w:spacing w:line="600" w:lineRule="exact"/>
        <w:ind w:right="0" w:firstLine="600"/>
        <w:rPr>
          <w:rFonts w:ascii="仿宋_GB2312" w:hAnsi="仿宋_GB2312" w:eastAsia="仿宋_GB2312"/>
          <w:sz w:val="30"/>
          <w:szCs w:val="30"/>
        </w:rPr>
      </w:pPr>
      <w:r>
        <w:rPr>
          <w:rFonts w:ascii="仿宋_GB2312" w:hAnsi="仿宋_GB2312" w:eastAsia="仿宋_GB2312"/>
          <w:sz w:val="30"/>
          <w:szCs w:val="30"/>
        </w:rPr>
        <w:t>（三）法定代表人；</w:t>
      </w:r>
    </w:p>
    <w:p w14:paraId="11AC7D4C">
      <w:pPr>
        <w:snapToGrid w:val="0"/>
        <w:spacing w:line="600" w:lineRule="exact"/>
        <w:ind w:right="0" w:firstLine="600"/>
        <w:rPr>
          <w:rFonts w:ascii="仿宋_GB2312" w:hAnsi="仿宋_GB2312" w:eastAsia="仿宋_GB2312"/>
          <w:sz w:val="30"/>
          <w:szCs w:val="30"/>
        </w:rPr>
      </w:pPr>
      <w:r>
        <w:rPr>
          <w:rFonts w:ascii="仿宋_GB2312" w:hAnsi="仿宋_GB2312" w:eastAsia="仿宋_GB2312"/>
          <w:sz w:val="30"/>
          <w:szCs w:val="30"/>
        </w:rPr>
        <w:t>（四）成立日期；</w:t>
      </w:r>
    </w:p>
    <w:p w14:paraId="24EFFC8B">
      <w:pPr>
        <w:snapToGrid w:val="0"/>
        <w:spacing w:line="600" w:lineRule="exact"/>
        <w:ind w:right="0" w:firstLine="600"/>
        <w:rPr>
          <w:rFonts w:ascii="仿宋_GB2312" w:hAnsi="仿宋_GB2312" w:eastAsia="仿宋_GB2312"/>
          <w:sz w:val="30"/>
          <w:szCs w:val="30"/>
        </w:rPr>
      </w:pPr>
      <w:r>
        <w:rPr>
          <w:rFonts w:ascii="仿宋_GB2312" w:hAnsi="仿宋_GB2312" w:eastAsia="仿宋_GB2312"/>
          <w:sz w:val="30"/>
          <w:szCs w:val="30"/>
        </w:rPr>
        <w:t>（五）住所和邮政编码；</w:t>
      </w:r>
    </w:p>
    <w:p w14:paraId="57AB60B9">
      <w:pPr>
        <w:snapToGrid w:val="0"/>
        <w:spacing w:line="600" w:lineRule="exact"/>
        <w:ind w:right="0" w:firstLine="600"/>
        <w:rPr>
          <w:rFonts w:ascii="仿宋_GB2312" w:hAnsi="仿宋_GB2312" w:eastAsia="仿宋_GB2312"/>
          <w:sz w:val="30"/>
          <w:szCs w:val="30"/>
        </w:rPr>
      </w:pPr>
      <w:r>
        <w:rPr>
          <w:rFonts w:ascii="仿宋_GB2312" w:hAnsi="仿宋_GB2312" w:eastAsia="仿宋_GB2312"/>
          <w:sz w:val="30"/>
          <w:szCs w:val="30"/>
        </w:rPr>
        <w:t>（六）电话、传真号码；</w:t>
      </w:r>
    </w:p>
    <w:p w14:paraId="2BBDCED5">
      <w:pPr>
        <w:snapToGrid w:val="0"/>
        <w:spacing w:line="600" w:lineRule="exact"/>
        <w:ind w:right="0" w:firstLine="600"/>
        <w:rPr>
          <w:rFonts w:ascii="仿宋_GB2312" w:hAnsi="仿宋_GB2312" w:eastAsia="仿宋_GB2312"/>
          <w:sz w:val="30"/>
          <w:szCs w:val="30"/>
        </w:rPr>
      </w:pPr>
      <w:r>
        <w:rPr>
          <w:rFonts w:ascii="仿宋_GB2312" w:hAnsi="仿宋_GB2312" w:eastAsia="仿宋_GB2312"/>
          <w:sz w:val="30"/>
          <w:szCs w:val="30"/>
        </w:rPr>
        <w:t>（七）互联网网址；</w:t>
      </w:r>
    </w:p>
    <w:p w14:paraId="77A312C5">
      <w:pPr>
        <w:snapToGrid w:val="0"/>
        <w:spacing w:line="600" w:lineRule="exact"/>
        <w:ind w:right="0" w:firstLine="600"/>
        <w:rPr>
          <w:rFonts w:ascii="仿宋_GB2312" w:hAnsi="仿宋_GB2312" w:eastAsia="仿宋_GB2312"/>
          <w:sz w:val="30"/>
          <w:szCs w:val="30"/>
        </w:rPr>
      </w:pPr>
      <w:r>
        <w:rPr>
          <w:rFonts w:ascii="仿宋_GB2312" w:hAnsi="仿宋_GB2312" w:eastAsia="仿宋_GB2312"/>
          <w:sz w:val="30"/>
          <w:szCs w:val="30"/>
        </w:rPr>
        <w:t>（八）电子信箱；</w:t>
      </w:r>
    </w:p>
    <w:p w14:paraId="4613572E">
      <w:pPr>
        <w:snapToGrid w:val="0"/>
        <w:spacing w:line="600" w:lineRule="exact"/>
        <w:ind w:right="0" w:firstLine="600"/>
        <w:rPr>
          <w:rFonts w:ascii="仿宋_GB2312" w:hAnsi="仿宋_GB2312" w:eastAsia="仿宋_GB2312"/>
          <w:sz w:val="30"/>
          <w:szCs w:val="30"/>
        </w:rPr>
      </w:pPr>
      <w:r>
        <w:rPr>
          <w:rFonts w:ascii="仿宋_GB2312" w:hAnsi="仿宋_GB2312" w:eastAsia="仿宋_GB2312"/>
          <w:sz w:val="30"/>
          <w:szCs w:val="30"/>
        </w:rPr>
        <w:t>（九）负责信息披露和投资者关系的部门、负责人和电话号码。</w:t>
      </w:r>
    </w:p>
    <w:p w14:paraId="4B119052">
      <w:pPr>
        <w:pStyle w:val="21"/>
        <w:numPr>
          <w:ilvl w:val="0"/>
          <w:numId w:val="0"/>
        </w:numPr>
        <w:snapToGrid w:val="0"/>
        <w:spacing w:line="600" w:lineRule="exact"/>
        <w:ind w:left="0" w:leftChars="0" w:right="0" w:rightChars="0" w:firstLine="600" w:firstLineChars="0"/>
        <w:rPr>
          <w:rFonts w:ascii="仿宋_GB2312" w:hAnsi="仿宋_GB2312" w:eastAsia="仿宋_GB2312"/>
          <w:sz w:val="30"/>
          <w:szCs w:val="30"/>
        </w:rPr>
      </w:pPr>
      <w:r>
        <w:rPr>
          <w:rFonts w:hint="eastAsia" w:ascii="仿宋_GB2312" w:hAnsi="仿宋_GB2312" w:eastAsia="仿宋_GB2312" w:cs="黑体;SimHei"/>
          <w:b/>
          <w:bCs/>
          <w:color w:val="000000"/>
          <w:kern w:val="2"/>
          <w:sz w:val="30"/>
          <w:szCs w:val="30"/>
          <w:lang w:val="en-US" w:eastAsia="zh-CN" w:bidi="ar-SA"/>
        </w:rPr>
        <w:t xml:space="preserve">第三十三条 </w:t>
      </w:r>
      <w:r>
        <w:rPr>
          <w:rFonts w:ascii="仿宋_GB2312" w:hAnsi="仿宋_GB2312" w:eastAsia="仿宋_GB2312"/>
          <w:sz w:val="30"/>
          <w:szCs w:val="30"/>
        </w:rPr>
        <w:t>转板公司应简要披露公司的设立情况。转板公司属于有限责任公司整体变更为股份有限公司的，还应披露有限责任公司的设立情况。</w:t>
      </w:r>
    </w:p>
    <w:p w14:paraId="030FE463">
      <w:pPr>
        <w:snapToGrid w:val="0"/>
        <w:spacing w:line="600" w:lineRule="exact"/>
        <w:ind w:right="0" w:firstLine="600"/>
        <w:rPr>
          <w:rFonts w:ascii="仿宋_GB2312" w:hAnsi="仿宋_GB2312" w:eastAsia="仿宋_GB2312"/>
          <w:sz w:val="30"/>
          <w:szCs w:val="30"/>
        </w:rPr>
      </w:pPr>
      <w:r>
        <w:rPr>
          <w:rFonts w:ascii="仿宋_GB2312" w:hAnsi="仿宋_GB2312" w:eastAsia="仿宋_GB2312"/>
          <w:sz w:val="30"/>
          <w:szCs w:val="30"/>
        </w:rPr>
        <w:t>转板公司应披露公司在全国股转系统挂牌期间的基本情况，主要包括：</w:t>
      </w:r>
    </w:p>
    <w:p w14:paraId="06648ECB">
      <w:pPr>
        <w:snapToGrid w:val="0"/>
        <w:spacing w:line="600" w:lineRule="exact"/>
        <w:ind w:right="0" w:firstLine="600"/>
        <w:rPr>
          <w:rFonts w:ascii="仿宋_GB2312" w:hAnsi="仿宋_GB2312" w:eastAsia="仿宋_GB2312"/>
          <w:sz w:val="30"/>
          <w:szCs w:val="30"/>
        </w:rPr>
      </w:pPr>
      <w:r>
        <w:rPr>
          <w:rFonts w:ascii="仿宋_GB2312" w:hAnsi="仿宋_GB2312" w:eastAsia="仿宋_GB2312"/>
          <w:sz w:val="30"/>
          <w:szCs w:val="30"/>
        </w:rPr>
        <w:t>（一）挂牌日期、证券简称及代码、调入精选层的时间；</w:t>
      </w:r>
    </w:p>
    <w:p w14:paraId="696975E2">
      <w:pPr>
        <w:snapToGrid w:val="0"/>
        <w:spacing w:line="600" w:lineRule="exact"/>
        <w:ind w:right="0" w:firstLine="600"/>
        <w:rPr>
          <w:rFonts w:ascii="仿宋_GB2312" w:hAnsi="仿宋_GB2312" w:eastAsia="仿宋_GB2312"/>
          <w:sz w:val="30"/>
          <w:szCs w:val="30"/>
        </w:rPr>
      </w:pPr>
      <w:r>
        <w:rPr>
          <w:rFonts w:ascii="仿宋_GB2312" w:hAnsi="仿宋_GB2312" w:eastAsia="仿宋_GB2312"/>
          <w:sz w:val="30"/>
          <w:szCs w:val="30"/>
        </w:rPr>
        <w:t>（二）报告期内发行融资的简要情况，包括发行方式、金额、资金用途等情况；</w:t>
      </w:r>
    </w:p>
    <w:p w14:paraId="70014521">
      <w:pPr>
        <w:snapToGrid w:val="0"/>
        <w:spacing w:line="600" w:lineRule="exact"/>
        <w:ind w:right="0" w:firstLine="600"/>
        <w:rPr>
          <w:rFonts w:ascii="仿宋_GB2312" w:hAnsi="仿宋_GB2312" w:eastAsia="仿宋_GB2312"/>
          <w:sz w:val="30"/>
          <w:szCs w:val="30"/>
        </w:rPr>
      </w:pPr>
      <w:r>
        <w:rPr>
          <w:rFonts w:ascii="仿宋_GB2312" w:hAnsi="仿宋_GB2312" w:eastAsia="仿宋_GB2312"/>
          <w:sz w:val="30"/>
          <w:szCs w:val="30"/>
        </w:rPr>
        <w:t>（三）报告期内控制权变动情况；</w:t>
      </w:r>
    </w:p>
    <w:p w14:paraId="7A44B979">
      <w:pPr>
        <w:snapToGrid w:val="0"/>
        <w:spacing w:line="600" w:lineRule="exact"/>
        <w:ind w:right="0" w:firstLine="600"/>
        <w:rPr>
          <w:rFonts w:ascii="仿宋_GB2312" w:hAnsi="仿宋_GB2312" w:eastAsia="仿宋_GB2312" w:cs="仿宋_GB2312"/>
          <w:color w:val="000000"/>
          <w:kern w:val="0"/>
          <w:sz w:val="30"/>
          <w:szCs w:val="30"/>
        </w:rPr>
      </w:pPr>
      <w:r>
        <w:rPr>
          <w:rFonts w:ascii="仿宋_GB2312" w:hAnsi="仿宋_GB2312" w:eastAsia="仿宋_GB2312"/>
          <w:sz w:val="30"/>
          <w:szCs w:val="30"/>
        </w:rPr>
        <w:t>（四）</w:t>
      </w:r>
      <w:r>
        <w:rPr>
          <w:rFonts w:ascii="仿宋_GB2312" w:hAnsi="仿宋_GB2312" w:eastAsia="仿宋_GB2312" w:cs="仿宋_GB2312"/>
          <w:color w:val="000000"/>
          <w:kern w:val="0"/>
          <w:sz w:val="30"/>
          <w:szCs w:val="30"/>
        </w:rPr>
        <w:t>董事会审议通过转板上市相关事宜决议公告日前连续60个交易日（不包括股票停牌日）通过精选层竞价交易方式实现的股票累计成交量；</w:t>
      </w:r>
    </w:p>
    <w:p w14:paraId="5AD6215C">
      <w:pPr>
        <w:snapToGrid w:val="0"/>
        <w:spacing w:line="600" w:lineRule="exact"/>
        <w:ind w:right="0" w:firstLine="600"/>
        <w:rPr>
          <w:rFonts w:ascii="仿宋_GB2312" w:hAnsi="仿宋_GB2312" w:eastAsia="仿宋_GB2312" w:cs="仿宋_GB2312"/>
          <w:color w:val="000000"/>
          <w:kern w:val="0"/>
          <w:sz w:val="30"/>
          <w:szCs w:val="30"/>
        </w:rPr>
      </w:pPr>
      <w:r>
        <w:rPr>
          <w:rFonts w:ascii="仿宋_GB2312" w:hAnsi="仿宋_GB2312" w:eastAsia="仿宋_GB2312" w:cs="仿宋_GB2312"/>
          <w:color w:val="000000"/>
          <w:kern w:val="0"/>
          <w:sz w:val="30"/>
          <w:szCs w:val="30"/>
        </w:rPr>
        <w:t>（五）股东人数；</w:t>
      </w:r>
    </w:p>
    <w:p w14:paraId="5689E240">
      <w:pPr>
        <w:snapToGrid w:val="0"/>
        <w:spacing w:line="600" w:lineRule="exact"/>
        <w:ind w:right="0" w:firstLine="600"/>
        <w:rPr>
          <w:rFonts w:ascii="仿宋_GB2312" w:hAnsi="仿宋_GB2312" w:eastAsia="仿宋_GB2312"/>
          <w:sz w:val="30"/>
          <w:szCs w:val="30"/>
        </w:rPr>
      </w:pPr>
      <w:r>
        <w:rPr>
          <w:rFonts w:ascii="仿宋_GB2312" w:hAnsi="仿宋_GB2312" w:eastAsia="仿宋_GB2312" w:cs="仿宋_GB2312"/>
          <w:color w:val="000000"/>
          <w:kern w:val="0"/>
          <w:sz w:val="30"/>
          <w:szCs w:val="30"/>
        </w:rPr>
        <w:t>（六）公众股东持股比例</w:t>
      </w:r>
      <w:r>
        <w:rPr>
          <w:rFonts w:ascii="仿宋_GB2312" w:hAnsi="仿宋_GB2312" w:eastAsia="仿宋_GB2312"/>
          <w:sz w:val="30"/>
          <w:szCs w:val="30"/>
        </w:rPr>
        <w:t>；</w:t>
      </w:r>
    </w:p>
    <w:p w14:paraId="1B7E46E3">
      <w:pPr>
        <w:snapToGrid w:val="0"/>
        <w:spacing w:line="600" w:lineRule="exact"/>
        <w:ind w:right="0" w:firstLine="600"/>
        <w:rPr>
          <w:rFonts w:ascii="仿宋_GB2312" w:hAnsi="仿宋_GB2312" w:eastAsia="仿宋_GB2312"/>
          <w:sz w:val="30"/>
          <w:szCs w:val="30"/>
        </w:rPr>
      </w:pPr>
      <w:r>
        <w:rPr>
          <w:rFonts w:ascii="仿宋_GB2312" w:hAnsi="仿宋_GB2312" w:eastAsia="仿宋_GB2312"/>
          <w:sz w:val="30"/>
          <w:szCs w:val="30"/>
        </w:rPr>
        <w:t>（七）交易市值。</w:t>
      </w:r>
    </w:p>
    <w:p w14:paraId="01333630">
      <w:pPr>
        <w:snapToGrid w:val="0"/>
        <w:spacing w:line="600" w:lineRule="exact"/>
        <w:ind w:right="0" w:firstLine="600"/>
        <w:rPr>
          <w:rFonts w:ascii="仿宋_GB2312" w:hAnsi="仿宋_GB2312" w:eastAsia="仿宋_GB2312"/>
          <w:sz w:val="30"/>
          <w:szCs w:val="30"/>
        </w:rPr>
      </w:pPr>
      <w:r>
        <w:rPr>
          <w:rFonts w:ascii="仿宋_GB2312" w:hAnsi="仿宋_GB2312" w:eastAsia="仿宋_GB2312"/>
          <w:sz w:val="30"/>
          <w:szCs w:val="30"/>
        </w:rPr>
        <w:t>转板公司应简要披露报告期内的重大资产重组，包括具体内容以及对管理层、控制权、主营业务及经营业绩的影响。</w:t>
      </w:r>
    </w:p>
    <w:p w14:paraId="0D267FC1">
      <w:pPr>
        <w:pStyle w:val="3"/>
        <w:numPr>
          <w:ilvl w:val="0"/>
          <w:numId w:val="0"/>
        </w:numPr>
        <w:snapToGrid w:val="0"/>
        <w:spacing w:before="0" w:after="0" w:line="600" w:lineRule="exact"/>
        <w:ind w:left="0" w:leftChars="0" w:right="0" w:rightChars="0" w:firstLine="608" w:firstLineChars="0"/>
        <w:rPr>
          <w:rFonts w:ascii="仿宋_GB2312" w:hAnsi="仿宋_GB2312" w:eastAsia="仿宋_GB2312" w:cs="仿宋"/>
          <w:spacing w:val="2"/>
          <w:lang w:eastAsia="zh-CN"/>
        </w:rPr>
      </w:pPr>
      <w:r>
        <w:rPr>
          <w:rFonts w:hint="eastAsia" w:ascii="仿宋_GB2312" w:hAnsi="仿宋_GB2312" w:eastAsia="仿宋_GB2312" w:cs="黑体;SimHei"/>
          <w:b/>
          <w:bCs/>
          <w:color w:val="000000"/>
          <w:spacing w:val="2"/>
          <w:kern w:val="0"/>
          <w:sz w:val="30"/>
          <w:szCs w:val="30"/>
          <w:lang w:val="en-US" w:eastAsia="zh-CN" w:bidi="ar-SA"/>
        </w:rPr>
        <w:t xml:space="preserve">第三十四条 </w:t>
      </w:r>
      <w:r>
        <w:rPr>
          <w:rFonts w:ascii="仿宋_GB2312" w:hAnsi="仿宋_GB2312" w:eastAsia="仿宋_GB2312" w:cs="仿宋"/>
          <w:spacing w:val="2"/>
          <w:lang w:eastAsia="zh-CN"/>
        </w:rPr>
        <w:t>转板公司应简要披露其重要控股子公司及对转板公司有重大影响的参股公司的情况，主要包括成立时间、注册资本、实收资本、注册地和主要生产经营地、主营业务情况、在转板公司业务板块中定位、股东构成及控制情况、最近一年及一期末的总资产、净资产、最近一年及一期的营业收入、净利润，并标明有关财务数据是否经过审计及审计机构名称。</w:t>
      </w:r>
    </w:p>
    <w:p w14:paraId="7C60DBE9">
      <w:pPr>
        <w:pStyle w:val="3"/>
        <w:snapToGrid w:val="0"/>
        <w:spacing w:before="0" w:after="0" w:line="600" w:lineRule="exact"/>
        <w:ind w:left="0" w:right="0" w:firstLine="608"/>
        <w:jc w:val="both"/>
        <w:rPr>
          <w:rFonts w:ascii="仿宋_GB2312" w:hAnsi="仿宋_GB2312" w:eastAsia="仿宋_GB2312" w:cs="仿宋"/>
          <w:spacing w:val="2"/>
          <w:lang w:eastAsia="zh-CN"/>
        </w:rPr>
      </w:pPr>
      <w:r>
        <w:rPr>
          <w:rFonts w:ascii="仿宋_GB2312" w:hAnsi="仿宋_GB2312" w:eastAsia="仿宋_GB2312" w:cs="仿宋"/>
          <w:spacing w:val="2"/>
          <w:lang w:eastAsia="zh-CN"/>
        </w:rPr>
        <w:t>转板公司应列表简要披露其他控股子公司、参股公司的情况，包括其股东构成及转板公司的持股比例、控股方、主营业务等。</w:t>
      </w:r>
    </w:p>
    <w:p w14:paraId="4FD3FAC9">
      <w:pPr>
        <w:pStyle w:val="3"/>
        <w:numPr>
          <w:ilvl w:val="0"/>
          <w:numId w:val="0"/>
        </w:numPr>
        <w:snapToGrid w:val="0"/>
        <w:spacing w:before="0" w:after="0" w:line="600" w:lineRule="exact"/>
        <w:ind w:left="0" w:leftChars="0" w:right="0" w:rightChars="0" w:firstLine="608" w:firstLineChars="0"/>
        <w:rPr>
          <w:rFonts w:ascii="仿宋_GB2312" w:hAnsi="仿宋_GB2312" w:eastAsia="仿宋_GB2312" w:cs="仿宋"/>
          <w:spacing w:val="2"/>
          <w:lang w:eastAsia="zh-CN"/>
        </w:rPr>
      </w:pPr>
      <w:r>
        <w:rPr>
          <w:rFonts w:hint="eastAsia" w:ascii="仿宋_GB2312" w:hAnsi="仿宋_GB2312" w:eastAsia="仿宋_GB2312" w:cs="黑体;SimHei"/>
          <w:b/>
          <w:bCs/>
          <w:color w:val="000000"/>
          <w:spacing w:val="2"/>
          <w:kern w:val="0"/>
          <w:sz w:val="30"/>
          <w:szCs w:val="30"/>
          <w:lang w:val="en-US" w:eastAsia="zh-CN" w:bidi="ar-SA"/>
        </w:rPr>
        <w:t xml:space="preserve">第三十五条 </w:t>
      </w:r>
      <w:r>
        <w:rPr>
          <w:rFonts w:ascii="仿宋_GB2312" w:hAnsi="仿宋_GB2312" w:eastAsia="仿宋_GB2312" w:cs="仿宋"/>
          <w:spacing w:val="2"/>
          <w:lang w:eastAsia="zh-CN"/>
        </w:rPr>
        <w:t>转板公司应披露持有转板公司百分之五以上股份或表决权的主要股东及实际控制人的基本情况，主要包括：</w:t>
      </w:r>
    </w:p>
    <w:p w14:paraId="113E5533">
      <w:pPr>
        <w:pStyle w:val="3"/>
        <w:snapToGrid w:val="0"/>
        <w:spacing w:before="0" w:after="0" w:line="600" w:lineRule="exact"/>
        <w:ind w:left="0" w:right="0" w:firstLine="608"/>
        <w:jc w:val="both"/>
        <w:rPr>
          <w:rFonts w:ascii="仿宋_GB2312" w:hAnsi="仿宋_GB2312" w:eastAsia="仿宋_GB2312" w:cs="仿宋"/>
          <w:spacing w:val="2"/>
          <w:lang w:eastAsia="zh-CN"/>
        </w:rPr>
      </w:pPr>
      <w:r>
        <w:rPr>
          <w:rFonts w:ascii="仿宋_GB2312" w:hAnsi="仿宋_GB2312" w:eastAsia="仿宋_GB2312" w:cs="仿宋"/>
          <w:spacing w:val="2"/>
          <w:lang w:eastAsia="zh-CN"/>
        </w:rPr>
        <w:t>（一）控股股东、实际控制人的基本情况。控股股东、实际控制人为法人的，应披露成立时间、注册资本、实收资本、注册地和主要生产经营地、股东构成、主营业务及其与转板公司主营业务的关系，最近一年及一期末的总资产、净资产、最近一年及一期的营业收入、净利润，并标明有关财务数据是否经过审计及审计机构名称；为自然人的，应披露国籍、是否拥有永久境外居留权、身份证号码；为合伙企业等非法人组织的，应披露出资人构成、出资比例及实际控制人；</w:t>
      </w:r>
    </w:p>
    <w:p w14:paraId="6DE3B267">
      <w:pPr>
        <w:pStyle w:val="3"/>
        <w:snapToGrid w:val="0"/>
        <w:spacing w:before="0" w:after="0" w:line="600" w:lineRule="exact"/>
        <w:ind w:left="0" w:right="0" w:firstLine="608"/>
        <w:jc w:val="both"/>
        <w:rPr>
          <w:rFonts w:ascii="仿宋_GB2312" w:hAnsi="仿宋_GB2312" w:eastAsia="仿宋_GB2312" w:cs="仿宋"/>
          <w:spacing w:val="2"/>
          <w:lang w:eastAsia="zh-CN"/>
        </w:rPr>
      </w:pPr>
      <w:r>
        <w:rPr>
          <w:rFonts w:ascii="仿宋_GB2312" w:hAnsi="仿宋_GB2312" w:eastAsia="仿宋_GB2312" w:cs="仿宋"/>
          <w:spacing w:val="2"/>
          <w:lang w:eastAsia="zh-CN"/>
        </w:rPr>
        <w:t>（二）控股股东和实际控制人直接或间接持有转板公司的股份是否存在质押或其他有争议的情况；</w:t>
      </w:r>
    </w:p>
    <w:p w14:paraId="7B699CDD">
      <w:pPr>
        <w:pStyle w:val="3"/>
        <w:snapToGrid w:val="0"/>
        <w:spacing w:before="0" w:after="0" w:line="600" w:lineRule="exact"/>
        <w:ind w:left="0" w:right="0" w:firstLine="608"/>
        <w:jc w:val="both"/>
        <w:rPr>
          <w:rFonts w:ascii="仿宋_GB2312" w:hAnsi="仿宋_GB2312" w:eastAsia="仿宋_GB2312" w:cs="仿宋"/>
          <w:spacing w:val="2"/>
          <w:lang w:eastAsia="zh-CN"/>
        </w:rPr>
      </w:pPr>
      <w:r>
        <w:rPr>
          <w:rFonts w:ascii="仿宋_GB2312" w:hAnsi="仿宋_GB2312" w:eastAsia="仿宋_GB2312" w:cs="仿宋"/>
          <w:spacing w:val="2"/>
          <w:lang w:eastAsia="zh-CN"/>
        </w:rPr>
        <w:t>（三）实际控制人应披露至最终的国有控股主体、集体组织、自然人等；</w:t>
      </w:r>
    </w:p>
    <w:p w14:paraId="59E08F06">
      <w:pPr>
        <w:pStyle w:val="3"/>
        <w:snapToGrid w:val="0"/>
        <w:spacing w:before="0" w:after="0" w:line="600" w:lineRule="exact"/>
        <w:ind w:left="0" w:right="0" w:firstLine="608"/>
        <w:jc w:val="both"/>
        <w:rPr>
          <w:rFonts w:ascii="仿宋_GB2312" w:hAnsi="仿宋_GB2312" w:eastAsia="仿宋_GB2312" w:cs="仿宋"/>
          <w:spacing w:val="2"/>
          <w:lang w:eastAsia="zh-CN"/>
        </w:rPr>
      </w:pPr>
      <w:r>
        <w:rPr>
          <w:rFonts w:ascii="仿宋_GB2312" w:hAnsi="仿宋_GB2312" w:eastAsia="仿宋_GB2312" w:cs="仿宋"/>
          <w:spacing w:val="2"/>
          <w:lang w:eastAsia="zh-CN"/>
        </w:rPr>
        <w:t>（四）无控股股东、实际控制人的，应参照本条对转板公司控股股东及实际控制人的要求披露对转板公司有重大影响的股东情况；</w:t>
      </w:r>
    </w:p>
    <w:p w14:paraId="66C719B7">
      <w:pPr>
        <w:pStyle w:val="3"/>
        <w:snapToGrid w:val="0"/>
        <w:spacing w:before="0" w:after="0" w:line="600" w:lineRule="exact"/>
        <w:ind w:left="0" w:right="0" w:firstLine="608"/>
        <w:jc w:val="both"/>
        <w:rPr>
          <w:rFonts w:ascii="仿宋_GB2312" w:hAnsi="仿宋_GB2312" w:eastAsia="仿宋_GB2312" w:cs="仿宋"/>
          <w:spacing w:val="2"/>
          <w:lang w:eastAsia="zh-CN"/>
        </w:rPr>
      </w:pPr>
      <w:r>
        <w:rPr>
          <w:rFonts w:ascii="仿宋_GB2312" w:hAnsi="仿宋_GB2312" w:eastAsia="仿宋_GB2312" w:cs="仿宋"/>
          <w:spacing w:val="2"/>
          <w:lang w:eastAsia="zh-CN"/>
        </w:rPr>
        <w:t>（五）其他持有转板公司百分之五以上股份或表决权的主要股东的基本情况。主要股东为法人的，应披露成立时间、注册资本、实收资本、注册地和主要生产经营地、股东构成、主营业务及其与转板公司主营业务的关系；为自然人的，应披露国籍、是否拥有永久境外居留权、身份证号码；为合伙企业等非法人组织的，应披露出资人构成、出资比例。</w:t>
      </w:r>
    </w:p>
    <w:p w14:paraId="04FD7405">
      <w:pPr>
        <w:pStyle w:val="3"/>
        <w:numPr>
          <w:ilvl w:val="0"/>
          <w:numId w:val="0"/>
        </w:numPr>
        <w:snapToGrid w:val="0"/>
        <w:spacing w:before="0" w:after="0" w:line="600" w:lineRule="exact"/>
        <w:ind w:left="0" w:leftChars="0" w:right="0" w:rightChars="0" w:firstLine="608" w:firstLineChars="0"/>
        <w:rPr>
          <w:rFonts w:ascii="仿宋_GB2312" w:hAnsi="仿宋_GB2312" w:eastAsia="仿宋_GB2312" w:cs="仿宋"/>
          <w:spacing w:val="2"/>
          <w:lang w:eastAsia="zh-CN"/>
        </w:rPr>
      </w:pPr>
      <w:r>
        <w:rPr>
          <w:rFonts w:hint="eastAsia" w:ascii="仿宋_GB2312" w:hAnsi="仿宋_GB2312" w:eastAsia="仿宋_GB2312" w:cs="黑体;SimHei"/>
          <w:b/>
          <w:bCs/>
          <w:color w:val="000000"/>
          <w:spacing w:val="2"/>
          <w:kern w:val="0"/>
          <w:sz w:val="30"/>
          <w:szCs w:val="30"/>
          <w:lang w:val="en-US" w:eastAsia="zh-CN" w:bidi="ar-SA"/>
        </w:rPr>
        <w:t xml:space="preserve">第三十六条 </w:t>
      </w:r>
      <w:r>
        <w:rPr>
          <w:rFonts w:ascii="仿宋_GB2312" w:hAnsi="仿宋_GB2312" w:eastAsia="仿宋_GB2312" w:cs="仿宋"/>
          <w:spacing w:val="2"/>
          <w:lang w:eastAsia="zh-CN"/>
        </w:rPr>
        <w:t>转板公司应披露有关股本及股东的情况，主要包括：</w:t>
      </w:r>
    </w:p>
    <w:p w14:paraId="5C4CC250">
      <w:pPr>
        <w:pStyle w:val="3"/>
        <w:snapToGrid w:val="0"/>
        <w:spacing w:before="0" w:after="0" w:line="600" w:lineRule="exact"/>
        <w:ind w:left="0" w:right="0" w:firstLine="608"/>
        <w:jc w:val="both"/>
        <w:rPr>
          <w:rFonts w:ascii="仿宋_GB2312" w:hAnsi="仿宋_GB2312" w:eastAsia="仿宋_GB2312" w:cs="仿宋"/>
          <w:spacing w:val="2"/>
          <w:lang w:eastAsia="zh-CN"/>
        </w:rPr>
      </w:pPr>
      <w:r>
        <w:rPr>
          <w:rFonts w:ascii="仿宋_GB2312" w:hAnsi="仿宋_GB2312" w:eastAsia="仿宋_GB2312" w:cs="仿宋"/>
          <w:spacing w:val="2"/>
          <w:lang w:eastAsia="zh-CN"/>
        </w:rPr>
        <w:t>（一）公司总股本；</w:t>
      </w:r>
    </w:p>
    <w:p w14:paraId="668B22A7">
      <w:pPr>
        <w:pStyle w:val="3"/>
        <w:snapToGrid w:val="0"/>
        <w:spacing w:before="0" w:after="0" w:line="600" w:lineRule="exact"/>
        <w:ind w:left="0" w:right="0" w:firstLine="608"/>
        <w:jc w:val="both"/>
        <w:rPr>
          <w:rFonts w:ascii="仿宋_GB2312" w:hAnsi="仿宋_GB2312" w:eastAsia="仿宋_GB2312" w:cs="仿宋"/>
          <w:spacing w:val="2"/>
          <w:lang w:eastAsia="zh-CN"/>
        </w:rPr>
      </w:pPr>
      <w:r>
        <w:rPr>
          <w:rFonts w:ascii="仿宋_GB2312" w:hAnsi="仿宋_GB2312" w:eastAsia="仿宋_GB2312" w:cs="仿宋"/>
          <w:spacing w:val="2"/>
          <w:lang w:eastAsia="zh-CN"/>
        </w:rPr>
        <w:t>（二）本次转板上市前的前十名股东；</w:t>
      </w:r>
    </w:p>
    <w:p w14:paraId="7C693F2B">
      <w:pPr>
        <w:pStyle w:val="3"/>
        <w:snapToGrid w:val="0"/>
        <w:spacing w:before="0" w:after="0" w:line="600" w:lineRule="exact"/>
        <w:ind w:left="0" w:right="0" w:firstLine="608"/>
        <w:jc w:val="both"/>
        <w:rPr>
          <w:rFonts w:ascii="仿宋_GB2312" w:hAnsi="仿宋_GB2312" w:eastAsia="仿宋_GB2312" w:cs="仿宋"/>
          <w:spacing w:val="2"/>
          <w:lang w:eastAsia="zh-CN"/>
        </w:rPr>
      </w:pPr>
      <w:r>
        <w:rPr>
          <w:rFonts w:ascii="仿宋_GB2312" w:hAnsi="仿宋_GB2312" w:eastAsia="仿宋_GB2312" w:cs="仿宋"/>
          <w:spacing w:val="2"/>
          <w:lang w:eastAsia="zh-CN"/>
        </w:rPr>
        <w:t>（三）本次转板上市前的前十名自然人股东及其是否在转板公司处担任职务；</w:t>
      </w:r>
    </w:p>
    <w:p w14:paraId="3D50D305">
      <w:pPr>
        <w:pStyle w:val="3"/>
        <w:snapToGrid w:val="0"/>
        <w:spacing w:before="0" w:after="0" w:line="600" w:lineRule="exact"/>
        <w:ind w:left="0" w:right="0" w:firstLine="608"/>
        <w:jc w:val="both"/>
        <w:rPr>
          <w:rFonts w:ascii="仿宋_GB2312" w:hAnsi="仿宋_GB2312" w:eastAsia="仿宋_GB2312" w:cs="仿宋"/>
          <w:spacing w:val="2"/>
          <w:lang w:eastAsia="zh-CN"/>
        </w:rPr>
      </w:pPr>
      <w:r>
        <w:rPr>
          <w:rFonts w:ascii="仿宋_GB2312" w:hAnsi="仿宋_GB2312" w:eastAsia="仿宋_GB2312" w:cs="仿宋"/>
          <w:spacing w:val="2"/>
          <w:lang w:eastAsia="zh-CN"/>
        </w:rPr>
        <w:t>（四）转板公司股东持股涉及国有股的，在国有股东之后标注“SS”（State-owned Shareholder的缩写）的情况；</w:t>
      </w:r>
    </w:p>
    <w:p w14:paraId="118F1DC9">
      <w:pPr>
        <w:pStyle w:val="3"/>
        <w:snapToGrid w:val="0"/>
        <w:spacing w:before="0" w:after="0" w:line="600" w:lineRule="exact"/>
        <w:ind w:left="0" w:right="0" w:firstLine="608"/>
        <w:jc w:val="both"/>
        <w:rPr>
          <w:rFonts w:ascii="仿宋_GB2312" w:hAnsi="仿宋_GB2312" w:eastAsia="仿宋_GB2312" w:cs="仿宋"/>
          <w:spacing w:val="2"/>
          <w:lang w:eastAsia="zh-CN"/>
        </w:rPr>
      </w:pPr>
      <w:r>
        <w:rPr>
          <w:rFonts w:ascii="仿宋_GB2312" w:hAnsi="仿宋_GB2312" w:eastAsia="仿宋_GB2312" w:cs="仿宋"/>
          <w:spacing w:val="2"/>
          <w:lang w:eastAsia="zh-CN"/>
        </w:rPr>
        <w:t>（五）本次转板上市前持有转板公司百分之五以上股份或表决权的主要股东间的关联关系及关联股东的各自持股比例。</w:t>
      </w:r>
    </w:p>
    <w:p w14:paraId="13C69C9A">
      <w:pPr>
        <w:pStyle w:val="3"/>
        <w:snapToGrid w:val="0"/>
        <w:spacing w:before="0" w:after="0" w:line="600" w:lineRule="exact"/>
        <w:ind w:left="0" w:right="0" w:firstLine="600"/>
        <w:jc w:val="both"/>
        <w:rPr>
          <w:rFonts w:ascii="仿宋_GB2312" w:hAnsi="仿宋_GB2312" w:eastAsia="仿宋_GB2312"/>
          <w:lang w:eastAsia="zh-CN"/>
        </w:rPr>
      </w:pPr>
      <w:r>
        <w:rPr>
          <w:rFonts w:ascii="仿宋_GB2312" w:hAnsi="仿宋_GB2312" w:eastAsia="仿宋_GB2312"/>
          <w:lang w:eastAsia="zh-CN"/>
        </w:rPr>
        <w:t>最近一年通过集合竞价、连续竞价交易方式外取得转板公司百分之五以上股份或表决权的新增股东，应当按照中国证监会和本所的相关规定披露股东信息。</w:t>
      </w:r>
    </w:p>
    <w:p w14:paraId="7A661549">
      <w:pPr>
        <w:pStyle w:val="3"/>
        <w:numPr>
          <w:ilvl w:val="0"/>
          <w:numId w:val="0"/>
        </w:numPr>
        <w:snapToGrid w:val="0"/>
        <w:spacing w:before="0" w:after="0" w:line="600" w:lineRule="exact"/>
        <w:ind w:left="0" w:leftChars="0" w:right="0" w:rightChars="0" w:firstLine="608" w:firstLineChars="0"/>
        <w:rPr>
          <w:rFonts w:ascii="仿宋_GB2312" w:hAnsi="仿宋_GB2312" w:eastAsia="仿宋_GB2312" w:cs="仿宋"/>
          <w:spacing w:val="2"/>
          <w:lang w:eastAsia="zh-CN"/>
        </w:rPr>
      </w:pPr>
      <w:r>
        <w:rPr>
          <w:rFonts w:hint="eastAsia" w:ascii="仿宋_GB2312" w:hAnsi="仿宋_GB2312" w:eastAsia="仿宋_GB2312" w:cs="黑体;SimHei"/>
          <w:b/>
          <w:bCs/>
          <w:color w:val="000000"/>
          <w:spacing w:val="2"/>
          <w:kern w:val="0"/>
          <w:sz w:val="30"/>
          <w:szCs w:val="30"/>
          <w:lang w:val="en-US" w:eastAsia="zh-CN" w:bidi="ar-SA"/>
        </w:rPr>
        <w:t xml:space="preserve">第三十七条 </w:t>
      </w:r>
      <w:r>
        <w:rPr>
          <w:rFonts w:ascii="仿宋_GB2312" w:hAnsi="仿宋_GB2312" w:eastAsia="仿宋_GB2312" w:cs="仿宋"/>
          <w:spacing w:val="2"/>
          <w:lang w:eastAsia="zh-CN"/>
        </w:rPr>
        <w:t>转板公司应披露董事、监事、高级管理人员及核心技术人员的简要情况，主要包括：</w:t>
      </w:r>
    </w:p>
    <w:p w14:paraId="3C53D2B7">
      <w:pPr>
        <w:pStyle w:val="3"/>
        <w:snapToGrid w:val="0"/>
        <w:spacing w:before="0" w:after="0" w:line="600" w:lineRule="exact"/>
        <w:ind w:left="0" w:right="0" w:firstLine="608"/>
        <w:jc w:val="both"/>
        <w:rPr>
          <w:rFonts w:ascii="仿宋_GB2312" w:hAnsi="仿宋_GB2312" w:eastAsia="仿宋_GB2312" w:cs="仿宋"/>
          <w:spacing w:val="2"/>
          <w:lang w:eastAsia="zh-CN"/>
        </w:rPr>
      </w:pPr>
      <w:r>
        <w:rPr>
          <w:rFonts w:ascii="仿宋_GB2312" w:hAnsi="仿宋_GB2312" w:eastAsia="仿宋_GB2312" w:cs="仿宋"/>
          <w:spacing w:val="2"/>
          <w:lang w:eastAsia="zh-CN"/>
        </w:rPr>
        <w:t>（一）姓名、国籍及境外居留权；</w:t>
      </w:r>
    </w:p>
    <w:p w14:paraId="12AEB75F">
      <w:pPr>
        <w:pStyle w:val="3"/>
        <w:snapToGrid w:val="0"/>
        <w:spacing w:before="0" w:after="0" w:line="600" w:lineRule="exact"/>
        <w:ind w:left="0" w:right="0" w:firstLine="608"/>
        <w:jc w:val="both"/>
        <w:rPr>
          <w:rFonts w:ascii="仿宋_GB2312" w:hAnsi="仿宋_GB2312" w:eastAsia="仿宋_GB2312" w:cs="仿宋"/>
          <w:spacing w:val="2"/>
          <w:lang w:eastAsia="zh-CN"/>
        </w:rPr>
      </w:pPr>
      <w:r>
        <w:rPr>
          <w:rFonts w:ascii="仿宋_GB2312" w:hAnsi="仿宋_GB2312" w:eastAsia="仿宋_GB2312" w:cs="仿宋"/>
          <w:spacing w:val="2"/>
          <w:lang w:eastAsia="zh-CN"/>
        </w:rPr>
        <w:t>（二）性别、年龄；</w:t>
      </w:r>
    </w:p>
    <w:p w14:paraId="5B49249D">
      <w:pPr>
        <w:pStyle w:val="3"/>
        <w:snapToGrid w:val="0"/>
        <w:spacing w:before="0" w:after="0" w:line="600" w:lineRule="exact"/>
        <w:ind w:left="0" w:right="0" w:firstLine="608"/>
        <w:jc w:val="both"/>
        <w:rPr>
          <w:rFonts w:ascii="仿宋_GB2312" w:hAnsi="仿宋_GB2312" w:eastAsia="仿宋_GB2312" w:cs="仿宋"/>
          <w:spacing w:val="2"/>
          <w:lang w:eastAsia="zh-CN"/>
        </w:rPr>
      </w:pPr>
      <w:r>
        <w:rPr>
          <w:rFonts w:ascii="仿宋_GB2312" w:hAnsi="仿宋_GB2312" w:eastAsia="仿宋_GB2312" w:cs="仿宋"/>
          <w:spacing w:val="2"/>
          <w:lang w:eastAsia="zh-CN"/>
        </w:rPr>
        <w:t>（三）学历及专业背景、职称；</w:t>
      </w:r>
    </w:p>
    <w:p w14:paraId="5DB4695F">
      <w:pPr>
        <w:pStyle w:val="3"/>
        <w:snapToGrid w:val="0"/>
        <w:spacing w:before="0" w:after="0" w:line="600" w:lineRule="exact"/>
        <w:ind w:left="0" w:right="0" w:firstLine="608"/>
        <w:jc w:val="both"/>
        <w:rPr>
          <w:rFonts w:ascii="仿宋_GB2312" w:hAnsi="仿宋_GB2312" w:eastAsia="仿宋_GB2312" w:cs="仿宋"/>
          <w:spacing w:val="2"/>
          <w:lang w:eastAsia="zh-CN"/>
        </w:rPr>
      </w:pPr>
      <w:r>
        <w:rPr>
          <w:rFonts w:ascii="仿宋_GB2312" w:hAnsi="仿宋_GB2312" w:eastAsia="仿宋_GB2312" w:cs="仿宋"/>
          <w:spacing w:val="2"/>
          <w:lang w:eastAsia="zh-CN"/>
        </w:rPr>
        <w:t>（四）主要业务经历及实际负责的业务活动；对转板公司设立、发展有重要影响的董事、监事、高级管理人员及核心技术人员，还应披露其创业或从业历程；</w:t>
      </w:r>
    </w:p>
    <w:p w14:paraId="21CEC080">
      <w:pPr>
        <w:pStyle w:val="3"/>
        <w:snapToGrid w:val="0"/>
        <w:spacing w:before="0" w:after="0" w:line="600" w:lineRule="exact"/>
        <w:ind w:left="0" w:right="0" w:firstLine="608"/>
        <w:jc w:val="both"/>
        <w:rPr>
          <w:rFonts w:ascii="仿宋_GB2312" w:hAnsi="仿宋_GB2312" w:eastAsia="仿宋_GB2312" w:cs="仿宋"/>
          <w:spacing w:val="2"/>
          <w:lang w:eastAsia="zh-CN"/>
        </w:rPr>
      </w:pPr>
      <w:r>
        <w:rPr>
          <w:rFonts w:ascii="仿宋_GB2312" w:hAnsi="仿宋_GB2312" w:eastAsia="仿宋_GB2312" w:cs="仿宋"/>
          <w:spacing w:val="2"/>
          <w:lang w:eastAsia="zh-CN"/>
        </w:rPr>
        <w:t>（五）曾经担任的重要职务及任期；</w:t>
      </w:r>
    </w:p>
    <w:p w14:paraId="1B012B28">
      <w:pPr>
        <w:pStyle w:val="3"/>
        <w:snapToGrid w:val="0"/>
        <w:spacing w:before="0" w:after="0" w:line="600" w:lineRule="exact"/>
        <w:ind w:left="0" w:right="0" w:firstLine="608"/>
        <w:jc w:val="both"/>
        <w:rPr>
          <w:rFonts w:ascii="仿宋_GB2312" w:hAnsi="仿宋_GB2312" w:eastAsia="仿宋_GB2312" w:cs="仿宋"/>
          <w:spacing w:val="2"/>
          <w:lang w:eastAsia="zh-CN"/>
        </w:rPr>
      </w:pPr>
      <w:r>
        <w:rPr>
          <w:rFonts w:ascii="仿宋_GB2312" w:hAnsi="仿宋_GB2312" w:eastAsia="仿宋_GB2312" w:cs="仿宋"/>
          <w:spacing w:val="2"/>
          <w:lang w:eastAsia="zh-CN"/>
        </w:rPr>
        <w:t>（六）现任转板公司的职务及任期。</w:t>
      </w:r>
    </w:p>
    <w:p w14:paraId="379F0047">
      <w:pPr>
        <w:pStyle w:val="3"/>
        <w:snapToGrid w:val="0"/>
        <w:spacing w:before="0" w:after="0" w:line="600" w:lineRule="exact"/>
        <w:ind w:left="0" w:right="0" w:firstLine="608"/>
        <w:jc w:val="both"/>
        <w:rPr>
          <w:rFonts w:ascii="仿宋_GB2312" w:hAnsi="仿宋_GB2312" w:eastAsia="仿宋_GB2312" w:cs="仿宋"/>
          <w:spacing w:val="2"/>
          <w:lang w:eastAsia="zh-CN"/>
        </w:rPr>
      </w:pPr>
      <w:r>
        <w:rPr>
          <w:rFonts w:ascii="仿宋_GB2312" w:hAnsi="仿宋_GB2312" w:eastAsia="仿宋_GB2312" w:cs="仿宋"/>
          <w:spacing w:val="2"/>
          <w:lang w:eastAsia="zh-CN"/>
        </w:rPr>
        <w:t>转板公司应说明董事、监事、高级管理人员及核心技术人员的兼职情况及所兼职单位与转板公司的关联关系，与转板公司其他董事、监事、高级管理人员及核心技术人员的亲属关系。对于董事、监事，应披露其提名人。</w:t>
      </w:r>
    </w:p>
    <w:p w14:paraId="78602ABD">
      <w:pPr>
        <w:pStyle w:val="3"/>
        <w:numPr>
          <w:ilvl w:val="0"/>
          <w:numId w:val="0"/>
        </w:numPr>
        <w:snapToGrid w:val="0"/>
        <w:spacing w:before="0" w:after="0" w:line="600" w:lineRule="exact"/>
        <w:ind w:left="0" w:leftChars="0" w:right="0" w:rightChars="0" w:firstLine="608" w:firstLineChars="0"/>
        <w:rPr>
          <w:rFonts w:ascii="仿宋_GB2312" w:hAnsi="仿宋_GB2312" w:eastAsia="仿宋_GB2312" w:cs="仿宋"/>
          <w:spacing w:val="2"/>
          <w:lang w:eastAsia="zh-CN"/>
        </w:rPr>
      </w:pPr>
      <w:r>
        <w:rPr>
          <w:rFonts w:hint="eastAsia" w:ascii="仿宋_GB2312" w:hAnsi="仿宋_GB2312" w:eastAsia="仿宋_GB2312" w:cs="黑体;SimHei"/>
          <w:b/>
          <w:bCs/>
          <w:color w:val="000000"/>
          <w:spacing w:val="2"/>
          <w:kern w:val="0"/>
          <w:sz w:val="30"/>
          <w:szCs w:val="30"/>
          <w:lang w:val="en-US" w:eastAsia="zh-CN" w:bidi="ar-SA"/>
        </w:rPr>
        <w:t xml:space="preserve">第三十八条 </w:t>
      </w:r>
      <w:r>
        <w:rPr>
          <w:rFonts w:ascii="仿宋_GB2312" w:hAnsi="仿宋_GB2312" w:eastAsia="仿宋_GB2312" w:cs="仿宋"/>
          <w:spacing w:val="2"/>
          <w:lang w:eastAsia="zh-CN"/>
        </w:rPr>
        <w:t>转板公司应披露与董事、监事、高级管理人员及核心技术人员所签订的对投资者作出价值判断和投资决策有重大影响的协议，以及有关协议的履行情况。</w:t>
      </w:r>
    </w:p>
    <w:p w14:paraId="7A5C2438">
      <w:pPr>
        <w:pStyle w:val="3"/>
        <w:snapToGrid w:val="0"/>
        <w:spacing w:before="0" w:after="0" w:line="600" w:lineRule="exact"/>
        <w:ind w:left="0" w:right="0" w:firstLine="608"/>
        <w:jc w:val="both"/>
        <w:rPr>
          <w:rFonts w:ascii="仿宋_GB2312" w:hAnsi="仿宋_GB2312" w:eastAsia="仿宋_GB2312" w:cs="仿宋"/>
          <w:spacing w:val="2"/>
          <w:lang w:eastAsia="zh-CN"/>
        </w:rPr>
      </w:pPr>
      <w:r>
        <w:rPr>
          <w:rFonts w:ascii="仿宋_GB2312" w:hAnsi="仿宋_GB2312" w:eastAsia="仿宋_GB2312" w:cs="仿宋"/>
          <w:spacing w:val="2"/>
          <w:lang w:eastAsia="zh-CN"/>
        </w:rPr>
        <w:t>转板公司的董事、监事、高级管理人员及核心技术人员所持股份发生被质押、冻结或发生诉讼纠纷等情形的，应充分披露上述情形的产生原因及对转板公司可能产生的影响。</w:t>
      </w:r>
    </w:p>
    <w:p w14:paraId="58FD7457">
      <w:pPr>
        <w:pStyle w:val="3"/>
        <w:numPr>
          <w:ilvl w:val="0"/>
          <w:numId w:val="0"/>
        </w:numPr>
        <w:snapToGrid w:val="0"/>
        <w:spacing w:before="0" w:after="0" w:line="600" w:lineRule="exact"/>
        <w:ind w:left="0" w:leftChars="0" w:right="0" w:rightChars="0" w:firstLine="608" w:firstLineChars="0"/>
        <w:rPr>
          <w:rFonts w:ascii="仿宋_GB2312" w:hAnsi="仿宋_GB2312" w:eastAsia="仿宋_GB2312" w:cs="仿宋"/>
          <w:spacing w:val="2"/>
          <w:lang w:eastAsia="zh-CN"/>
        </w:rPr>
      </w:pPr>
      <w:r>
        <w:rPr>
          <w:rFonts w:hint="eastAsia" w:ascii="仿宋_GB2312" w:hAnsi="仿宋_GB2312" w:eastAsia="仿宋_GB2312" w:cs="黑体;SimHei"/>
          <w:b/>
          <w:bCs/>
          <w:color w:val="000000"/>
          <w:spacing w:val="2"/>
          <w:kern w:val="0"/>
          <w:sz w:val="30"/>
          <w:szCs w:val="30"/>
          <w:lang w:val="en-US" w:eastAsia="zh-CN" w:bidi="ar-SA"/>
        </w:rPr>
        <w:t xml:space="preserve">第三十九条 </w:t>
      </w:r>
      <w:r>
        <w:rPr>
          <w:rFonts w:ascii="仿宋_GB2312" w:hAnsi="仿宋_GB2312" w:eastAsia="仿宋_GB2312" w:cs="仿宋"/>
          <w:spacing w:val="2"/>
          <w:lang w:eastAsia="zh-CN"/>
        </w:rPr>
        <w:t>转板公司董事、监事、高级管理人员及核心技术人员在最近二年内曾发生变动的，应以列表方式汇总披露变动情况、原因以及对转板公司的影响。</w:t>
      </w:r>
    </w:p>
    <w:p w14:paraId="16E814F6">
      <w:pPr>
        <w:pStyle w:val="3"/>
        <w:numPr>
          <w:ilvl w:val="0"/>
          <w:numId w:val="0"/>
        </w:numPr>
        <w:snapToGrid w:val="0"/>
        <w:spacing w:before="0" w:after="0" w:line="600" w:lineRule="exact"/>
        <w:ind w:left="0" w:leftChars="0" w:right="0" w:rightChars="0" w:firstLine="608" w:firstLineChars="0"/>
        <w:rPr>
          <w:rFonts w:ascii="仿宋_GB2312" w:hAnsi="仿宋_GB2312" w:eastAsia="仿宋_GB2312" w:cs="仿宋"/>
          <w:spacing w:val="2"/>
          <w:lang w:eastAsia="zh-CN"/>
        </w:rPr>
      </w:pPr>
      <w:r>
        <w:rPr>
          <w:rFonts w:hint="eastAsia" w:ascii="仿宋_GB2312" w:hAnsi="仿宋_GB2312" w:eastAsia="仿宋_GB2312" w:cs="黑体;SimHei"/>
          <w:b/>
          <w:bCs/>
          <w:color w:val="000000"/>
          <w:spacing w:val="2"/>
          <w:kern w:val="0"/>
          <w:sz w:val="30"/>
          <w:szCs w:val="30"/>
          <w:lang w:val="en-US" w:eastAsia="zh-CN" w:bidi="ar-SA"/>
        </w:rPr>
        <w:t xml:space="preserve">第四十条 </w:t>
      </w:r>
      <w:r>
        <w:rPr>
          <w:rFonts w:ascii="仿宋_GB2312" w:hAnsi="仿宋_GB2312" w:eastAsia="仿宋_GB2312" w:cs="仿宋"/>
          <w:spacing w:val="2"/>
          <w:lang w:eastAsia="zh-CN"/>
        </w:rPr>
        <w:t>转板公司应披露董事、监事、高级管理人员及核心技术人员与转板公司及其业务相关的对外投资情况，包括投资金额、持股比例、有关承诺和协议，对于存在利益冲突情形的，应披露解决情况。</w:t>
      </w:r>
    </w:p>
    <w:p w14:paraId="19509B6C">
      <w:pPr>
        <w:pStyle w:val="3"/>
        <w:snapToGrid w:val="0"/>
        <w:spacing w:before="0" w:after="0" w:line="600" w:lineRule="exact"/>
        <w:ind w:left="0" w:right="0" w:firstLine="608"/>
        <w:jc w:val="both"/>
        <w:rPr>
          <w:rFonts w:ascii="仿宋_GB2312" w:hAnsi="仿宋_GB2312" w:eastAsia="仿宋_GB2312" w:cs="仿宋"/>
          <w:spacing w:val="2"/>
          <w:lang w:eastAsia="zh-CN"/>
        </w:rPr>
      </w:pPr>
      <w:r>
        <w:rPr>
          <w:rFonts w:ascii="仿宋_GB2312" w:hAnsi="仿宋_GB2312" w:eastAsia="仿宋_GB2312" w:cs="仿宋"/>
          <w:spacing w:val="2"/>
          <w:lang w:eastAsia="zh-CN"/>
        </w:rPr>
        <w:t>转板公司应列表披露董事、监事、高级管理人员、核心技术人员及其配偶、父母、配偶的父母、子女、子女的配偶以任何方式直接或间接持有转板公司股份的情况、持有人姓名及所持股份的质押或冻结情况。</w:t>
      </w:r>
    </w:p>
    <w:p w14:paraId="714E3C13">
      <w:pPr>
        <w:pStyle w:val="3"/>
        <w:numPr>
          <w:ilvl w:val="0"/>
          <w:numId w:val="0"/>
        </w:numPr>
        <w:snapToGrid w:val="0"/>
        <w:spacing w:before="0" w:after="0" w:line="600" w:lineRule="exact"/>
        <w:ind w:left="0" w:leftChars="0" w:right="0" w:rightChars="0" w:firstLine="608" w:firstLineChars="0"/>
        <w:rPr>
          <w:rFonts w:ascii="仿宋_GB2312" w:hAnsi="仿宋_GB2312" w:eastAsia="仿宋_GB2312" w:cs="仿宋"/>
          <w:spacing w:val="2"/>
          <w:lang w:eastAsia="zh-CN"/>
        </w:rPr>
      </w:pPr>
      <w:r>
        <w:rPr>
          <w:rFonts w:hint="eastAsia" w:ascii="仿宋_GB2312" w:hAnsi="仿宋_GB2312" w:eastAsia="仿宋_GB2312" w:cs="黑体;SimHei"/>
          <w:b/>
          <w:bCs/>
          <w:color w:val="000000"/>
          <w:spacing w:val="2"/>
          <w:kern w:val="0"/>
          <w:sz w:val="30"/>
          <w:szCs w:val="30"/>
          <w:lang w:val="en-US" w:eastAsia="zh-CN" w:bidi="ar-SA"/>
        </w:rPr>
        <w:t xml:space="preserve">第四十一条 </w:t>
      </w:r>
      <w:r>
        <w:rPr>
          <w:rFonts w:ascii="仿宋_GB2312" w:hAnsi="仿宋_GB2312" w:eastAsia="仿宋_GB2312" w:cs="仿宋"/>
          <w:spacing w:val="2"/>
          <w:lang w:eastAsia="zh-CN"/>
        </w:rPr>
        <w:t>转板公司应披露董事、监事、高级管理人员及核心技术人员的薪酬组成、确定依据、所履行的程序及报告期内薪酬总额占各期转板公司利润总额的比重，最近一年从转板公司及其关联企业领取收入的情况，以及所享受的其他待遇和退休金计划等。</w:t>
      </w:r>
    </w:p>
    <w:p w14:paraId="6115839B">
      <w:pPr>
        <w:pStyle w:val="3"/>
        <w:snapToGrid w:val="0"/>
        <w:spacing w:before="0" w:after="0" w:line="600" w:lineRule="exact"/>
        <w:ind w:left="0" w:right="0" w:firstLine="608"/>
        <w:jc w:val="both"/>
        <w:rPr>
          <w:rFonts w:ascii="仿宋_GB2312" w:hAnsi="仿宋_GB2312" w:eastAsia="仿宋_GB2312" w:cs="仿宋"/>
          <w:spacing w:val="2"/>
          <w:lang w:eastAsia="zh-CN"/>
        </w:rPr>
      </w:pPr>
      <w:r>
        <w:rPr>
          <w:rFonts w:ascii="仿宋_GB2312" w:hAnsi="仿宋_GB2312" w:eastAsia="仿宋_GB2312" w:cs="仿宋"/>
          <w:spacing w:val="2"/>
          <w:lang w:eastAsia="zh-CN"/>
        </w:rPr>
        <w:t>转板公司应披露本次转板上市前已经制定或实施的股权激励及相关安排，披露股权激励对公司经营状况、财务状况、控制权变化等方面的影响，以及上市后的行权安排。</w:t>
      </w:r>
    </w:p>
    <w:p w14:paraId="1F919C67">
      <w:pPr>
        <w:pStyle w:val="3"/>
        <w:numPr>
          <w:ilvl w:val="0"/>
          <w:numId w:val="0"/>
        </w:numPr>
        <w:snapToGrid w:val="0"/>
        <w:spacing w:before="0" w:after="0" w:line="600" w:lineRule="exact"/>
        <w:ind w:left="0" w:leftChars="0" w:right="0" w:rightChars="0" w:firstLine="608" w:firstLineChars="0"/>
        <w:rPr>
          <w:rFonts w:ascii="仿宋_GB2312" w:hAnsi="仿宋_GB2312" w:eastAsia="仿宋_GB2312" w:cs="仿宋"/>
          <w:spacing w:val="2"/>
          <w:lang w:eastAsia="zh-CN"/>
        </w:rPr>
      </w:pPr>
      <w:r>
        <w:rPr>
          <w:rFonts w:hint="eastAsia" w:ascii="仿宋_GB2312" w:hAnsi="仿宋_GB2312" w:eastAsia="仿宋_GB2312" w:cs="黑体;SimHei"/>
          <w:b/>
          <w:bCs/>
          <w:color w:val="000000"/>
          <w:spacing w:val="2"/>
          <w:kern w:val="0"/>
          <w:sz w:val="30"/>
          <w:szCs w:val="30"/>
          <w:lang w:val="en-US" w:eastAsia="zh-CN" w:bidi="ar-SA"/>
        </w:rPr>
        <w:t xml:space="preserve">第四十二条 </w:t>
      </w:r>
      <w:r>
        <w:rPr>
          <w:rFonts w:ascii="仿宋_GB2312" w:hAnsi="仿宋_GB2312" w:eastAsia="仿宋_GB2312" w:cs="仿宋"/>
          <w:spacing w:val="2"/>
          <w:lang w:eastAsia="zh-CN"/>
        </w:rPr>
        <w:t>转板公司应简要披露员工情况，包括员工人数及报告期内的变化情况，员工专业结构，报告期内社会保险和住房公积金缴纳情况。</w:t>
      </w:r>
    </w:p>
    <w:p w14:paraId="0E1847AC">
      <w:pPr>
        <w:numPr>
          <w:ilvl w:val="0"/>
          <w:numId w:val="0"/>
        </w:numPr>
        <w:snapToGrid w:val="0"/>
        <w:spacing w:line="600" w:lineRule="exact"/>
        <w:jc w:val="center"/>
        <w:outlineLvl w:val="2"/>
        <w:rPr>
          <w:rFonts w:ascii="仿宋_GB2312" w:hAnsi="仿宋_GB2312" w:eastAsia="仿宋_GB2312" w:cs="Calibri"/>
          <w:b/>
          <w:sz w:val="30"/>
          <w:szCs w:val="30"/>
        </w:rPr>
      </w:pPr>
      <w:r>
        <w:rPr>
          <w:rFonts w:ascii="仿宋_GB2312" w:hAnsi="仿宋_GB2312" w:eastAsia="仿宋_GB2312" w:cs="Calibri"/>
          <w:b/>
          <w:sz w:val="30"/>
          <w:szCs w:val="30"/>
        </w:rPr>
        <w:t>第五节 业务与技术</w:t>
      </w:r>
    </w:p>
    <w:p w14:paraId="2A9999DD">
      <w:pPr>
        <w:pStyle w:val="3"/>
        <w:numPr>
          <w:ilvl w:val="0"/>
          <w:numId w:val="0"/>
        </w:numPr>
        <w:snapToGrid w:val="0"/>
        <w:spacing w:before="0" w:after="0" w:line="600" w:lineRule="exact"/>
        <w:ind w:left="0" w:leftChars="0" w:right="0" w:rightChars="0" w:firstLine="608" w:firstLineChars="0"/>
        <w:rPr>
          <w:rFonts w:ascii="仿宋_GB2312" w:hAnsi="仿宋_GB2312" w:eastAsia="仿宋_GB2312" w:cs="仿宋"/>
          <w:spacing w:val="2"/>
          <w:lang w:eastAsia="zh-CN"/>
        </w:rPr>
      </w:pPr>
      <w:r>
        <w:rPr>
          <w:rFonts w:hint="eastAsia" w:ascii="仿宋_GB2312" w:hAnsi="仿宋_GB2312" w:eastAsia="仿宋_GB2312" w:cs="黑体;SimHei"/>
          <w:b/>
          <w:bCs/>
          <w:color w:val="000000"/>
          <w:spacing w:val="2"/>
          <w:kern w:val="0"/>
          <w:sz w:val="30"/>
          <w:szCs w:val="30"/>
          <w:lang w:val="en-US" w:eastAsia="zh-CN" w:bidi="ar-SA"/>
        </w:rPr>
        <w:t xml:space="preserve">第四十三条 </w:t>
      </w:r>
      <w:r>
        <w:rPr>
          <w:rFonts w:ascii="仿宋_GB2312" w:hAnsi="仿宋_GB2312" w:eastAsia="仿宋_GB2312" w:cs="仿宋"/>
          <w:spacing w:val="2"/>
          <w:lang w:eastAsia="zh-CN"/>
        </w:rPr>
        <w:t>转板公司应按照业务重要性程度，清晰、准确、客观、完整地披露主营业务、主要产品或服务的情况及演变情况，包括：</w:t>
      </w:r>
    </w:p>
    <w:p w14:paraId="30B542C7">
      <w:pPr>
        <w:pStyle w:val="3"/>
        <w:snapToGrid w:val="0"/>
        <w:spacing w:before="0" w:after="0" w:line="560" w:lineRule="exact"/>
        <w:ind w:left="0" w:right="0" w:firstLine="608"/>
        <w:jc w:val="both"/>
        <w:rPr>
          <w:rFonts w:ascii="仿宋_GB2312" w:hAnsi="仿宋_GB2312" w:eastAsia="仿宋_GB2312" w:cs="仿宋"/>
          <w:spacing w:val="2"/>
          <w:lang w:eastAsia="zh-CN"/>
        </w:rPr>
      </w:pPr>
      <w:r>
        <w:rPr>
          <w:rFonts w:ascii="仿宋_GB2312" w:hAnsi="仿宋_GB2312" w:eastAsia="仿宋_GB2312" w:cs="仿宋"/>
          <w:spacing w:val="2"/>
          <w:lang w:eastAsia="zh-CN"/>
        </w:rPr>
        <w:t>（一）主营业务、主要产品或服务的基本情况，主营业务收入的主要构成；</w:t>
      </w:r>
    </w:p>
    <w:p w14:paraId="683DAF7C">
      <w:pPr>
        <w:pStyle w:val="3"/>
        <w:snapToGrid w:val="0"/>
        <w:spacing w:before="0" w:after="0" w:line="560" w:lineRule="exact"/>
        <w:ind w:left="0" w:right="0" w:firstLine="608"/>
        <w:jc w:val="both"/>
        <w:rPr>
          <w:rFonts w:ascii="仿宋_GB2312" w:hAnsi="仿宋_GB2312" w:eastAsia="仿宋_GB2312" w:cs="仿宋"/>
          <w:spacing w:val="2"/>
          <w:lang w:eastAsia="zh-CN"/>
        </w:rPr>
      </w:pPr>
      <w:r>
        <w:rPr>
          <w:rFonts w:ascii="仿宋_GB2312" w:hAnsi="仿宋_GB2312" w:eastAsia="仿宋_GB2312" w:cs="仿宋"/>
          <w:spacing w:val="2"/>
          <w:lang w:eastAsia="zh-CN"/>
        </w:rPr>
        <w:t>（二）主要经营模式，如采购模式、生产或服务模式、营销及管理模式等，分析采用目前经营模式的原因、影响经营模式的关键因素、经营模式和影响因素在报告期内的变化情况及未来变化趋势；</w:t>
      </w:r>
    </w:p>
    <w:p w14:paraId="728320BA">
      <w:pPr>
        <w:pStyle w:val="3"/>
        <w:snapToGrid w:val="0"/>
        <w:spacing w:before="0" w:after="0" w:line="560" w:lineRule="exact"/>
        <w:ind w:left="0" w:right="0" w:firstLine="608"/>
        <w:jc w:val="both"/>
        <w:rPr>
          <w:rFonts w:ascii="仿宋_GB2312" w:hAnsi="仿宋_GB2312" w:eastAsia="仿宋_GB2312" w:cs="仿宋"/>
          <w:spacing w:val="2"/>
          <w:lang w:eastAsia="zh-CN"/>
        </w:rPr>
      </w:pPr>
      <w:r>
        <w:rPr>
          <w:rFonts w:ascii="仿宋_GB2312" w:hAnsi="仿宋_GB2312" w:eastAsia="仿宋_GB2312" w:cs="仿宋"/>
          <w:spacing w:val="2"/>
          <w:lang w:eastAsia="zh-CN"/>
        </w:rPr>
        <w:t>（三）设立以来主营业务、主要产品或服务、主要经营模式的演变情况；</w:t>
      </w:r>
    </w:p>
    <w:p w14:paraId="0F6E2A08">
      <w:pPr>
        <w:pStyle w:val="3"/>
        <w:snapToGrid w:val="0"/>
        <w:spacing w:before="0" w:after="0" w:line="560" w:lineRule="exact"/>
        <w:ind w:left="0" w:right="0" w:firstLine="608"/>
        <w:jc w:val="both"/>
        <w:rPr>
          <w:rFonts w:ascii="仿宋_GB2312" w:hAnsi="仿宋_GB2312" w:eastAsia="仿宋_GB2312" w:cs="仿宋"/>
          <w:spacing w:val="2"/>
          <w:lang w:eastAsia="zh-CN"/>
        </w:rPr>
      </w:pPr>
      <w:r>
        <w:rPr>
          <w:rFonts w:ascii="仿宋_GB2312" w:hAnsi="仿宋_GB2312" w:eastAsia="仿宋_GB2312" w:cs="仿宋"/>
          <w:spacing w:val="2"/>
          <w:lang w:eastAsia="zh-CN"/>
        </w:rPr>
        <w:t>（四）主要产品的工艺流程图或服务的流程图；</w:t>
      </w:r>
    </w:p>
    <w:p w14:paraId="196E5F3E">
      <w:pPr>
        <w:pStyle w:val="3"/>
        <w:snapToGrid w:val="0"/>
        <w:spacing w:before="0" w:after="0" w:line="560" w:lineRule="exact"/>
        <w:ind w:left="0" w:right="0" w:firstLine="608"/>
        <w:jc w:val="both"/>
        <w:rPr>
          <w:rFonts w:ascii="仿宋_GB2312" w:hAnsi="仿宋_GB2312" w:eastAsia="仿宋_GB2312" w:cs="仿宋"/>
          <w:spacing w:val="2"/>
          <w:lang w:eastAsia="zh-CN"/>
        </w:rPr>
      </w:pPr>
      <w:r>
        <w:rPr>
          <w:rFonts w:ascii="仿宋_GB2312" w:hAnsi="仿宋_GB2312" w:eastAsia="仿宋_GB2312" w:cs="仿宋"/>
          <w:spacing w:val="2"/>
          <w:lang w:eastAsia="zh-CN"/>
        </w:rPr>
        <w:t>（五）生产经营中涉及的主要环境污染物、主要处理设施及处理能力。</w:t>
      </w:r>
    </w:p>
    <w:p w14:paraId="7F97A8BC">
      <w:pPr>
        <w:pStyle w:val="3"/>
        <w:numPr>
          <w:ilvl w:val="0"/>
          <w:numId w:val="0"/>
        </w:numPr>
        <w:snapToGrid w:val="0"/>
        <w:spacing w:before="0" w:after="0" w:line="600" w:lineRule="exact"/>
        <w:ind w:left="0" w:leftChars="0" w:right="0" w:rightChars="0" w:firstLine="608" w:firstLineChars="0"/>
        <w:rPr>
          <w:rFonts w:ascii="仿宋_GB2312" w:hAnsi="仿宋_GB2312" w:eastAsia="仿宋_GB2312" w:cs="仿宋"/>
          <w:spacing w:val="2"/>
          <w:lang w:eastAsia="zh-CN"/>
        </w:rPr>
      </w:pPr>
      <w:r>
        <w:rPr>
          <w:rFonts w:hint="eastAsia" w:ascii="仿宋_GB2312" w:hAnsi="仿宋_GB2312" w:eastAsia="仿宋_GB2312" w:cs="黑体;SimHei"/>
          <w:b/>
          <w:bCs/>
          <w:color w:val="000000"/>
          <w:spacing w:val="2"/>
          <w:kern w:val="0"/>
          <w:sz w:val="30"/>
          <w:szCs w:val="30"/>
          <w:lang w:val="en-US" w:eastAsia="zh-CN" w:bidi="ar-SA"/>
        </w:rPr>
        <w:t xml:space="preserve">第四十四条 </w:t>
      </w:r>
      <w:r>
        <w:rPr>
          <w:rFonts w:ascii="仿宋_GB2312" w:hAnsi="仿宋_GB2312" w:eastAsia="仿宋_GB2312" w:cs="仿宋"/>
          <w:spacing w:val="2"/>
          <w:lang w:eastAsia="zh-CN"/>
        </w:rPr>
        <w:t>转板公司应结合所处行业基本情况披露其竞争状况，主要包括：</w:t>
      </w:r>
    </w:p>
    <w:p w14:paraId="180FED08">
      <w:pPr>
        <w:pStyle w:val="3"/>
        <w:snapToGrid w:val="0"/>
        <w:spacing w:before="0" w:after="0" w:line="560" w:lineRule="exact"/>
        <w:ind w:left="0" w:right="0" w:firstLine="608"/>
        <w:jc w:val="both"/>
        <w:rPr>
          <w:rFonts w:ascii="仿宋_GB2312" w:hAnsi="仿宋_GB2312" w:eastAsia="仿宋_GB2312" w:cs="仿宋"/>
          <w:spacing w:val="2"/>
          <w:lang w:eastAsia="zh-CN"/>
        </w:rPr>
      </w:pPr>
      <w:r>
        <w:rPr>
          <w:rFonts w:ascii="仿宋_GB2312" w:hAnsi="仿宋_GB2312" w:eastAsia="仿宋_GB2312" w:cs="仿宋"/>
          <w:spacing w:val="2"/>
          <w:lang w:eastAsia="zh-CN"/>
        </w:rPr>
        <w:t>（一）所属行业及确定所属行业的依据；</w:t>
      </w:r>
    </w:p>
    <w:p w14:paraId="5E1A35D2">
      <w:pPr>
        <w:pStyle w:val="3"/>
        <w:snapToGrid w:val="0"/>
        <w:spacing w:before="0" w:after="0" w:line="560" w:lineRule="exact"/>
        <w:ind w:left="0" w:right="0" w:firstLine="608"/>
        <w:jc w:val="both"/>
        <w:rPr>
          <w:rFonts w:ascii="仿宋_GB2312" w:hAnsi="仿宋_GB2312" w:eastAsia="仿宋_GB2312" w:cs="仿宋"/>
          <w:spacing w:val="2"/>
          <w:lang w:eastAsia="zh-CN"/>
        </w:rPr>
      </w:pPr>
      <w:r>
        <w:rPr>
          <w:rFonts w:ascii="仿宋_GB2312" w:hAnsi="仿宋_GB2312" w:eastAsia="仿宋_GB2312" w:cs="仿宋"/>
          <w:spacing w:val="2"/>
          <w:lang w:eastAsia="zh-CN"/>
        </w:rPr>
        <w:t>（二）简要披露所属行业的行业主管部门、行业监管体制、行业主要法律法规政策；重点结合报告期初以来新制定或修订、预期近期出台的与转板公司生产经营密切相关、对未来业务有重大影响的法律法规、行业政策，披露对转板公司经营资质、准入门槛、运营模式、所在行业竞争格局等方面的具体影响；</w:t>
      </w:r>
    </w:p>
    <w:p w14:paraId="431C77C4">
      <w:pPr>
        <w:pStyle w:val="3"/>
        <w:snapToGrid w:val="0"/>
        <w:spacing w:line="560" w:lineRule="exact"/>
        <w:ind w:right="0" w:firstLine="608"/>
        <w:rPr>
          <w:rFonts w:ascii="仿宋_GB2312" w:hAnsi="仿宋_GB2312" w:eastAsia="仿宋_GB2312" w:cs="仿宋"/>
          <w:spacing w:val="2"/>
          <w:lang w:eastAsia="zh-CN"/>
        </w:rPr>
      </w:pPr>
      <w:r>
        <w:rPr>
          <w:rFonts w:ascii="仿宋_GB2312" w:hAnsi="仿宋_GB2312" w:eastAsia="仿宋_GB2312" w:cs="仿宋"/>
          <w:spacing w:val="2"/>
          <w:lang w:eastAsia="zh-CN"/>
        </w:rPr>
        <w:t>（三）与转板公司直接相关的所属行业技术水平及特点、进入本行业的主要壁垒、行业发展态势、面临的机遇与风险、行业的周期性特征，以及上述情况在报告期内的变化及未来可预见的变化趋势；转板公司所属细分行业在产业链中的地位和作用，与上、下游行业之间的关联性；</w:t>
      </w:r>
    </w:p>
    <w:p w14:paraId="5AFC7304">
      <w:pPr>
        <w:pStyle w:val="3"/>
        <w:snapToGrid w:val="0"/>
        <w:spacing w:line="560" w:lineRule="exact"/>
        <w:ind w:right="0" w:firstLine="608"/>
        <w:rPr>
          <w:rFonts w:ascii="仿宋_GB2312" w:hAnsi="仿宋_GB2312" w:eastAsia="仿宋_GB2312" w:cs="仿宋"/>
          <w:spacing w:val="2"/>
          <w:lang w:eastAsia="zh-CN"/>
        </w:rPr>
      </w:pPr>
      <w:r>
        <w:rPr>
          <w:rFonts w:ascii="仿宋_GB2312" w:hAnsi="仿宋_GB2312" w:eastAsia="仿宋_GB2312" w:cs="仿宋"/>
          <w:spacing w:val="2"/>
          <w:lang w:eastAsia="zh-CN"/>
        </w:rPr>
        <w:t>（四）转板公司所属行业竞争格局、行业内的主要企业、转板公司产品或服务的市场地位、竞争优势与劣势，转板公司与同行业可比公司在经营情况、市场地位、技术实力、衡量核心竞争力的关键业务数据、指标等方面的比较情况。</w:t>
      </w:r>
    </w:p>
    <w:p w14:paraId="6BF12193">
      <w:pPr>
        <w:pStyle w:val="3"/>
        <w:snapToGrid w:val="0"/>
        <w:spacing w:before="0" w:after="0" w:line="560" w:lineRule="exact"/>
        <w:ind w:left="0" w:right="0" w:firstLine="608"/>
        <w:jc w:val="both"/>
        <w:rPr>
          <w:rFonts w:ascii="仿宋_GB2312" w:hAnsi="仿宋_GB2312" w:eastAsia="仿宋_GB2312" w:cs="仿宋"/>
          <w:spacing w:val="2"/>
          <w:lang w:eastAsia="zh-CN"/>
        </w:rPr>
      </w:pPr>
      <w:r>
        <w:rPr>
          <w:rFonts w:ascii="仿宋_GB2312" w:hAnsi="仿宋_GB2312" w:eastAsia="仿宋_GB2312" w:cs="仿宋"/>
          <w:spacing w:val="2"/>
          <w:lang w:eastAsia="zh-CN"/>
        </w:rPr>
        <w:t>选择同行业公司对比分析时，转板公司应披露选择原因及相关业务的可比程度。转板公司的竞争状况及优势的描述应有客观市场数据支持，转板公司所披露行业及竞争情况应为最新市场数据。</w:t>
      </w:r>
    </w:p>
    <w:p w14:paraId="0FEAC1F0">
      <w:pPr>
        <w:pStyle w:val="3"/>
        <w:numPr>
          <w:ilvl w:val="0"/>
          <w:numId w:val="0"/>
        </w:numPr>
        <w:snapToGrid w:val="0"/>
        <w:spacing w:before="0" w:after="0" w:line="600" w:lineRule="exact"/>
        <w:ind w:left="0" w:leftChars="0" w:right="0" w:rightChars="0" w:firstLine="608" w:firstLineChars="0"/>
        <w:rPr>
          <w:rFonts w:ascii="仿宋_GB2312" w:hAnsi="仿宋_GB2312" w:eastAsia="仿宋_GB2312" w:cs="仿宋"/>
          <w:spacing w:val="2"/>
          <w:lang w:eastAsia="zh-CN"/>
        </w:rPr>
      </w:pPr>
      <w:r>
        <w:rPr>
          <w:rFonts w:hint="eastAsia" w:ascii="仿宋_GB2312" w:hAnsi="仿宋_GB2312" w:eastAsia="仿宋_GB2312" w:cs="黑体;SimHei"/>
          <w:b/>
          <w:bCs/>
          <w:color w:val="000000"/>
          <w:spacing w:val="2"/>
          <w:kern w:val="0"/>
          <w:sz w:val="30"/>
          <w:szCs w:val="30"/>
          <w:lang w:val="en-US" w:eastAsia="zh-CN" w:bidi="ar-SA"/>
        </w:rPr>
        <w:t xml:space="preserve">第四十五条 </w:t>
      </w:r>
      <w:r>
        <w:rPr>
          <w:rFonts w:ascii="仿宋_GB2312" w:hAnsi="仿宋_GB2312" w:eastAsia="仿宋_GB2312" w:cs="仿宋"/>
          <w:spacing w:val="2"/>
          <w:lang w:eastAsia="zh-CN"/>
        </w:rPr>
        <w:t>转板公司应披露销售情况和主要客户，包括：</w:t>
      </w:r>
    </w:p>
    <w:p w14:paraId="55628135">
      <w:pPr>
        <w:pStyle w:val="3"/>
        <w:snapToGrid w:val="0"/>
        <w:spacing w:before="0" w:after="0" w:line="560" w:lineRule="exact"/>
        <w:ind w:left="0" w:right="0" w:firstLine="608"/>
        <w:jc w:val="both"/>
        <w:rPr>
          <w:rFonts w:ascii="仿宋_GB2312" w:hAnsi="仿宋_GB2312" w:eastAsia="仿宋_GB2312" w:cs="仿宋"/>
          <w:spacing w:val="2"/>
          <w:lang w:eastAsia="zh-CN"/>
        </w:rPr>
      </w:pPr>
      <w:r>
        <w:rPr>
          <w:rFonts w:ascii="仿宋_GB2312" w:hAnsi="仿宋_GB2312" w:eastAsia="仿宋_GB2312" w:cs="仿宋"/>
          <w:spacing w:val="2"/>
          <w:lang w:eastAsia="zh-CN"/>
        </w:rPr>
        <w:t>（一）报告期内各期主要产品或服务的规模（产能、产量、销量，或服务能力、服务量）、销售收入、产品或服务的主要客户群体、销售价格的总体变动情况；存在多种销售模式的，应披露各销售模式的规模及占当期销售总额的比重；</w:t>
      </w:r>
    </w:p>
    <w:p w14:paraId="321DBB51">
      <w:pPr>
        <w:pStyle w:val="3"/>
        <w:snapToGrid w:val="0"/>
        <w:spacing w:before="0" w:after="0" w:line="560" w:lineRule="exact"/>
        <w:ind w:left="0" w:right="0" w:firstLine="608"/>
        <w:jc w:val="both"/>
        <w:rPr>
          <w:rFonts w:ascii="仿宋_GB2312" w:hAnsi="仿宋_GB2312" w:eastAsia="仿宋_GB2312" w:cs="仿宋"/>
          <w:spacing w:val="2"/>
          <w:lang w:eastAsia="zh-CN"/>
        </w:rPr>
      </w:pPr>
      <w:r>
        <w:rPr>
          <w:rFonts w:ascii="仿宋_GB2312" w:hAnsi="仿宋_GB2312" w:eastAsia="仿宋_GB2312" w:cs="仿宋"/>
          <w:spacing w:val="2"/>
          <w:lang w:eastAsia="zh-CN"/>
        </w:rPr>
        <w:t>（二）报告期内各期向前五名客户合计的销售额占当期销售总额的百分比，向单个客户的销售比例超过总额的百分之五十的、前五名客户中存在新增客户的或严重依赖于少数客户的，应披露其名称或姓名、销售比例；该客户为转板公司关联方的，应披露产品最终实现销售的情况；受同一实际控制人控制的客户，应合并计算销售额。</w:t>
      </w:r>
    </w:p>
    <w:p w14:paraId="4925666A">
      <w:pPr>
        <w:pStyle w:val="3"/>
        <w:numPr>
          <w:ilvl w:val="0"/>
          <w:numId w:val="0"/>
        </w:numPr>
        <w:snapToGrid w:val="0"/>
        <w:spacing w:before="0" w:after="0" w:line="600" w:lineRule="exact"/>
        <w:ind w:left="0" w:leftChars="0" w:right="0" w:rightChars="0" w:firstLine="608" w:firstLineChars="0"/>
        <w:rPr>
          <w:rFonts w:ascii="仿宋_GB2312" w:hAnsi="仿宋_GB2312" w:eastAsia="仿宋_GB2312" w:cs="仿宋"/>
          <w:spacing w:val="2"/>
          <w:lang w:eastAsia="zh-CN"/>
        </w:rPr>
      </w:pPr>
      <w:r>
        <w:rPr>
          <w:rFonts w:hint="eastAsia" w:ascii="仿宋_GB2312" w:hAnsi="仿宋_GB2312" w:eastAsia="仿宋_GB2312" w:cs="黑体;SimHei"/>
          <w:b/>
          <w:bCs/>
          <w:color w:val="000000"/>
          <w:spacing w:val="2"/>
          <w:kern w:val="0"/>
          <w:sz w:val="30"/>
          <w:szCs w:val="30"/>
          <w:lang w:val="en-US" w:eastAsia="zh-CN" w:bidi="ar-SA"/>
        </w:rPr>
        <w:t xml:space="preserve">第四十六条 </w:t>
      </w:r>
      <w:r>
        <w:rPr>
          <w:rFonts w:ascii="仿宋_GB2312" w:hAnsi="仿宋_GB2312" w:eastAsia="仿宋_GB2312" w:cs="仿宋"/>
          <w:spacing w:val="2"/>
          <w:lang w:eastAsia="zh-CN"/>
        </w:rPr>
        <w:t>转板公司应披露采购情况和主要供应商，包括：</w:t>
      </w:r>
    </w:p>
    <w:p w14:paraId="16908EC6">
      <w:pPr>
        <w:pStyle w:val="3"/>
        <w:snapToGrid w:val="0"/>
        <w:spacing w:before="0" w:after="0" w:line="560" w:lineRule="exact"/>
        <w:ind w:left="0" w:right="0" w:firstLine="608"/>
        <w:jc w:val="both"/>
        <w:rPr>
          <w:rFonts w:ascii="仿宋_GB2312" w:hAnsi="仿宋_GB2312" w:eastAsia="仿宋_GB2312" w:cs="仿宋"/>
          <w:spacing w:val="2"/>
          <w:lang w:eastAsia="zh-CN"/>
        </w:rPr>
      </w:pPr>
      <w:r>
        <w:rPr>
          <w:rFonts w:ascii="仿宋_GB2312" w:hAnsi="仿宋_GB2312" w:eastAsia="仿宋_GB2312" w:cs="仿宋"/>
          <w:spacing w:val="2"/>
          <w:lang w:eastAsia="zh-CN"/>
        </w:rPr>
        <w:t>（一）报告期内采购产品、原材料、能源或接受服务的情况，相关价格变动情况及趋势；</w:t>
      </w:r>
    </w:p>
    <w:p w14:paraId="3C2917F3">
      <w:pPr>
        <w:spacing w:line="600" w:lineRule="exact"/>
        <w:ind w:right="0" w:firstLine="608"/>
        <w:rPr>
          <w:rFonts w:ascii="仿宋_GB2312" w:hAnsi="仿宋_GB2312" w:eastAsia="仿宋_GB2312" w:cs="Arial"/>
          <w:color w:val="000000"/>
          <w:sz w:val="30"/>
          <w:szCs w:val="30"/>
        </w:rPr>
      </w:pPr>
      <w:r>
        <w:rPr>
          <w:rFonts w:ascii="仿宋_GB2312" w:hAnsi="仿宋_GB2312" w:eastAsia="仿宋_GB2312" w:cs="仿宋"/>
          <w:spacing w:val="2"/>
          <w:sz w:val="30"/>
          <w:szCs w:val="30"/>
        </w:rPr>
        <w:t>（二）报告期内各期向前五名供应商合计的采购额占当期采购总额的百分比，向单个供应商的采购比例超过总额的百分之五十的、前五名供应商中存在新增供应商的或严重依赖于少数供应商的，应披露其名称或姓名、采购比例；受同一实际控制人控制的供应商，应合并计算采购额。</w:t>
      </w:r>
    </w:p>
    <w:p w14:paraId="0AC13248">
      <w:pPr>
        <w:pStyle w:val="21"/>
        <w:numPr>
          <w:ilvl w:val="0"/>
          <w:numId w:val="0"/>
        </w:numPr>
        <w:snapToGrid w:val="0"/>
        <w:spacing w:line="600" w:lineRule="exact"/>
        <w:ind w:left="0" w:leftChars="0" w:right="0" w:rightChars="0" w:firstLine="600" w:firstLineChars="0"/>
      </w:pPr>
      <w:r>
        <w:rPr>
          <w:rFonts w:hint="eastAsia" w:ascii="仿宋_GB2312" w:hAnsi="仿宋_GB2312" w:eastAsia="仿宋_GB2312" w:cs="黑体;SimHei"/>
          <w:b/>
          <w:bCs/>
          <w:color w:val="000000"/>
          <w:kern w:val="2"/>
          <w:sz w:val="30"/>
          <w:szCs w:val="30"/>
          <w:lang w:val="en-US" w:eastAsia="zh-CN" w:bidi="ar-SA"/>
        </w:rPr>
        <w:t xml:space="preserve">第四十七条 </w:t>
      </w:r>
      <w:r>
        <w:rPr>
          <w:rFonts w:ascii="仿宋_GB2312" w:hAnsi="仿宋_GB2312" w:eastAsia="仿宋_GB2312" w:cs="Arial"/>
          <w:color w:val="000000"/>
          <w:sz w:val="30"/>
          <w:szCs w:val="30"/>
        </w:rPr>
        <w:t>转板公司应披露对主要业务有重大影响的主要固定资产、无形资产等资源要素的构成，分析各要素与所提供产品或服务的内在联系，是否存在瑕疵、纠纷和潜在纠纷，是否对转板公司持续经营存在重大不利影响。</w:t>
      </w:r>
    </w:p>
    <w:p w14:paraId="46C0CAE3">
      <w:pPr>
        <w:spacing w:line="600" w:lineRule="exact"/>
        <w:ind w:right="0" w:firstLine="600"/>
        <w:rPr>
          <w:rFonts w:ascii="仿宋_GB2312" w:hAnsi="仿宋_GB2312" w:eastAsia="仿宋_GB2312" w:cs="Arial"/>
          <w:color w:val="000000"/>
          <w:sz w:val="30"/>
          <w:szCs w:val="30"/>
        </w:rPr>
      </w:pPr>
      <w:r>
        <w:rPr>
          <w:rFonts w:ascii="仿宋_GB2312" w:hAnsi="仿宋_GB2312" w:eastAsia="仿宋_GB2312" w:cs="Arial"/>
          <w:color w:val="000000"/>
          <w:sz w:val="30"/>
          <w:szCs w:val="30"/>
        </w:rPr>
        <w:t>转板公司与他人共享资源要素的，如特许经营权，应披露共享的方式、条件、期限、费用等。</w:t>
      </w:r>
    </w:p>
    <w:p w14:paraId="6F9ED346">
      <w:pPr>
        <w:pStyle w:val="21"/>
        <w:numPr>
          <w:ilvl w:val="0"/>
          <w:numId w:val="0"/>
        </w:numPr>
        <w:snapToGrid w:val="0"/>
        <w:spacing w:line="600" w:lineRule="exact"/>
        <w:ind w:left="0" w:leftChars="0" w:right="0" w:rightChars="0" w:firstLine="600" w:firstLineChars="0"/>
        <w:rPr>
          <w:rFonts w:ascii="仿宋_GB2312" w:hAnsi="仿宋_GB2312" w:eastAsia="仿宋_GB2312" w:cs="Arial"/>
          <w:color w:val="000000"/>
          <w:sz w:val="30"/>
          <w:szCs w:val="30"/>
        </w:rPr>
      </w:pPr>
      <w:r>
        <w:rPr>
          <w:rFonts w:hint="eastAsia" w:ascii="仿宋_GB2312" w:hAnsi="仿宋_GB2312" w:eastAsia="仿宋_GB2312" w:cs="黑体;SimHei"/>
          <w:b/>
          <w:bCs/>
          <w:color w:val="000000"/>
          <w:kern w:val="2"/>
          <w:sz w:val="30"/>
          <w:szCs w:val="30"/>
          <w:lang w:val="en-US" w:eastAsia="zh-CN" w:bidi="ar-SA"/>
        </w:rPr>
        <w:t xml:space="preserve">第四十八条 </w:t>
      </w:r>
      <w:r>
        <w:rPr>
          <w:rFonts w:ascii="仿宋_GB2312" w:hAnsi="仿宋_GB2312" w:eastAsia="仿宋_GB2312" w:cs="Arial"/>
          <w:color w:val="000000"/>
          <w:sz w:val="30"/>
          <w:szCs w:val="30"/>
        </w:rPr>
        <w:t>转板公司应披露主要产品或服务的核心技术及技术来源，结合行业技术水平和对</w:t>
      </w:r>
      <w:r>
        <w:rPr>
          <w:rFonts w:ascii="仿宋_GB2312" w:hAnsi="仿宋_GB2312" w:eastAsia="仿宋_GB2312"/>
          <w:sz w:val="30"/>
          <w:szCs w:val="30"/>
        </w:rPr>
        <w:t>行业</w:t>
      </w:r>
      <w:r>
        <w:rPr>
          <w:rFonts w:ascii="仿宋_GB2312" w:hAnsi="仿宋_GB2312" w:eastAsia="仿宋_GB2312" w:cs="Arial"/>
          <w:color w:val="000000"/>
          <w:sz w:val="30"/>
          <w:szCs w:val="30"/>
        </w:rPr>
        <w:t>的贡献，披露转板公司的技术先进性及具体表征。披露转板公司的核心技术是否取得专利或其他技术保护措施、在主营业务及产品或服务中的应用和贡献情况。</w:t>
      </w:r>
    </w:p>
    <w:p w14:paraId="3158F5C9">
      <w:pPr>
        <w:spacing w:line="600" w:lineRule="exact"/>
        <w:ind w:right="0" w:firstLine="600"/>
        <w:rPr>
          <w:rFonts w:ascii="仿宋_GB2312" w:hAnsi="仿宋_GB2312" w:eastAsia="仿宋_GB2312" w:cs="Arial"/>
          <w:color w:val="000000"/>
          <w:sz w:val="30"/>
          <w:szCs w:val="30"/>
        </w:rPr>
      </w:pPr>
      <w:r>
        <w:rPr>
          <w:rFonts w:ascii="仿宋_GB2312" w:hAnsi="仿宋_GB2312" w:eastAsia="仿宋_GB2312" w:cs="Arial"/>
          <w:color w:val="000000"/>
          <w:sz w:val="30"/>
          <w:szCs w:val="30"/>
        </w:rPr>
        <w:t>转板公司应披露核心技术的科研实力和成果情况，包括获得重要奖项，承担的重大科研项目情况等。</w:t>
      </w:r>
    </w:p>
    <w:p w14:paraId="4BDD79E0">
      <w:pPr>
        <w:spacing w:line="600" w:lineRule="exact"/>
        <w:ind w:right="0" w:firstLine="600"/>
        <w:rPr>
          <w:rFonts w:ascii="仿宋_GB2312" w:hAnsi="仿宋_GB2312" w:eastAsia="仿宋_GB2312" w:cs="Arial"/>
          <w:color w:val="000000"/>
          <w:sz w:val="30"/>
          <w:szCs w:val="30"/>
        </w:rPr>
      </w:pPr>
      <w:r>
        <w:rPr>
          <w:rFonts w:ascii="仿宋_GB2312" w:hAnsi="仿宋_GB2312" w:eastAsia="仿宋_GB2312" w:cs="Arial"/>
          <w:color w:val="000000"/>
          <w:sz w:val="30"/>
          <w:szCs w:val="30"/>
        </w:rPr>
        <w:t>转板公司应按重要性原则披露正在从事对转板公司目前或未来经营有重大影响的的研发项目、所处阶段及进展情况、相应人员、经费投入、拟达到的目标；结合行业技术发展趋势，披露相关科研项目与行业技术水平的比较；披露报告期内研发投入的构成、占营业收入的比例。与其他单位合作研发的，还应披露合作协议的主要内容，权利义务划分约定及采取的保密措施等。</w:t>
      </w:r>
    </w:p>
    <w:p w14:paraId="08DE7F16">
      <w:pPr>
        <w:spacing w:line="600" w:lineRule="exact"/>
        <w:ind w:right="0" w:firstLine="600"/>
        <w:rPr>
          <w:rFonts w:ascii="仿宋_GB2312" w:hAnsi="仿宋_GB2312" w:eastAsia="仿宋_GB2312" w:cs="Arial"/>
          <w:color w:val="000000"/>
          <w:sz w:val="30"/>
          <w:szCs w:val="30"/>
        </w:rPr>
      </w:pPr>
      <w:r>
        <w:rPr>
          <w:rFonts w:ascii="仿宋_GB2312" w:hAnsi="仿宋_GB2312" w:eastAsia="仿宋_GB2312" w:cs="Arial"/>
          <w:color w:val="000000"/>
          <w:sz w:val="30"/>
          <w:szCs w:val="30"/>
        </w:rPr>
        <w:t>转板公司应披露核心技术人员、研发人员占员工总数的比例，取得的专业资质及重要科研成果和获得奖项情况，对公司研发的具体贡献，转板公司对核心技术人员实施的约束激励措施。</w:t>
      </w:r>
    </w:p>
    <w:p w14:paraId="5FBC7BDE">
      <w:pPr>
        <w:spacing w:line="600" w:lineRule="exact"/>
        <w:ind w:right="0" w:firstLine="600"/>
        <w:rPr>
          <w:rFonts w:ascii="仿宋_GB2312" w:hAnsi="仿宋_GB2312" w:eastAsia="仿宋_GB2312" w:cs="Arial"/>
          <w:color w:val="000000"/>
          <w:sz w:val="30"/>
          <w:szCs w:val="30"/>
        </w:rPr>
      </w:pPr>
      <w:r>
        <w:rPr>
          <w:rFonts w:ascii="仿宋_GB2312" w:hAnsi="仿宋_GB2312" w:eastAsia="仿宋_GB2312" w:cs="Arial"/>
          <w:color w:val="000000"/>
          <w:sz w:val="30"/>
          <w:szCs w:val="30"/>
        </w:rPr>
        <w:t>转板公司应披露保持技术不断创新的机制、技术储备及技术创新的安排等。</w:t>
      </w:r>
    </w:p>
    <w:p w14:paraId="2425498E">
      <w:pPr>
        <w:pStyle w:val="21"/>
        <w:numPr>
          <w:ilvl w:val="0"/>
          <w:numId w:val="0"/>
        </w:numPr>
        <w:snapToGrid w:val="0"/>
        <w:spacing w:line="600" w:lineRule="exact"/>
        <w:ind w:left="0" w:leftChars="0" w:right="0" w:rightChars="0" w:firstLine="600" w:firstLineChars="0"/>
        <w:rPr>
          <w:rFonts w:ascii="仿宋_GB2312" w:hAnsi="仿宋_GB2312" w:eastAsia="仿宋_GB2312" w:cs="Arial"/>
          <w:color w:val="000000"/>
          <w:sz w:val="30"/>
          <w:szCs w:val="30"/>
        </w:rPr>
      </w:pPr>
      <w:r>
        <w:rPr>
          <w:rFonts w:hint="eastAsia" w:ascii="仿宋_GB2312" w:hAnsi="仿宋_GB2312" w:eastAsia="仿宋_GB2312" w:cs="黑体;SimHei"/>
          <w:b/>
          <w:bCs/>
          <w:color w:val="000000"/>
          <w:kern w:val="2"/>
          <w:sz w:val="30"/>
          <w:szCs w:val="30"/>
          <w:lang w:val="en-US" w:eastAsia="zh-CN" w:bidi="ar-SA"/>
        </w:rPr>
        <w:t xml:space="preserve">第四十九条 </w:t>
      </w:r>
      <w:r>
        <w:rPr>
          <w:rFonts w:ascii="仿宋_GB2312" w:hAnsi="仿宋_GB2312" w:eastAsia="仿宋_GB2312" w:cs="Arial"/>
          <w:color w:val="000000"/>
          <w:sz w:val="30"/>
          <w:szCs w:val="30"/>
        </w:rPr>
        <w:t>转板公司在中华人民共和国境外进行生产经营的，应披露经营的总体情况，并对有关业务活动进行地域性分析。转板公司在境外拥有资产的，应详细披露主要资产的具体内容、资产规模、所在地、经营管理和盈利情况等。</w:t>
      </w:r>
    </w:p>
    <w:p w14:paraId="72829C4B">
      <w:pPr>
        <w:numPr>
          <w:ilvl w:val="0"/>
          <w:numId w:val="0"/>
        </w:numPr>
        <w:snapToGrid w:val="0"/>
        <w:spacing w:line="600" w:lineRule="exact"/>
        <w:jc w:val="center"/>
        <w:outlineLvl w:val="2"/>
        <w:rPr>
          <w:rFonts w:ascii="仿宋_GB2312" w:hAnsi="仿宋_GB2312" w:eastAsia="仿宋_GB2312" w:cs="Calibri"/>
          <w:b/>
          <w:sz w:val="30"/>
          <w:szCs w:val="30"/>
        </w:rPr>
      </w:pPr>
      <w:r>
        <w:rPr>
          <w:rFonts w:ascii="仿宋_GB2312" w:hAnsi="仿宋_GB2312" w:eastAsia="仿宋_GB2312" w:cs="Calibri"/>
          <w:b/>
          <w:sz w:val="30"/>
          <w:szCs w:val="30"/>
        </w:rPr>
        <w:t>第六节 公司治理结构与内部控制制度</w:t>
      </w:r>
    </w:p>
    <w:p w14:paraId="217313C2">
      <w:pPr>
        <w:pStyle w:val="3"/>
        <w:numPr>
          <w:ilvl w:val="0"/>
          <w:numId w:val="0"/>
        </w:numPr>
        <w:snapToGrid w:val="0"/>
        <w:spacing w:before="0" w:after="0" w:line="600" w:lineRule="exact"/>
        <w:ind w:left="0" w:leftChars="0" w:right="0" w:rightChars="0" w:firstLine="600" w:firstLineChars="0"/>
        <w:rPr>
          <w:rFonts w:ascii="仿宋_GB2312" w:hAnsi="仿宋_GB2312" w:eastAsia="仿宋_GB2312" w:cs="Arial"/>
          <w:color w:val="000000"/>
          <w:kern w:val="2"/>
          <w:lang w:eastAsia="zh-CN"/>
        </w:rPr>
      </w:pPr>
      <w:r>
        <w:rPr>
          <w:rFonts w:hint="eastAsia" w:ascii="仿宋_GB2312" w:hAnsi="仿宋_GB2312" w:eastAsia="仿宋_GB2312" w:cs="黑体;SimHei"/>
          <w:b/>
          <w:bCs/>
          <w:color w:val="000000"/>
          <w:kern w:val="2"/>
          <w:sz w:val="30"/>
          <w:szCs w:val="30"/>
          <w:lang w:val="en-US" w:eastAsia="zh-CN" w:bidi="ar-SA"/>
        </w:rPr>
        <w:t xml:space="preserve">第五十条 </w:t>
      </w:r>
      <w:r>
        <w:rPr>
          <w:rFonts w:ascii="仿宋_GB2312" w:hAnsi="仿宋_GB2312" w:eastAsia="仿宋_GB2312" w:cs="Arial"/>
          <w:color w:val="000000"/>
          <w:kern w:val="2"/>
          <w:lang w:eastAsia="zh-CN"/>
        </w:rPr>
        <w:t>转板公司应披露股东大会、董事会、监事会、独立董事、董事会秘书制度的建立健全及运行情况，说明上述机构和人员履行职责的情况。结合《公司法》、中国证监会关于公司治理的有关规定及公司章程，披露报告期内转板公司治理存在的缺陷及整改情况，避免简单重复有关法律法规与《公司章程》的内容。</w:t>
      </w:r>
    </w:p>
    <w:p w14:paraId="18A18E54">
      <w:pPr>
        <w:snapToGrid w:val="0"/>
        <w:spacing w:line="600" w:lineRule="exact"/>
        <w:ind w:right="0" w:firstLine="600"/>
        <w:rPr>
          <w:rFonts w:ascii="仿宋_GB2312" w:hAnsi="仿宋_GB2312" w:eastAsia="仿宋_GB2312" w:cs="Arial"/>
          <w:color w:val="000000"/>
          <w:sz w:val="30"/>
          <w:szCs w:val="30"/>
        </w:rPr>
      </w:pPr>
      <w:r>
        <w:rPr>
          <w:rFonts w:ascii="仿宋_GB2312" w:hAnsi="仿宋_GB2312" w:eastAsia="仿宋_GB2312" w:cs="Arial"/>
          <w:color w:val="000000"/>
          <w:sz w:val="30"/>
          <w:szCs w:val="30"/>
        </w:rPr>
        <w:t>转板公司应披露战略、审计、提名、薪酬与考核等各专门委员会的设置情况。</w:t>
      </w:r>
    </w:p>
    <w:p w14:paraId="25FE460E">
      <w:pPr>
        <w:pStyle w:val="21"/>
        <w:numPr>
          <w:ilvl w:val="0"/>
          <w:numId w:val="0"/>
        </w:numPr>
        <w:snapToGrid w:val="0"/>
        <w:spacing w:line="600" w:lineRule="exact"/>
        <w:ind w:left="0" w:leftChars="0" w:right="0" w:rightChars="0" w:firstLine="600" w:firstLineChars="0"/>
        <w:rPr>
          <w:rFonts w:ascii="仿宋_GB2312" w:hAnsi="仿宋_GB2312" w:eastAsia="仿宋_GB2312"/>
          <w:sz w:val="30"/>
          <w:szCs w:val="30"/>
        </w:rPr>
      </w:pPr>
      <w:r>
        <w:rPr>
          <w:rFonts w:hint="eastAsia" w:ascii="仿宋_GB2312" w:hAnsi="仿宋_GB2312" w:eastAsia="仿宋_GB2312" w:cs="黑体;SimHei"/>
          <w:b/>
          <w:bCs/>
          <w:color w:val="000000"/>
          <w:kern w:val="2"/>
          <w:sz w:val="30"/>
          <w:szCs w:val="30"/>
          <w:lang w:val="en-US" w:eastAsia="zh-CN" w:bidi="ar-SA"/>
        </w:rPr>
        <w:t xml:space="preserve">第五十一条 </w:t>
      </w:r>
      <w:r>
        <w:rPr>
          <w:rFonts w:ascii="仿宋_GB2312" w:hAnsi="仿宋_GB2312" w:eastAsia="仿宋_GB2312"/>
          <w:sz w:val="30"/>
          <w:szCs w:val="30"/>
        </w:rPr>
        <w:t>转板公司存在特别表决权股份或类似安排的，应披露相关安排的基本情况，包括设置特别表决权安排的股东大会决议、特别表决权安排运行期限、持有人资格、特别表决权股份拥有的表决权数量与普通股份拥有表决权数量的比例安排、持有人所持特别表决权股份能够参与表决的股东大会事项范围、特别表决权股份锁定安排及转让限制等，还应披露差异化表决安排可能导致的相关风险和对公司治理的影响，以及相关投资者保护措施。</w:t>
      </w:r>
    </w:p>
    <w:p w14:paraId="6CCC67D6">
      <w:pPr>
        <w:pStyle w:val="21"/>
        <w:numPr>
          <w:ilvl w:val="0"/>
          <w:numId w:val="0"/>
        </w:numPr>
        <w:snapToGrid w:val="0"/>
        <w:spacing w:line="600" w:lineRule="exact"/>
        <w:ind w:left="0" w:leftChars="0" w:right="0" w:rightChars="0" w:firstLine="600" w:firstLineChars="0"/>
        <w:rPr>
          <w:rFonts w:ascii="仿宋_GB2312" w:hAnsi="仿宋_GB2312" w:eastAsia="仿宋_GB2312"/>
          <w:sz w:val="30"/>
          <w:szCs w:val="30"/>
        </w:rPr>
      </w:pPr>
      <w:r>
        <w:rPr>
          <w:rFonts w:hint="eastAsia" w:ascii="仿宋_GB2312" w:hAnsi="仿宋_GB2312" w:eastAsia="仿宋_GB2312" w:cs="黑体;SimHei"/>
          <w:b/>
          <w:bCs/>
          <w:color w:val="000000"/>
          <w:kern w:val="2"/>
          <w:sz w:val="30"/>
          <w:szCs w:val="30"/>
          <w:lang w:val="en-US" w:eastAsia="zh-CN" w:bidi="ar-SA"/>
        </w:rPr>
        <w:t xml:space="preserve">第五十二条 </w:t>
      </w:r>
      <w:r>
        <w:rPr>
          <w:rFonts w:ascii="仿宋_GB2312" w:hAnsi="仿宋_GB2312" w:eastAsia="仿宋_GB2312"/>
          <w:sz w:val="30"/>
          <w:szCs w:val="30"/>
        </w:rPr>
        <w:t>转板公司应披露公司管理层对内部控制完整性、合理性及有效性的自我评估意见以及注册会计师对公司内部控制的鉴证意见。注册会计师指出公司内部控制存在缺陷的，转板公司应披露存在的缺陷及整改情况。</w:t>
      </w:r>
    </w:p>
    <w:p w14:paraId="54EA001E">
      <w:pPr>
        <w:pStyle w:val="21"/>
        <w:numPr>
          <w:ilvl w:val="0"/>
          <w:numId w:val="0"/>
        </w:numPr>
        <w:snapToGrid w:val="0"/>
        <w:spacing w:line="600" w:lineRule="exact"/>
        <w:ind w:left="0" w:leftChars="0" w:right="0" w:rightChars="0" w:firstLine="600" w:firstLineChars="0"/>
        <w:rPr>
          <w:rFonts w:ascii="仿宋_GB2312" w:hAnsi="仿宋_GB2312" w:eastAsia="仿宋_GB2312"/>
          <w:sz w:val="30"/>
          <w:szCs w:val="30"/>
        </w:rPr>
      </w:pPr>
      <w:r>
        <w:rPr>
          <w:rFonts w:hint="eastAsia" w:ascii="仿宋_GB2312" w:hAnsi="仿宋_GB2312" w:eastAsia="仿宋_GB2312" w:cs="黑体;SimHei"/>
          <w:b/>
          <w:bCs/>
          <w:color w:val="000000"/>
          <w:kern w:val="2"/>
          <w:sz w:val="30"/>
          <w:szCs w:val="30"/>
          <w:lang w:val="en-US" w:eastAsia="zh-CN" w:bidi="ar-SA"/>
        </w:rPr>
        <w:t xml:space="preserve">第五十三条 </w:t>
      </w:r>
      <w:r>
        <w:rPr>
          <w:rFonts w:ascii="仿宋_GB2312" w:hAnsi="仿宋_GB2312" w:eastAsia="仿宋_GB2312"/>
          <w:sz w:val="30"/>
          <w:szCs w:val="30"/>
        </w:rPr>
        <w:t>转板公司应披露报告期内履行信息披露义务情况，按照重要性原则披露报告期内的违法违规行为及受到处罚、监管措施、纪律处分或自律监管措施的情况，并说明对转板公司的影响。</w:t>
      </w:r>
    </w:p>
    <w:p w14:paraId="225E3B7A">
      <w:pPr>
        <w:pStyle w:val="21"/>
        <w:numPr>
          <w:ilvl w:val="0"/>
          <w:numId w:val="0"/>
        </w:numPr>
        <w:snapToGrid w:val="0"/>
        <w:spacing w:line="600" w:lineRule="exact"/>
        <w:ind w:left="0" w:leftChars="0" w:right="0" w:rightChars="0" w:firstLine="600" w:firstLineChars="0"/>
        <w:rPr>
          <w:rFonts w:ascii="仿宋_GB2312" w:hAnsi="仿宋_GB2312" w:eastAsia="仿宋_GB2312"/>
          <w:sz w:val="30"/>
          <w:szCs w:val="30"/>
        </w:rPr>
      </w:pPr>
      <w:r>
        <w:rPr>
          <w:rFonts w:hint="eastAsia" w:ascii="仿宋_GB2312" w:hAnsi="仿宋_GB2312" w:eastAsia="仿宋_GB2312" w:cs="黑体;SimHei"/>
          <w:b/>
          <w:bCs/>
          <w:color w:val="000000"/>
          <w:kern w:val="2"/>
          <w:sz w:val="30"/>
          <w:szCs w:val="30"/>
          <w:lang w:val="en-US" w:eastAsia="zh-CN" w:bidi="ar-SA"/>
        </w:rPr>
        <w:t xml:space="preserve">第五十四条 </w:t>
      </w:r>
      <w:r>
        <w:rPr>
          <w:rFonts w:ascii="仿宋_GB2312" w:hAnsi="仿宋_GB2312" w:eastAsia="仿宋_GB2312"/>
          <w:sz w:val="30"/>
          <w:szCs w:val="30"/>
        </w:rPr>
        <w:t>转板公司应披露报告期内是否存在资金被控股股东、实际控制人及其控制的其他企业以借款、代偿债务、代垫款项或者其他方式占用的情况，或者为控股股东、实际控制人及其控制的其他企业担保的情况。</w:t>
      </w:r>
    </w:p>
    <w:p w14:paraId="2A0CD29A">
      <w:pPr>
        <w:pStyle w:val="3"/>
        <w:numPr>
          <w:ilvl w:val="0"/>
          <w:numId w:val="0"/>
        </w:numPr>
        <w:snapToGrid w:val="0"/>
        <w:spacing w:before="0" w:after="0" w:line="600" w:lineRule="exact"/>
        <w:ind w:left="0" w:leftChars="0" w:right="0" w:rightChars="0" w:firstLine="608" w:firstLineChars="0"/>
        <w:rPr>
          <w:rFonts w:ascii="仿宋_GB2312" w:hAnsi="仿宋_GB2312" w:eastAsia="仿宋_GB2312" w:cs="仿宋"/>
          <w:spacing w:val="2"/>
          <w:lang w:eastAsia="zh-CN"/>
        </w:rPr>
      </w:pPr>
      <w:r>
        <w:rPr>
          <w:rFonts w:hint="eastAsia" w:ascii="仿宋_GB2312" w:hAnsi="仿宋_GB2312" w:eastAsia="仿宋_GB2312" w:cs="黑体;SimHei"/>
          <w:b/>
          <w:bCs/>
          <w:color w:val="000000"/>
          <w:spacing w:val="2"/>
          <w:kern w:val="0"/>
          <w:sz w:val="30"/>
          <w:szCs w:val="30"/>
          <w:lang w:val="en-US" w:eastAsia="zh-CN" w:bidi="ar-SA"/>
        </w:rPr>
        <w:t xml:space="preserve">第五十五条 </w:t>
      </w:r>
      <w:r>
        <w:rPr>
          <w:rFonts w:ascii="仿宋_GB2312" w:hAnsi="仿宋_GB2312" w:eastAsia="仿宋_GB2312" w:cs="仿宋"/>
          <w:spacing w:val="2"/>
          <w:lang w:eastAsia="zh-CN"/>
        </w:rPr>
        <w:t>转板公司应按照科创板相关规则和上市公司治理的有关规定，分析其是否业务完整、具有直接面向市场独立持续经营的能力。如报告期内转板公司在资产完整、人员独立、财务独立、机构独立、业务独立以及主营业务、控制权、管理团队稳定、持续经营等方面存在对公司重大不利影响事项的，应当披露相关事项及整改情况。</w:t>
      </w:r>
    </w:p>
    <w:p w14:paraId="0B9C14E9">
      <w:pPr>
        <w:pStyle w:val="3"/>
        <w:numPr>
          <w:ilvl w:val="0"/>
          <w:numId w:val="0"/>
        </w:numPr>
        <w:snapToGrid w:val="0"/>
        <w:spacing w:line="600" w:lineRule="exact"/>
        <w:ind w:left="0" w:leftChars="0" w:right="0" w:rightChars="0" w:firstLine="608" w:firstLineChars="0"/>
        <w:rPr>
          <w:rFonts w:ascii="仿宋_GB2312" w:hAnsi="仿宋_GB2312" w:eastAsia="仿宋_GB2312" w:cs="仿宋"/>
          <w:spacing w:val="2"/>
          <w:lang w:eastAsia="zh-CN"/>
        </w:rPr>
      </w:pPr>
      <w:r>
        <w:rPr>
          <w:rFonts w:hint="eastAsia" w:ascii="仿宋_GB2312" w:hAnsi="仿宋_GB2312" w:eastAsia="仿宋_GB2312" w:cs="黑体;SimHei"/>
          <w:b/>
          <w:bCs/>
          <w:color w:val="000000"/>
          <w:spacing w:val="2"/>
          <w:kern w:val="0"/>
          <w:sz w:val="30"/>
          <w:szCs w:val="30"/>
          <w:lang w:val="en-US" w:eastAsia="zh-CN" w:bidi="ar-SA"/>
        </w:rPr>
        <w:t xml:space="preserve">第五十六条 </w:t>
      </w:r>
      <w:r>
        <w:rPr>
          <w:rFonts w:ascii="仿宋_GB2312" w:hAnsi="仿宋_GB2312" w:eastAsia="仿宋_GB2312" w:cs="仿宋"/>
          <w:spacing w:val="2"/>
          <w:lang w:eastAsia="zh-CN"/>
        </w:rPr>
        <w:t>转板公司应披露是否存在与控股股东、实际控制人及其控制的其他企业从事相同、相似业务的情况。如存在，应披露相应业务情况并对不存在对转板公司构成重大不利影响的同业竞争作出合理解释，并披露转板公司防范利益输送、利益冲突及保持独立性的具体安排等。</w:t>
      </w:r>
    </w:p>
    <w:p w14:paraId="46B036B4">
      <w:pPr>
        <w:pStyle w:val="3"/>
        <w:snapToGrid w:val="0"/>
        <w:spacing w:before="0" w:after="0" w:line="600" w:lineRule="exact"/>
        <w:ind w:left="0" w:right="0" w:firstLine="608"/>
        <w:jc w:val="both"/>
        <w:rPr>
          <w:rFonts w:ascii="仿宋_GB2312" w:hAnsi="仿宋_GB2312" w:eastAsia="仿宋_GB2312" w:cs="仿宋"/>
          <w:spacing w:val="2"/>
          <w:lang w:eastAsia="zh-CN"/>
        </w:rPr>
      </w:pPr>
      <w:r>
        <w:rPr>
          <w:rFonts w:ascii="仿宋_GB2312" w:hAnsi="仿宋_GB2312" w:eastAsia="仿宋_GB2312" w:cs="仿宋"/>
          <w:spacing w:val="2"/>
          <w:lang w:eastAsia="zh-CN"/>
        </w:rPr>
        <w:t>转板公司应披露控股股东、实际控制人作出的避免新增同业竞争的承诺。</w:t>
      </w:r>
    </w:p>
    <w:p w14:paraId="70A93E49">
      <w:pPr>
        <w:pStyle w:val="3"/>
        <w:numPr>
          <w:ilvl w:val="0"/>
          <w:numId w:val="0"/>
        </w:numPr>
        <w:snapToGrid w:val="0"/>
        <w:spacing w:before="0" w:after="0" w:line="600" w:lineRule="exact"/>
        <w:ind w:left="0" w:leftChars="0" w:right="0" w:rightChars="0" w:firstLine="608" w:firstLineChars="0"/>
        <w:rPr>
          <w:rFonts w:ascii="仿宋_GB2312" w:hAnsi="仿宋_GB2312" w:eastAsia="仿宋_GB2312" w:cs="仿宋"/>
          <w:spacing w:val="2"/>
          <w:lang w:eastAsia="zh-CN"/>
        </w:rPr>
      </w:pPr>
      <w:r>
        <w:rPr>
          <w:rFonts w:hint="eastAsia" w:ascii="仿宋_GB2312" w:hAnsi="仿宋_GB2312" w:eastAsia="仿宋_GB2312" w:cs="黑体;SimHei"/>
          <w:b/>
          <w:bCs/>
          <w:color w:val="000000"/>
          <w:spacing w:val="2"/>
          <w:kern w:val="0"/>
          <w:sz w:val="30"/>
          <w:szCs w:val="30"/>
          <w:lang w:val="en-US" w:eastAsia="zh-CN" w:bidi="ar-SA"/>
        </w:rPr>
        <w:t xml:space="preserve">第五十七条 </w:t>
      </w:r>
      <w:r>
        <w:rPr>
          <w:rFonts w:ascii="仿宋_GB2312" w:hAnsi="仿宋_GB2312" w:eastAsia="仿宋_GB2312" w:cs="仿宋"/>
          <w:spacing w:val="2"/>
          <w:lang w:eastAsia="zh-CN"/>
        </w:rPr>
        <w:t>转板公司应根据《公司法》、企业会计准则及中国证监会有关规定披露关联方、关联关系和关联交易。</w:t>
      </w:r>
    </w:p>
    <w:p w14:paraId="353E831E">
      <w:pPr>
        <w:pStyle w:val="3"/>
        <w:numPr>
          <w:ilvl w:val="0"/>
          <w:numId w:val="0"/>
        </w:numPr>
        <w:snapToGrid w:val="0"/>
        <w:spacing w:before="0" w:after="0" w:line="600" w:lineRule="exact"/>
        <w:ind w:left="0" w:leftChars="0" w:right="0" w:rightChars="0" w:firstLine="608" w:firstLineChars="0"/>
        <w:rPr>
          <w:rFonts w:ascii="仿宋_GB2312" w:hAnsi="仿宋_GB2312" w:eastAsia="仿宋_GB2312" w:cs="仿宋"/>
          <w:spacing w:val="2"/>
          <w:lang w:eastAsia="zh-CN"/>
        </w:rPr>
      </w:pPr>
      <w:r>
        <w:rPr>
          <w:rFonts w:hint="eastAsia" w:ascii="仿宋_GB2312" w:hAnsi="仿宋_GB2312" w:eastAsia="仿宋_GB2312" w:cs="黑体;SimHei"/>
          <w:b/>
          <w:bCs/>
          <w:color w:val="000000"/>
          <w:spacing w:val="2"/>
          <w:kern w:val="0"/>
          <w:sz w:val="30"/>
          <w:szCs w:val="30"/>
          <w:lang w:val="en-US" w:eastAsia="zh-CN" w:bidi="ar-SA"/>
        </w:rPr>
        <w:t xml:space="preserve">第五十八条 </w:t>
      </w:r>
      <w:r>
        <w:rPr>
          <w:rFonts w:ascii="仿宋_GB2312" w:hAnsi="仿宋_GB2312" w:eastAsia="仿宋_GB2312" w:cs="仿宋"/>
          <w:spacing w:val="2"/>
          <w:lang w:eastAsia="zh-CN"/>
        </w:rPr>
        <w:t>转板公司应披露报告期内发生的关联交易总体情况，并根据交易性质和频率，按照经常性和偶发性分类披露关联交易及关联交易对其财务状况和经营成果的影响。</w:t>
      </w:r>
    </w:p>
    <w:p w14:paraId="363BA1F4">
      <w:pPr>
        <w:pStyle w:val="3"/>
        <w:snapToGrid w:val="0"/>
        <w:spacing w:line="560" w:lineRule="exact"/>
        <w:ind w:right="0" w:firstLine="608"/>
        <w:rPr>
          <w:rFonts w:ascii="仿宋_GB2312" w:hAnsi="仿宋_GB2312" w:eastAsia="仿宋_GB2312" w:cs="仿宋"/>
          <w:spacing w:val="2"/>
          <w:lang w:eastAsia="zh-CN"/>
        </w:rPr>
      </w:pPr>
      <w:r>
        <w:rPr>
          <w:rFonts w:ascii="仿宋_GB2312" w:hAnsi="仿宋_GB2312" w:eastAsia="仿宋_GB2312" w:cs="仿宋"/>
          <w:spacing w:val="2"/>
          <w:lang w:eastAsia="zh-CN"/>
        </w:rPr>
        <w:t>转板公司应当区分重大关联交易和一般性关联交易，并披露重大关联交易的判断标准及依据。</w:t>
      </w:r>
    </w:p>
    <w:p w14:paraId="5BEDEC80">
      <w:pPr>
        <w:pStyle w:val="3"/>
        <w:snapToGrid w:val="0"/>
        <w:spacing w:line="560" w:lineRule="exact"/>
        <w:ind w:right="0" w:firstLine="608"/>
        <w:rPr>
          <w:rFonts w:ascii="仿宋_GB2312" w:hAnsi="仿宋_GB2312" w:eastAsia="仿宋_GB2312" w:cs="仿宋"/>
          <w:spacing w:val="2"/>
          <w:lang w:eastAsia="zh-CN"/>
        </w:rPr>
      </w:pPr>
      <w:r>
        <w:rPr>
          <w:rFonts w:ascii="仿宋_GB2312" w:hAnsi="仿宋_GB2312" w:eastAsia="仿宋_GB2312" w:cs="仿宋"/>
          <w:spacing w:val="2"/>
          <w:lang w:eastAsia="zh-CN"/>
        </w:rPr>
        <w:t>重大经常性的关联交易，应分别披露报告期内关联方名称、交易内容、交易价格确定方法、交易金额、占当期营业收入或营业成本的比重、占当期同类型交易比重以及关联交易增减变化趋势，与交易相关应收应付款项余额及增减变化原因，以及上述关联交易是否仍将持续进行。</w:t>
      </w:r>
    </w:p>
    <w:p w14:paraId="6D9423E3">
      <w:pPr>
        <w:pStyle w:val="3"/>
        <w:snapToGrid w:val="0"/>
        <w:spacing w:line="560" w:lineRule="exact"/>
        <w:ind w:right="0" w:firstLine="608"/>
        <w:rPr>
          <w:rFonts w:ascii="仿宋_GB2312" w:hAnsi="仿宋_GB2312" w:eastAsia="仿宋_GB2312" w:cs="仿宋"/>
          <w:spacing w:val="2"/>
          <w:lang w:eastAsia="zh-CN"/>
        </w:rPr>
      </w:pPr>
      <w:r>
        <w:rPr>
          <w:rFonts w:ascii="仿宋_GB2312" w:hAnsi="仿宋_GB2312" w:eastAsia="仿宋_GB2312" w:cs="仿宋"/>
          <w:spacing w:val="2"/>
          <w:lang w:eastAsia="zh-CN"/>
        </w:rPr>
        <w:t>重大偶发性关联交易，应披露关联方名称、交易时间、交易内容、交易金额、交易价格确定方法、资金结算情况、交易产生的利润及对转板公司当期经营成果的影响、交易对转板公司主营业务的影响。</w:t>
      </w:r>
    </w:p>
    <w:p w14:paraId="4C8AAE2A">
      <w:pPr>
        <w:pStyle w:val="3"/>
        <w:snapToGrid w:val="0"/>
        <w:spacing w:before="0" w:after="0" w:line="600" w:lineRule="exact"/>
        <w:ind w:left="0" w:right="0" w:firstLine="608"/>
        <w:rPr>
          <w:rFonts w:ascii="仿宋_GB2312" w:hAnsi="仿宋_GB2312" w:eastAsia="仿宋_GB2312" w:cs="仿宋"/>
          <w:spacing w:val="2"/>
          <w:lang w:eastAsia="zh-CN"/>
        </w:rPr>
      </w:pPr>
      <w:r>
        <w:rPr>
          <w:rFonts w:ascii="仿宋_GB2312" w:hAnsi="仿宋_GB2312" w:eastAsia="仿宋_GB2312" w:cs="仿宋"/>
          <w:spacing w:val="2"/>
          <w:lang w:eastAsia="zh-CN"/>
        </w:rPr>
        <w:t>转板公司应以汇总表的形式简要披露报告期内发生的全部一般性关联交易。</w:t>
      </w:r>
    </w:p>
    <w:p w14:paraId="2CFC7167">
      <w:pPr>
        <w:pStyle w:val="3"/>
        <w:numPr>
          <w:ilvl w:val="0"/>
          <w:numId w:val="0"/>
        </w:numPr>
        <w:snapToGrid w:val="0"/>
        <w:spacing w:before="0" w:after="0" w:line="600" w:lineRule="exact"/>
        <w:ind w:left="0" w:leftChars="0" w:right="0" w:rightChars="0" w:firstLine="608" w:firstLineChars="0"/>
        <w:rPr>
          <w:rFonts w:ascii="仿宋_GB2312" w:hAnsi="仿宋_GB2312" w:eastAsia="仿宋_GB2312" w:cs="仿宋"/>
          <w:spacing w:val="2"/>
          <w:lang w:eastAsia="zh-CN"/>
        </w:rPr>
      </w:pPr>
      <w:r>
        <w:rPr>
          <w:rFonts w:hint="eastAsia" w:ascii="仿宋_GB2312" w:hAnsi="仿宋_GB2312" w:eastAsia="仿宋_GB2312" w:cs="黑体;SimHei"/>
          <w:b/>
          <w:bCs/>
          <w:color w:val="000000"/>
          <w:spacing w:val="2"/>
          <w:kern w:val="0"/>
          <w:sz w:val="30"/>
          <w:szCs w:val="30"/>
          <w:lang w:val="en-US" w:eastAsia="zh-CN" w:bidi="ar-SA"/>
        </w:rPr>
        <w:t xml:space="preserve">第五十九条 </w:t>
      </w:r>
      <w:r>
        <w:rPr>
          <w:rFonts w:ascii="仿宋_GB2312" w:hAnsi="仿宋_GB2312" w:eastAsia="仿宋_GB2312" w:cs="仿宋"/>
          <w:spacing w:val="2"/>
          <w:lang w:eastAsia="zh-CN"/>
        </w:rPr>
        <w:t>转板公司应披露重大关联交易的原因，报告期内发生的重大关联交易是否履行了公司章程规定的程序。</w:t>
      </w:r>
    </w:p>
    <w:p w14:paraId="1800D58E">
      <w:pPr>
        <w:pStyle w:val="3"/>
        <w:numPr>
          <w:ilvl w:val="0"/>
          <w:numId w:val="0"/>
        </w:numPr>
        <w:snapToGrid w:val="0"/>
        <w:spacing w:before="0" w:after="0" w:line="600" w:lineRule="exact"/>
        <w:ind w:left="0" w:leftChars="0" w:right="0" w:rightChars="0" w:firstLine="608" w:firstLineChars="0"/>
        <w:rPr>
          <w:rFonts w:ascii="仿宋" w:hAnsi="仿宋" w:eastAsia="仿宋" w:cs="仿宋"/>
          <w:spacing w:val="2"/>
          <w:lang w:eastAsia="zh-CN"/>
        </w:rPr>
      </w:pPr>
      <w:r>
        <w:rPr>
          <w:rFonts w:hint="eastAsia" w:ascii="仿宋_GB2312" w:hAnsi="仿宋_GB2312" w:eastAsia="仿宋_GB2312" w:cs="黑体;SimHei"/>
          <w:b/>
          <w:bCs/>
          <w:color w:val="000000"/>
          <w:spacing w:val="2"/>
          <w:kern w:val="0"/>
          <w:sz w:val="30"/>
          <w:szCs w:val="30"/>
          <w:lang w:val="en-US" w:eastAsia="zh-CN" w:bidi="ar-SA"/>
        </w:rPr>
        <w:t xml:space="preserve">第六十条 </w:t>
      </w:r>
      <w:r>
        <w:rPr>
          <w:rFonts w:ascii="仿宋_GB2312" w:hAnsi="仿宋_GB2312" w:eastAsia="仿宋_GB2312" w:cs="仿宋"/>
          <w:spacing w:val="2"/>
          <w:lang w:eastAsia="zh-CN"/>
        </w:rPr>
        <w:t>转板公司应披露报告期内关联方的变化情况及原因。由关联方变为非关联方的，转板公司应比照关联交易的要求持续披露与上述原关联方的后续交易情况，以及相关资产、人员的去向等。</w:t>
      </w:r>
    </w:p>
    <w:p w14:paraId="7FAA7486">
      <w:pPr>
        <w:numPr>
          <w:ilvl w:val="0"/>
          <w:numId w:val="0"/>
        </w:numPr>
        <w:snapToGrid w:val="0"/>
        <w:spacing w:line="600" w:lineRule="exact"/>
        <w:jc w:val="center"/>
        <w:outlineLvl w:val="2"/>
        <w:rPr>
          <w:rFonts w:ascii="仿宋_GB2312" w:hAnsi="仿宋_GB2312" w:eastAsia="仿宋_GB2312" w:cs="Calibri"/>
          <w:b/>
          <w:sz w:val="30"/>
          <w:szCs w:val="30"/>
        </w:rPr>
      </w:pPr>
      <w:r>
        <w:rPr>
          <w:rFonts w:ascii="仿宋_GB2312" w:hAnsi="仿宋_GB2312" w:eastAsia="仿宋_GB2312" w:cs="Calibri"/>
          <w:b/>
          <w:sz w:val="30"/>
          <w:szCs w:val="30"/>
        </w:rPr>
        <w:t>第七节 财务会计信息与管理层分析</w:t>
      </w:r>
    </w:p>
    <w:p w14:paraId="487CDCDD">
      <w:pPr>
        <w:pStyle w:val="21"/>
        <w:numPr>
          <w:ilvl w:val="0"/>
          <w:numId w:val="0"/>
        </w:numPr>
        <w:snapToGrid w:val="0"/>
        <w:spacing w:line="600" w:lineRule="exact"/>
        <w:ind w:left="0" w:leftChars="0" w:right="0" w:rightChars="0" w:firstLine="600" w:firstLineChars="0"/>
        <w:rPr>
          <w:rFonts w:ascii="仿宋_GB2312" w:hAnsi="仿宋_GB2312" w:eastAsia="仿宋_GB2312"/>
          <w:sz w:val="30"/>
          <w:szCs w:val="30"/>
        </w:rPr>
      </w:pPr>
      <w:r>
        <w:rPr>
          <w:rFonts w:hint="eastAsia" w:ascii="仿宋_GB2312" w:hAnsi="仿宋_GB2312" w:eastAsia="仿宋_GB2312" w:cs="黑体;SimHei"/>
          <w:b/>
          <w:bCs/>
          <w:color w:val="000000"/>
          <w:kern w:val="2"/>
          <w:sz w:val="30"/>
          <w:szCs w:val="30"/>
          <w:lang w:val="en-US" w:eastAsia="zh-CN" w:bidi="ar-SA"/>
        </w:rPr>
        <w:t xml:space="preserve">第六十一条 </w:t>
      </w:r>
      <w:r>
        <w:rPr>
          <w:rFonts w:ascii="仿宋_GB2312" w:hAnsi="仿宋_GB2312" w:eastAsia="仿宋_GB2312"/>
          <w:sz w:val="30"/>
          <w:szCs w:val="30"/>
        </w:rPr>
        <w:t>转板公司应使用投资者可理解的语言，采用定量与定性相结合的方法，清晰披露所有重大财务会计信息，并结合自身业务特点和投资者决策需要，分析重要财务会计信息的构成、来源与变化等情况，保证财务会计信息与业务经营信息的一致性。</w:t>
      </w:r>
    </w:p>
    <w:p w14:paraId="5BE5CA23">
      <w:pPr>
        <w:pStyle w:val="21"/>
        <w:snapToGrid w:val="0"/>
        <w:spacing w:line="600" w:lineRule="exact"/>
        <w:ind w:right="0" w:firstLine="600"/>
        <w:rPr>
          <w:rFonts w:ascii="仿宋_GB2312" w:hAnsi="仿宋_GB2312" w:eastAsia="仿宋_GB2312"/>
          <w:sz w:val="30"/>
          <w:szCs w:val="30"/>
        </w:rPr>
      </w:pPr>
      <w:r>
        <w:rPr>
          <w:rFonts w:ascii="仿宋_GB2312" w:hAnsi="仿宋_GB2312" w:eastAsia="仿宋_GB2312" w:cs="Times New Roman"/>
          <w:sz w:val="30"/>
          <w:szCs w:val="30"/>
        </w:rPr>
        <w:t>转板公司应披露与财务会计信息相关的重大事项或重要性水平的判断标准。</w:t>
      </w:r>
    </w:p>
    <w:p w14:paraId="5C404F83">
      <w:pPr>
        <w:snapToGrid w:val="0"/>
        <w:spacing w:line="600" w:lineRule="exact"/>
        <w:ind w:right="0" w:firstLine="600"/>
        <w:rPr>
          <w:rFonts w:ascii="仿宋_GB2312" w:hAnsi="仿宋_GB2312" w:eastAsia="仿宋_GB2312"/>
          <w:sz w:val="30"/>
          <w:szCs w:val="30"/>
        </w:rPr>
      </w:pPr>
      <w:r>
        <w:rPr>
          <w:rFonts w:ascii="仿宋_GB2312" w:hAnsi="仿宋_GB2312" w:eastAsia="仿宋_GB2312"/>
          <w:sz w:val="30"/>
          <w:szCs w:val="30"/>
        </w:rPr>
        <w:t>转板公司应提示投资者阅读财务报告及审计报告全文。</w:t>
      </w:r>
    </w:p>
    <w:p w14:paraId="521950BC">
      <w:pPr>
        <w:pStyle w:val="21"/>
        <w:numPr>
          <w:ilvl w:val="0"/>
          <w:numId w:val="0"/>
        </w:numPr>
        <w:snapToGrid w:val="0"/>
        <w:spacing w:line="600" w:lineRule="exact"/>
        <w:ind w:left="0" w:leftChars="0" w:right="0" w:rightChars="0" w:firstLine="600" w:firstLineChars="0"/>
        <w:rPr>
          <w:rFonts w:ascii="仿宋_GB2312" w:hAnsi="仿宋_GB2312" w:eastAsia="仿宋_GB2312"/>
          <w:sz w:val="30"/>
          <w:szCs w:val="30"/>
        </w:rPr>
      </w:pPr>
      <w:r>
        <w:rPr>
          <w:rFonts w:hint="eastAsia" w:ascii="仿宋_GB2312" w:hAnsi="仿宋_GB2312" w:eastAsia="仿宋_GB2312" w:cs="黑体;SimHei"/>
          <w:b/>
          <w:bCs/>
          <w:color w:val="000000"/>
          <w:kern w:val="2"/>
          <w:sz w:val="30"/>
          <w:szCs w:val="30"/>
          <w:lang w:val="en-US" w:eastAsia="zh-CN" w:bidi="ar-SA"/>
        </w:rPr>
        <w:t xml:space="preserve">第六十二条 </w:t>
      </w:r>
      <w:r>
        <w:rPr>
          <w:rFonts w:ascii="仿宋_GB2312" w:hAnsi="仿宋_GB2312" w:eastAsia="仿宋_GB2312"/>
          <w:sz w:val="30"/>
          <w:szCs w:val="30"/>
        </w:rPr>
        <w:t>转板公司应披露报告期的资产负债表、利润表和现金流量表，以及会计师事务所的审计意见类型和关键审计事项。转板公司编制合并财务报表的，原则上只需披露合并财务报表，同时说明合并财务报表的编制基础、合并范围及变化情况。但合并财务报表与母公司财务报表存在显著差异的，应披露母公司财务报表。转板公司存在多个业务或地区分部的，应披露分部信息。</w:t>
      </w:r>
    </w:p>
    <w:p w14:paraId="71D6001D">
      <w:pPr>
        <w:pStyle w:val="21"/>
        <w:numPr>
          <w:ilvl w:val="0"/>
          <w:numId w:val="0"/>
        </w:numPr>
        <w:snapToGrid w:val="0"/>
        <w:spacing w:line="600" w:lineRule="exact"/>
        <w:ind w:left="0" w:leftChars="0" w:right="0" w:rightChars="0" w:firstLine="600" w:firstLineChars="0"/>
        <w:rPr>
          <w:rFonts w:ascii="仿宋_GB2312" w:hAnsi="仿宋_GB2312" w:eastAsia="仿宋_GB2312"/>
          <w:sz w:val="30"/>
          <w:szCs w:val="30"/>
        </w:rPr>
      </w:pPr>
      <w:r>
        <w:rPr>
          <w:rFonts w:hint="eastAsia" w:ascii="仿宋_GB2312" w:hAnsi="仿宋_GB2312" w:eastAsia="仿宋_GB2312" w:cs="黑体;SimHei"/>
          <w:b/>
          <w:bCs/>
          <w:color w:val="000000"/>
          <w:kern w:val="2"/>
          <w:sz w:val="30"/>
          <w:szCs w:val="30"/>
          <w:lang w:val="en-US" w:eastAsia="zh-CN" w:bidi="ar-SA"/>
        </w:rPr>
        <w:t xml:space="preserve">第六十三条 </w:t>
      </w:r>
      <w:r>
        <w:rPr>
          <w:rFonts w:ascii="仿宋_GB2312" w:hAnsi="仿宋_GB2312" w:eastAsia="仿宋_GB2312"/>
          <w:sz w:val="30"/>
          <w:szCs w:val="30"/>
        </w:rPr>
        <w:t>转板公司应结合自身业务活动实质、经营模式特点等，披露有助于投资者理解公司财务状况和经营成果的重大会计政策和会计估计，针对性披露会计政策和会计估计的具体执行标准，不应重述一般会计原则。</w:t>
      </w:r>
    </w:p>
    <w:p w14:paraId="19B21447">
      <w:pPr>
        <w:snapToGrid w:val="0"/>
        <w:spacing w:line="600" w:lineRule="exact"/>
        <w:ind w:right="0" w:firstLine="600"/>
        <w:rPr>
          <w:rFonts w:ascii="仿宋_GB2312" w:hAnsi="仿宋_GB2312" w:eastAsia="仿宋_GB2312"/>
          <w:sz w:val="30"/>
          <w:szCs w:val="30"/>
        </w:rPr>
      </w:pPr>
      <w:r>
        <w:rPr>
          <w:rFonts w:ascii="仿宋_GB2312" w:hAnsi="仿宋_GB2312" w:eastAsia="仿宋_GB2312"/>
          <w:sz w:val="30"/>
          <w:szCs w:val="30"/>
        </w:rPr>
        <w:t>转板公司重大会计政策或会计估计与同行业可比上市公司存在较大差异的，应分析该差异产生的原因及对公司的影响。转板公司报告期存在重大会计政策变更、会计估计变更、会计差错更正的，应披露变更或更正的具体内容、理由及对转板公司财务状况、经营成果的影响</w:t>
      </w:r>
    </w:p>
    <w:p w14:paraId="1133180F">
      <w:pPr>
        <w:pStyle w:val="21"/>
        <w:numPr>
          <w:ilvl w:val="0"/>
          <w:numId w:val="0"/>
        </w:numPr>
        <w:snapToGrid w:val="0"/>
        <w:spacing w:line="600" w:lineRule="exact"/>
        <w:ind w:left="0" w:leftChars="0" w:right="0" w:rightChars="0" w:firstLine="600" w:firstLineChars="0"/>
        <w:rPr>
          <w:rFonts w:ascii="仿宋_GB2312" w:hAnsi="仿宋_GB2312" w:eastAsia="仿宋_GB2312"/>
          <w:sz w:val="30"/>
          <w:szCs w:val="30"/>
        </w:rPr>
      </w:pPr>
      <w:r>
        <w:rPr>
          <w:rFonts w:hint="eastAsia" w:ascii="仿宋_GB2312" w:hAnsi="仿宋_GB2312" w:eastAsia="仿宋_GB2312" w:cs="黑体;SimHei"/>
          <w:b/>
          <w:bCs/>
          <w:color w:val="000000"/>
          <w:kern w:val="2"/>
          <w:sz w:val="30"/>
          <w:szCs w:val="30"/>
          <w:lang w:val="en-US" w:eastAsia="zh-CN" w:bidi="ar-SA"/>
        </w:rPr>
        <w:t xml:space="preserve">第六十四条 </w:t>
      </w:r>
      <w:r>
        <w:rPr>
          <w:rFonts w:ascii="仿宋_GB2312" w:hAnsi="仿宋_GB2312" w:eastAsia="仿宋_GB2312"/>
          <w:sz w:val="30"/>
          <w:szCs w:val="30"/>
        </w:rPr>
        <w:t>转板公司应依据经注册会计师鉴证的非经常性损益明细表，以合并财务报表的数据为基础，披露报告期非经常性损益的具体内容、金额及对当期经营成果的影响，并计算报告期扣除非经常性损益后的净利润金额。</w:t>
      </w:r>
    </w:p>
    <w:p w14:paraId="32035A80">
      <w:pPr>
        <w:pStyle w:val="21"/>
        <w:numPr>
          <w:ilvl w:val="0"/>
          <w:numId w:val="0"/>
        </w:numPr>
        <w:snapToGrid w:val="0"/>
        <w:spacing w:line="600" w:lineRule="exact"/>
        <w:ind w:left="0" w:leftChars="0" w:right="0" w:rightChars="0" w:firstLine="600" w:firstLineChars="0"/>
        <w:rPr>
          <w:rFonts w:ascii="仿宋_GB2312" w:hAnsi="仿宋_GB2312" w:eastAsia="仿宋_GB2312"/>
          <w:sz w:val="30"/>
          <w:szCs w:val="30"/>
        </w:rPr>
      </w:pPr>
      <w:r>
        <w:rPr>
          <w:rFonts w:hint="eastAsia" w:ascii="仿宋_GB2312" w:hAnsi="仿宋_GB2312" w:eastAsia="仿宋_GB2312" w:cs="黑体;SimHei"/>
          <w:b/>
          <w:bCs/>
          <w:color w:val="000000"/>
          <w:kern w:val="2"/>
          <w:sz w:val="30"/>
          <w:szCs w:val="30"/>
          <w:lang w:val="en-US" w:eastAsia="zh-CN" w:bidi="ar-SA"/>
        </w:rPr>
        <w:t xml:space="preserve">第六十五条 </w:t>
      </w:r>
      <w:r>
        <w:rPr>
          <w:rFonts w:ascii="仿宋_GB2312" w:hAnsi="仿宋_GB2312" w:eastAsia="仿宋_GB2312"/>
          <w:sz w:val="30"/>
          <w:szCs w:val="30"/>
        </w:rPr>
        <w:t>转板公司应披露报告期内母公司及重要子公司、各主要业务所适用的主要税种、税率。存在税收减、免、返、退或其他税收优惠的，应按税种分项说明相关法律法规或政策依据、批准或备案认定情况、具体幅度及有效期限。</w:t>
      </w:r>
    </w:p>
    <w:p w14:paraId="15920D64">
      <w:pPr>
        <w:snapToGrid w:val="0"/>
        <w:spacing w:line="600" w:lineRule="exact"/>
        <w:ind w:right="0" w:firstLine="600"/>
        <w:rPr>
          <w:rFonts w:ascii="仿宋_GB2312" w:hAnsi="仿宋_GB2312" w:eastAsia="仿宋_GB2312"/>
          <w:sz w:val="30"/>
          <w:szCs w:val="30"/>
        </w:rPr>
      </w:pPr>
      <w:r>
        <w:rPr>
          <w:rFonts w:ascii="仿宋_GB2312" w:hAnsi="仿宋_GB2312" w:eastAsia="仿宋_GB2312"/>
          <w:sz w:val="30"/>
          <w:szCs w:val="30"/>
        </w:rPr>
        <w:t>报告期内转板公司税收政策存在重大变化或者税收优惠政策对转板公司经营成果有重大影响的，转板公司应披露税收政策变化对经营成果的影响情况或者报告期内每期税收优惠占税前利润的比例，并对转板公司是否对税收优惠存在严重依赖、未来税收优惠的可持续性等进行分析。</w:t>
      </w:r>
    </w:p>
    <w:p w14:paraId="39AA5910">
      <w:pPr>
        <w:pStyle w:val="21"/>
        <w:numPr>
          <w:ilvl w:val="0"/>
          <w:numId w:val="0"/>
        </w:numPr>
        <w:snapToGrid w:val="0"/>
        <w:spacing w:line="600" w:lineRule="exact"/>
        <w:ind w:left="0" w:leftChars="0" w:right="0" w:rightChars="0" w:firstLine="600" w:firstLineChars="0"/>
        <w:rPr>
          <w:rFonts w:ascii="仿宋_GB2312" w:hAnsi="仿宋_GB2312" w:eastAsia="仿宋_GB2312" w:cs="Times New Roman"/>
          <w:sz w:val="30"/>
          <w:szCs w:val="30"/>
        </w:rPr>
      </w:pPr>
      <w:r>
        <w:rPr>
          <w:rFonts w:hint="eastAsia" w:ascii="仿宋_GB2312" w:hAnsi="仿宋_GB2312" w:eastAsia="仿宋_GB2312" w:cs="黑体;SimHei"/>
          <w:b/>
          <w:bCs/>
          <w:color w:val="000000"/>
          <w:kern w:val="2"/>
          <w:sz w:val="30"/>
          <w:szCs w:val="30"/>
          <w:lang w:val="en-US" w:eastAsia="zh-CN" w:bidi="ar-SA"/>
        </w:rPr>
        <w:t xml:space="preserve">第六十六条 </w:t>
      </w:r>
      <w:r>
        <w:rPr>
          <w:rFonts w:ascii="仿宋_GB2312" w:hAnsi="仿宋_GB2312" w:eastAsia="仿宋_GB2312" w:cs="Times New Roman"/>
          <w:sz w:val="30"/>
          <w:szCs w:val="30"/>
        </w:rPr>
        <w:t>转板公司应结合所在行业特征，针对性地列表披露报告期的主要财务指标。主要包括流动比率、速动比率、资产负债率、应收账款周转率、存货周转率、息税折旧摊销前利润、归属于转板公司股东的净利润、归属于转板公司股东扣除非经常性损益后的净利润、研发投入占营业收入的比例、每股经营活动产生的现金流量、每股净现金流量、基本每股收益、归属于转板公司股东的每股净资产、净资产收益率。其中，净资产收益率和每股收益的计算应执行中国证监会的有关规定。</w:t>
      </w:r>
    </w:p>
    <w:p w14:paraId="1BC99004">
      <w:pPr>
        <w:pStyle w:val="21"/>
        <w:numPr>
          <w:ilvl w:val="0"/>
          <w:numId w:val="0"/>
        </w:numPr>
        <w:snapToGrid w:val="0"/>
        <w:spacing w:line="600" w:lineRule="exact"/>
        <w:ind w:left="0" w:leftChars="0" w:right="0" w:rightChars="0" w:firstLine="600" w:firstLineChars="0"/>
        <w:rPr>
          <w:rFonts w:ascii="仿宋_GB2312" w:hAnsi="仿宋_GB2312" w:eastAsia="仿宋_GB2312"/>
          <w:b w:val="0"/>
          <w:bCs w:val="0"/>
          <w:sz w:val="30"/>
          <w:szCs w:val="30"/>
        </w:rPr>
      </w:pPr>
      <w:r>
        <w:rPr>
          <w:rFonts w:hint="eastAsia" w:ascii="仿宋_GB2312" w:hAnsi="仿宋_GB2312" w:eastAsia="仿宋_GB2312" w:cs="黑体;SimHei"/>
          <w:b/>
          <w:bCs/>
          <w:color w:val="000000"/>
          <w:kern w:val="2"/>
          <w:sz w:val="30"/>
          <w:szCs w:val="30"/>
          <w:lang w:val="en-US" w:eastAsia="zh-CN" w:bidi="ar-SA"/>
        </w:rPr>
        <w:t xml:space="preserve">第六十七条 </w:t>
      </w:r>
      <w:r>
        <w:rPr>
          <w:rFonts w:hint="eastAsia" w:ascii="仿宋_GB2312" w:hAnsi="仿宋_GB2312" w:eastAsia="仿宋_GB2312" w:cs="黑体;SimHei"/>
          <w:b w:val="0"/>
          <w:bCs w:val="0"/>
          <w:color w:val="000000"/>
          <w:kern w:val="2"/>
          <w:sz w:val="30"/>
          <w:szCs w:val="30"/>
          <w:lang w:val="en-US" w:eastAsia="zh-CN" w:bidi="ar-SA"/>
        </w:rPr>
        <w:t>转板公司的管理层分析一般应包括转板公司的经营成果，资产质量，偿债能力、流动性与持续经营能力，转板公司的重大资本性支出与资产业务重组等方面。转板公司应明确披露对上述方面有重大影响的关键因素及其影响程度，并分析该等因素对公司未来财务状况和盈利能力可能产生的影响；如果目前已经存在新的趋势或变化，可能对公司未来财务状况和盈利能力产生重大影响的，应分析影响情况。</w:t>
      </w:r>
    </w:p>
    <w:p w14:paraId="46EA1355">
      <w:pPr>
        <w:snapToGrid w:val="0"/>
        <w:spacing w:line="600" w:lineRule="exact"/>
        <w:ind w:right="0" w:firstLine="600"/>
        <w:jc w:val="left"/>
        <w:rPr>
          <w:rFonts w:ascii="仿宋_GB2312" w:hAnsi="仿宋_GB2312" w:eastAsia="仿宋_GB2312"/>
          <w:sz w:val="30"/>
          <w:szCs w:val="30"/>
        </w:rPr>
      </w:pPr>
      <w:r>
        <w:rPr>
          <w:rFonts w:ascii="仿宋_GB2312" w:hAnsi="仿宋_GB2312" w:eastAsia="仿宋_GB2312"/>
          <w:sz w:val="30"/>
          <w:szCs w:val="30"/>
        </w:rPr>
        <w:t>影响因素的分析不应仅限于财务因素，还应包括非财务因素，并将财务会计信息与业务经营信息互为对比印证；不应简单重述财务报表或附注内容，应选择使用逐年比较、差异因素量化计算、同行业公司对比等易于理解的分析方式。</w:t>
      </w:r>
    </w:p>
    <w:p w14:paraId="6229A2C2">
      <w:pPr>
        <w:pStyle w:val="21"/>
        <w:snapToGrid w:val="0"/>
        <w:spacing w:line="600" w:lineRule="exact"/>
        <w:ind w:right="0" w:firstLine="600"/>
        <w:rPr>
          <w:rFonts w:ascii="仿宋_GB2312" w:hAnsi="仿宋_GB2312" w:eastAsia="仿宋_GB2312"/>
          <w:sz w:val="30"/>
          <w:szCs w:val="30"/>
        </w:rPr>
      </w:pPr>
      <w:r>
        <w:rPr>
          <w:rFonts w:ascii="仿宋_GB2312" w:hAnsi="仿宋_GB2312" w:eastAsia="仿宋_GB2312"/>
          <w:sz w:val="30"/>
          <w:szCs w:val="30"/>
        </w:rPr>
        <w:t>转板公司对经营成果、资产质量及偿债能力、流动性与持续经营能力的分析一般应包括但不限于</w:t>
      </w:r>
      <w:r>
        <w:rPr>
          <w:rFonts w:hint="eastAsia" w:ascii="仿宋_GB2312" w:hAnsi="仿宋_GB2312" w:eastAsia="仿宋_GB2312"/>
          <w:sz w:val="30"/>
          <w:szCs w:val="30"/>
          <w:lang w:eastAsia="zh-CN"/>
        </w:rPr>
        <w:t>第六十八条</w:t>
      </w:r>
      <w:r>
        <w:rPr>
          <w:rFonts w:ascii="仿宋_GB2312" w:hAnsi="仿宋_GB2312" w:eastAsia="仿宋_GB2312"/>
          <w:sz w:val="30"/>
          <w:szCs w:val="30"/>
        </w:rPr>
        <w:t>至</w:t>
      </w:r>
      <w:r>
        <w:rPr>
          <w:rFonts w:hint="eastAsia" w:ascii="仿宋_GB2312" w:hAnsi="仿宋_GB2312" w:eastAsia="仿宋_GB2312"/>
          <w:sz w:val="30"/>
          <w:szCs w:val="30"/>
          <w:lang w:eastAsia="zh-CN"/>
        </w:rPr>
        <w:t>第七十一条</w:t>
      </w:r>
      <w:r>
        <w:rPr>
          <w:rFonts w:ascii="仿宋_GB2312" w:hAnsi="仿宋_GB2312" w:eastAsia="仿宋_GB2312"/>
          <w:sz w:val="30"/>
          <w:szCs w:val="30"/>
        </w:rPr>
        <w:t>的内容，但转板公司可视实际情况并根据重要性原则进行增减。</w:t>
      </w:r>
    </w:p>
    <w:p w14:paraId="74572918">
      <w:pPr>
        <w:pStyle w:val="21"/>
        <w:numPr>
          <w:ilvl w:val="0"/>
          <w:numId w:val="0"/>
        </w:numPr>
        <w:snapToGrid w:val="0"/>
        <w:spacing w:line="600" w:lineRule="exact"/>
        <w:ind w:left="0" w:leftChars="0" w:right="0" w:rightChars="0" w:firstLine="600" w:firstLineChars="0"/>
        <w:rPr>
          <w:rFonts w:ascii="仿宋_GB2312" w:hAnsi="仿宋_GB2312" w:eastAsia="仿宋_GB2312"/>
          <w:sz w:val="30"/>
          <w:szCs w:val="30"/>
        </w:rPr>
      </w:pPr>
      <w:r>
        <w:rPr>
          <w:rFonts w:hint="eastAsia" w:ascii="仿宋_GB2312" w:hAnsi="仿宋_GB2312" w:eastAsia="仿宋_GB2312" w:cs="黑体;SimHei"/>
          <w:b/>
          <w:bCs/>
          <w:color w:val="000000"/>
          <w:kern w:val="2"/>
          <w:sz w:val="30"/>
          <w:szCs w:val="30"/>
          <w:lang w:val="en-US" w:eastAsia="zh-CN" w:bidi="ar-SA"/>
        </w:rPr>
        <w:t xml:space="preserve">第六十八条 </w:t>
      </w:r>
      <w:r>
        <w:rPr>
          <w:rFonts w:ascii="仿宋_GB2312" w:hAnsi="仿宋_GB2312" w:eastAsia="仿宋_GB2312"/>
          <w:sz w:val="30"/>
          <w:szCs w:val="30"/>
        </w:rPr>
        <w:t xml:space="preserve">转板公司应以管理层的视角，结合“业务与技术”中披露的业务、经营模式、技术水平、竞争力等要素披露报告期内取得经营成果的逻辑。转板公司对于经营成果的分析，应充分说明主要影响项目、事项或因素在数值与结构变动方面的原因、影响程度及风险趋势，一般应包括下列内容： </w:t>
      </w:r>
    </w:p>
    <w:p w14:paraId="7718C1DF">
      <w:pPr>
        <w:snapToGrid w:val="0"/>
        <w:spacing w:line="600" w:lineRule="exact"/>
        <w:ind w:right="0" w:firstLine="600"/>
        <w:rPr>
          <w:rFonts w:ascii="仿宋_GB2312" w:hAnsi="仿宋_GB2312" w:eastAsia="仿宋_GB2312"/>
          <w:sz w:val="30"/>
          <w:szCs w:val="30"/>
        </w:rPr>
      </w:pPr>
      <w:r>
        <w:rPr>
          <w:rFonts w:ascii="仿宋_GB2312" w:hAnsi="仿宋_GB2312" w:eastAsia="仿宋_GB2312"/>
          <w:sz w:val="30"/>
          <w:szCs w:val="30"/>
        </w:rPr>
        <w:t>（一）报告期营业收入以及主营业务收入的构成与变动原因；按产品或服务的类别及地区分布，结合客户结构及销售模式，分析主要产品或服务的销售数量、价格与结构变化情况、原因及对营业收入增减变化的具体影响；产销量或合同订单完成量等业务执行数据与财务确认数据的一致性；营业收入如存在季节性波动的，应分析季节性因素对各季度经营成果的影响；</w:t>
      </w:r>
    </w:p>
    <w:p w14:paraId="5AFC3F27">
      <w:pPr>
        <w:ind w:right="0" w:firstLine="600"/>
        <w:rPr>
          <w:rFonts w:ascii="仿宋_GB2312" w:hAnsi="仿宋_GB2312" w:eastAsia="仿宋_GB2312"/>
          <w:sz w:val="30"/>
          <w:szCs w:val="30"/>
        </w:rPr>
      </w:pPr>
      <w:r>
        <w:rPr>
          <w:rFonts w:ascii="仿宋_GB2312" w:hAnsi="仿宋_GB2312" w:eastAsia="仿宋_GB2312"/>
          <w:sz w:val="30"/>
          <w:szCs w:val="30"/>
        </w:rPr>
        <w:t>（二）报告期营业成本的分部信息、主要成本项目构成及变动原因；结合主要原材料、能源等采购对象的数量与价格变动情况及原因，分析营业成本增减变化的影响因素；</w:t>
      </w:r>
    </w:p>
    <w:p w14:paraId="471AC26E">
      <w:pPr>
        <w:snapToGrid w:val="0"/>
        <w:spacing w:line="600" w:lineRule="exact"/>
        <w:ind w:right="0" w:firstLine="600"/>
        <w:rPr>
          <w:rFonts w:ascii="仿宋_GB2312" w:hAnsi="仿宋_GB2312" w:eastAsia="仿宋_GB2312"/>
          <w:sz w:val="30"/>
          <w:szCs w:val="30"/>
        </w:rPr>
      </w:pPr>
      <w:r>
        <w:rPr>
          <w:rFonts w:ascii="仿宋_GB2312" w:hAnsi="仿宋_GB2312" w:eastAsia="仿宋_GB2312"/>
          <w:sz w:val="30"/>
          <w:szCs w:val="30"/>
        </w:rPr>
        <w:t>（三）报告期毛利的构成与变动情况；综合毛利率、分产品或服务的毛利率的变动情况；以数据分析方式说明毛利率的主要影响因素及变化趋势；存在同行业公司相同或相近产品或服务的，应对比分析毛利率是否存在显著差异及原因；</w:t>
      </w:r>
    </w:p>
    <w:p w14:paraId="5A8A45C6">
      <w:pPr>
        <w:snapToGrid w:val="0"/>
        <w:spacing w:line="600" w:lineRule="exact"/>
        <w:ind w:right="0" w:firstLine="600"/>
        <w:rPr>
          <w:rFonts w:ascii="仿宋_GB2312" w:hAnsi="仿宋_GB2312" w:eastAsia="仿宋_GB2312"/>
          <w:sz w:val="30"/>
          <w:szCs w:val="30"/>
        </w:rPr>
      </w:pPr>
      <w:r>
        <w:rPr>
          <w:rFonts w:ascii="仿宋_GB2312" w:hAnsi="仿宋_GB2312" w:eastAsia="仿宋_GB2312"/>
          <w:sz w:val="30"/>
          <w:szCs w:val="30"/>
        </w:rPr>
        <w:t>（四）报告期销售费用、管理费用、研发费用、财务费用的主要构成及变动原因，期间费用水平的变动趋势；与同行业可比公司相比如存在显著差异，应结合业务特点和经营模式分析原因；对于研发费用，还应披露对应研发项目的整体预算、费用支出金额、实施进度等情况；</w:t>
      </w:r>
    </w:p>
    <w:p w14:paraId="317A398B">
      <w:pPr>
        <w:snapToGrid w:val="0"/>
        <w:spacing w:line="600" w:lineRule="exact"/>
        <w:ind w:right="0" w:firstLine="600"/>
        <w:rPr>
          <w:rFonts w:ascii="仿宋_GB2312" w:hAnsi="仿宋_GB2312" w:eastAsia="仿宋_GB2312"/>
          <w:sz w:val="30"/>
          <w:szCs w:val="30"/>
        </w:rPr>
      </w:pPr>
      <w:r>
        <w:rPr>
          <w:rFonts w:ascii="仿宋_GB2312" w:hAnsi="仿宋_GB2312" w:eastAsia="仿宋_GB2312"/>
          <w:sz w:val="30"/>
          <w:szCs w:val="30"/>
        </w:rPr>
        <w:t>（五）对报告期经营成果有重大影响的非经常性损益项目；少数股东损益；未纳入合并报表范围的被投资主体或理财工具形成的投资收益或价值变动对公司经营成果及盈利能力稳定性的影响；区分与收益相关或与资产相关分析披露政府补助对转板公司报告期与未来期间的影响；</w:t>
      </w:r>
    </w:p>
    <w:p w14:paraId="3C63D432">
      <w:pPr>
        <w:snapToGrid w:val="0"/>
        <w:spacing w:line="600" w:lineRule="exact"/>
        <w:ind w:right="0" w:firstLine="600"/>
        <w:rPr>
          <w:rFonts w:ascii="仿宋_GB2312" w:hAnsi="仿宋_GB2312" w:eastAsia="仿宋_GB2312"/>
          <w:sz w:val="30"/>
          <w:szCs w:val="30"/>
        </w:rPr>
      </w:pPr>
      <w:r>
        <w:rPr>
          <w:rFonts w:ascii="仿宋_GB2312" w:hAnsi="仿宋_GB2312" w:eastAsia="仿宋_GB2312"/>
          <w:sz w:val="30"/>
          <w:szCs w:val="30"/>
        </w:rPr>
        <w:t>（六）尚未盈利或存在累计未弥补亏损的转板公司，应当充分披露该等情形的成因，以及对公司现金流、业务拓展、人才吸引、团队稳定性、研发投入、战略性投入、生产经营可持续性等方面的影响。</w:t>
      </w:r>
    </w:p>
    <w:p w14:paraId="60B9A107">
      <w:pPr>
        <w:pStyle w:val="21"/>
        <w:numPr>
          <w:ilvl w:val="0"/>
          <w:numId w:val="0"/>
        </w:numPr>
        <w:snapToGrid w:val="0"/>
        <w:spacing w:line="600" w:lineRule="exact"/>
        <w:ind w:left="0" w:leftChars="0" w:right="0" w:rightChars="0" w:firstLine="600" w:firstLineChars="0"/>
        <w:rPr>
          <w:rFonts w:ascii="仿宋_GB2312" w:hAnsi="仿宋_GB2312" w:eastAsia="仿宋_GB2312" w:cs="Times New Roman"/>
          <w:sz w:val="30"/>
          <w:szCs w:val="30"/>
        </w:rPr>
      </w:pPr>
      <w:r>
        <w:rPr>
          <w:rFonts w:hint="eastAsia" w:ascii="仿宋_GB2312" w:hAnsi="仿宋_GB2312" w:eastAsia="仿宋_GB2312" w:cs="黑体;SimHei"/>
          <w:b/>
          <w:bCs/>
          <w:color w:val="000000"/>
          <w:kern w:val="2"/>
          <w:sz w:val="30"/>
          <w:szCs w:val="30"/>
          <w:lang w:val="en-US" w:eastAsia="zh-CN" w:bidi="ar-SA"/>
        </w:rPr>
        <w:t xml:space="preserve">第六十九条 </w:t>
      </w:r>
      <w:r>
        <w:rPr>
          <w:rFonts w:ascii="仿宋_GB2312" w:hAnsi="仿宋_GB2312" w:eastAsia="仿宋_GB2312"/>
          <w:sz w:val="30"/>
          <w:szCs w:val="30"/>
        </w:rPr>
        <w:t>转板公司</w:t>
      </w:r>
      <w:r>
        <w:rPr>
          <w:rFonts w:ascii="仿宋_GB2312" w:hAnsi="仿宋_GB2312" w:eastAsia="仿宋_GB2312" w:cs="Times New Roman"/>
          <w:sz w:val="30"/>
          <w:szCs w:val="30"/>
        </w:rPr>
        <w:t>对于资产质量的分析，应结合自身的经营管理政策，充分说明对转板公司存在重大影响的主要资产项目的质量特征、变动原因及风险趋势，一般应包括下列内容：</w:t>
      </w:r>
    </w:p>
    <w:p w14:paraId="2AAF8C14">
      <w:pPr>
        <w:pStyle w:val="21"/>
        <w:snapToGrid w:val="0"/>
        <w:spacing w:line="600" w:lineRule="exact"/>
        <w:ind w:right="0" w:firstLine="600"/>
        <w:rPr>
          <w:rFonts w:ascii="仿宋_GB2312" w:hAnsi="仿宋_GB2312" w:eastAsia="仿宋_GB2312" w:cs="Times New Roman"/>
          <w:sz w:val="30"/>
          <w:szCs w:val="30"/>
        </w:rPr>
      </w:pPr>
      <w:r>
        <w:rPr>
          <w:rFonts w:ascii="仿宋_GB2312" w:hAnsi="仿宋_GB2312" w:eastAsia="仿宋_GB2312" w:cs="Times New Roman"/>
          <w:sz w:val="30"/>
          <w:szCs w:val="30"/>
        </w:rPr>
        <w:t>（一）结合应收款项的主要构成、账龄结构、信用政策、主要债务人等因素，分析披露报告期应收款项的变动原因及期后回款进度，说明是否存在较大的坏账风险；应收账款坏账准备计提比例明显低于同行业上市公司水平的，应分析披露具体原因；</w:t>
      </w:r>
    </w:p>
    <w:p w14:paraId="48B66732">
      <w:pPr>
        <w:pStyle w:val="21"/>
        <w:snapToGrid w:val="0"/>
        <w:spacing w:line="600" w:lineRule="exact"/>
        <w:ind w:right="0" w:firstLine="600"/>
        <w:rPr>
          <w:rFonts w:ascii="仿宋_GB2312" w:hAnsi="仿宋_GB2312" w:eastAsia="仿宋_GB2312" w:cs="Times New Roman"/>
          <w:sz w:val="30"/>
          <w:szCs w:val="30"/>
        </w:rPr>
      </w:pPr>
      <w:r>
        <w:rPr>
          <w:rFonts w:ascii="仿宋_GB2312" w:hAnsi="仿宋_GB2312" w:eastAsia="仿宋_GB2312" w:cs="Times New Roman"/>
          <w:sz w:val="30"/>
          <w:szCs w:val="30"/>
        </w:rPr>
        <w:t>（二）结合业务模式、存货管理政策、经营风险控制等因素，分析披露报告期末存货的分类构成及变动原因，说明是否存在异常的存货余额增长或结构变动情形，分析存货减值测试的合理性；</w:t>
      </w:r>
    </w:p>
    <w:p w14:paraId="2D856554">
      <w:pPr>
        <w:pStyle w:val="21"/>
        <w:snapToGrid w:val="0"/>
        <w:spacing w:line="600" w:lineRule="exact"/>
        <w:ind w:right="0" w:firstLine="600"/>
        <w:rPr>
          <w:rFonts w:ascii="仿宋_GB2312" w:hAnsi="仿宋_GB2312" w:eastAsia="仿宋_GB2312" w:cs="Times New Roman"/>
          <w:sz w:val="30"/>
          <w:szCs w:val="30"/>
        </w:rPr>
      </w:pPr>
      <w:r>
        <w:rPr>
          <w:rFonts w:ascii="仿宋_GB2312" w:hAnsi="仿宋_GB2312" w:eastAsia="仿宋_GB2312" w:cs="Times New Roman"/>
          <w:sz w:val="30"/>
          <w:szCs w:val="30"/>
        </w:rPr>
        <w:t>（三）报告期末持有金额较大的以摊余成本计量的金融资产、以公允价值计量且其变动计入其他综合收益的金融资产、以公允价值计量且其变动计入当期损益的金融资产以及借与他人款项、委托理财等财务性投资的，应分析其投资目的、期限、管控方式、可回收性、减值准备计提充分性及对转板公司资金安排或流动性的影响；</w:t>
      </w:r>
    </w:p>
    <w:p w14:paraId="5B2294D7">
      <w:pPr>
        <w:pStyle w:val="21"/>
        <w:snapToGrid w:val="0"/>
        <w:spacing w:line="600" w:lineRule="exact"/>
        <w:ind w:right="0" w:firstLine="600"/>
        <w:rPr>
          <w:rFonts w:ascii="仿宋_GB2312" w:hAnsi="仿宋_GB2312" w:eastAsia="仿宋_GB2312" w:cs="Times New Roman"/>
          <w:sz w:val="30"/>
          <w:szCs w:val="30"/>
        </w:rPr>
      </w:pPr>
      <w:r>
        <w:rPr>
          <w:rFonts w:ascii="仿宋_GB2312" w:hAnsi="仿宋_GB2312" w:eastAsia="仿宋_GB2312" w:cs="Times New Roman"/>
          <w:sz w:val="30"/>
          <w:szCs w:val="30"/>
        </w:rPr>
        <w:t>（四）结合产能、业务量或经营规模变化等因素，分析披露报告期末固定资产的分布特征与变动原因，重要固定资产折旧年限与同行业可比公司相比是否合理；报告期如存在大额在建工程转入固定资产的，应说明其内容、依据及影响，尚未完工交付项目预计未来转入固定资产的时间与条件；固定资产与在建工程是否存在重大减值因素；</w:t>
      </w:r>
    </w:p>
    <w:p w14:paraId="57556212">
      <w:pPr>
        <w:pStyle w:val="21"/>
        <w:snapToGrid w:val="0"/>
        <w:spacing w:line="600" w:lineRule="exact"/>
        <w:ind w:right="0" w:firstLine="600"/>
        <w:rPr>
          <w:rFonts w:ascii="仿宋_GB2312" w:hAnsi="仿宋_GB2312" w:eastAsia="仿宋_GB2312" w:cs="Times New Roman"/>
          <w:sz w:val="30"/>
          <w:szCs w:val="30"/>
        </w:rPr>
      </w:pPr>
      <w:r>
        <w:rPr>
          <w:rFonts w:ascii="仿宋_GB2312" w:hAnsi="仿宋_GB2312" w:eastAsia="仿宋_GB2312" w:cs="Times New Roman"/>
          <w:sz w:val="30"/>
          <w:szCs w:val="30"/>
        </w:rPr>
        <w:t>（五）报告期末主要对外投资项目的投资期限、投资金额和价值变动、股权投资占比等情况，对转板公司报告期及未来的影响；如对外投资项目已计提减值或存在减值迹象的，应披露减值测试的方法与结果，并分析减值准备计提的充分性；</w:t>
      </w:r>
    </w:p>
    <w:p w14:paraId="6DBD418D">
      <w:pPr>
        <w:pStyle w:val="21"/>
        <w:snapToGrid w:val="0"/>
        <w:spacing w:line="600" w:lineRule="exact"/>
        <w:ind w:right="0" w:firstLine="600"/>
        <w:rPr>
          <w:rFonts w:ascii="仿宋_GB2312" w:hAnsi="仿宋_GB2312" w:eastAsia="仿宋_GB2312" w:cs="Times New Roman"/>
          <w:sz w:val="30"/>
          <w:szCs w:val="30"/>
        </w:rPr>
      </w:pPr>
      <w:r>
        <w:rPr>
          <w:rFonts w:ascii="仿宋_GB2312" w:hAnsi="仿宋_GB2312" w:eastAsia="仿宋_GB2312" w:cs="Times New Roman"/>
          <w:sz w:val="30"/>
          <w:szCs w:val="30"/>
        </w:rPr>
        <w:t>（六）报告期末无形资产、开发支出的主要类别与增减变动原因，重要无形资产对转板公司业务和财务的影响；无形资产减值测试的方法与结果；如存在开发支出资本化的，应说明具体项目、资本化依据、时间及金额；</w:t>
      </w:r>
    </w:p>
    <w:p w14:paraId="66315BD9">
      <w:pPr>
        <w:pStyle w:val="21"/>
        <w:snapToGrid w:val="0"/>
        <w:spacing w:line="600" w:lineRule="exact"/>
        <w:ind w:right="0" w:firstLine="600"/>
        <w:rPr>
          <w:rFonts w:ascii="仿宋_GB2312" w:hAnsi="仿宋_GB2312" w:eastAsia="仿宋_GB2312" w:cs="Times New Roman"/>
          <w:sz w:val="30"/>
          <w:szCs w:val="30"/>
        </w:rPr>
      </w:pPr>
      <w:r>
        <w:rPr>
          <w:rFonts w:ascii="仿宋_GB2312" w:hAnsi="仿宋_GB2312" w:eastAsia="仿宋_GB2312" w:cs="Times New Roman"/>
          <w:sz w:val="30"/>
          <w:szCs w:val="30"/>
        </w:rPr>
        <w:t>（七）报告期末商誉的形成原因、增减变动与减值测试依据等情况。</w:t>
      </w:r>
    </w:p>
    <w:p w14:paraId="6F2410C3">
      <w:pPr>
        <w:pStyle w:val="21"/>
        <w:numPr>
          <w:ilvl w:val="0"/>
          <w:numId w:val="0"/>
        </w:numPr>
        <w:snapToGrid w:val="0"/>
        <w:spacing w:line="600" w:lineRule="exact"/>
        <w:ind w:left="0" w:leftChars="0" w:right="0" w:rightChars="0" w:firstLine="600" w:firstLineChars="0"/>
        <w:rPr>
          <w:rFonts w:ascii="仿宋_GB2312" w:hAnsi="仿宋_GB2312" w:eastAsia="仿宋_GB2312"/>
          <w:sz w:val="30"/>
          <w:szCs w:val="30"/>
        </w:rPr>
      </w:pPr>
      <w:r>
        <w:rPr>
          <w:rFonts w:hint="eastAsia" w:ascii="仿宋_GB2312" w:hAnsi="仿宋_GB2312" w:eastAsia="仿宋_GB2312" w:cs="黑体;SimHei"/>
          <w:b/>
          <w:bCs/>
          <w:color w:val="000000"/>
          <w:kern w:val="2"/>
          <w:sz w:val="30"/>
          <w:szCs w:val="30"/>
          <w:lang w:val="en-US" w:eastAsia="zh-CN" w:bidi="ar-SA"/>
        </w:rPr>
        <w:t xml:space="preserve">第七十条 </w:t>
      </w:r>
      <w:r>
        <w:rPr>
          <w:rFonts w:ascii="仿宋_GB2312" w:hAnsi="仿宋_GB2312" w:eastAsia="仿宋_GB2312"/>
          <w:sz w:val="30"/>
          <w:szCs w:val="30"/>
        </w:rPr>
        <w:t>转板公司对于偿债能力、流动性与持续经营能力的分析，一般应包括下列内容：</w:t>
      </w:r>
    </w:p>
    <w:p w14:paraId="03D95897">
      <w:pPr>
        <w:pStyle w:val="21"/>
        <w:snapToGrid w:val="0"/>
        <w:spacing w:line="600" w:lineRule="exact"/>
        <w:ind w:right="0" w:firstLine="600"/>
        <w:rPr>
          <w:rFonts w:ascii="仿宋_GB2312" w:hAnsi="仿宋_GB2312" w:eastAsia="仿宋_GB2312"/>
          <w:sz w:val="30"/>
          <w:szCs w:val="30"/>
        </w:rPr>
      </w:pPr>
      <w:r>
        <w:rPr>
          <w:rFonts w:ascii="仿宋_GB2312" w:hAnsi="仿宋_GB2312" w:eastAsia="仿宋_GB2312"/>
          <w:sz w:val="30"/>
          <w:szCs w:val="30"/>
        </w:rPr>
        <w:t>（一）最近一期末银行借款、关联方借款、合同承诺债务、或有负债等主要债项的金额、期限、利率及利息费用等情况；如有逾期未偿还债项应说明原因及解决措施；如存在借款费用资本化情况应说明其依据、时间及金额；转板公司应分析可预见的未来需偿还的负债金额及利息金额，重点说明未来十二个月内的情况，结合现金流、融资能力与渠道等情况，分析公司的偿债能力；</w:t>
      </w:r>
    </w:p>
    <w:p w14:paraId="72335FD9">
      <w:pPr>
        <w:pStyle w:val="21"/>
        <w:snapToGrid w:val="0"/>
        <w:spacing w:line="600" w:lineRule="exact"/>
        <w:ind w:right="0" w:firstLine="600"/>
        <w:rPr>
          <w:rFonts w:ascii="仿宋_GB2312" w:hAnsi="仿宋_GB2312" w:eastAsia="仿宋_GB2312"/>
          <w:sz w:val="30"/>
          <w:szCs w:val="30"/>
        </w:rPr>
      </w:pPr>
      <w:r>
        <w:rPr>
          <w:rFonts w:ascii="仿宋_GB2312" w:hAnsi="仿宋_GB2312" w:eastAsia="仿宋_GB2312"/>
          <w:sz w:val="30"/>
          <w:szCs w:val="30"/>
        </w:rPr>
        <w:t>（二）报告期股利分配的具体实施情况；</w:t>
      </w:r>
    </w:p>
    <w:p w14:paraId="0EFD79E3">
      <w:pPr>
        <w:pStyle w:val="21"/>
        <w:snapToGrid w:val="0"/>
        <w:spacing w:line="600" w:lineRule="exact"/>
        <w:ind w:right="0" w:firstLine="600"/>
        <w:rPr>
          <w:rFonts w:ascii="仿宋_GB2312" w:hAnsi="仿宋_GB2312" w:eastAsia="仿宋_GB2312"/>
          <w:sz w:val="30"/>
          <w:szCs w:val="30"/>
        </w:rPr>
      </w:pPr>
      <w:r>
        <w:rPr>
          <w:rFonts w:ascii="仿宋_GB2312" w:hAnsi="仿宋_GB2312" w:eastAsia="仿宋_GB2312"/>
          <w:sz w:val="30"/>
          <w:szCs w:val="30"/>
        </w:rPr>
        <w:t>（三）报告期经营活动产生的现金流量、投资活动产生的现金流量、筹资活动产生的现金流量的基本情况、主要构成和变动原因；如报告期经营活动产生的现金流量净额为负数或者与当期净利润存在较大差异的，应分析原因及主要影响因素；</w:t>
      </w:r>
    </w:p>
    <w:p w14:paraId="2FD44715">
      <w:pPr>
        <w:pStyle w:val="21"/>
        <w:snapToGrid w:val="0"/>
        <w:spacing w:line="600" w:lineRule="exact"/>
        <w:ind w:right="0" w:firstLine="600"/>
        <w:rPr>
          <w:rFonts w:ascii="仿宋_GB2312" w:hAnsi="仿宋_GB2312" w:eastAsia="仿宋_GB2312"/>
          <w:sz w:val="30"/>
          <w:szCs w:val="30"/>
        </w:rPr>
      </w:pPr>
      <w:r>
        <w:rPr>
          <w:rFonts w:ascii="仿宋_GB2312" w:hAnsi="仿宋_GB2312" w:eastAsia="仿宋_GB2312"/>
          <w:sz w:val="30"/>
          <w:szCs w:val="30"/>
        </w:rPr>
        <w:t>（四）截至报告期末的重大资本性支出决议以及未来其他可预见的重大资本性支出计划和资金需求量，如涉及跨行业投资应说明其与公司未来发展战略的关系，如存在较大资金缺口应说明解决措施及其影响；</w:t>
      </w:r>
    </w:p>
    <w:p w14:paraId="42B8871D">
      <w:pPr>
        <w:pStyle w:val="21"/>
        <w:snapToGrid w:val="0"/>
        <w:spacing w:line="600" w:lineRule="exact"/>
        <w:ind w:right="0" w:firstLine="600"/>
        <w:rPr>
          <w:rFonts w:ascii="仿宋_GB2312" w:hAnsi="仿宋_GB2312" w:eastAsia="仿宋_GB2312"/>
          <w:sz w:val="30"/>
          <w:szCs w:val="30"/>
        </w:rPr>
      </w:pPr>
      <w:r>
        <w:rPr>
          <w:rFonts w:ascii="仿宋_GB2312" w:hAnsi="仿宋_GB2312" w:eastAsia="仿宋_GB2312"/>
          <w:sz w:val="30"/>
          <w:szCs w:val="30"/>
        </w:rPr>
        <w:t>（五）结合长短期债务配置期限、影响现金流量的重要事件或承诺事项以及风险管理政策，分析披露转板公司的流动性已经或可能产生的重大变化或风险趋势，以及转板公司应对流动性风险的具体措施；</w:t>
      </w:r>
    </w:p>
    <w:p w14:paraId="46E72E5D">
      <w:pPr>
        <w:snapToGrid w:val="0"/>
        <w:spacing w:line="600" w:lineRule="exact"/>
        <w:ind w:right="0" w:firstLine="600"/>
        <w:rPr>
          <w:rFonts w:ascii="仿宋_GB2312" w:hAnsi="仿宋_GB2312" w:eastAsia="仿宋_GB2312"/>
          <w:sz w:val="30"/>
          <w:szCs w:val="30"/>
        </w:rPr>
      </w:pPr>
      <w:r>
        <w:rPr>
          <w:rFonts w:ascii="仿宋_GB2312" w:hAnsi="仿宋_GB2312" w:eastAsia="仿宋_GB2312"/>
          <w:sz w:val="30"/>
          <w:szCs w:val="30"/>
        </w:rPr>
        <w:t>（六）结合公司的业务或产品定位、报告期经营策略以及未来经营计划，分析披露转板公司在持续经营能力方面是否存在重大不利变化或风险因素，以及管理层自我评判的依据。</w:t>
      </w:r>
    </w:p>
    <w:p w14:paraId="7861E9EB">
      <w:pPr>
        <w:pStyle w:val="21"/>
        <w:numPr>
          <w:ilvl w:val="0"/>
          <w:numId w:val="0"/>
        </w:numPr>
        <w:snapToGrid w:val="0"/>
        <w:spacing w:line="600" w:lineRule="exact"/>
        <w:ind w:left="0" w:leftChars="0" w:right="0" w:rightChars="0" w:firstLine="600" w:firstLineChars="0"/>
        <w:rPr>
          <w:rFonts w:ascii="仿宋_GB2312" w:hAnsi="仿宋_GB2312" w:eastAsia="仿宋_GB2312"/>
          <w:sz w:val="30"/>
          <w:szCs w:val="30"/>
        </w:rPr>
      </w:pPr>
      <w:r>
        <w:rPr>
          <w:rFonts w:hint="eastAsia" w:ascii="仿宋_GB2312" w:hAnsi="仿宋_GB2312" w:eastAsia="仿宋_GB2312" w:cs="黑体;SimHei"/>
          <w:b/>
          <w:bCs/>
          <w:color w:val="000000"/>
          <w:kern w:val="2"/>
          <w:sz w:val="30"/>
          <w:szCs w:val="30"/>
          <w:lang w:val="en-US" w:eastAsia="zh-CN" w:bidi="ar-SA"/>
        </w:rPr>
        <w:t xml:space="preserve">第七十一条 </w:t>
      </w:r>
      <w:r>
        <w:rPr>
          <w:rFonts w:ascii="仿宋_GB2312" w:hAnsi="仿宋_GB2312" w:eastAsia="仿宋_GB2312"/>
          <w:sz w:val="30"/>
          <w:szCs w:val="30"/>
        </w:rPr>
        <w:t>转板公司报告期存在重大投资或资本性支出、重大资产业务重组或股权收购合并等事项的，应分析披露该等重大事项的必要性与基本情况，对转板公司生产经营战略、报告期及未来期间经营成果和财务状况的影响。</w:t>
      </w:r>
    </w:p>
    <w:p w14:paraId="5802744C">
      <w:pPr>
        <w:pStyle w:val="21"/>
        <w:numPr>
          <w:ilvl w:val="0"/>
          <w:numId w:val="0"/>
        </w:numPr>
        <w:snapToGrid w:val="0"/>
        <w:spacing w:line="600" w:lineRule="exact"/>
        <w:ind w:left="0" w:leftChars="0" w:right="0" w:rightChars="0" w:firstLine="600" w:firstLineChars="0"/>
        <w:rPr>
          <w:rFonts w:ascii="仿宋_GB2312" w:hAnsi="仿宋_GB2312" w:eastAsia="仿宋_GB2312"/>
          <w:sz w:val="30"/>
          <w:szCs w:val="30"/>
        </w:rPr>
      </w:pPr>
      <w:r>
        <w:rPr>
          <w:rFonts w:hint="eastAsia" w:ascii="仿宋_GB2312" w:hAnsi="仿宋_GB2312" w:eastAsia="仿宋_GB2312" w:cs="黑体;SimHei"/>
          <w:b/>
          <w:bCs/>
          <w:color w:val="000000"/>
          <w:kern w:val="2"/>
          <w:sz w:val="30"/>
          <w:szCs w:val="30"/>
          <w:lang w:val="en-US" w:eastAsia="zh-CN" w:bidi="ar-SA"/>
        </w:rPr>
        <w:t xml:space="preserve">第七十二条 </w:t>
      </w:r>
      <w:r>
        <w:rPr>
          <w:rFonts w:ascii="仿宋_GB2312" w:hAnsi="仿宋_GB2312" w:eastAsia="仿宋_GB2312"/>
          <w:sz w:val="30"/>
          <w:szCs w:val="30"/>
        </w:rPr>
        <w:t>转板公司披露的财务会计信息或业绩预告信息应满足及时性要求。</w:t>
      </w:r>
    </w:p>
    <w:p w14:paraId="1E329A63">
      <w:pPr>
        <w:snapToGrid w:val="0"/>
        <w:spacing w:line="600" w:lineRule="exact"/>
        <w:ind w:right="0" w:firstLine="600"/>
        <w:rPr>
          <w:rFonts w:ascii="仿宋_GB2312" w:hAnsi="仿宋_GB2312" w:eastAsia="仿宋_GB2312"/>
          <w:sz w:val="30"/>
          <w:szCs w:val="30"/>
        </w:rPr>
      </w:pPr>
      <w:r>
        <w:rPr>
          <w:rFonts w:ascii="仿宋_GB2312" w:hAnsi="仿宋_GB2312" w:eastAsia="仿宋_GB2312"/>
          <w:sz w:val="30"/>
          <w:szCs w:val="30"/>
        </w:rPr>
        <w:t>转板公司应扼要披露资产负债表日后事项、或有事项、其他重要事项以及重大担保、诉讼等事项在转板上市报告书签署日的进展情况，说明该等事项对转板公司未来财务状况、经营成果及持续经营的影响。</w:t>
      </w:r>
    </w:p>
    <w:p w14:paraId="7EDB66B7">
      <w:pPr>
        <w:pStyle w:val="21"/>
        <w:numPr>
          <w:ilvl w:val="0"/>
          <w:numId w:val="0"/>
        </w:numPr>
        <w:snapToGrid w:val="0"/>
        <w:spacing w:line="600" w:lineRule="exact"/>
        <w:ind w:left="0" w:leftChars="0" w:right="0" w:rightChars="0" w:firstLine="600" w:firstLineChars="0"/>
        <w:rPr>
          <w:rFonts w:ascii="仿宋_GB2312" w:hAnsi="仿宋_GB2312" w:eastAsia="仿宋_GB2312"/>
          <w:sz w:val="30"/>
          <w:szCs w:val="30"/>
        </w:rPr>
      </w:pPr>
      <w:r>
        <w:rPr>
          <w:rFonts w:hint="eastAsia" w:ascii="仿宋_GB2312" w:hAnsi="仿宋_GB2312" w:eastAsia="仿宋_GB2312" w:cs="黑体;SimHei"/>
          <w:b/>
          <w:bCs/>
          <w:color w:val="000000"/>
          <w:kern w:val="2"/>
          <w:sz w:val="30"/>
          <w:szCs w:val="30"/>
          <w:lang w:val="en-US" w:eastAsia="zh-CN" w:bidi="ar-SA"/>
        </w:rPr>
        <w:t xml:space="preserve">第七十三条 </w:t>
      </w:r>
      <w:r>
        <w:rPr>
          <w:rFonts w:ascii="仿宋_GB2312" w:hAnsi="仿宋_GB2312" w:eastAsia="仿宋_GB2312"/>
          <w:sz w:val="30"/>
          <w:szCs w:val="30"/>
        </w:rPr>
        <w:t>如果转板公司认为提供盈利预测信息将有助于投资者对转板公司及投资于转板公司的股票作出正确判断，且转板公司确信能对最近的未来期间的盈利情况作出比较切合实际的预测，转板公司可以披露盈利预测信息，并声明：“本公司盈利预测报告是管理层在最佳估计假设的基础上编制的，但所依据的各种假设具有不确定性，投资者进行投资决策时应谨慎使用。”</w:t>
      </w:r>
    </w:p>
    <w:p w14:paraId="711C61D3">
      <w:pPr>
        <w:snapToGrid w:val="0"/>
        <w:spacing w:line="600" w:lineRule="exact"/>
        <w:ind w:right="0" w:firstLine="600"/>
        <w:rPr>
          <w:rFonts w:ascii="仿宋_GB2312" w:hAnsi="仿宋_GB2312" w:eastAsia="仿宋_GB2312"/>
          <w:sz w:val="30"/>
          <w:szCs w:val="30"/>
        </w:rPr>
      </w:pPr>
      <w:r>
        <w:rPr>
          <w:rFonts w:ascii="仿宋_GB2312" w:hAnsi="仿宋_GB2312" w:eastAsia="仿宋_GB2312"/>
          <w:sz w:val="30"/>
          <w:szCs w:val="30"/>
        </w:rPr>
        <w:t>转板公司应提示投资者阅读盈利预测报告及审核报告全文。</w:t>
      </w:r>
    </w:p>
    <w:p w14:paraId="03625AE8">
      <w:pPr>
        <w:snapToGrid w:val="0"/>
        <w:spacing w:line="600" w:lineRule="exact"/>
        <w:ind w:right="0" w:firstLine="600"/>
        <w:rPr>
          <w:rFonts w:ascii="仿宋_GB2312" w:hAnsi="仿宋_GB2312" w:eastAsia="仿宋_GB2312"/>
          <w:sz w:val="30"/>
          <w:szCs w:val="30"/>
        </w:rPr>
      </w:pPr>
      <w:r>
        <w:rPr>
          <w:rFonts w:ascii="仿宋_GB2312" w:hAnsi="仿宋_GB2312" w:eastAsia="仿宋_GB2312"/>
          <w:sz w:val="30"/>
          <w:szCs w:val="30"/>
        </w:rPr>
        <w:t>转板公司应在“重大事项提示”中提醒投资者关注已披露的盈利预测信息。</w:t>
      </w:r>
    </w:p>
    <w:p w14:paraId="53F7AC6D">
      <w:pPr>
        <w:pStyle w:val="21"/>
        <w:numPr>
          <w:ilvl w:val="0"/>
          <w:numId w:val="0"/>
        </w:numPr>
        <w:snapToGrid w:val="0"/>
        <w:spacing w:line="600" w:lineRule="exact"/>
        <w:ind w:left="0" w:leftChars="0" w:right="0" w:rightChars="0" w:firstLine="600" w:firstLineChars="0"/>
        <w:rPr>
          <w:rFonts w:ascii="仿宋_GB2312" w:hAnsi="仿宋_GB2312" w:eastAsia="仿宋_GB2312"/>
          <w:sz w:val="30"/>
          <w:szCs w:val="30"/>
        </w:rPr>
      </w:pPr>
      <w:r>
        <w:rPr>
          <w:rFonts w:hint="eastAsia" w:ascii="仿宋_GB2312" w:hAnsi="仿宋_GB2312" w:eastAsia="仿宋_GB2312" w:cs="黑体;SimHei"/>
          <w:b/>
          <w:bCs/>
          <w:color w:val="000000"/>
          <w:kern w:val="2"/>
          <w:sz w:val="30"/>
          <w:szCs w:val="30"/>
          <w:lang w:val="en-US" w:eastAsia="zh-CN" w:bidi="ar-SA"/>
        </w:rPr>
        <w:t xml:space="preserve">第七十四条 </w:t>
      </w:r>
      <w:r>
        <w:rPr>
          <w:rFonts w:ascii="仿宋_GB2312" w:hAnsi="仿宋_GB2312" w:eastAsia="仿宋_GB2312"/>
          <w:sz w:val="30"/>
          <w:szCs w:val="30"/>
        </w:rPr>
        <w:t>尚未盈利的转板公司应披露未来是否可实现盈利的前瞻性信息及其依据、基础假设等。</w:t>
      </w:r>
    </w:p>
    <w:p w14:paraId="578F23E4">
      <w:pPr>
        <w:spacing w:line="600" w:lineRule="exact"/>
        <w:ind w:right="0" w:firstLine="600"/>
        <w:rPr>
          <w:sz w:val="30"/>
          <w:szCs w:val="30"/>
        </w:rPr>
      </w:pPr>
      <w:r>
        <w:rPr>
          <w:rFonts w:ascii="仿宋_GB2312" w:hAnsi="仿宋_GB2312" w:eastAsia="仿宋_GB2312"/>
          <w:sz w:val="30"/>
          <w:szCs w:val="30"/>
        </w:rPr>
        <w:t>披露前瞻性信息的，转板公司应声明：“本公司前瞻性信息是建立在推测性假设的数据基础上的预测，具有重大不确定性，投资者进行投资决策时应谨慎使用。”</w:t>
      </w:r>
    </w:p>
    <w:p w14:paraId="7D6DAC07">
      <w:pPr>
        <w:numPr>
          <w:ilvl w:val="0"/>
          <w:numId w:val="0"/>
        </w:numPr>
        <w:snapToGrid w:val="0"/>
        <w:spacing w:line="600" w:lineRule="exact"/>
        <w:jc w:val="center"/>
        <w:outlineLvl w:val="2"/>
        <w:rPr>
          <w:rFonts w:ascii="仿宋_GB2312" w:hAnsi="仿宋_GB2312" w:eastAsia="仿宋_GB2312" w:cs="Calibri"/>
          <w:b/>
          <w:sz w:val="30"/>
          <w:szCs w:val="30"/>
        </w:rPr>
      </w:pPr>
      <w:r>
        <w:rPr>
          <w:rFonts w:ascii="仿宋_GB2312" w:hAnsi="仿宋_GB2312" w:eastAsia="仿宋_GB2312" w:cs="Calibri"/>
          <w:b/>
          <w:sz w:val="30"/>
          <w:szCs w:val="30"/>
        </w:rPr>
        <w:t>第八节 投资者保护</w:t>
      </w:r>
    </w:p>
    <w:p w14:paraId="4D9E7B95">
      <w:pPr>
        <w:pStyle w:val="21"/>
        <w:numPr>
          <w:ilvl w:val="0"/>
          <w:numId w:val="0"/>
        </w:numPr>
        <w:snapToGrid w:val="0"/>
        <w:spacing w:line="600" w:lineRule="exact"/>
        <w:ind w:left="0" w:leftChars="0" w:right="0" w:rightChars="0" w:firstLine="600" w:firstLineChars="0"/>
        <w:rPr>
          <w:rFonts w:ascii="仿宋_GB2312" w:hAnsi="仿宋_GB2312" w:eastAsia="仿宋_GB2312"/>
          <w:sz w:val="30"/>
          <w:szCs w:val="30"/>
        </w:rPr>
      </w:pPr>
      <w:r>
        <w:rPr>
          <w:rFonts w:hint="eastAsia" w:ascii="仿宋_GB2312" w:hAnsi="仿宋_GB2312" w:eastAsia="仿宋_GB2312" w:cs="黑体;SimHei"/>
          <w:b/>
          <w:bCs/>
          <w:color w:val="000000"/>
          <w:kern w:val="2"/>
          <w:sz w:val="30"/>
          <w:szCs w:val="30"/>
          <w:lang w:val="en-US" w:eastAsia="zh-CN" w:bidi="ar-SA"/>
        </w:rPr>
        <w:t xml:space="preserve">第七十五条 </w:t>
      </w:r>
      <w:r>
        <w:rPr>
          <w:rFonts w:ascii="仿宋_GB2312" w:hAnsi="仿宋_GB2312" w:eastAsia="仿宋_GB2312"/>
          <w:sz w:val="30"/>
          <w:szCs w:val="30"/>
        </w:rPr>
        <w:t>转板公司应披露投资者关系的主要安排，包括信息披露制度和流程、投资者沟通渠道的建立情况以及未来开展投资者关系管理的规划等。</w:t>
      </w:r>
    </w:p>
    <w:p w14:paraId="4076D2DD">
      <w:pPr>
        <w:pStyle w:val="21"/>
        <w:numPr>
          <w:ilvl w:val="0"/>
          <w:numId w:val="0"/>
        </w:numPr>
        <w:snapToGrid w:val="0"/>
        <w:spacing w:line="600" w:lineRule="exact"/>
        <w:ind w:left="0" w:leftChars="0" w:right="0" w:rightChars="0" w:firstLine="600" w:firstLineChars="0"/>
        <w:rPr>
          <w:rFonts w:ascii="仿宋_GB2312" w:hAnsi="仿宋_GB2312" w:eastAsia="仿宋_GB2312"/>
          <w:sz w:val="30"/>
          <w:szCs w:val="30"/>
        </w:rPr>
      </w:pPr>
      <w:r>
        <w:rPr>
          <w:rFonts w:hint="eastAsia" w:ascii="仿宋_GB2312" w:hAnsi="仿宋_GB2312" w:eastAsia="仿宋_GB2312" w:cs="黑体;SimHei"/>
          <w:b/>
          <w:bCs/>
          <w:color w:val="000000"/>
          <w:kern w:val="2"/>
          <w:sz w:val="30"/>
          <w:szCs w:val="30"/>
          <w:lang w:val="en-US" w:eastAsia="zh-CN" w:bidi="ar-SA"/>
        </w:rPr>
        <w:t xml:space="preserve">第七十六条 </w:t>
      </w:r>
      <w:r>
        <w:rPr>
          <w:rFonts w:ascii="仿宋_GB2312" w:hAnsi="仿宋_GB2312" w:eastAsia="仿宋_GB2312"/>
          <w:sz w:val="30"/>
          <w:szCs w:val="30"/>
        </w:rPr>
        <w:t>转板公司应披露转板上市后的股利分配政策和决策程序，以及本次转板上市前后股利分配政策的差异情况。</w:t>
      </w:r>
    </w:p>
    <w:p w14:paraId="58C6D4B7">
      <w:pPr>
        <w:pStyle w:val="21"/>
        <w:numPr>
          <w:ilvl w:val="0"/>
          <w:numId w:val="0"/>
        </w:numPr>
        <w:snapToGrid w:val="0"/>
        <w:spacing w:line="600" w:lineRule="exact"/>
        <w:ind w:left="0" w:leftChars="0" w:right="0" w:rightChars="0" w:firstLine="600" w:firstLineChars="0"/>
        <w:rPr>
          <w:rFonts w:ascii="仿宋_GB2312" w:hAnsi="仿宋_GB2312" w:eastAsia="仿宋_GB2312"/>
          <w:sz w:val="30"/>
          <w:szCs w:val="30"/>
        </w:rPr>
      </w:pPr>
      <w:r>
        <w:rPr>
          <w:rFonts w:hint="eastAsia" w:ascii="仿宋_GB2312" w:hAnsi="仿宋_GB2312" w:eastAsia="仿宋_GB2312" w:cs="黑体;SimHei"/>
          <w:b/>
          <w:bCs/>
          <w:color w:val="000000"/>
          <w:kern w:val="2"/>
          <w:sz w:val="30"/>
          <w:szCs w:val="30"/>
          <w:lang w:val="en-US" w:eastAsia="zh-CN" w:bidi="ar-SA"/>
        </w:rPr>
        <w:t xml:space="preserve">第七十七条 </w:t>
      </w:r>
      <w:r>
        <w:rPr>
          <w:rFonts w:ascii="仿宋_GB2312" w:hAnsi="仿宋_GB2312" w:eastAsia="仿宋_GB2312"/>
          <w:sz w:val="30"/>
          <w:szCs w:val="30"/>
        </w:rPr>
        <w:t>转板公司应披露股东投票机制的建立情况，包括采取累积投票制选举公司董事，中小投资者单独计票机制，采取网络投票方式召开股东大会进行审议表决、征集投票权的相关安排等。</w:t>
      </w:r>
    </w:p>
    <w:p w14:paraId="099B70FC">
      <w:pPr>
        <w:pStyle w:val="21"/>
        <w:numPr>
          <w:ilvl w:val="0"/>
          <w:numId w:val="0"/>
        </w:numPr>
        <w:snapToGrid w:val="0"/>
        <w:spacing w:line="600" w:lineRule="exact"/>
        <w:ind w:left="0" w:leftChars="0" w:right="0" w:rightChars="0" w:firstLine="600" w:firstLineChars="0"/>
        <w:rPr>
          <w:rFonts w:ascii="仿宋_GB2312" w:hAnsi="仿宋_GB2312" w:eastAsia="仿宋_GB2312"/>
          <w:sz w:val="30"/>
          <w:szCs w:val="30"/>
        </w:rPr>
      </w:pPr>
      <w:r>
        <w:rPr>
          <w:rFonts w:hint="eastAsia" w:ascii="仿宋_GB2312" w:hAnsi="仿宋_GB2312" w:eastAsia="仿宋_GB2312" w:cs="黑体;SimHei"/>
          <w:b/>
          <w:bCs/>
          <w:color w:val="000000"/>
          <w:kern w:val="2"/>
          <w:sz w:val="30"/>
          <w:szCs w:val="30"/>
          <w:lang w:val="en-US" w:eastAsia="zh-CN" w:bidi="ar-SA"/>
        </w:rPr>
        <w:t xml:space="preserve">第七十八条 </w:t>
      </w:r>
      <w:r>
        <w:rPr>
          <w:rFonts w:ascii="仿宋_GB2312" w:hAnsi="仿宋_GB2312" w:eastAsia="仿宋_GB2312"/>
          <w:sz w:val="30"/>
          <w:szCs w:val="30"/>
        </w:rPr>
        <w:t>转板公司存在特别表决权股份或类似特殊安排，尚未盈利或存在累计未弥补亏损的，应披露依法落实保护投资者合法权益规定的各项措施，包括但不限于下列内容：</w:t>
      </w:r>
    </w:p>
    <w:p w14:paraId="6A056873">
      <w:pPr>
        <w:snapToGrid w:val="0"/>
        <w:spacing w:line="600" w:lineRule="exact"/>
        <w:ind w:right="0" w:firstLine="600"/>
        <w:rPr>
          <w:rFonts w:ascii="仿宋_GB2312" w:hAnsi="仿宋_GB2312" w:eastAsia="仿宋_GB2312"/>
          <w:sz w:val="30"/>
          <w:szCs w:val="30"/>
        </w:rPr>
      </w:pPr>
      <w:r>
        <w:rPr>
          <w:rFonts w:ascii="仿宋_GB2312" w:hAnsi="仿宋_GB2312" w:eastAsia="仿宋_GB2312"/>
          <w:sz w:val="30"/>
          <w:szCs w:val="30"/>
        </w:rPr>
        <w:t>（一）转板公司存在特别表决权股份等特殊架构的，其持有特别表决权的股东应按照所适用的法律以及公司章程行使权利，不得滥用特别表决权，不得损害投资者的合法权益；损害投资者合法权益的，转板公司及持有特别表决权的股东应改正，并依法承担对投资者的损害赔偿责任；</w:t>
      </w:r>
    </w:p>
    <w:p w14:paraId="5A598CB7">
      <w:pPr>
        <w:snapToGrid w:val="0"/>
        <w:spacing w:line="600" w:lineRule="exact"/>
        <w:ind w:right="0" w:firstLine="600"/>
        <w:rPr>
          <w:rFonts w:ascii="仿宋_GB2312" w:hAnsi="仿宋_GB2312" w:eastAsia="仿宋_GB2312"/>
          <w:sz w:val="30"/>
          <w:szCs w:val="30"/>
        </w:rPr>
      </w:pPr>
      <w:r>
        <w:rPr>
          <w:rFonts w:ascii="仿宋_GB2312" w:hAnsi="仿宋_GB2312" w:eastAsia="仿宋_GB2312"/>
          <w:sz w:val="30"/>
          <w:szCs w:val="30"/>
        </w:rPr>
        <w:t>（二）尚未盈利企业的控股股东、实际控制人和董事、监事、高级管理人员及核心技术人员关于减持股票所做的特殊安排或承诺。</w:t>
      </w:r>
    </w:p>
    <w:p w14:paraId="6ADF5452">
      <w:pPr>
        <w:numPr>
          <w:ilvl w:val="0"/>
          <w:numId w:val="0"/>
        </w:numPr>
        <w:snapToGrid w:val="0"/>
        <w:spacing w:line="600" w:lineRule="exact"/>
        <w:jc w:val="center"/>
        <w:outlineLvl w:val="2"/>
        <w:rPr>
          <w:rFonts w:ascii="仿宋_GB2312" w:hAnsi="仿宋_GB2312" w:eastAsia="仿宋_GB2312" w:cs="Calibri"/>
          <w:b/>
          <w:sz w:val="30"/>
          <w:szCs w:val="30"/>
        </w:rPr>
      </w:pPr>
      <w:r>
        <w:rPr>
          <w:rFonts w:ascii="仿宋_GB2312" w:hAnsi="仿宋_GB2312" w:eastAsia="仿宋_GB2312" w:cs="Calibri"/>
          <w:b/>
          <w:sz w:val="30"/>
          <w:szCs w:val="30"/>
        </w:rPr>
        <w:t>第九节 其他重要事项</w:t>
      </w:r>
    </w:p>
    <w:p w14:paraId="3D922C5A">
      <w:pPr>
        <w:pStyle w:val="21"/>
        <w:numPr>
          <w:ilvl w:val="0"/>
          <w:numId w:val="0"/>
        </w:numPr>
        <w:snapToGrid w:val="0"/>
        <w:spacing w:line="600" w:lineRule="exact"/>
        <w:ind w:left="0" w:leftChars="0" w:right="0" w:rightChars="0" w:firstLine="600" w:firstLineChars="0"/>
        <w:rPr>
          <w:rFonts w:ascii="仿宋_GB2312" w:hAnsi="仿宋_GB2312" w:eastAsia="仿宋_GB2312" w:cs="Arial"/>
          <w:color w:val="000000"/>
          <w:sz w:val="30"/>
          <w:szCs w:val="30"/>
        </w:rPr>
      </w:pPr>
      <w:r>
        <w:rPr>
          <w:rFonts w:hint="eastAsia" w:ascii="仿宋_GB2312" w:hAnsi="仿宋_GB2312" w:eastAsia="仿宋_GB2312" w:cs="黑体;SimHei"/>
          <w:b/>
          <w:bCs/>
          <w:color w:val="000000"/>
          <w:kern w:val="2"/>
          <w:sz w:val="30"/>
          <w:szCs w:val="30"/>
          <w:lang w:val="en-US" w:eastAsia="zh-CN" w:bidi="ar-SA"/>
        </w:rPr>
        <w:t xml:space="preserve">第七十九条 </w:t>
      </w:r>
      <w:r>
        <w:rPr>
          <w:rFonts w:ascii="仿宋_GB2312" w:hAnsi="仿宋_GB2312" w:eastAsia="仿宋_GB2312" w:cs="Arial"/>
          <w:color w:val="000000"/>
          <w:sz w:val="30"/>
          <w:szCs w:val="30"/>
        </w:rPr>
        <w:t>转板公司应披露对报告期经营活动、财务状况或未来发展等具有重要影响的已履行和正在履行的合同情况，包括合同当事人、合同标的、合同价款或报酬、履行期限、实际履行情况等。与同一交易主体在一个会计年度内连续发生的相同内容或性质的合同应累计计算。</w:t>
      </w:r>
    </w:p>
    <w:p w14:paraId="746D8BB3">
      <w:pPr>
        <w:pStyle w:val="21"/>
        <w:numPr>
          <w:ilvl w:val="0"/>
          <w:numId w:val="0"/>
        </w:numPr>
        <w:snapToGrid w:val="0"/>
        <w:spacing w:line="600" w:lineRule="exact"/>
        <w:ind w:left="0" w:leftChars="0" w:right="0" w:rightChars="0" w:firstLine="600" w:firstLineChars="0"/>
        <w:rPr>
          <w:rFonts w:ascii="仿宋_GB2312" w:hAnsi="仿宋_GB2312" w:eastAsia="仿宋_GB2312" w:cs="Arial"/>
          <w:color w:val="000000"/>
          <w:sz w:val="30"/>
          <w:szCs w:val="30"/>
        </w:rPr>
      </w:pPr>
      <w:r>
        <w:rPr>
          <w:rFonts w:hint="eastAsia" w:ascii="仿宋_GB2312" w:hAnsi="仿宋_GB2312" w:eastAsia="仿宋_GB2312" w:cs="黑体;SimHei"/>
          <w:b/>
          <w:bCs/>
          <w:color w:val="000000"/>
          <w:kern w:val="2"/>
          <w:sz w:val="30"/>
          <w:szCs w:val="30"/>
          <w:lang w:val="en-US" w:eastAsia="zh-CN" w:bidi="ar-SA"/>
        </w:rPr>
        <w:t xml:space="preserve">第八十条 </w:t>
      </w:r>
      <w:r>
        <w:rPr>
          <w:rFonts w:ascii="仿宋_GB2312" w:hAnsi="仿宋_GB2312" w:eastAsia="仿宋_GB2312" w:cs="Arial"/>
          <w:color w:val="000000"/>
          <w:sz w:val="30"/>
          <w:szCs w:val="30"/>
        </w:rPr>
        <w:t>转板公司应列表披露对外担保的情况，主要包括：</w:t>
      </w:r>
    </w:p>
    <w:p w14:paraId="799B3966">
      <w:pPr>
        <w:spacing w:line="600" w:lineRule="exact"/>
        <w:ind w:right="0" w:firstLine="600"/>
        <w:rPr>
          <w:rFonts w:ascii="仿宋_GB2312" w:hAnsi="仿宋_GB2312" w:eastAsia="仿宋_GB2312" w:cs="Arial"/>
          <w:color w:val="000000"/>
          <w:sz w:val="30"/>
          <w:szCs w:val="30"/>
        </w:rPr>
      </w:pPr>
      <w:r>
        <w:rPr>
          <w:rFonts w:ascii="仿宋_GB2312" w:hAnsi="仿宋_GB2312" w:eastAsia="仿宋_GB2312" w:cs="Arial"/>
          <w:color w:val="000000"/>
          <w:sz w:val="30"/>
          <w:szCs w:val="30"/>
        </w:rPr>
        <w:t>（一）被担保人的名称、注册资本、实收资本、住所、生产经营情况、与转板公司有无关联关系、以及最近一年及一期末的总资产、净资产和最近一年及一期的净利润；</w:t>
      </w:r>
    </w:p>
    <w:p w14:paraId="58BA1950">
      <w:pPr>
        <w:spacing w:line="600" w:lineRule="exact"/>
        <w:ind w:right="0" w:firstLine="600"/>
        <w:rPr>
          <w:rFonts w:ascii="仿宋_GB2312" w:hAnsi="仿宋_GB2312" w:eastAsia="仿宋_GB2312" w:cs="Arial"/>
          <w:color w:val="000000"/>
          <w:sz w:val="30"/>
          <w:szCs w:val="30"/>
        </w:rPr>
      </w:pPr>
      <w:r>
        <w:rPr>
          <w:rFonts w:ascii="仿宋_GB2312" w:hAnsi="仿宋_GB2312" w:eastAsia="仿宋_GB2312" w:cs="Arial"/>
          <w:color w:val="000000"/>
          <w:sz w:val="30"/>
          <w:szCs w:val="30"/>
        </w:rPr>
        <w:t>（二）主债务的种类、金额和履行债务的期限；</w:t>
      </w:r>
    </w:p>
    <w:p w14:paraId="34B5FA15">
      <w:pPr>
        <w:spacing w:line="600" w:lineRule="exact"/>
        <w:ind w:right="0" w:firstLine="600"/>
        <w:rPr>
          <w:rFonts w:ascii="仿宋_GB2312" w:hAnsi="仿宋_GB2312" w:eastAsia="仿宋_GB2312" w:cs="Arial"/>
          <w:color w:val="000000"/>
          <w:sz w:val="30"/>
          <w:szCs w:val="30"/>
        </w:rPr>
      </w:pPr>
      <w:r>
        <w:rPr>
          <w:rFonts w:ascii="仿宋_GB2312" w:hAnsi="仿宋_GB2312" w:eastAsia="仿宋_GB2312" w:cs="Arial"/>
          <w:color w:val="000000"/>
          <w:sz w:val="30"/>
          <w:szCs w:val="30"/>
        </w:rPr>
        <w:t>（三）担保方式：采用保证方式还是抵押、质押方式；采用抵押、质押方式的，应披露担保物的种类、数量、价值等相关情况；</w:t>
      </w:r>
    </w:p>
    <w:p w14:paraId="2AB3BAB9">
      <w:pPr>
        <w:spacing w:line="600" w:lineRule="exact"/>
        <w:ind w:right="0" w:firstLine="600"/>
        <w:rPr>
          <w:rFonts w:ascii="仿宋_GB2312" w:hAnsi="仿宋_GB2312" w:eastAsia="仿宋_GB2312" w:cs="Arial"/>
          <w:color w:val="000000"/>
          <w:sz w:val="30"/>
          <w:szCs w:val="30"/>
        </w:rPr>
      </w:pPr>
      <w:r>
        <w:rPr>
          <w:rFonts w:ascii="仿宋_GB2312" w:hAnsi="仿宋_GB2312" w:eastAsia="仿宋_GB2312" w:cs="Arial"/>
          <w:color w:val="000000"/>
          <w:sz w:val="30"/>
          <w:szCs w:val="30"/>
        </w:rPr>
        <w:t>（四）担保范围；</w:t>
      </w:r>
    </w:p>
    <w:p w14:paraId="731D009B">
      <w:pPr>
        <w:spacing w:line="600" w:lineRule="exact"/>
        <w:ind w:right="0" w:firstLine="600"/>
        <w:rPr>
          <w:rFonts w:ascii="仿宋_GB2312" w:hAnsi="仿宋_GB2312" w:eastAsia="仿宋_GB2312" w:cs="Arial"/>
          <w:color w:val="000000"/>
          <w:sz w:val="30"/>
          <w:szCs w:val="30"/>
        </w:rPr>
      </w:pPr>
      <w:r>
        <w:rPr>
          <w:rFonts w:ascii="仿宋_GB2312" w:hAnsi="仿宋_GB2312" w:eastAsia="仿宋_GB2312" w:cs="Arial"/>
          <w:color w:val="000000"/>
          <w:sz w:val="30"/>
          <w:szCs w:val="30"/>
        </w:rPr>
        <w:t>（五）担保期间；</w:t>
      </w:r>
    </w:p>
    <w:p w14:paraId="1FB522A5">
      <w:pPr>
        <w:spacing w:line="600" w:lineRule="exact"/>
        <w:ind w:right="0" w:firstLine="600"/>
        <w:rPr>
          <w:rFonts w:ascii="仿宋_GB2312" w:hAnsi="仿宋_GB2312" w:eastAsia="仿宋_GB2312" w:cs="Arial"/>
          <w:color w:val="000000"/>
          <w:sz w:val="30"/>
          <w:szCs w:val="30"/>
        </w:rPr>
      </w:pPr>
      <w:r>
        <w:rPr>
          <w:rFonts w:ascii="仿宋_GB2312" w:hAnsi="仿宋_GB2312" w:eastAsia="仿宋_GB2312" w:cs="Arial"/>
          <w:color w:val="000000"/>
          <w:sz w:val="30"/>
          <w:szCs w:val="30"/>
        </w:rPr>
        <w:t>（六）解决争议的方法；</w:t>
      </w:r>
    </w:p>
    <w:p w14:paraId="765F7C5B">
      <w:pPr>
        <w:spacing w:line="600" w:lineRule="exact"/>
        <w:ind w:right="0" w:firstLine="600"/>
        <w:rPr>
          <w:rFonts w:ascii="仿宋_GB2312" w:hAnsi="仿宋_GB2312" w:eastAsia="仿宋_GB2312" w:cs="Arial"/>
          <w:color w:val="000000"/>
          <w:sz w:val="30"/>
          <w:szCs w:val="30"/>
        </w:rPr>
      </w:pPr>
      <w:r>
        <w:rPr>
          <w:rFonts w:ascii="仿宋_GB2312" w:hAnsi="仿宋_GB2312" w:eastAsia="仿宋_GB2312" w:cs="Arial"/>
          <w:color w:val="000000"/>
          <w:sz w:val="30"/>
          <w:szCs w:val="30"/>
        </w:rPr>
        <w:t>（七）其他对担保人有重大影响的条款；</w:t>
      </w:r>
    </w:p>
    <w:p w14:paraId="6624ADBF">
      <w:pPr>
        <w:spacing w:line="600" w:lineRule="exact"/>
        <w:ind w:right="0" w:firstLine="600"/>
        <w:rPr>
          <w:rFonts w:ascii="仿宋_GB2312" w:hAnsi="仿宋_GB2312" w:eastAsia="仿宋_GB2312" w:cs="Arial"/>
          <w:color w:val="000000"/>
          <w:sz w:val="30"/>
          <w:szCs w:val="30"/>
        </w:rPr>
      </w:pPr>
      <w:r>
        <w:rPr>
          <w:rFonts w:ascii="仿宋_GB2312" w:hAnsi="仿宋_GB2312" w:eastAsia="仿宋_GB2312" w:cs="Arial"/>
          <w:color w:val="000000"/>
          <w:sz w:val="30"/>
          <w:szCs w:val="30"/>
        </w:rPr>
        <w:t>（八）担保履行情况；</w:t>
      </w:r>
    </w:p>
    <w:p w14:paraId="2F9F68A8">
      <w:pPr>
        <w:spacing w:line="600" w:lineRule="exact"/>
        <w:ind w:right="0" w:firstLine="600"/>
        <w:rPr>
          <w:rFonts w:ascii="仿宋_GB2312" w:hAnsi="仿宋_GB2312" w:eastAsia="仿宋_GB2312" w:cs="Arial"/>
          <w:color w:val="000000"/>
          <w:sz w:val="30"/>
          <w:szCs w:val="30"/>
        </w:rPr>
      </w:pPr>
      <w:r>
        <w:rPr>
          <w:rFonts w:ascii="仿宋_GB2312" w:hAnsi="仿宋_GB2312" w:eastAsia="仿宋_GB2312" w:cs="Arial"/>
          <w:color w:val="000000"/>
          <w:sz w:val="30"/>
          <w:szCs w:val="30"/>
        </w:rPr>
        <w:t>（九）如存在反担保的，应简要披露相关情况；</w:t>
      </w:r>
    </w:p>
    <w:p w14:paraId="40528CE0">
      <w:pPr>
        <w:spacing w:line="600" w:lineRule="exact"/>
        <w:ind w:right="0" w:firstLine="600"/>
        <w:rPr>
          <w:rFonts w:ascii="仿宋_GB2312" w:hAnsi="仿宋_GB2312" w:eastAsia="仿宋_GB2312" w:cs="Arial"/>
          <w:color w:val="000000"/>
          <w:sz w:val="30"/>
          <w:szCs w:val="30"/>
        </w:rPr>
      </w:pPr>
      <w:r>
        <w:rPr>
          <w:rFonts w:ascii="仿宋_GB2312" w:hAnsi="仿宋_GB2312" w:eastAsia="仿宋_GB2312" w:cs="Arial"/>
          <w:color w:val="000000"/>
          <w:sz w:val="30"/>
          <w:szCs w:val="30"/>
        </w:rPr>
        <w:t>（十）该等担保对转板公司业务经营与财务状况的影响。</w:t>
      </w:r>
    </w:p>
    <w:p w14:paraId="307DA925">
      <w:pPr>
        <w:pStyle w:val="21"/>
        <w:numPr>
          <w:ilvl w:val="0"/>
          <w:numId w:val="0"/>
        </w:numPr>
        <w:snapToGrid w:val="0"/>
        <w:spacing w:line="600" w:lineRule="exact"/>
        <w:ind w:left="0" w:leftChars="0" w:right="0" w:rightChars="0" w:firstLine="600" w:firstLineChars="0"/>
        <w:rPr>
          <w:rFonts w:ascii="仿宋_GB2312" w:hAnsi="仿宋_GB2312" w:eastAsia="仿宋_GB2312" w:cs="Arial"/>
          <w:color w:val="000000"/>
          <w:sz w:val="30"/>
          <w:szCs w:val="30"/>
        </w:rPr>
      </w:pPr>
      <w:r>
        <w:rPr>
          <w:rFonts w:hint="eastAsia" w:ascii="仿宋_GB2312" w:hAnsi="仿宋_GB2312" w:eastAsia="仿宋_GB2312" w:cs="黑体;SimHei"/>
          <w:b/>
          <w:bCs/>
          <w:color w:val="000000"/>
          <w:kern w:val="2"/>
          <w:sz w:val="30"/>
          <w:szCs w:val="30"/>
          <w:lang w:val="en-US" w:eastAsia="zh-CN" w:bidi="ar-SA"/>
        </w:rPr>
        <w:t xml:space="preserve">第八十一条 </w:t>
      </w:r>
      <w:r>
        <w:rPr>
          <w:rFonts w:ascii="仿宋_GB2312" w:hAnsi="仿宋_GB2312" w:eastAsia="仿宋_GB2312" w:cs="Arial"/>
          <w:color w:val="000000"/>
          <w:sz w:val="30"/>
          <w:szCs w:val="30"/>
        </w:rPr>
        <w:t>转板公司应披露对财务状况、经营成果、声誉、业务活动、未来前景等可能产生较大影响的诉讼或仲裁事项，以及控股股东或实际控制人、控股子公司，转板公司董事、监事、高级管理人员和核心技术人员作为一方当事人可能对转板公司产生影响的刑事诉讼、重大诉讼或仲裁事项，主要包括：</w:t>
      </w:r>
    </w:p>
    <w:p w14:paraId="6F18172D">
      <w:pPr>
        <w:spacing w:line="600" w:lineRule="exact"/>
        <w:ind w:right="0" w:firstLine="600"/>
        <w:rPr>
          <w:rFonts w:ascii="仿宋_GB2312" w:hAnsi="仿宋_GB2312" w:eastAsia="仿宋_GB2312" w:cs="Arial"/>
          <w:color w:val="000000"/>
          <w:sz w:val="30"/>
          <w:szCs w:val="30"/>
        </w:rPr>
      </w:pPr>
      <w:r>
        <w:rPr>
          <w:rFonts w:ascii="仿宋_GB2312" w:hAnsi="仿宋_GB2312" w:eastAsia="仿宋_GB2312" w:cs="Arial"/>
          <w:color w:val="000000"/>
          <w:sz w:val="30"/>
          <w:szCs w:val="30"/>
        </w:rPr>
        <w:t>（一）案件受理情况和基本案情；</w:t>
      </w:r>
    </w:p>
    <w:p w14:paraId="71F3914E">
      <w:pPr>
        <w:spacing w:line="600" w:lineRule="exact"/>
        <w:ind w:right="0" w:firstLine="600"/>
        <w:rPr>
          <w:rFonts w:ascii="仿宋_GB2312" w:hAnsi="仿宋_GB2312" w:eastAsia="仿宋_GB2312" w:cs="Arial"/>
          <w:color w:val="000000"/>
          <w:sz w:val="30"/>
          <w:szCs w:val="30"/>
        </w:rPr>
      </w:pPr>
      <w:r>
        <w:rPr>
          <w:rFonts w:ascii="仿宋_GB2312" w:hAnsi="仿宋_GB2312" w:eastAsia="仿宋_GB2312" w:cs="Arial"/>
          <w:color w:val="000000"/>
          <w:sz w:val="30"/>
          <w:szCs w:val="30"/>
        </w:rPr>
        <w:t>（二）诉讼或仲裁请求；</w:t>
      </w:r>
    </w:p>
    <w:p w14:paraId="02AC963F">
      <w:pPr>
        <w:spacing w:line="600" w:lineRule="exact"/>
        <w:ind w:right="0" w:firstLine="600"/>
        <w:rPr>
          <w:rFonts w:ascii="仿宋_GB2312" w:hAnsi="仿宋_GB2312" w:eastAsia="仿宋_GB2312" w:cs="Arial"/>
          <w:color w:val="000000"/>
          <w:sz w:val="30"/>
          <w:szCs w:val="30"/>
        </w:rPr>
      </w:pPr>
      <w:r>
        <w:rPr>
          <w:rFonts w:ascii="仿宋_GB2312" w:hAnsi="仿宋_GB2312" w:eastAsia="仿宋_GB2312" w:cs="Arial"/>
          <w:color w:val="000000"/>
          <w:sz w:val="30"/>
          <w:szCs w:val="30"/>
        </w:rPr>
        <w:t>（三）判决、裁决结果及执行情况；</w:t>
      </w:r>
    </w:p>
    <w:p w14:paraId="13BBDBA2">
      <w:pPr>
        <w:spacing w:line="600" w:lineRule="exact"/>
        <w:ind w:right="0" w:firstLine="600"/>
        <w:rPr>
          <w:rFonts w:ascii="仿宋_GB2312" w:hAnsi="仿宋_GB2312" w:eastAsia="仿宋_GB2312" w:cs="Arial"/>
          <w:color w:val="000000"/>
          <w:sz w:val="30"/>
          <w:szCs w:val="30"/>
        </w:rPr>
      </w:pPr>
      <w:r>
        <w:rPr>
          <w:rFonts w:ascii="仿宋_GB2312" w:hAnsi="仿宋_GB2312" w:eastAsia="仿宋_GB2312" w:cs="Arial"/>
          <w:color w:val="000000"/>
          <w:sz w:val="30"/>
          <w:szCs w:val="30"/>
        </w:rPr>
        <w:t>（四）诉讼、仲裁案件对转板公司的影响。</w:t>
      </w:r>
    </w:p>
    <w:p w14:paraId="240527E7">
      <w:pPr>
        <w:spacing w:line="600" w:lineRule="exact"/>
        <w:ind w:right="0" w:firstLine="600"/>
        <w:rPr>
          <w:rFonts w:ascii="仿宋_GB2312" w:hAnsi="仿宋_GB2312" w:eastAsia="仿宋_GB2312" w:cs="Arial"/>
          <w:color w:val="000000"/>
          <w:sz w:val="30"/>
          <w:szCs w:val="30"/>
        </w:rPr>
      </w:pPr>
      <w:r>
        <w:rPr>
          <w:rFonts w:ascii="仿宋_GB2312" w:hAnsi="仿宋_GB2312" w:eastAsia="仿宋_GB2312" w:cs="Arial"/>
          <w:color w:val="000000"/>
          <w:sz w:val="30"/>
          <w:szCs w:val="30"/>
        </w:rPr>
        <w:t>转板公司应披露董事、监事、高级管理人员最近三年涉及行政处罚、被司法机关立案侦查、被中国证监会立案调查情况。</w:t>
      </w:r>
    </w:p>
    <w:p w14:paraId="5800883D">
      <w:pPr>
        <w:pStyle w:val="21"/>
        <w:numPr>
          <w:ilvl w:val="0"/>
          <w:numId w:val="0"/>
        </w:numPr>
        <w:snapToGrid w:val="0"/>
        <w:spacing w:line="600" w:lineRule="exact"/>
        <w:ind w:left="0" w:leftChars="0" w:right="0" w:rightChars="0" w:firstLine="600" w:firstLineChars="0"/>
        <w:rPr>
          <w:rFonts w:ascii="仿宋_GB2312" w:hAnsi="仿宋_GB2312" w:eastAsia="仿宋_GB2312" w:cs="Arial"/>
          <w:color w:val="000000"/>
          <w:sz w:val="30"/>
          <w:szCs w:val="30"/>
        </w:rPr>
      </w:pPr>
      <w:r>
        <w:rPr>
          <w:rFonts w:hint="eastAsia" w:ascii="仿宋_GB2312" w:hAnsi="仿宋_GB2312" w:eastAsia="仿宋_GB2312" w:cs="黑体;SimHei"/>
          <w:b/>
          <w:bCs/>
          <w:color w:val="000000"/>
          <w:kern w:val="2"/>
          <w:sz w:val="30"/>
          <w:szCs w:val="30"/>
          <w:lang w:val="en-US" w:eastAsia="zh-CN" w:bidi="ar-SA"/>
        </w:rPr>
        <w:t xml:space="preserve">第八十二条 </w:t>
      </w:r>
      <w:r>
        <w:rPr>
          <w:rFonts w:ascii="仿宋_GB2312" w:hAnsi="仿宋_GB2312" w:eastAsia="仿宋_GB2312" w:cs="Arial"/>
          <w:color w:val="000000"/>
          <w:sz w:val="30"/>
          <w:szCs w:val="30"/>
        </w:rPr>
        <w:t>转板公司应披露控股股东、实际控制人报告期内是否存在重大违法行为，是否受到中国证监会行政处罚，是否存在因涉嫌违法违规被中国证监会立案调查且尚未有明确结论意见，或者最近十二个月受到全国股转公司公开谴责等情形。</w:t>
      </w:r>
    </w:p>
    <w:p w14:paraId="0C45B665">
      <w:pPr>
        <w:numPr>
          <w:ilvl w:val="0"/>
          <w:numId w:val="0"/>
        </w:numPr>
        <w:snapToGrid w:val="0"/>
        <w:spacing w:line="600" w:lineRule="exact"/>
        <w:jc w:val="center"/>
        <w:outlineLvl w:val="2"/>
        <w:rPr>
          <w:rFonts w:ascii="仿宋_GB2312" w:hAnsi="仿宋_GB2312" w:eastAsia="仿宋_GB2312" w:cs="Calibri"/>
          <w:b/>
          <w:sz w:val="30"/>
          <w:szCs w:val="30"/>
        </w:rPr>
      </w:pPr>
      <w:r>
        <w:rPr>
          <w:rFonts w:ascii="仿宋_GB2312" w:hAnsi="仿宋_GB2312" w:eastAsia="仿宋_GB2312" w:cs="Calibri"/>
          <w:b/>
          <w:sz w:val="30"/>
          <w:szCs w:val="30"/>
        </w:rPr>
        <w:t>第十节 声明</w:t>
      </w:r>
    </w:p>
    <w:p w14:paraId="1B32351B">
      <w:pPr>
        <w:pStyle w:val="21"/>
        <w:numPr>
          <w:ilvl w:val="0"/>
          <w:numId w:val="0"/>
        </w:numPr>
        <w:snapToGrid w:val="0"/>
        <w:spacing w:line="600" w:lineRule="exact"/>
        <w:ind w:left="0" w:leftChars="0" w:right="0" w:rightChars="0" w:firstLine="600" w:firstLineChars="0"/>
        <w:rPr>
          <w:rFonts w:ascii="仿宋_GB2312" w:hAnsi="仿宋_GB2312" w:eastAsia="仿宋_GB2312"/>
          <w:sz w:val="30"/>
          <w:szCs w:val="30"/>
        </w:rPr>
      </w:pPr>
      <w:r>
        <w:rPr>
          <w:rFonts w:hint="eastAsia" w:ascii="仿宋_GB2312" w:hAnsi="仿宋_GB2312" w:eastAsia="仿宋_GB2312" w:cs="黑体;SimHei"/>
          <w:b/>
          <w:bCs/>
          <w:color w:val="000000"/>
          <w:kern w:val="2"/>
          <w:sz w:val="30"/>
          <w:szCs w:val="30"/>
          <w:lang w:val="en-US" w:eastAsia="zh-CN" w:bidi="ar-SA"/>
        </w:rPr>
        <w:t xml:space="preserve">第八十三条 </w:t>
      </w:r>
      <w:r>
        <w:rPr>
          <w:rFonts w:ascii="仿宋_GB2312" w:hAnsi="仿宋_GB2312" w:eastAsia="仿宋_GB2312"/>
          <w:sz w:val="30"/>
          <w:szCs w:val="30"/>
        </w:rPr>
        <w:t>转板公司全体董事、监事、高级管理人员应在转板上市报告书正文的尾页声明：</w:t>
      </w:r>
    </w:p>
    <w:p w14:paraId="4927C9E2">
      <w:pPr>
        <w:snapToGrid w:val="0"/>
        <w:spacing w:line="600" w:lineRule="exact"/>
        <w:ind w:right="0" w:firstLine="600"/>
        <w:rPr>
          <w:rFonts w:ascii="仿宋_GB2312" w:hAnsi="仿宋_GB2312" w:eastAsia="仿宋_GB2312"/>
          <w:sz w:val="30"/>
          <w:szCs w:val="30"/>
        </w:rPr>
      </w:pPr>
      <w:r>
        <w:rPr>
          <w:rFonts w:ascii="仿宋_GB2312" w:hAnsi="仿宋_GB2312" w:eastAsia="仿宋_GB2312" w:cs="仿宋_GB2312"/>
          <w:sz w:val="30"/>
          <w:szCs w:val="30"/>
        </w:rPr>
        <w:t>“</w:t>
      </w:r>
      <w:r>
        <w:rPr>
          <w:rFonts w:ascii="仿宋_GB2312" w:hAnsi="仿宋_GB2312" w:eastAsia="仿宋_GB2312"/>
          <w:sz w:val="30"/>
          <w:szCs w:val="30"/>
        </w:rPr>
        <w:t>本公司全体董事、监事、高级管理人员承诺本转板上市报告书不存在虚假记载、误导性陈述或重大遗漏，并对其真实性、准确性、完整性承担个别和连带的法律责任。”</w:t>
      </w:r>
    </w:p>
    <w:p w14:paraId="1537C972">
      <w:pPr>
        <w:snapToGrid w:val="0"/>
        <w:spacing w:line="600" w:lineRule="exact"/>
        <w:ind w:right="0" w:firstLine="600"/>
        <w:rPr>
          <w:rFonts w:ascii="仿宋_GB2312" w:hAnsi="仿宋_GB2312" w:eastAsia="仿宋_GB2312"/>
          <w:sz w:val="30"/>
          <w:szCs w:val="30"/>
        </w:rPr>
      </w:pPr>
      <w:r>
        <w:rPr>
          <w:rFonts w:ascii="仿宋_GB2312" w:hAnsi="仿宋_GB2312" w:eastAsia="仿宋_GB2312"/>
          <w:sz w:val="30"/>
          <w:szCs w:val="30"/>
        </w:rPr>
        <w:t>声明应由全体董事、监事、高级管理人员签名，并由转板公司加盖公章。</w:t>
      </w:r>
    </w:p>
    <w:p w14:paraId="1E03CE33">
      <w:pPr>
        <w:pStyle w:val="21"/>
        <w:numPr>
          <w:ilvl w:val="0"/>
          <w:numId w:val="0"/>
        </w:numPr>
        <w:snapToGrid w:val="0"/>
        <w:spacing w:line="600" w:lineRule="exact"/>
        <w:ind w:left="0" w:leftChars="0" w:right="0" w:rightChars="0" w:firstLine="600" w:firstLineChars="0"/>
        <w:rPr>
          <w:rFonts w:ascii="仿宋_GB2312" w:hAnsi="仿宋_GB2312" w:eastAsia="仿宋_GB2312"/>
          <w:sz w:val="30"/>
          <w:szCs w:val="30"/>
        </w:rPr>
      </w:pPr>
      <w:r>
        <w:rPr>
          <w:rFonts w:hint="eastAsia" w:ascii="仿宋_GB2312" w:hAnsi="仿宋_GB2312" w:eastAsia="仿宋_GB2312" w:cs="黑体;SimHei"/>
          <w:b/>
          <w:bCs/>
          <w:color w:val="000000"/>
          <w:kern w:val="2"/>
          <w:sz w:val="30"/>
          <w:szCs w:val="30"/>
          <w:lang w:val="en-US" w:eastAsia="zh-CN" w:bidi="ar-SA"/>
        </w:rPr>
        <w:t xml:space="preserve">第八十四条 </w:t>
      </w:r>
      <w:r>
        <w:rPr>
          <w:rFonts w:ascii="仿宋_GB2312" w:hAnsi="仿宋_GB2312" w:eastAsia="仿宋_GB2312"/>
          <w:sz w:val="30"/>
          <w:szCs w:val="30"/>
        </w:rPr>
        <w:t>转板公司控股股东、实际控制人应在转板上市报告书正文后声明：</w:t>
      </w:r>
    </w:p>
    <w:p w14:paraId="1FBA6786">
      <w:pPr>
        <w:snapToGrid w:val="0"/>
        <w:spacing w:line="600" w:lineRule="exact"/>
        <w:ind w:right="0" w:firstLine="600"/>
        <w:rPr>
          <w:rFonts w:ascii="仿宋_GB2312" w:hAnsi="仿宋_GB2312" w:eastAsia="仿宋_GB2312"/>
          <w:sz w:val="30"/>
          <w:szCs w:val="30"/>
        </w:rPr>
      </w:pPr>
      <w:r>
        <w:rPr>
          <w:rFonts w:ascii="仿宋_GB2312" w:hAnsi="仿宋_GB2312" w:eastAsia="仿宋_GB2312" w:cs="仿宋_GB2312"/>
          <w:sz w:val="30"/>
          <w:szCs w:val="30"/>
        </w:rPr>
        <w:t>“</w:t>
      </w:r>
      <w:r>
        <w:rPr>
          <w:rFonts w:ascii="仿宋_GB2312" w:hAnsi="仿宋_GB2312" w:eastAsia="仿宋_GB2312"/>
          <w:sz w:val="30"/>
          <w:szCs w:val="30"/>
        </w:rPr>
        <w:t>本公司或本人承诺本转板上市报告书不存在虚假记载、误导性陈述或重大遗漏，并对其真实性、准确性、完整性承担个别和连带的法律责任。”</w:t>
      </w:r>
    </w:p>
    <w:p w14:paraId="2AB6EA01">
      <w:pPr>
        <w:snapToGrid w:val="0"/>
        <w:spacing w:line="600" w:lineRule="exact"/>
        <w:ind w:right="0" w:firstLine="600"/>
        <w:rPr>
          <w:rFonts w:ascii="仿宋_GB2312" w:hAnsi="仿宋_GB2312" w:eastAsia="仿宋_GB2312"/>
          <w:sz w:val="30"/>
          <w:szCs w:val="30"/>
        </w:rPr>
      </w:pPr>
      <w:r>
        <w:rPr>
          <w:rFonts w:ascii="仿宋_GB2312" w:hAnsi="仿宋_GB2312" w:eastAsia="仿宋_GB2312"/>
          <w:sz w:val="30"/>
          <w:szCs w:val="30"/>
        </w:rPr>
        <w:t>声明应由控股股东、实际控制人签名，加盖公章。</w:t>
      </w:r>
    </w:p>
    <w:p w14:paraId="6B863BCA">
      <w:pPr>
        <w:pStyle w:val="21"/>
        <w:numPr>
          <w:ilvl w:val="0"/>
          <w:numId w:val="0"/>
        </w:numPr>
        <w:snapToGrid w:val="0"/>
        <w:spacing w:line="600" w:lineRule="exact"/>
        <w:ind w:left="0" w:leftChars="0" w:right="0" w:rightChars="0" w:firstLine="600" w:firstLineChars="0"/>
        <w:rPr>
          <w:rFonts w:ascii="仿宋_GB2312" w:hAnsi="仿宋_GB2312" w:eastAsia="仿宋_GB2312"/>
          <w:sz w:val="30"/>
          <w:szCs w:val="30"/>
        </w:rPr>
      </w:pPr>
      <w:r>
        <w:rPr>
          <w:rFonts w:hint="eastAsia" w:ascii="仿宋_GB2312" w:hAnsi="仿宋_GB2312" w:eastAsia="仿宋_GB2312" w:cs="黑体;SimHei"/>
          <w:b/>
          <w:bCs/>
          <w:color w:val="000000"/>
          <w:kern w:val="2"/>
          <w:sz w:val="30"/>
          <w:szCs w:val="30"/>
          <w:lang w:val="en-US" w:eastAsia="zh-CN" w:bidi="ar-SA"/>
        </w:rPr>
        <w:t xml:space="preserve">第八十五条 </w:t>
      </w:r>
      <w:r>
        <w:rPr>
          <w:rFonts w:ascii="仿宋_GB2312" w:hAnsi="仿宋_GB2312" w:eastAsia="仿宋_GB2312"/>
          <w:sz w:val="30"/>
          <w:szCs w:val="30"/>
        </w:rPr>
        <w:t>保荐人应在转板上市报告书正文后声明：</w:t>
      </w:r>
    </w:p>
    <w:p w14:paraId="1B6D46D2">
      <w:pPr>
        <w:snapToGrid w:val="0"/>
        <w:spacing w:line="600" w:lineRule="exact"/>
        <w:ind w:right="0" w:firstLine="600"/>
        <w:rPr>
          <w:rFonts w:ascii="仿宋_GB2312" w:hAnsi="仿宋_GB2312" w:eastAsia="仿宋_GB2312"/>
          <w:sz w:val="30"/>
          <w:szCs w:val="30"/>
        </w:rPr>
      </w:pPr>
      <w:r>
        <w:rPr>
          <w:rFonts w:ascii="仿宋_GB2312" w:hAnsi="仿宋_GB2312" w:eastAsia="仿宋_GB2312" w:cs="仿宋_GB2312"/>
          <w:sz w:val="30"/>
          <w:szCs w:val="30"/>
        </w:rPr>
        <w:t>“</w:t>
      </w:r>
      <w:r>
        <w:rPr>
          <w:rFonts w:ascii="仿宋_GB2312" w:hAnsi="仿宋_GB2312" w:eastAsia="仿宋_GB2312"/>
          <w:sz w:val="30"/>
          <w:szCs w:val="30"/>
        </w:rPr>
        <w:t>本公司已对转板上市报告书进行了核查，确认不存在虚假记载、误导性陈述或重大遗漏，并对其真实性、准确性、完整性承担相应的法律责任。”</w:t>
      </w:r>
    </w:p>
    <w:p w14:paraId="48E16499">
      <w:pPr>
        <w:snapToGrid w:val="0"/>
        <w:spacing w:line="600" w:lineRule="exact"/>
        <w:ind w:right="0" w:firstLine="600"/>
        <w:rPr>
          <w:rFonts w:ascii="仿宋_GB2312" w:hAnsi="仿宋_GB2312" w:eastAsia="仿宋_GB2312"/>
          <w:sz w:val="30"/>
          <w:szCs w:val="30"/>
        </w:rPr>
      </w:pPr>
      <w:r>
        <w:rPr>
          <w:rFonts w:ascii="仿宋_GB2312" w:hAnsi="仿宋_GB2312" w:eastAsia="仿宋_GB2312"/>
          <w:sz w:val="30"/>
          <w:szCs w:val="30"/>
        </w:rPr>
        <w:t>声明应由法定代表人、保荐代表人、项目协办人签名，并由保荐人加盖公章。</w:t>
      </w:r>
    </w:p>
    <w:p w14:paraId="4F9A232C">
      <w:pPr>
        <w:pStyle w:val="21"/>
        <w:numPr>
          <w:ilvl w:val="0"/>
          <w:numId w:val="0"/>
        </w:numPr>
        <w:snapToGrid w:val="0"/>
        <w:spacing w:line="600" w:lineRule="exact"/>
        <w:ind w:left="0" w:leftChars="0" w:right="0" w:rightChars="0" w:firstLine="600" w:firstLineChars="0"/>
        <w:rPr>
          <w:rFonts w:ascii="仿宋_GB2312" w:hAnsi="仿宋_GB2312" w:eastAsia="仿宋_GB2312"/>
          <w:sz w:val="30"/>
          <w:szCs w:val="30"/>
        </w:rPr>
      </w:pPr>
      <w:r>
        <w:rPr>
          <w:rFonts w:hint="eastAsia" w:ascii="仿宋_GB2312" w:hAnsi="仿宋_GB2312" w:eastAsia="仿宋_GB2312" w:cs="黑体;SimHei"/>
          <w:b/>
          <w:bCs/>
          <w:color w:val="000000"/>
          <w:kern w:val="2"/>
          <w:sz w:val="30"/>
          <w:szCs w:val="30"/>
          <w:lang w:val="en-US" w:eastAsia="zh-CN" w:bidi="ar-SA"/>
        </w:rPr>
        <w:t xml:space="preserve">第八十六条 </w:t>
      </w:r>
      <w:r>
        <w:rPr>
          <w:rFonts w:ascii="仿宋_GB2312" w:hAnsi="仿宋_GB2312" w:eastAsia="仿宋_GB2312"/>
          <w:sz w:val="30"/>
          <w:szCs w:val="30"/>
        </w:rPr>
        <w:t>转板公司律师应在转板上市报告书正文后声明：</w:t>
      </w:r>
    </w:p>
    <w:p w14:paraId="68312D8B">
      <w:pPr>
        <w:snapToGrid w:val="0"/>
        <w:spacing w:line="600" w:lineRule="exact"/>
        <w:ind w:right="0" w:firstLine="600"/>
        <w:rPr>
          <w:rFonts w:ascii="仿宋_GB2312" w:hAnsi="仿宋_GB2312" w:eastAsia="仿宋_GB2312"/>
          <w:sz w:val="30"/>
          <w:szCs w:val="30"/>
        </w:rPr>
      </w:pPr>
      <w:r>
        <w:rPr>
          <w:rFonts w:ascii="仿宋_GB2312" w:hAnsi="仿宋_GB2312" w:eastAsia="仿宋_GB2312" w:cs="仿宋_GB2312"/>
          <w:sz w:val="30"/>
          <w:szCs w:val="30"/>
        </w:rPr>
        <w:t>“</w:t>
      </w:r>
      <w:r>
        <w:rPr>
          <w:rFonts w:ascii="仿宋_GB2312" w:hAnsi="仿宋_GB2312" w:eastAsia="仿宋_GB2312"/>
          <w:sz w:val="30"/>
          <w:szCs w:val="30"/>
        </w:rPr>
        <w:t>本所及经办律师已阅读转板上市报告书，确认转板上市报告书与本所出具的法律意见书无矛盾之处。本所及经办律师对转板公司在转板上市报告书中引用的法律意见书的内容无异议，确认转板上市报告书不致因上述内容而出现虚假记载、误导性陈述或重大遗漏，并对其真实性、准确性、完整性承担相应的法律责任。”</w:t>
      </w:r>
    </w:p>
    <w:p w14:paraId="29A5532D">
      <w:pPr>
        <w:snapToGrid w:val="0"/>
        <w:spacing w:line="600" w:lineRule="exact"/>
        <w:ind w:right="0" w:firstLine="600"/>
        <w:rPr>
          <w:rFonts w:ascii="仿宋_GB2312" w:hAnsi="仿宋_GB2312" w:eastAsia="仿宋_GB2312"/>
          <w:sz w:val="30"/>
          <w:szCs w:val="30"/>
        </w:rPr>
      </w:pPr>
      <w:r>
        <w:rPr>
          <w:rFonts w:ascii="仿宋_GB2312" w:hAnsi="仿宋_GB2312" w:eastAsia="仿宋_GB2312"/>
          <w:sz w:val="30"/>
          <w:szCs w:val="30"/>
        </w:rPr>
        <w:t>声明应由经办律师及所在律师事务所负责人签名，并由律师事务所加盖公章。</w:t>
      </w:r>
    </w:p>
    <w:p w14:paraId="0BC79610">
      <w:pPr>
        <w:pStyle w:val="21"/>
        <w:numPr>
          <w:ilvl w:val="0"/>
          <w:numId w:val="0"/>
        </w:numPr>
        <w:snapToGrid w:val="0"/>
        <w:spacing w:line="600" w:lineRule="exact"/>
        <w:ind w:left="0" w:leftChars="0" w:right="0" w:rightChars="0" w:firstLine="600" w:firstLineChars="0"/>
        <w:rPr>
          <w:rFonts w:ascii="仿宋_GB2312" w:hAnsi="仿宋_GB2312" w:eastAsia="仿宋_GB2312"/>
          <w:sz w:val="30"/>
          <w:szCs w:val="30"/>
        </w:rPr>
      </w:pPr>
      <w:r>
        <w:rPr>
          <w:rFonts w:hint="eastAsia" w:ascii="仿宋_GB2312" w:hAnsi="仿宋_GB2312" w:eastAsia="仿宋_GB2312" w:cs="黑体;SimHei"/>
          <w:b/>
          <w:bCs/>
          <w:color w:val="000000"/>
          <w:kern w:val="2"/>
          <w:sz w:val="30"/>
          <w:szCs w:val="30"/>
          <w:lang w:val="en-US" w:eastAsia="zh-CN" w:bidi="ar-SA"/>
        </w:rPr>
        <w:t xml:space="preserve">第八十七条 </w:t>
      </w:r>
      <w:r>
        <w:rPr>
          <w:rFonts w:ascii="仿宋_GB2312" w:hAnsi="仿宋_GB2312" w:eastAsia="仿宋_GB2312"/>
          <w:sz w:val="30"/>
          <w:szCs w:val="30"/>
        </w:rPr>
        <w:t>为本次转板上市承担审计业务的会计师事务所应在转板上市报告书正文后声明：</w:t>
      </w:r>
    </w:p>
    <w:p w14:paraId="5ED26615">
      <w:pPr>
        <w:snapToGrid w:val="0"/>
        <w:spacing w:line="600" w:lineRule="exact"/>
        <w:ind w:right="0" w:firstLine="600"/>
        <w:rPr>
          <w:rFonts w:ascii="仿宋_GB2312" w:hAnsi="仿宋_GB2312" w:eastAsia="仿宋_GB2312"/>
          <w:sz w:val="30"/>
          <w:szCs w:val="30"/>
        </w:rPr>
      </w:pPr>
      <w:r>
        <w:rPr>
          <w:rFonts w:ascii="仿宋_GB2312" w:hAnsi="仿宋_GB2312" w:eastAsia="仿宋_GB2312" w:cs="仿宋_GB2312"/>
          <w:sz w:val="30"/>
          <w:szCs w:val="30"/>
        </w:rPr>
        <w:t>“</w:t>
      </w:r>
      <w:r>
        <w:rPr>
          <w:rFonts w:ascii="仿宋_GB2312" w:hAnsi="仿宋_GB2312" w:eastAsia="仿宋_GB2312"/>
          <w:sz w:val="30"/>
          <w:szCs w:val="30"/>
        </w:rPr>
        <w:t>本所及签字注册会计师已阅读转板上市报告书，确认转板上市报告书与本所出具的审计报告、盈利预测审核报告（如有）、内部控制鉴证报告及经本所鉴证的非经常性损益明细表等无矛盾之处。本所及签字注册会计师对转板公司在转板上市报告书中引用的审计报告、盈利预测审核报告（如有）、内部控制鉴证报告及经本所鉴证的非经常性损益明细表等的内容无异议，确认转板上市报告书不致因上述内容而出现虚假记载、误导性陈述或重大遗漏，并对其真实性、准确性、完整性承担相应的法律责任。”</w:t>
      </w:r>
    </w:p>
    <w:p w14:paraId="23658439">
      <w:pPr>
        <w:snapToGrid w:val="0"/>
        <w:spacing w:line="600" w:lineRule="exact"/>
        <w:ind w:right="0" w:firstLine="600"/>
        <w:rPr>
          <w:rFonts w:ascii="仿宋_GB2312" w:hAnsi="仿宋_GB2312" w:eastAsia="仿宋_GB2312"/>
          <w:sz w:val="30"/>
          <w:szCs w:val="30"/>
        </w:rPr>
      </w:pPr>
      <w:r>
        <w:rPr>
          <w:rFonts w:ascii="仿宋_GB2312" w:hAnsi="仿宋_GB2312" w:eastAsia="仿宋_GB2312"/>
          <w:sz w:val="30"/>
          <w:szCs w:val="30"/>
        </w:rPr>
        <w:t>声明应由签字注册会计师及所在会计师事务所负责人签名，并由会计师事务所加盖公章。</w:t>
      </w:r>
    </w:p>
    <w:p w14:paraId="156BB387">
      <w:pPr>
        <w:pStyle w:val="21"/>
        <w:numPr>
          <w:ilvl w:val="0"/>
          <w:numId w:val="0"/>
        </w:numPr>
        <w:snapToGrid w:val="0"/>
        <w:spacing w:line="600" w:lineRule="exact"/>
        <w:ind w:left="0" w:leftChars="0" w:right="0" w:rightChars="0" w:firstLine="600" w:firstLineChars="0"/>
        <w:rPr>
          <w:rFonts w:ascii="仿宋_GB2312" w:hAnsi="仿宋_GB2312" w:eastAsia="仿宋_GB2312"/>
          <w:sz w:val="30"/>
          <w:szCs w:val="30"/>
        </w:rPr>
      </w:pPr>
      <w:r>
        <w:rPr>
          <w:rFonts w:hint="eastAsia" w:ascii="仿宋_GB2312" w:hAnsi="仿宋_GB2312" w:eastAsia="仿宋_GB2312" w:cs="黑体;SimHei"/>
          <w:b/>
          <w:bCs/>
          <w:color w:val="000000"/>
          <w:kern w:val="2"/>
          <w:sz w:val="30"/>
          <w:szCs w:val="30"/>
          <w:lang w:val="en-US" w:eastAsia="zh-CN" w:bidi="ar-SA"/>
        </w:rPr>
        <w:t xml:space="preserve">第八十八条 </w:t>
      </w:r>
      <w:r>
        <w:rPr>
          <w:rFonts w:ascii="仿宋_GB2312" w:hAnsi="仿宋_GB2312" w:eastAsia="仿宋_GB2312"/>
          <w:sz w:val="30"/>
          <w:szCs w:val="30"/>
        </w:rPr>
        <w:t>为本次转板上市承担评估业务的资产评估机构应在转板上市报告书正文后声明：</w:t>
      </w:r>
    </w:p>
    <w:p w14:paraId="09CDC4F4">
      <w:pPr>
        <w:snapToGrid w:val="0"/>
        <w:spacing w:line="600" w:lineRule="exact"/>
        <w:ind w:right="0" w:firstLine="600"/>
        <w:rPr>
          <w:rFonts w:ascii="仿宋_GB2312" w:hAnsi="仿宋_GB2312" w:eastAsia="仿宋_GB2312"/>
          <w:sz w:val="30"/>
          <w:szCs w:val="30"/>
        </w:rPr>
      </w:pPr>
      <w:r>
        <w:rPr>
          <w:rFonts w:ascii="仿宋_GB2312" w:hAnsi="仿宋_GB2312" w:eastAsia="仿宋_GB2312" w:cs="仿宋_GB2312"/>
          <w:sz w:val="30"/>
          <w:szCs w:val="30"/>
        </w:rPr>
        <w:t>“</w:t>
      </w:r>
      <w:r>
        <w:rPr>
          <w:rFonts w:ascii="仿宋_GB2312" w:hAnsi="仿宋_GB2312" w:eastAsia="仿宋_GB2312"/>
          <w:sz w:val="30"/>
          <w:szCs w:val="30"/>
        </w:rPr>
        <w:t>本机构及签字注册资产评估师已阅读转板上市报告书，确认转板上市报告书与本机构出具的资产评估报告无矛盾之处。本机构及签字注册资产评估师对转板公司在转板上市报告书中引用的资产评估报告的内容无异议，确认转板上市报告书不致因上述内容而出现虚假记载、误导性陈述或重大遗漏，并对其真实性、准确性、完整性承担相应的法律责任。”</w:t>
      </w:r>
    </w:p>
    <w:p w14:paraId="02EC3AA7">
      <w:pPr>
        <w:snapToGrid w:val="0"/>
        <w:spacing w:line="600" w:lineRule="exact"/>
        <w:ind w:right="0" w:firstLine="600"/>
        <w:rPr>
          <w:rFonts w:ascii="仿宋_GB2312" w:hAnsi="仿宋_GB2312" w:eastAsia="仿宋_GB2312"/>
          <w:sz w:val="30"/>
          <w:szCs w:val="30"/>
        </w:rPr>
      </w:pPr>
      <w:r>
        <w:rPr>
          <w:rFonts w:ascii="仿宋_GB2312" w:hAnsi="仿宋_GB2312" w:eastAsia="仿宋_GB2312"/>
          <w:sz w:val="30"/>
          <w:szCs w:val="30"/>
        </w:rPr>
        <w:t>声明应由签字注册资产评估师及所在资产评估机构负责人签名，并由资产评估机构加盖公章。</w:t>
      </w:r>
    </w:p>
    <w:p w14:paraId="1E8BD0E3">
      <w:pPr>
        <w:pStyle w:val="21"/>
        <w:numPr>
          <w:ilvl w:val="0"/>
          <w:numId w:val="0"/>
        </w:numPr>
        <w:snapToGrid w:val="0"/>
        <w:spacing w:line="600" w:lineRule="exact"/>
        <w:ind w:left="0" w:leftChars="0" w:right="0" w:rightChars="0" w:firstLine="600" w:firstLineChars="0"/>
        <w:rPr>
          <w:rFonts w:ascii="仿宋_GB2312" w:hAnsi="仿宋_GB2312" w:eastAsia="仿宋_GB2312"/>
          <w:sz w:val="30"/>
          <w:szCs w:val="30"/>
        </w:rPr>
      </w:pPr>
      <w:r>
        <w:rPr>
          <w:rFonts w:hint="eastAsia" w:ascii="仿宋_GB2312" w:hAnsi="仿宋_GB2312" w:eastAsia="仿宋_GB2312" w:cs="黑体;SimHei"/>
          <w:b/>
          <w:bCs/>
          <w:color w:val="000000"/>
          <w:kern w:val="2"/>
          <w:sz w:val="30"/>
          <w:szCs w:val="30"/>
          <w:lang w:val="en-US" w:eastAsia="zh-CN" w:bidi="ar-SA"/>
        </w:rPr>
        <w:t xml:space="preserve">第八十九条 </w:t>
      </w:r>
      <w:r>
        <w:rPr>
          <w:rFonts w:ascii="仿宋_GB2312" w:hAnsi="仿宋_GB2312" w:eastAsia="仿宋_GB2312"/>
          <w:sz w:val="30"/>
          <w:szCs w:val="30"/>
        </w:rPr>
        <w:t>转板公司及上述机构和人员应按照本指引第十节的规定，在预先披露的转板上市报告书（申报稿）中发表声明。</w:t>
      </w:r>
    </w:p>
    <w:p w14:paraId="02D8BCCA">
      <w:pPr>
        <w:pStyle w:val="21"/>
        <w:numPr>
          <w:ilvl w:val="0"/>
          <w:numId w:val="0"/>
        </w:numPr>
        <w:snapToGrid w:val="0"/>
        <w:spacing w:line="600" w:lineRule="exact"/>
        <w:ind w:left="0" w:leftChars="0" w:right="0" w:rightChars="0" w:firstLine="600" w:firstLineChars="0"/>
        <w:rPr>
          <w:rFonts w:ascii="仿宋_GB2312" w:hAnsi="仿宋_GB2312" w:eastAsia="仿宋_GB2312"/>
          <w:sz w:val="30"/>
          <w:szCs w:val="30"/>
        </w:rPr>
      </w:pPr>
      <w:r>
        <w:rPr>
          <w:rFonts w:hint="eastAsia" w:ascii="仿宋_GB2312" w:hAnsi="仿宋_GB2312" w:eastAsia="仿宋_GB2312" w:cs="黑体;SimHei"/>
          <w:b/>
          <w:bCs/>
          <w:color w:val="000000"/>
          <w:kern w:val="2"/>
          <w:sz w:val="30"/>
          <w:szCs w:val="30"/>
          <w:lang w:val="en-US" w:eastAsia="zh-CN" w:bidi="ar-SA"/>
        </w:rPr>
        <w:t xml:space="preserve">第九十条 </w:t>
      </w:r>
      <w:r>
        <w:rPr>
          <w:rFonts w:ascii="仿宋_GB2312" w:hAnsi="仿宋_GB2312" w:eastAsia="仿宋_GB2312"/>
          <w:sz w:val="30"/>
          <w:szCs w:val="30"/>
        </w:rPr>
        <w:t>本指引所要求的有关人员的签名下方应以印刷体形式注明其姓名。</w:t>
      </w:r>
    </w:p>
    <w:p w14:paraId="1660CCDF">
      <w:pPr>
        <w:numPr>
          <w:ilvl w:val="0"/>
          <w:numId w:val="0"/>
        </w:numPr>
        <w:snapToGrid w:val="0"/>
        <w:spacing w:line="600" w:lineRule="exact"/>
        <w:jc w:val="center"/>
        <w:outlineLvl w:val="2"/>
        <w:rPr>
          <w:rFonts w:ascii="仿宋_GB2312" w:hAnsi="仿宋_GB2312" w:eastAsia="仿宋_GB2312" w:cs="Calibri"/>
          <w:b/>
          <w:sz w:val="30"/>
          <w:szCs w:val="30"/>
        </w:rPr>
      </w:pPr>
      <w:r>
        <w:rPr>
          <w:rFonts w:ascii="仿宋_GB2312" w:hAnsi="仿宋_GB2312" w:eastAsia="仿宋_GB2312" w:cs="Calibri"/>
          <w:b/>
          <w:sz w:val="30"/>
          <w:szCs w:val="30"/>
        </w:rPr>
        <w:t>第十一节 附件</w:t>
      </w:r>
    </w:p>
    <w:p w14:paraId="72A615D2">
      <w:pPr>
        <w:pStyle w:val="21"/>
        <w:numPr>
          <w:ilvl w:val="0"/>
          <w:numId w:val="0"/>
        </w:numPr>
        <w:snapToGrid w:val="0"/>
        <w:spacing w:line="600" w:lineRule="exact"/>
        <w:ind w:left="0" w:leftChars="0" w:right="0" w:rightChars="0" w:firstLine="600" w:firstLineChars="0"/>
        <w:rPr>
          <w:rFonts w:ascii="仿宋_GB2312" w:hAnsi="仿宋_GB2312" w:eastAsia="仿宋_GB2312"/>
          <w:sz w:val="30"/>
          <w:szCs w:val="30"/>
        </w:rPr>
      </w:pPr>
      <w:r>
        <w:rPr>
          <w:rFonts w:hint="eastAsia" w:ascii="仿宋_GB2312" w:hAnsi="仿宋_GB2312" w:eastAsia="仿宋_GB2312" w:cs="黑体;SimHei"/>
          <w:b/>
          <w:bCs/>
          <w:color w:val="000000"/>
          <w:kern w:val="2"/>
          <w:sz w:val="30"/>
          <w:szCs w:val="30"/>
          <w:lang w:val="en-US" w:eastAsia="zh-CN" w:bidi="ar-SA"/>
        </w:rPr>
        <w:t xml:space="preserve">第九十一条 </w:t>
      </w:r>
      <w:r>
        <w:rPr>
          <w:rFonts w:ascii="仿宋_GB2312" w:hAnsi="仿宋_GB2312" w:eastAsia="仿宋_GB2312"/>
          <w:sz w:val="30"/>
          <w:szCs w:val="30"/>
        </w:rPr>
        <w:t>转板公司应列表披露下列机构的名称、法定代表人、住所、经办人员姓名、联系电话、传真：</w:t>
      </w:r>
    </w:p>
    <w:p w14:paraId="01F129E1">
      <w:pPr>
        <w:ind w:right="0" w:firstLine="420"/>
        <w:rPr>
          <w:rFonts w:ascii="仿宋_GB2312" w:hAnsi="仿宋_GB2312" w:eastAsia="仿宋_GB2312"/>
          <w:sz w:val="30"/>
          <w:szCs w:val="30"/>
        </w:rPr>
      </w:pPr>
      <w:r>
        <w:rPr>
          <w:rFonts w:ascii="仿宋_GB2312" w:hAnsi="仿宋_GB2312" w:eastAsia="仿宋_GB2312"/>
          <w:sz w:val="30"/>
          <w:szCs w:val="30"/>
        </w:rPr>
        <w:t>（一）保荐人；</w:t>
      </w:r>
    </w:p>
    <w:p w14:paraId="3F65C12A">
      <w:pPr>
        <w:ind w:right="0" w:firstLine="420"/>
        <w:rPr>
          <w:rFonts w:ascii="仿宋_GB2312" w:hAnsi="仿宋_GB2312" w:eastAsia="仿宋_GB2312"/>
          <w:sz w:val="30"/>
          <w:szCs w:val="30"/>
        </w:rPr>
      </w:pPr>
      <w:r>
        <w:rPr>
          <w:rFonts w:ascii="仿宋_GB2312" w:hAnsi="仿宋_GB2312" w:eastAsia="仿宋_GB2312"/>
          <w:sz w:val="30"/>
          <w:szCs w:val="30"/>
        </w:rPr>
        <w:t>（二）律师事务所；</w:t>
      </w:r>
    </w:p>
    <w:p w14:paraId="1BD03147">
      <w:pPr>
        <w:ind w:right="0" w:firstLine="420"/>
        <w:rPr>
          <w:rFonts w:ascii="仿宋_GB2312" w:hAnsi="仿宋_GB2312" w:eastAsia="仿宋_GB2312"/>
          <w:sz w:val="30"/>
          <w:szCs w:val="30"/>
        </w:rPr>
      </w:pPr>
      <w:r>
        <w:rPr>
          <w:rFonts w:ascii="仿宋_GB2312" w:hAnsi="仿宋_GB2312" w:eastAsia="仿宋_GB2312"/>
          <w:sz w:val="30"/>
          <w:szCs w:val="30"/>
        </w:rPr>
        <w:t>（三）会计师事务所；</w:t>
      </w:r>
    </w:p>
    <w:p w14:paraId="30E5E793">
      <w:pPr>
        <w:ind w:right="0" w:firstLine="426"/>
        <w:rPr>
          <w:rFonts w:ascii="仿宋_GB2312" w:hAnsi="仿宋_GB2312" w:eastAsia="仿宋_GB2312"/>
          <w:sz w:val="30"/>
          <w:szCs w:val="30"/>
        </w:rPr>
      </w:pPr>
      <w:r>
        <w:rPr>
          <w:rFonts w:ascii="仿宋_GB2312" w:hAnsi="仿宋_GB2312" w:eastAsia="仿宋_GB2312"/>
          <w:sz w:val="30"/>
          <w:szCs w:val="30"/>
        </w:rPr>
        <w:t>（四）资产评估机构；</w:t>
      </w:r>
    </w:p>
    <w:p w14:paraId="37993054">
      <w:pPr>
        <w:ind w:right="0" w:firstLine="426"/>
        <w:rPr>
          <w:rFonts w:ascii="仿宋_GB2312" w:hAnsi="仿宋_GB2312" w:eastAsia="仿宋_GB2312"/>
          <w:sz w:val="30"/>
          <w:szCs w:val="30"/>
        </w:rPr>
      </w:pPr>
      <w:r>
        <w:rPr>
          <w:rFonts w:ascii="仿宋_GB2312" w:hAnsi="仿宋_GB2312" w:eastAsia="仿宋_GB2312"/>
          <w:sz w:val="30"/>
          <w:szCs w:val="30"/>
        </w:rPr>
        <w:t>（五）股票登记机构；</w:t>
      </w:r>
    </w:p>
    <w:p w14:paraId="01FF121A">
      <w:pPr>
        <w:ind w:right="0" w:firstLine="426"/>
        <w:rPr>
          <w:rFonts w:ascii="仿宋_GB2312" w:hAnsi="仿宋_GB2312" w:eastAsia="仿宋_GB2312"/>
          <w:sz w:val="30"/>
          <w:szCs w:val="30"/>
        </w:rPr>
      </w:pPr>
      <w:r>
        <w:rPr>
          <w:rFonts w:ascii="仿宋_GB2312" w:hAnsi="仿宋_GB2312" w:eastAsia="仿宋_GB2312"/>
          <w:sz w:val="30"/>
          <w:szCs w:val="30"/>
        </w:rPr>
        <w:t>（六）其他与本次转板上市有关的机构。</w:t>
      </w:r>
    </w:p>
    <w:p w14:paraId="636DCE22">
      <w:pPr>
        <w:snapToGrid w:val="0"/>
        <w:spacing w:line="600" w:lineRule="exact"/>
        <w:ind w:right="0" w:firstLine="600"/>
        <w:rPr>
          <w:rFonts w:ascii="仿宋_GB2312" w:hAnsi="仿宋_GB2312" w:eastAsia="仿宋_GB2312"/>
          <w:sz w:val="30"/>
          <w:szCs w:val="30"/>
        </w:rPr>
      </w:pPr>
      <w:r>
        <w:rPr>
          <w:rFonts w:ascii="仿宋_GB2312" w:hAnsi="仿宋_GB2312" w:eastAsia="仿宋_GB2312"/>
          <w:sz w:val="30"/>
          <w:szCs w:val="30"/>
        </w:rPr>
        <w:t>转板公司应列表披露其与本次转板上市有关的保荐人、证券服务机构及其负责人、高级管理人员、经办人员之间存在的直接或间接的股权关系或其他利益关系。</w:t>
      </w:r>
    </w:p>
    <w:p w14:paraId="029143AA">
      <w:pPr>
        <w:pStyle w:val="21"/>
        <w:numPr>
          <w:ilvl w:val="0"/>
          <w:numId w:val="0"/>
        </w:numPr>
        <w:snapToGrid w:val="0"/>
        <w:spacing w:line="600" w:lineRule="exact"/>
        <w:ind w:left="0" w:leftChars="0" w:right="0" w:rightChars="0" w:firstLine="600" w:firstLineChars="0"/>
        <w:rPr>
          <w:rFonts w:ascii="仿宋_GB2312" w:hAnsi="仿宋_GB2312" w:eastAsia="仿宋_GB2312"/>
          <w:sz w:val="30"/>
          <w:szCs w:val="30"/>
        </w:rPr>
      </w:pPr>
      <w:r>
        <w:rPr>
          <w:rFonts w:hint="eastAsia" w:ascii="仿宋_GB2312" w:hAnsi="仿宋_GB2312" w:eastAsia="仿宋_GB2312" w:cs="黑体;SimHei"/>
          <w:b/>
          <w:bCs/>
          <w:color w:val="000000"/>
          <w:kern w:val="2"/>
          <w:sz w:val="30"/>
          <w:szCs w:val="30"/>
          <w:lang w:val="en-US" w:eastAsia="zh-CN" w:bidi="ar-SA"/>
        </w:rPr>
        <w:t xml:space="preserve">第九十二条 </w:t>
      </w:r>
      <w:r>
        <w:rPr>
          <w:rFonts w:ascii="仿宋_GB2312" w:hAnsi="仿宋_GB2312" w:eastAsia="仿宋_GB2312"/>
          <w:sz w:val="30"/>
          <w:szCs w:val="30"/>
        </w:rPr>
        <w:t>转板公司应按本指引规定披露以下附件：</w:t>
      </w:r>
    </w:p>
    <w:p w14:paraId="12821762">
      <w:pPr>
        <w:spacing w:line="600" w:lineRule="exact"/>
        <w:ind w:right="0" w:firstLine="600"/>
        <w:rPr>
          <w:rFonts w:ascii="仿宋_GB2312" w:hAnsi="仿宋_GB2312" w:eastAsia="仿宋_GB2312" w:cs="Arial"/>
          <w:color w:val="000000"/>
          <w:sz w:val="30"/>
          <w:szCs w:val="30"/>
        </w:rPr>
      </w:pPr>
      <w:r>
        <w:rPr>
          <w:rFonts w:ascii="仿宋_GB2312" w:hAnsi="仿宋_GB2312" w:eastAsia="仿宋_GB2312" w:cs="Arial"/>
          <w:color w:val="000000"/>
          <w:sz w:val="30"/>
          <w:szCs w:val="30"/>
        </w:rPr>
        <w:t>（一）转板上市保荐书；</w:t>
      </w:r>
    </w:p>
    <w:p w14:paraId="46459794">
      <w:pPr>
        <w:spacing w:line="600" w:lineRule="exact"/>
        <w:ind w:right="0" w:firstLine="600"/>
        <w:rPr>
          <w:rFonts w:ascii="仿宋_GB2312" w:hAnsi="仿宋_GB2312" w:eastAsia="仿宋_GB2312" w:cs="Arial"/>
          <w:color w:val="000000"/>
          <w:sz w:val="30"/>
          <w:szCs w:val="30"/>
        </w:rPr>
      </w:pPr>
      <w:r>
        <w:rPr>
          <w:rFonts w:ascii="仿宋_GB2312" w:hAnsi="仿宋_GB2312" w:eastAsia="仿宋_GB2312" w:cs="Arial"/>
          <w:color w:val="000000"/>
          <w:sz w:val="30"/>
          <w:szCs w:val="30"/>
        </w:rPr>
        <w:t>（二）法律意见书；</w:t>
      </w:r>
    </w:p>
    <w:p w14:paraId="42E8162A">
      <w:pPr>
        <w:spacing w:line="600" w:lineRule="exact"/>
        <w:ind w:right="0" w:firstLine="600"/>
        <w:rPr>
          <w:rFonts w:ascii="仿宋_GB2312" w:hAnsi="仿宋_GB2312" w:eastAsia="仿宋_GB2312" w:cs="Arial"/>
          <w:color w:val="000000"/>
          <w:sz w:val="30"/>
          <w:szCs w:val="30"/>
        </w:rPr>
      </w:pPr>
      <w:r>
        <w:rPr>
          <w:rFonts w:ascii="仿宋_GB2312" w:hAnsi="仿宋_GB2312" w:eastAsia="仿宋_GB2312" w:cs="Arial"/>
          <w:color w:val="000000"/>
          <w:sz w:val="30"/>
          <w:szCs w:val="30"/>
        </w:rPr>
        <w:t>（三）财务报告及审计报告；</w:t>
      </w:r>
    </w:p>
    <w:p w14:paraId="2A293BB1">
      <w:pPr>
        <w:spacing w:line="600" w:lineRule="exact"/>
        <w:ind w:right="0" w:firstLine="600"/>
        <w:rPr>
          <w:rFonts w:ascii="仿宋_GB2312" w:hAnsi="仿宋_GB2312" w:eastAsia="仿宋_GB2312" w:cs="Arial"/>
          <w:color w:val="000000"/>
          <w:sz w:val="30"/>
          <w:szCs w:val="30"/>
        </w:rPr>
      </w:pPr>
      <w:r>
        <w:rPr>
          <w:rFonts w:ascii="仿宋_GB2312" w:hAnsi="仿宋_GB2312" w:eastAsia="仿宋_GB2312" w:cs="Arial"/>
          <w:color w:val="000000"/>
          <w:sz w:val="30"/>
          <w:szCs w:val="30"/>
        </w:rPr>
        <w:t>（四）公司章程；</w:t>
      </w:r>
    </w:p>
    <w:p w14:paraId="07B9F7E1">
      <w:pPr>
        <w:pStyle w:val="3"/>
        <w:snapToGrid w:val="0"/>
        <w:spacing w:before="0" w:after="0" w:line="560" w:lineRule="exact"/>
        <w:ind w:left="0" w:right="0" w:firstLine="600"/>
        <w:jc w:val="both"/>
        <w:rPr>
          <w:rFonts w:ascii="仿宋_GB2312" w:hAnsi="仿宋_GB2312" w:eastAsia="仿宋_GB2312" w:cs="Arial"/>
          <w:color w:val="000000"/>
          <w:kern w:val="2"/>
          <w:lang w:eastAsia="zh-CN"/>
        </w:rPr>
      </w:pPr>
      <w:r>
        <w:rPr>
          <w:rFonts w:ascii="仿宋_GB2312" w:hAnsi="仿宋_GB2312" w:eastAsia="仿宋_GB2312" w:cs="Arial"/>
          <w:color w:val="000000"/>
          <w:lang w:eastAsia="zh-CN"/>
        </w:rPr>
        <w:t>（五）</w:t>
      </w:r>
      <w:r>
        <w:rPr>
          <w:rFonts w:ascii="仿宋_GB2312" w:hAnsi="仿宋_GB2312" w:eastAsia="仿宋_GB2312" w:cs="Arial"/>
          <w:color w:val="000000"/>
          <w:kern w:val="2"/>
          <w:lang w:eastAsia="zh-CN"/>
        </w:rPr>
        <w:t>转板公司、股东、实际控制人、转板公司的董事、监事、高级管理人员作出的与投资者保护相关的承诺，未能履行承诺的约束措施以及已触发履行条件的承诺事项的履行情况。承诺事项主要包括：</w:t>
      </w:r>
    </w:p>
    <w:p w14:paraId="2A39BD85">
      <w:pPr>
        <w:pStyle w:val="3"/>
        <w:snapToGrid w:val="0"/>
        <w:spacing w:before="0" w:after="0" w:line="560" w:lineRule="exact"/>
        <w:ind w:left="0" w:right="0" w:firstLine="600"/>
        <w:jc w:val="both"/>
        <w:rPr>
          <w:rFonts w:ascii="仿宋_GB2312" w:hAnsi="仿宋_GB2312" w:eastAsia="仿宋_GB2312" w:cs="Arial"/>
          <w:color w:val="000000"/>
          <w:kern w:val="2"/>
          <w:lang w:eastAsia="zh-CN"/>
        </w:rPr>
      </w:pPr>
      <w:r>
        <w:rPr>
          <w:rFonts w:ascii="仿宋_GB2312" w:hAnsi="仿宋_GB2312" w:eastAsia="仿宋_GB2312" w:cs="Arial"/>
          <w:color w:val="000000"/>
          <w:kern w:val="2"/>
          <w:lang w:eastAsia="zh-CN"/>
        </w:rPr>
        <w:t>1．本次转板上市前股东所持股份的限售安排、自愿锁定股份、延长锁定期限以及股东持股及减持意向等承诺；</w:t>
      </w:r>
    </w:p>
    <w:p w14:paraId="16758FD2">
      <w:pPr>
        <w:pStyle w:val="3"/>
        <w:snapToGrid w:val="0"/>
        <w:spacing w:before="0" w:after="0" w:line="560" w:lineRule="exact"/>
        <w:ind w:left="0" w:right="0" w:firstLine="600"/>
        <w:jc w:val="both"/>
        <w:rPr>
          <w:rFonts w:ascii="仿宋_GB2312" w:hAnsi="仿宋_GB2312" w:eastAsia="仿宋_GB2312" w:cs="Arial"/>
          <w:color w:val="000000"/>
          <w:kern w:val="2"/>
          <w:lang w:eastAsia="zh-CN"/>
        </w:rPr>
      </w:pPr>
      <w:r>
        <w:rPr>
          <w:rFonts w:ascii="仿宋_GB2312" w:hAnsi="仿宋_GB2312" w:eastAsia="仿宋_GB2312" w:cs="Arial"/>
          <w:color w:val="000000"/>
          <w:kern w:val="2"/>
          <w:lang w:eastAsia="zh-CN"/>
        </w:rPr>
        <w:t>2．稳定股价的措施和承诺；</w:t>
      </w:r>
    </w:p>
    <w:p w14:paraId="182C012B">
      <w:pPr>
        <w:pStyle w:val="3"/>
        <w:snapToGrid w:val="0"/>
        <w:spacing w:before="0" w:after="0" w:line="560" w:lineRule="exact"/>
        <w:ind w:left="0" w:right="0" w:firstLine="600"/>
        <w:jc w:val="both"/>
        <w:rPr>
          <w:rFonts w:ascii="仿宋_GB2312" w:hAnsi="仿宋_GB2312" w:eastAsia="仿宋_GB2312" w:cs="Arial"/>
          <w:color w:val="000000"/>
          <w:kern w:val="2"/>
          <w:lang w:eastAsia="zh-CN"/>
        </w:rPr>
      </w:pPr>
      <w:r>
        <w:rPr>
          <w:rFonts w:ascii="仿宋_GB2312" w:hAnsi="仿宋_GB2312" w:eastAsia="仿宋_GB2312" w:cs="Arial"/>
          <w:color w:val="000000"/>
          <w:kern w:val="2"/>
          <w:lang w:eastAsia="zh-CN"/>
        </w:rPr>
        <w:t>3．股份回购和股份买回的措施和承诺（如有）；</w:t>
      </w:r>
    </w:p>
    <w:p w14:paraId="1056D398">
      <w:pPr>
        <w:pStyle w:val="3"/>
        <w:snapToGrid w:val="0"/>
        <w:spacing w:before="0" w:after="0" w:line="560" w:lineRule="exact"/>
        <w:ind w:left="0" w:right="0" w:firstLine="600"/>
        <w:jc w:val="both"/>
        <w:rPr>
          <w:rFonts w:ascii="仿宋_GB2312" w:hAnsi="仿宋_GB2312" w:eastAsia="仿宋_GB2312" w:cs="Arial"/>
          <w:color w:val="000000"/>
          <w:kern w:val="2"/>
          <w:lang w:eastAsia="zh-CN"/>
        </w:rPr>
      </w:pPr>
      <w:r>
        <w:rPr>
          <w:rFonts w:ascii="仿宋_GB2312" w:hAnsi="仿宋_GB2312" w:eastAsia="仿宋_GB2312" w:cs="Arial"/>
          <w:color w:val="000000"/>
          <w:kern w:val="2"/>
          <w:lang w:eastAsia="zh-CN"/>
        </w:rPr>
        <w:t>4．对欺诈发行上市的股份回购和股份买回承诺；</w:t>
      </w:r>
    </w:p>
    <w:p w14:paraId="0D5DE436">
      <w:pPr>
        <w:pStyle w:val="3"/>
        <w:snapToGrid w:val="0"/>
        <w:spacing w:before="0" w:after="0" w:line="560" w:lineRule="exact"/>
        <w:ind w:left="0" w:right="0" w:firstLine="600"/>
        <w:jc w:val="both"/>
        <w:rPr>
          <w:rFonts w:ascii="仿宋_GB2312" w:hAnsi="仿宋_GB2312" w:eastAsia="仿宋_GB2312" w:cs="Arial"/>
          <w:color w:val="000000"/>
          <w:kern w:val="2"/>
          <w:lang w:eastAsia="zh-CN"/>
        </w:rPr>
      </w:pPr>
      <w:r>
        <w:rPr>
          <w:rFonts w:ascii="仿宋_GB2312" w:hAnsi="仿宋_GB2312" w:eastAsia="仿宋_GB2312" w:cs="Arial"/>
          <w:color w:val="000000"/>
          <w:kern w:val="2"/>
          <w:lang w:eastAsia="zh-CN"/>
        </w:rPr>
        <w:t>5．利润分配政策的承诺；</w:t>
      </w:r>
    </w:p>
    <w:p w14:paraId="79DD680B">
      <w:pPr>
        <w:pStyle w:val="3"/>
        <w:snapToGrid w:val="0"/>
        <w:spacing w:before="0" w:after="0" w:line="560" w:lineRule="exact"/>
        <w:ind w:left="0" w:right="0" w:firstLine="600"/>
        <w:jc w:val="both"/>
        <w:rPr>
          <w:rFonts w:ascii="仿宋_GB2312" w:hAnsi="仿宋_GB2312" w:eastAsia="仿宋_GB2312" w:cs="Arial"/>
          <w:color w:val="000000"/>
          <w:kern w:val="2"/>
          <w:lang w:eastAsia="zh-CN"/>
        </w:rPr>
      </w:pPr>
      <w:r>
        <w:rPr>
          <w:rFonts w:ascii="仿宋_GB2312" w:hAnsi="仿宋_GB2312" w:eastAsia="仿宋_GB2312" w:cs="Arial"/>
          <w:color w:val="000000"/>
          <w:kern w:val="2"/>
          <w:lang w:eastAsia="zh-CN"/>
        </w:rPr>
        <w:t>6．依法承担赔偿责任的承诺；</w:t>
      </w:r>
    </w:p>
    <w:p w14:paraId="2BF467A4">
      <w:pPr>
        <w:spacing w:line="600" w:lineRule="exact"/>
        <w:ind w:right="0" w:firstLine="600"/>
        <w:rPr>
          <w:rFonts w:ascii="仿宋_GB2312" w:hAnsi="仿宋_GB2312" w:eastAsia="仿宋_GB2312" w:cs="Arial"/>
          <w:color w:val="000000"/>
          <w:sz w:val="30"/>
          <w:szCs w:val="30"/>
        </w:rPr>
      </w:pPr>
      <w:r>
        <w:rPr>
          <w:rFonts w:ascii="仿宋_GB2312" w:hAnsi="仿宋_GB2312" w:eastAsia="仿宋_GB2312" w:cs="Arial"/>
          <w:color w:val="000000"/>
          <w:sz w:val="30"/>
          <w:szCs w:val="30"/>
        </w:rPr>
        <w:t>7．其他承诺事项。</w:t>
      </w:r>
    </w:p>
    <w:p w14:paraId="7B56FCC6">
      <w:pPr>
        <w:spacing w:line="600" w:lineRule="exact"/>
        <w:ind w:right="0" w:firstLine="600"/>
        <w:rPr>
          <w:rFonts w:ascii="仿宋_GB2312" w:hAnsi="仿宋_GB2312" w:eastAsia="仿宋_GB2312" w:cs="Arial"/>
          <w:color w:val="000000"/>
          <w:sz w:val="30"/>
          <w:szCs w:val="30"/>
        </w:rPr>
      </w:pPr>
      <w:r>
        <w:rPr>
          <w:rFonts w:ascii="仿宋_GB2312" w:hAnsi="仿宋_GB2312" w:eastAsia="仿宋_GB2312" w:cs="Arial"/>
          <w:color w:val="000000"/>
          <w:sz w:val="30"/>
          <w:szCs w:val="30"/>
        </w:rPr>
        <w:t>（六）转板公司审计报告基准日至转板上市报告书签署日之间的相关财务报表及审阅报告（如有）；</w:t>
      </w:r>
    </w:p>
    <w:p w14:paraId="1E6C0164">
      <w:pPr>
        <w:spacing w:line="600" w:lineRule="exact"/>
        <w:ind w:right="0" w:firstLine="600"/>
        <w:rPr>
          <w:rFonts w:ascii="仿宋_GB2312" w:hAnsi="仿宋_GB2312" w:eastAsia="仿宋_GB2312" w:cs="Arial"/>
          <w:color w:val="000000"/>
          <w:sz w:val="30"/>
          <w:szCs w:val="30"/>
        </w:rPr>
      </w:pPr>
      <w:r>
        <w:rPr>
          <w:rFonts w:ascii="仿宋_GB2312" w:hAnsi="仿宋_GB2312" w:eastAsia="仿宋_GB2312" w:cs="Arial"/>
          <w:color w:val="000000"/>
          <w:sz w:val="30"/>
          <w:szCs w:val="30"/>
        </w:rPr>
        <w:t>（七）盈利预测报告及审核报告（如有）；</w:t>
      </w:r>
    </w:p>
    <w:p w14:paraId="105700C2">
      <w:pPr>
        <w:spacing w:line="600" w:lineRule="exact"/>
        <w:ind w:right="0" w:firstLine="600"/>
        <w:rPr>
          <w:rFonts w:ascii="仿宋_GB2312" w:hAnsi="仿宋_GB2312" w:eastAsia="仿宋_GB2312" w:cs="Arial"/>
          <w:color w:val="000000"/>
          <w:sz w:val="30"/>
          <w:szCs w:val="30"/>
        </w:rPr>
      </w:pPr>
      <w:r>
        <w:rPr>
          <w:rFonts w:ascii="仿宋_GB2312" w:hAnsi="仿宋_GB2312" w:eastAsia="仿宋_GB2312" w:cs="Arial"/>
          <w:color w:val="000000"/>
          <w:sz w:val="30"/>
          <w:szCs w:val="30"/>
        </w:rPr>
        <w:t>（八）内部控制鉴证报告；</w:t>
      </w:r>
    </w:p>
    <w:p w14:paraId="5DFE9CCB">
      <w:pPr>
        <w:spacing w:line="600" w:lineRule="exact"/>
        <w:ind w:right="0" w:firstLine="600"/>
        <w:rPr>
          <w:rFonts w:ascii="仿宋_GB2312" w:hAnsi="仿宋_GB2312" w:eastAsia="仿宋_GB2312" w:cs="Arial"/>
          <w:color w:val="000000"/>
          <w:sz w:val="30"/>
          <w:szCs w:val="30"/>
        </w:rPr>
      </w:pPr>
      <w:r>
        <w:rPr>
          <w:rFonts w:ascii="仿宋_GB2312" w:hAnsi="仿宋_GB2312" w:eastAsia="仿宋_GB2312" w:cs="Arial"/>
          <w:color w:val="000000"/>
          <w:sz w:val="30"/>
          <w:szCs w:val="30"/>
        </w:rPr>
        <w:t>（九）经注册会计师鉴证的非经常性损益明细表；</w:t>
      </w:r>
    </w:p>
    <w:p w14:paraId="303A1906">
      <w:pPr>
        <w:spacing w:line="600" w:lineRule="exact"/>
        <w:ind w:right="0" w:firstLine="600"/>
        <w:rPr>
          <w:rFonts w:ascii="仿宋_GB2312" w:hAnsi="仿宋_GB2312" w:eastAsia="仿宋_GB2312" w:cs="Arial"/>
          <w:color w:val="000000"/>
          <w:sz w:val="30"/>
          <w:szCs w:val="30"/>
        </w:rPr>
      </w:pPr>
      <w:r>
        <w:rPr>
          <w:rFonts w:ascii="仿宋_GB2312" w:hAnsi="仿宋_GB2312" w:eastAsia="仿宋_GB2312" w:cs="Arial"/>
          <w:color w:val="000000"/>
          <w:sz w:val="30"/>
          <w:szCs w:val="30"/>
        </w:rPr>
        <w:t>（十）其他与本次转板上市有关的重要文件。</w:t>
      </w:r>
    </w:p>
    <w:p w14:paraId="49802CCE">
      <w:pPr>
        <w:numPr>
          <w:ilvl w:val="0"/>
          <w:numId w:val="0"/>
        </w:numPr>
        <w:spacing w:line="600" w:lineRule="exact"/>
        <w:jc w:val="center"/>
        <w:outlineLvl w:val="1"/>
        <w:rPr>
          <w:rFonts w:ascii="黑体;SimHei" w:hAnsi="黑体;SimHei" w:eastAsia="黑体;SimHei" w:cs="黑体;SimHei"/>
          <w:b/>
          <w:sz w:val="30"/>
          <w:szCs w:val="30"/>
        </w:rPr>
      </w:pPr>
      <w:r>
        <w:rPr>
          <w:rFonts w:ascii="黑体;SimHei" w:hAnsi="黑体;SimHei" w:eastAsia="黑体;SimHei" w:cs="黑体;SimHei"/>
          <w:b/>
          <w:sz w:val="30"/>
          <w:szCs w:val="30"/>
        </w:rPr>
        <w:t>第三章  附则</w:t>
      </w:r>
    </w:p>
    <w:p w14:paraId="6D3CC9FF">
      <w:pPr>
        <w:pStyle w:val="21"/>
        <w:numPr>
          <w:ilvl w:val="0"/>
          <w:numId w:val="0"/>
        </w:numPr>
        <w:snapToGrid w:val="0"/>
        <w:spacing w:line="600" w:lineRule="exact"/>
        <w:ind w:left="0" w:leftChars="0" w:right="0" w:rightChars="0" w:firstLine="600" w:firstLineChars="0"/>
        <w:rPr>
          <w:rFonts w:ascii="仿宋_GB2312" w:hAnsi="仿宋_GB2312" w:eastAsia="仿宋_GB2312"/>
          <w:sz w:val="30"/>
          <w:szCs w:val="30"/>
        </w:rPr>
      </w:pPr>
      <w:r>
        <w:rPr>
          <w:rFonts w:hint="eastAsia" w:ascii="仿宋_GB2312" w:hAnsi="仿宋_GB2312" w:eastAsia="仿宋_GB2312" w:cs="黑体;SimHei"/>
          <w:b/>
          <w:bCs/>
          <w:color w:val="000000"/>
          <w:kern w:val="2"/>
          <w:sz w:val="30"/>
          <w:szCs w:val="30"/>
          <w:lang w:val="en-US" w:eastAsia="zh-CN" w:bidi="ar-SA"/>
        </w:rPr>
        <w:t xml:space="preserve">第九十三条 </w:t>
      </w:r>
      <w:r>
        <w:rPr>
          <w:rFonts w:ascii="仿宋_GB2312" w:hAnsi="仿宋_GB2312" w:eastAsia="仿宋_GB2312"/>
          <w:sz w:val="30"/>
          <w:szCs w:val="30"/>
        </w:rPr>
        <w:t>本指引由本所负责解释。</w:t>
      </w:r>
    </w:p>
    <w:p w14:paraId="286B1B3A">
      <w:pPr>
        <w:pStyle w:val="21"/>
        <w:numPr>
          <w:ilvl w:val="0"/>
          <w:numId w:val="0"/>
        </w:numPr>
        <w:snapToGrid w:val="0"/>
        <w:spacing w:line="600" w:lineRule="exact"/>
        <w:ind w:left="0" w:leftChars="0" w:right="0" w:rightChars="0" w:firstLine="600" w:firstLineChars="0"/>
        <w:rPr>
          <w:rFonts w:ascii="仿宋_GB2312" w:hAnsi="仿宋_GB2312" w:eastAsia="仿宋_GB2312"/>
          <w:sz w:val="30"/>
          <w:szCs w:val="30"/>
        </w:rPr>
      </w:pPr>
      <w:r>
        <w:rPr>
          <w:rFonts w:hint="eastAsia" w:ascii="仿宋_GB2312" w:hAnsi="仿宋_GB2312" w:eastAsia="仿宋_GB2312" w:cs="黑体;SimHei"/>
          <w:b/>
          <w:bCs/>
          <w:color w:val="000000"/>
          <w:kern w:val="2"/>
          <w:sz w:val="30"/>
          <w:szCs w:val="30"/>
          <w:lang w:val="en-US" w:eastAsia="zh-CN" w:bidi="ar-SA"/>
        </w:rPr>
        <w:t xml:space="preserve">第九十四条 </w:t>
      </w:r>
      <w:r>
        <w:rPr>
          <w:rFonts w:ascii="仿宋_GB2312" w:hAnsi="仿宋_GB2312" w:eastAsia="仿宋_GB2312"/>
          <w:sz w:val="30"/>
          <w:szCs w:val="30"/>
        </w:rPr>
        <w:t>本指引自公布之日起施行。</w:t>
      </w:r>
    </w:p>
    <w:p w14:paraId="7350630C">
      <w:pPr>
        <w:rPr>
          <w:rFonts w:ascii="仿宋_GB2312" w:hAnsi="仿宋_GB2312" w:eastAsia="仿宋_GB2312"/>
          <w:sz w:val="30"/>
          <w:szCs w:val="30"/>
        </w:rPr>
      </w:pPr>
    </w:p>
    <w:sectPr>
      <w:footerReference r:id="rId3" w:type="default"/>
      <w:pgSz w:w="11906" w:h="16838"/>
      <w:pgMar w:top="1440" w:right="1800" w:bottom="1440" w:left="1800" w:header="0" w:footer="992" w:gutter="0"/>
      <w:pgNumType w:fmt="decimal"/>
      <w:cols w:space="720"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大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Liberation Serif">
    <w:altName w:val="Times New Roman"/>
    <w:panose1 w:val="00000000000000000000"/>
    <w:charset w:val="01"/>
    <w:family w:val="roman"/>
    <w:pitch w:val="default"/>
    <w:sig w:usb0="00000000" w:usb1="00000000" w:usb2="00000000" w:usb3="00000000" w:csb0="00000000" w:csb1="00000000"/>
  </w:font>
  <w:font w:name="华文宋体">
    <w:altName w:val="宋体"/>
    <w:panose1 w:val="02010600040101010101"/>
    <w:charset w:val="86"/>
    <w:family w:val="auto"/>
    <w:pitch w:val="default"/>
    <w:sig w:usb0="00000000" w:usb1="00000000" w:usb2="00000000" w:usb3="00000000" w:csb0="0004009F" w:csb1="DFD70000"/>
  </w:font>
  <w:font w:name="宋体;SimSun">
    <w:altName w:val="宋体"/>
    <w:panose1 w:val="00000000000000000000"/>
    <w:charset w:val="00"/>
    <w:family w:val="auto"/>
    <w:pitch w:val="default"/>
    <w:sig w:usb0="00000000" w:usb1="00000000" w:usb2="00000000" w:usb3="00000000" w:csb0="00000000" w:csb1="00000000"/>
  </w:font>
  <w:font w:name="黑体;SimHei">
    <w:altName w:val="黑体"/>
    <w:panose1 w:val="00000000000000000000"/>
    <w:charset w:val="00"/>
    <w:family w:val="auto"/>
    <w:pitch w:val="default"/>
    <w:sig w:usb0="00000000" w:usb1="00000000" w:usb2="00000000" w:usb3="00000000" w:csb0="00000000" w:csb1="00000000"/>
  </w:font>
  <w:font w:name="Liberation Sans">
    <w:altName w:val="Arial"/>
    <w:panose1 w:val="00000000000000000000"/>
    <w:charset w:val="01"/>
    <w:family w:val="swiss"/>
    <w:pitch w:val="default"/>
    <w:sig w:usb0="00000000" w:usb1="00000000" w:usb2="00000000" w:usb3="00000000" w:csb0="00000000" w:csb1="00000000"/>
  </w:font>
  <w:font w:name="方正大标宋简体;Arial Unicode MS">
    <w:altName w:val="宋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3A1E7E">
    <w:pPr>
      <w:pStyle w:val="4"/>
      <w:jc w:val="center"/>
    </w:pPr>
    <w:r>
      <w:fldChar w:fldCharType="begin"/>
    </w:r>
    <w:r>
      <w:instrText xml:space="preserve"> PAGE </w:instrText>
    </w:r>
    <w:r>
      <w:fldChar w:fldCharType="separate"/>
    </w:r>
    <w:r>
      <w:t>36</w:t>
    </w:r>
    <w:r>
      <w:fldChar w:fldCharType="end"/>
    </w:r>
  </w:p>
  <w:p w14:paraId="501B484A">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chineseCountingThousand"/>
      <w:pStyle w:val="22"/>
      <w:lvlText w:val="第%1条"/>
      <w:lvlJc w:val="left"/>
      <w:pPr>
        <w:tabs>
          <w:tab w:val="left" w:pos="0"/>
        </w:tabs>
        <w:ind w:left="2547" w:hanging="420"/>
      </w:pPr>
      <w:rPr>
        <w:rFonts w:hint="eastAsia" w:ascii="仿宋_GB2312" w:hAnsi="仿宋_GB2312" w:eastAsia="仿宋_GB2312" w:cs="黑体;SimHei"/>
        <w:b/>
        <w:bCs/>
        <w:color w:val="000000"/>
        <w:sz w:val="30"/>
        <w:szCs w:val="30"/>
        <w:lang w:val="en-US"/>
      </w:rPr>
    </w:lvl>
    <w:lvl w:ilvl="1" w:tentative="0">
      <w:start w:val="1"/>
      <w:numFmt w:val="chineseCountingThousand"/>
      <w:lvlText w:val="(%2)"/>
      <w:lvlJc w:val="left"/>
      <w:pPr>
        <w:tabs>
          <w:tab w:val="left" w:pos="0"/>
        </w:tabs>
        <w:ind w:left="154" w:hanging="720"/>
      </w:pPr>
      <w:rPr>
        <w:lang w:val="en-US"/>
      </w:rPr>
    </w:lvl>
    <w:lvl w:ilvl="2" w:tentative="0">
      <w:start w:val="1"/>
      <w:numFmt w:val="chineseCountingThousand"/>
      <w:lvlText w:val="第%3节"/>
      <w:lvlJc w:val="left"/>
      <w:pPr>
        <w:tabs>
          <w:tab w:val="left" w:pos="0"/>
        </w:tabs>
        <w:ind w:left="284" w:hanging="720"/>
      </w:pPr>
    </w:lvl>
    <w:lvl w:ilvl="3" w:tentative="0">
      <w:start w:val="1"/>
      <w:numFmt w:val="chineseCountingThousand"/>
      <w:lvlText w:val="（%4）"/>
      <w:lvlJc w:val="left"/>
      <w:pPr>
        <w:tabs>
          <w:tab w:val="left" w:pos="0"/>
        </w:tabs>
        <w:ind w:left="1064" w:hanging="1080"/>
      </w:pPr>
    </w:lvl>
    <w:lvl w:ilvl="4" w:tentative="0">
      <w:start w:val="1"/>
      <w:numFmt w:val="lowerLetter"/>
      <w:lvlText w:val="%5)"/>
      <w:lvlJc w:val="left"/>
      <w:pPr>
        <w:tabs>
          <w:tab w:val="left" w:pos="0"/>
        </w:tabs>
        <w:ind w:left="824" w:hanging="420"/>
      </w:pPr>
    </w:lvl>
    <w:lvl w:ilvl="5" w:tentative="0">
      <w:start w:val="1"/>
      <w:numFmt w:val="lowerRoman"/>
      <w:lvlText w:val="%6."/>
      <w:lvlJc w:val="right"/>
      <w:pPr>
        <w:tabs>
          <w:tab w:val="left" w:pos="0"/>
        </w:tabs>
        <w:ind w:left="1244" w:hanging="420"/>
      </w:pPr>
    </w:lvl>
    <w:lvl w:ilvl="6" w:tentative="0">
      <w:start w:val="1"/>
      <w:numFmt w:val="decimal"/>
      <w:lvlText w:val="%7."/>
      <w:lvlJc w:val="left"/>
      <w:pPr>
        <w:tabs>
          <w:tab w:val="left" w:pos="0"/>
        </w:tabs>
        <w:ind w:left="1664" w:hanging="420"/>
      </w:pPr>
    </w:lvl>
    <w:lvl w:ilvl="7" w:tentative="0">
      <w:start w:val="1"/>
      <w:numFmt w:val="lowerLetter"/>
      <w:lvlText w:val="%8)"/>
      <w:lvlJc w:val="left"/>
      <w:pPr>
        <w:tabs>
          <w:tab w:val="left" w:pos="0"/>
        </w:tabs>
        <w:ind w:left="2084" w:hanging="420"/>
      </w:pPr>
    </w:lvl>
    <w:lvl w:ilvl="8" w:tentative="0">
      <w:start w:val="1"/>
      <w:numFmt w:val="lowerRoman"/>
      <w:lvlText w:val="%9."/>
      <w:lvlJc w:val="right"/>
      <w:pPr>
        <w:tabs>
          <w:tab w:val="left" w:pos="0"/>
        </w:tabs>
        <w:ind w:left="2504"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documentProtection w:enforcement="0"/>
  <w:defaultTabStop w:val="420"/>
  <w:autoHyphenation/>
  <w:hyphenationZone w:val="0"/>
  <w:compat>
    <w:doNotExpandShiftReturn/>
    <w:useFELayout/>
    <w:compatSetting w:name="compatibilityMode" w:uri="http://schemas.microsoft.com/office/word" w:val="11"/>
  </w:compat>
  <w:rsids>
    <w:rsidRoot w:val="00000000"/>
    <w:rsid w:val="06201CDD"/>
    <w:rsid w:val="0F0E7C3E"/>
    <w:rsid w:val="172656BE"/>
    <w:rsid w:val="277801F5"/>
    <w:rsid w:val="32641B1F"/>
    <w:rsid w:val="38950557"/>
    <w:rsid w:val="40414101"/>
    <w:rsid w:val="5522237F"/>
    <w:rsid w:val="5B2916BE"/>
    <w:rsid w:val="738E04A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Liberation Serif" w:hAnsi="Liberation Serif" w:eastAsia="华文宋体" w:cs="Arial Unicode M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bidi w:val="0"/>
      <w:jc w:val="both"/>
    </w:pPr>
    <w:rPr>
      <w:rFonts w:ascii="Times New Roman" w:hAnsi="Times New Roman" w:eastAsia="宋体;SimSun" w:cs="Times New Roman"/>
      <w:color w:val="auto"/>
      <w:kern w:val="2"/>
      <w:sz w:val="21"/>
      <w:szCs w:val="20"/>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caption"/>
    <w:basedOn w:val="1"/>
    <w:qFormat/>
    <w:uiPriority w:val="0"/>
    <w:pPr>
      <w:suppressLineNumbers/>
      <w:spacing w:before="120" w:after="120"/>
    </w:pPr>
    <w:rPr>
      <w:rFonts w:cs="Arial Unicode MS"/>
      <w:i/>
      <w:iCs/>
      <w:sz w:val="24"/>
      <w:szCs w:val="24"/>
    </w:rPr>
  </w:style>
  <w:style w:type="paragraph" w:styleId="3">
    <w:name w:val="Body Text"/>
    <w:basedOn w:val="1"/>
    <w:qFormat/>
    <w:uiPriority w:val="0"/>
    <w:pPr>
      <w:autoSpaceDE w:val="0"/>
      <w:spacing w:before="2" w:after="0"/>
      <w:ind w:left="108" w:right="0" w:firstLine="0"/>
      <w:jc w:val="left"/>
    </w:pPr>
    <w:rPr>
      <w:rFonts w:ascii="Arial Unicode MS" w:hAnsi="Arial Unicode MS" w:eastAsia="Arial Unicode MS" w:cs="Arial Unicode MS"/>
      <w:kern w:val="0"/>
      <w:sz w:val="30"/>
      <w:szCs w:val="30"/>
    </w:rPr>
  </w:style>
  <w:style w:type="paragraph" w:styleId="4">
    <w:name w:val="footer"/>
    <w:basedOn w:val="1"/>
    <w:qFormat/>
    <w:uiPriority w:val="0"/>
    <w:pPr>
      <w:tabs>
        <w:tab w:val="center" w:pos="4153"/>
        <w:tab w:val="right" w:pos="8306"/>
      </w:tabs>
      <w:snapToGrid w:val="0"/>
      <w:jc w:val="left"/>
    </w:pPr>
    <w:rPr>
      <w:rFonts w:ascii="Calibri" w:hAnsi="Calibri" w:eastAsia="宋体;SimSun" w:cs="Times New Roman"/>
      <w:sz w:val="18"/>
      <w:szCs w:val="18"/>
    </w:rPr>
  </w:style>
  <w:style w:type="paragraph" w:styleId="5">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6">
    <w:name w:val="List"/>
    <w:basedOn w:val="3"/>
    <w:qFormat/>
    <w:uiPriority w:val="0"/>
    <w:rPr>
      <w:rFonts w:cs="Arial Unicode MS"/>
    </w:rPr>
  </w:style>
  <w:style w:type="character" w:customStyle="1" w:styleId="9">
    <w:name w:val="WW8Num1z0"/>
    <w:qFormat/>
    <w:uiPriority w:val="0"/>
    <w:rPr>
      <w:rFonts w:ascii="仿宋_GB2312" w:hAnsi="仿宋_GB2312" w:eastAsia="仿宋_GB2312" w:cs="黑体;SimHei"/>
      <w:color w:val="000000"/>
      <w:sz w:val="30"/>
      <w:szCs w:val="30"/>
      <w:lang w:val="en-US"/>
    </w:rPr>
  </w:style>
  <w:style w:type="character" w:customStyle="1" w:styleId="10">
    <w:name w:val="WW8Num1z1"/>
    <w:qFormat/>
    <w:uiPriority w:val="0"/>
    <w:rPr>
      <w:lang w:val="en-US"/>
    </w:rPr>
  </w:style>
  <w:style w:type="character" w:customStyle="1" w:styleId="11">
    <w:name w:val="WW8Num1z2"/>
    <w:qFormat/>
    <w:uiPriority w:val="0"/>
  </w:style>
  <w:style w:type="character" w:customStyle="1" w:styleId="12">
    <w:name w:val="默认段落字体1"/>
    <w:qFormat/>
    <w:uiPriority w:val="0"/>
  </w:style>
  <w:style w:type="character" w:customStyle="1" w:styleId="13">
    <w:name w:val="正文文本 Char"/>
    <w:basedOn w:val="12"/>
    <w:qFormat/>
    <w:uiPriority w:val="0"/>
    <w:rPr>
      <w:rFonts w:ascii="Arial Unicode MS" w:hAnsi="Arial Unicode MS" w:eastAsia="Arial Unicode MS" w:cs="Arial Unicode MS"/>
      <w:kern w:val="0"/>
      <w:sz w:val="30"/>
      <w:szCs w:val="30"/>
    </w:rPr>
  </w:style>
  <w:style w:type="character" w:customStyle="1" w:styleId="14">
    <w:name w:val="页脚 Char"/>
    <w:basedOn w:val="12"/>
    <w:qFormat/>
    <w:uiPriority w:val="0"/>
    <w:rPr>
      <w:sz w:val="18"/>
      <w:szCs w:val="18"/>
    </w:rPr>
  </w:style>
  <w:style w:type="character" w:customStyle="1" w:styleId="15">
    <w:name w:val="页眉 Char"/>
    <w:basedOn w:val="12"/>
    <w:qFormat/>
    <w:uiPriority w:val="0"/>
    <w:rPr>
      <w:rFonts w:ascii="Times New Roman" w:hAnsi="Times New Roman" w:cs="Times New Roman"/>
      <w:kern w:val="2"/>
      <w:sz w:val="18"/>
      <w:szCs w:val="18"/>
    </w:rPr>
  </w:style>
  <w:style w:type="character" w:customStyle="1" w:styleId="16">
    <w:name w:val="文档结构图 Char"/>
    <w:basedOn w:val="12"/>
    <w:qFormat/>
    <w:uiPriority w:val="0"/>
    <w:rPr>
      <w:rFonts w:ascii="宋体;SimSun" w:hAnsi="宋体;SimSun" w:cs="Times New Roman"/>
      <w:kern w:val="2"/>
      <w:sz w:val="18"/>
      <w:szCs w:val="18"/>
    </w:rPr>
  </w:style>
  <w:style w:type="paragraph" w:customStyle="1" w:styleId="17">
    <w:name w:val="Heading"/>
    <w:basedOn w:val="1"/>
    <w:next w:val="3"/>
    <w:qFormat/>
    <w:uiPriority w:val="0"/>
    <w:pPr>
      <w:keepNext/>
      <w:spacing w:before="240" w:after="120"/>
    </w:pPr>
    <w:rPr>
      <w:rFonts w:ascii="Liberation Sans" w:hAnsi="Liberation Sans" w:eastAsia="Arial Unicode MS" w:cs="Arial Unicode MS"/>
      <w:sz w:val="28"/>
      <w:szCs w:val="28"/>
    </w:rPr>
  </w:style>
  <w:style w:type="paragraph" w:customStyle="1" w:styleId="18">
    <w:name w:val="Index"/>
    <w:basedOn w:val="1"/>
    <w:qFormat/>
    <w:uiPriority w:val="0"/>
    <w:pPr>
      <w:suppressLineNumbers/>
    </w:pPr>
    <w:rPr>
      <w:rFonts w:cs="Arial Unicode MS"/>
    </w:rPr>
  </w:style>
  <w:style w:type="paragraph" w:customStyle="1" w:styleId="19">
    <w:name w:val="Header and Footer"/>
    <w:basedOn w:val="1"/>
    <w:qFormat/>
    <w:uiPriority w:val="0"/>
    <w:pPr>
      <w:suppressLineNumbers/>
      <w:tabs>
        <w:tab w:val="center" w:pos="4819"/>
        <w:tab w:val="right" w:pos="9638"/>
      </w:tabs>
    </w:pPr>
  </w:style>
  <w:style w:type="paragraph" w:customStyle="1" w:styleId="20">
    <w:name w:val="普通(网站)1"/>
    <w:basedOn w:val="1"/>
    <w:qFormat/>
    <w:uiPriority w:val="0"/>
    <w:pPr>
      <w:widowControl/>
      <w:spacing w:before="280" w:after="280"/>
      <w:jc w:val="left"/>
    </w:pPr>
    <w:rPr>
      <w:rFonts w:ascii="宋体;SimSun" w:hAnsi="宋体;SimSun" w:cs="宋体;SimSun"/>
      <w:kern w:val="0"/>
      <w:sz w:val="24"/>
      <w:szCs w:val="24"/>
    </w:rPr>
  </w:style>
  <w:style w:type="paragraph" w:customStyle="1" w:styleId="21">
    <w:name w:val="列出段落"/>
    <w:basedOn w:val="1"/>
    <w:qFormat/>
    <w:uiPriority w:val="0"/>
    <w:pPr>
      <w:ind w:left="0" w:right="0" w:firstLine="420"/>
    </w:pPr>
    <w:rPr>
      <w:rFonts w:ascii="Calibri" w:hAnsi="Calibri" w:cs="Calibri"/>
      <w:szCs w:val="22"/>
    </w:rPr>
  </w:style>
  <w:style w:type="paragraph" w:customStyle="1" w:styleId="22">
    <w:name w:val="样式6"/>
    <w:basedOn w:val="1"/>
    <w:qFormat/>
    <w:uiPriority w:val="0"/>
    <w:pPr>
      <w:keepNext/>
      <w:keepLines/>
      <w:numPr>
        <w:ilvl w:val="0"/>
        <w:numId w:val="1"/>
      </w:numPr>
      <w:tabs>
        <w:tab w:val="left" w:pos="1418"/>
      </w:tabs>
      <w:spacing w:line="560" w:lineRule="exact"/>
      <w:ind w:left="988" w:right="0" w:firstLine="0"/>
      <w:jc w:val="center"/>
      <w:textAlignment w:val="baseline"/>
      <w:outlineLvl w:val="0"/>
    </w:pPr>
    <w:rPr>
      <w:rFonts w:ascii="黑体;SimHei" w:hAnsi="黑体;SimHei" w:eastAsia="黑体;SimHei" w:cs="Arial Unicode MS"/>
      <w:bCs/>
      <w:kern w:val="2"/>
      <w:sz w:val="32"/>
      <w:szCs w:val="32"/>
    </w:rPr>
  </w:style>
  <w:style w:type="paragraph" w:customStyle="1" w:styleId="23">
    <w:name w:val="文档结构图1"/>
    <w:basedOn w:val="1"/>
    <w:qFormat/>
    <w:uiPriority w:val="0"/>
    <w:rPr>
      <w:rFonts w:ascii="宋体;SimSun" w:hAnsi="宋体;SimSun"/>
      <w:sz w:val="18"/>
      <w:szCs w:val="18"/>
    </w:rPr>
  </w:style>
  <w:style w:type="paragraph" w:customStyle="1" w:styleId="24">
    <w:name w:val="Table Contents"/>
    <w:basedOn w:val="1"/>
    <w:qFormat/>
    <w:uiPriority w:val="0"/>
    <w:pPr>
      <w:widowControl w:val="0"/>
      <w:suppressLineNumbers/>
    </w:pPr>
  </w:style>
  <w:style w:type="paragraph" w:customStyle="1" w:styleId="25">
    <w:name w:val="Table Heading"/>
    <w:basedOn w:val="24"/>
    <w:qFormat/>
    <w:uiPriority w:val="0"/>
    <w:pPr>
      <w:suppressLineNumbers/>
      <w:jc w:val="center"/>
    </w:pPr>
    <w:rPr>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na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36</Pages>
  <Words>17397</Words>
  <Characters>17420</Characters>
  <TotalTime>12</TotalTime>
  <ScaleCrop>false</ScaleCrop>
  <LinksUpToDate>false</LinksUpToDate>
  <CharactersWithSpaces>17442</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2025-07-09T02:57:00Z</dcterms:created>
  <dc:creator>user</dc:creator>
  <cp:lastModifiedBy>whxu</cp:lastModifiedBy>
  <dcterms:modified xsi:type="dcterms:W3CDTF">2025-09-11T01:22:35Z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eyJoZGlkIjoiODU1MjFmZWFjYWYyZmFkY2IwY2Q4ZjQwNWM1NjJkYzIiLCJ1c2VySWQiOiI0MTAwNTg2ODQifQ==</vt:lpwstr>
  </property>
  <property fmtid="{D5CDD505-2E9C-101B-9397-08002B2CF9AE}" pid="3" name="KSOProductBuildVer">
    <vt:lpwstr>2052-12.1.0.22529</vt:lpwstr>
  </property>
  <property fmtid="{D5CDD505-2E9C-101B-9397-08002B2CF9AE}" pid="4" name="ICV">
    <vt:lpwstr>8E77D376F0384F9B84ED3AFEF2DB18D8_12</vt:lpwstr>
  </property>
</Properties>
</file>