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526" w:rsidRDefault="004D6526" w:rsidP="004D6526">
      <w:pPr>
        <w:adjustRightInd w:val="0"/>
        <w:snapToGrid w:val="0"/>
        <w:spacing w:line="600" w:lineRule="exact"/>
        <w:rPr>
          <w:rFonts w:ascii="黑体" w:eastAsia="黑体" w:hAnsi="黑体"/>
          <w:b/>
          <w:kern w:val="0"/>
          <w:sz w:val="44"/>
          <w:szCs w:val="44"/>
        </w:rPr>
      </w:pPr>
      <w:bookmarkStart w:id="0" w:name="_GoBack"/>
      <w:bookmarkEnd w:id="0"/>
      <w:r>
        <w:rPr>
          <w:rFonts w:ascii="仿宋_GB2312" w:eastAsia="仿宋_GB2312" w:hint="eastAsia"/>
          <w:b/>
          <w:sz w:val="30"/>
          <w:szCs w:val="30"/>
        </w:rPr>
        <w:t>附件2</w:t>
      </w:r>
    </w:p>
    <w:p w:rsidR="00765527" w:rsidRDefault="00765527" w:rsidP="00765527">
      <w:pPr>
        <w:spacing w:line="560" w:lineRule="exact"/>
        <w:jc w:val="left"/>
        <w:rPr>
          <w:rFonts w:ascii="仿宋_GB2312" w:eastAsia="仿宋_GB2312" w:hAnsi="黑体"/>
          <w:b/>
          <w:sz w:val="30"/>
          <w:szCs w:val="30"/>
        </w:rPr>
      </w:pPr>
    </w:p>
    <w:p w:rsidR="00E252B0" w:rsidRPr="007D1891" w:rsidRDefault="00A6728F" w:rsidP="00A81D0D">
      <w:pPr>
        <w:widowControl/>
        <w:spacing w:line="600" w:lineRule="exact"/>
        <w:jc w:val="center"/>
        <w:rPr>
          <w:rFonts w:ascii="黑体" w:eastAsia="黑体" w:hAnsi="黑体"/>
          <w:b/>
          <w:sz w:val="44"/>
          <w:szCs w:val="44"/>
        </w:rPr>
      </w:pPr>
      <w:r w:rsidRPr="00A6728F">
        <w:rPr>
          <w:rFonts w:ascii="黑体" w:eastAsia="黑体" w:hAnsi="黑体" w:hint="eastAsia"/>
          <w:b/>
          <w:sz w:val="44"/>
          <w:szCs w:val="44"/>
        </w:rPr>
        <w:t>《上海证券交易所融资融券交易实施细则</w:t>
      </w:r>
      <w:r w:rsidR="005752C7">
        <w:rPr>
          <w:rFonts w:ascii="黑体" w:eastAsia="黑体" w:hAnsi="黑体" w:hint="eastAsia"/>
          <w:b/>
          <w:sz w:val="44"/>
          <w:szCs w:val="44"/>
        </w:rPr>
        <w:t>（2023年修订）</w:t>
      </w:r>
      <w:r w:rsidR="00A81D0D">
        <w:rPr>
          <w:rFonts w:ascii="黑体" w:eastAsia="黑体" w:hAnsi="黑体" w:hint="eastAsia"/>
          <w:b/>
          <w:sz w:val="44"/>
          <w:szCs w:val="44"/>
        </w:rPr>
        <w:t>》</w:t>
      </w:r>
      <w:r w:rsidRPr="00A6728F">
        <w:rPr>
          <w:rFonts w:ascii="黑体" w:eastAsia="黑体" w:hAnsi="黑体" w:hint="eastAsia"/>
          <w:b/>
          <w:sz w:val="44"/>
          <w:szCs w:val="44"/>
        </w:rPr>
        <w:t>起草说明</w:t>
      </w:r>
    </w:p>
    <w:p w:rsidR="00732CC3" w:rsidRPr="00DD7263" w:rsidRDefault="00732CC3" w:rsidP="00B570C0">
      <w:pPr>
        <w:ind w:firstLine="600"/>
        <w:rPr>
          <w:rFonts w:ascii="仿宋_GB2312" w:eastAsia="仿宋_GB2312" w:hAnsi="黑体"/>
          <w:sz w:val="30"/>
          <w:szCs w:val="30"/>
        </w:rPr>
      </w:pPr>
    </w:p>
    <w:p w:rsidR="001346A5" w:rsidRPr="00FD75D0" w:rsidRDefault="00513DBE" w:rsidP="00513DBE">
      <w:pPr>
        <w:ind w:firstLineChars="200" w:firstLine="600"/>
        <w:rPr>
          <w:rFonts w:ascii="仿宋_GB2312" w:eastAsia="仿宋_GB2312"/>
          <w:sz w:val="30"/>
          <w:szCs w:val="30"/>
        </w:rPr>
      </w:pPr>
      <w:r>
        <w:rPr>
          <w:rFonts w:ascii="仿宋_GB2312" w:eastAsia="仿宋_GB2312" w:hAnsi="黑体" w:hint="eastAsia"/>
          <w:sz w:val="30"/>
          <w:szCs w:val="30"/>
        </w:rPr>
        <w:t>为了落实党中央</w:t>
      </w:r>
      <w:r w:rsidR="005830EA">
        <w:rPr>
          <w:rFonts w:ascii="仿宋_GB2312" w:eastAsia="仿宋_GB2312" w:hAnsi="黑体" w:hint="eastAsia"/>
          <w:sz w:val="30"/>
          <w:szCs w:val="30"/>
        </w:rPr>
        <w:t>、</w:t>
      </w:r>
      <w:r>
        <w:rPr>
          <w:rFonts w:ascii="仿宋_GB2312" w:eastAsia="仿宋_GB2312" w:hAnsi="黑体" w:hint="eastAsia"/>
          <w:sz w:val="30"/>
          <w:szCs w:val="30"/>
        </w:rPr>
        <w:t>国务院关于全面实行股票发行注册制的决策部署</w:t>
      </w:r>
      <w:r w:rsidR="001346A5" w:rsidRPr="001346A5">
        <w:rPr>
          <w:rFonts w:ascii="仿宋_GB2312" w:eastAsia="仿宋_GB2312" w:hAnsi="黑体" w:hint="eastAsia"/>
          <w:sz w:val="30"/>
          <w:szCs w:val="30"/>
        </w:rPr>
        <w:t>，促进融资融券业务长期平稳发展，</w:t>
      </w:r>
      <w:r w:rsidR="001346A5">
        <w:rPr>
          <w:rFonts w:ascii="仿宋_GB2312" w:eastAsia="仿宋_GB2312" w:hint="eastAsia"/>
          <w:sz w:val="30"/>
          <w:szCs w:val="30"/>
        </w:rPr>
        <w:t>上海证券交易所（以下简称</w:t>
      </w:r>
      <w:r w:rsidR="001346A5" w:rsidRPr="00F677D8">
        <w:rPr>
          <w:rFonts w:ascii="仿宋_GB2312" w:eastAsia="仿宋_GB2312" w:hint="eastAsia"/>
          <w:sz w:val="30"/>
          <w:szCs w:val="30"/>
        </w:rPr>
        <w:t>本所）对《</w:t>
      </w:r>
      <w:r w:rsidR="001346A5" w:rsidRPr="00732CC3">
        <w:rPr>
          <w:rFonts w:ascii="仿宋_GB2312" w:eastAsia="仿宋_GB2312" w:hint="eastAsia"/>
          <w:sz w:val="30"/>
          <w:szCs w:val="30"/>
        </w:rPr>
        <w:t>上海证券交易所融资融券交易实施细则</w:t>
      </w:r>
      <w:r w:rsidR="001346A5">
        <w:rPr>
          <w:rFonts w:ascii="仿宋_GB2312" w:eastAsia="仿宋_GB2312" w:hint="eastAsia"/>
          <w:sz w:val="30"/>
          <w:szCs w:val="30"/>
        </w:rPr>
        <w:t>》（以下简称</w:t>
      </w:r>
      <w:r w:rsidR="0090600C">
        <w:rPr>
          <w:rFonts w:ascii="仿宋_GB2312" w:eastAsia="仿宋_GB2312" w:hint="eastAsia"/>
          <w:sz w:val="30"/>
          <w:szCs w:val="30"/>
        </w:rPr>
        <w:t>《融资融券细则》</w:t>
      </w:r>
      <w:r w:rsidR="001346A5">
        <w:rPr>
          <w:rFonts w:ascii="仿宋_GB2312" w:eastAsia="仿宋_GB2312" w:hint="eastAsia"/>
          <w:sz w:val="30"/>
          <w:szCs w:val="30"/>
        </w:rPr>
        <w:t>）相关内容进行了修订，</w:t>
      </w:r>
      <w:r w:rsidR="001346A5" w:rsidRPr="001346A5">
        <w:rPr>
          <w:rFonts w:ascii="仿宋_GB2312" w:eastAsia="仿宋_GB2312" w:hAnsi="黑体" w:hint="eastAsia"/>
          <w:sz w:val="30"/>
          <w:szCs w:val="30"/>
        </w:rPr>
        <w:t>将《</w:t>
      </w:r>
      <w:r w:rsidR="00FD75D0" w:rsidRPr="00FD75D0">
        <w:rPr>
          <w:rFonts w:ascii="仿宋_GB2312" w:eastAsia="仿宋_GB2312" w:hAnsi="黑体" w:hint="eastAsia"/>
          <w:sz w:val="30"/>
          <w:szCs w:val="30"/>
        </w:rPr>
        <w:t>上海证券交易所科创板股票交易特别规定</w:t>
      </w:r>
      <w:r w:rsidR="001346A5" w:rsidRPr="001346A5">
        <w:rPr>
          <w:rFonts w:ascii="仿宋_GB2312" w:eastAsia="仿宋_GB2312" w:hAnsi="黑体" w:hint="eastAsia"/>
          <w:sz w:val="30"/>
          <w:szCs w:val="30"/>
        </w:rPr>
        <w:t>》（以下简称《</w:t>
      </w:r>
      <w:r w:rsidR="00FD75D0" w:rsidRPr="00FD75D0">
        <w:rPr>
          <w:rFonts w:ascii="仿宋_GB2312" w:eastAsia="仿宋_GB2312" w:hAnsi="黑体" w:hint="eastAsia"/>
          <w:sz w:val="30"/>
          <w:szCs w:val="30"/>
        </w:rPr>
        <w:t>科创板</w:t>
      </w:r>
      <w:r w:rsidR="001346A5" w:rsidRPr="001346A5">
        <w:rPr>
          <w:rFonts w:ascii="仿宋_GB2312" w:eastAsia="仿宋_GB2312" w:hAnsi="黑体" w:hint="eastAsia"/>
          <w:sz w:val="30"/>
          <w:szCs w:val="30"/>
        </w:rPr>
        <w:t>特别规定》）中涉及融资融券的规定整合纳入</w:t>
      </w:r>
      <w:r w:rsidR="0090600C">
        <w:rPr>
          <w:rFonts w:ascii="仿宋_GB2312" w:eastAsia="仿宋_GB2312" w:hint="eastAsia"/>
          <w:sz w:val="30"/>
          <w:szCs w:val="30"/>
        </w:rPr>
        <w:t>《融资融券细则》</w:t>
      </w:r>
      <w:r w:rsidR="001346A5" w:rsidRPr="001346A5">
        <w:rPr>
          <w:rFonts w:ascii="仿宋_GB2312" w:eastAsia="仿宋_GB2312" w:hAnsi="黑体" w:hint="eastAsia"/>
          <w:sz w:val="30"/>
          <w:szCs w:val="30"/>
        </w:rPr>
        <w:t>，并借鉴</w:t>
      </w:r>
      <w:r w:rsidR="00FD75D0" w:rsidRPr="00FD75D0">
        <w:rPr>
          <w:rFonts w:ascii="仿宋_GB2312" w:eastAsia="仿宋_GB2312" w:hAnsi="黑体" w:hint="eastAsia"/>
          <w:sz w:val="30"/>
          <w:szCs w:val="30"/>
        </w:rPr>
        <w:t>科创板</w:t>
      </w:r>
      <w:r w:rsidR="001346A5" w:rsidRPr="001346A5">
        <w:rPr>
          <w:rFonts w:ascii="仿宋_GB2312" w:eastAsia="仿宋_GB2312" w:hAnsi="黑体" w:hint="eastAsia"/>
          <w:sz w:val="30"/>
          <w:szCs w:val="30"/>
        </w:rPr>
        <w:t>改革经验，将注册制股票上市首日纳入</w:t>
      </w:r>
      <w:r w:rsidR="000C5C10">
        <w:rPr>
          <w:rFonts w:ascii="仿宋_GB2312" w:eastAsia="仿宋_GB2312" w:hAnsi="黑体" w:hint="eastAsia"/>
          <w:sz w:val="30"/>
          <w:szCs w:val="30"/>
        </w:rPr>
        <w:t>两融</w:t>
      </w:r>
      <w:r w:rsidR="001346A5" w:rsidRPr="001346A5">
        <w:rPr>
          <w:rFonts w:ascii="仿宋_GB2312" w:eastAsia="仿宋_GB2312" w:hAnsi="黑体" w:hint="eastAsia"/>
          <w:sz w:val="30"/>
          <w:szCs w:val="30"/>
        </w:rPr>
        <w:t>标的、存托凭证参与融资融券</w:t>
      </w:r>
      <w:r w:rsidR="00A05AAF">
        <w:rPr>
          <w:rFonts w:ascii="仿宋_GB2312" w:eastAsia="仿宋_GB2312" w:hAnsi="黑体" w:hint="eastAsia"/>
          <w:sz w:val="30"/>
          <w:szCs w:val="30"/>
        </w:rPr>
        <w:t>等</w:t>
      </w:r>
      <w:r w:rsidR="001346A5" w:rsidRPr="001346A5">
        <w:rPr>
          <w:rFonts w:ascii="仿宋_GB2312" w:eastAsia="仿宋_GB2312" w:hAnsi="黑体" w:hint="eastAsia"/>
          <w:sz w:val="30"/>
          <w:szCs w:val="30"/>
        </w:rPr>
        <w:t>规定复制到主板。</w:t>
      </w:r>
      <w:r w:rsidR="00B15F43" w:rsidRPr="00B15F43">
        <w:rPr>
          <w:rFonts w:ascii="仿宋_GB2312" w:eastAsia="仿宋_GB2312" w:hAnsi="黑体" w:hint="eastAsia"/>
          <w:sz w:val="30"/>
          <w:szCs w:val="30"/>
        </w:rPr>
        <w:t>此外，为</w:t>
      </w:r>
      <w:r w:rsidR="00F17E4D">
        <w:rPr>
          <w:rFonts w:ascii="仿宋_GB2312" w:eastAsia="仿宋_GB2312" w:hAnsi="黑体" w:hint="eastAsia"/>
          <w:sz w:val="30"/>
          <w:szCs w:val="30"/>
        </w:rPr>
        <w:t>落实</w:t>
      </w:r>
      <w:r w:rsidR="00F17E4D" w:rsidRPr="00F17E4D">
        <w:rPr>
          <w:rFonts w:ascii="仿宋_GB2312" w:eastAsia="仿宋_GB2312" w:hAnsi="黑体" w:hint="eastAsia"/>
          <w:sz w:val="30"/>
          <w:szCs w:val="30"/>
        </w:rPr>
        <w:t>构建简明友好规则体系相关要求</w:t>
      </w:r>
      <w:r w:rsidR="00B15F43" w:rsidRPr="00B15F43">
        <w:rPr>
          <w:rFonts w:ascii="仿宋_GB2312" w:eastAsia="仿宋_GB2312" w:hAnsi="黑体" w:hint="eastAsia"/>
          <w:sz w:val="30"/>
          <w:szCs w:val="30"/>
        </w:rPr>
        <w:t>，本次</w:t>
      </w:r>
      <w:r w:rsidR="0090600C">
        <w:rPr>
          <w:rFonts w:ascii="仿宋_GB2312" w:eastAsia="仿宋_GB2312" w:hAnsi="黑体" w:hint="eastAsia"/>
          <w:sz w:val="30"/>
          <w:szCs w:val="30"/>
        </w:rPr>
        <w:t>《融资融券细则》</w:t>
      </w:r>
      <w:r w:rsidR="00B15F43" w:rsidRPr="00B15F43">
        <w:rPr>
          <w:rFonts w:ascii="仿宋_GB2312" w:eastAsia="仿宋_GB2312" w:hAnsi="黑体" w:hint="eastAsia"/>
          <w:sz w:val="30"/>
          <w:szCs w:val="30"/>
        </w:rPr>
        <w:t>修订根据业务实际情况，对业务现行通知进行了吸收合并。</w:t>
      </w:r>
      <w:r w:rsidR="001346A5" w:rsidRPr="001346A5">
        <w:rPr>
          <w:rFonts w:ascii="仿宋_GB2312" w:eastAsia="仿宋_GB2312" w:hAnsi="黑体" w:hint="eastAsia"/>
          <w:sz w:val="30"/>
          <w:szCs w:val="30"/>
        </w:rPr>
        <w:t>主要修订内容如下：</w:t>
      </w:r>
    </w:p>
    <w:p w:rsidR="00B15F43" w:rsidRPr="00246A15" w:rsidRDefault="00A6728F" w:rsidP="000C5C10">
      <w:pPr>
        <w:pStyle w:val="a5"/>
        <w:numPr>
          <w:ilvl w:val="0"/>
          <w:numId w:val="1"/>
        </w:numPr>
        <w:ind w:firstLineChars="0"/>
        <w:rPr>
          <w:rFonts w:ascii="黑体" w:eastAsia="黑体" w:hAnsi="黑体"/>
          <w:b/>
          <w:sz w:val="30"/>
          <w:szCs w:val="30"/>
        </w:rPr>
      </w:pPr>
      <w:r w:rsidRPr="00A6728F">
        <w:rPr>
          <w:rFonts w:ascii="黑体" w:eastAsia="黑体" w:hAnsi="黑体" w:hint="eastAsia"/>
          <w:b/>
          <w:sz w:val="30"/>
          <w:szCs w:val="30"/>
        </w:rPr>
        <w:t>复制科创板改革做法</w:t>
      </w:r>
    </w:p>
    <w:p w:rsidR="00A801C4" w:rsidRDefault="00B15F43" w:rsidP="00A801C4">
      <w:pPr>
        <w:ind w:firstLineChars="200" w:firstLine="602"/>
        <w:rPr>
          <w:rFonts w:ascii="仿宋_GB2312" w:eastAsia="仿宋_GB2312" w:hAnsi="黑体"/>
          <w:sz w:val="30"/>
          <w:szCs w:val="30"/>
        </w:rPr>
      </w:pPr>
      <w:r>
        <w:rPr>
          <w:rFonts w:ascii="仿宋_GB2312" w:eastAsia="仿宋_GB2312" w:hint="eastAsia"/>
          <w:b/>
          <w:sz w:val="30"/>
          <w:szCs w:val="30"/>
        </w:rPr>
        <w:t>一是</w:t>
      </w:r>
      <w:r w:rsidRPr="00B15F43">
        <w:rPr>
          <w:rFonts w:ascii="仿宋_GB2312" w:eastAsia="仿宋_GB2312" w:hint="eastAsia"/>
          <w:b/>
          <w:sz w:val="30"/>
          <w:szCs w:val="30"/>
        </w:rPr>
        <w:t>注册制股票上市首日纳入标的</w:t>
      </w:r>
      <w:r w:rsidR="006B0EB9">
        <w:rPr>
          <w:rFonts w:ascii="仿宋_GB2312" w:eastAsia="仿宋_GB2312" w:hint="eastAsia"/>
          <w:b/>
          <w:sz w:val="30"/>
          <w:szCs w:val="30"/>
        </w:rPr>
        <w:t>。</w:t>
      </w:r>
      <w:r w:rsidR="00A801C4" w:rsidRPr="00FB7DE0">
        <w:rPr>
          <w:rFonts w:ascii="仿宋_GB2312" w:eastAsia="仿宋_GB2312" w:hAnsi="黑体" w:hint="eastAsia"/>
          <w:sz w:val="30"/>
          <w:szCs w:val="30"/>
        </w:rPr>
        <w:t>本次修订</w:t>
      </w:r>
      <w:r w:rsidR="00A801C4">
        <w:rPr>
          <w:rFonts w:ascii="仿宋_GB2312" w:eastAsia="仿宋_GB2312" w:hAnsi="黑体" w:hint="eastAsia"/>
          <w:sz w:val="30"/>
          <w:szCs w:val="30"/>
        </w:rPr>
        <w:t>吸收了</w:t>
      </w:r>
      <w:r w:rsidR="00FB7DE0" w:rsidRPr="00FB7DE0">
        <w:rPr>
          <w:rFonts w:ascii="仿宋_GB2312" w:eastAsia="仿宋_GB2312" w:hAnsi="黑体" w:hint="eastAsia"/>
          <w:sz w:val="30"/>
          <w:szCs w:val="30"/>
        </w:rPr>
        <w:t>《科创板特别规定》</w:t>
      </w:r>
      <w:r w:rsidR="00A801C4">
        <w:rPr>
          <w:rFonts w:ascii="仿宋_GB2312" w:eastAsia="仿宋_GB2312" w:hAnsi="黑体" w:hint="eastAsia"/>
          <w:sz w:val="30"/>
          <w:szCs w:val="30"/>
        </w:rPr>
        <w:t>关于</w:t>
      </w:r>
      <w:r w:rsidR="00FB7DE0" w:rsidRPr="00FB7DE0">
        <w:rPr>
          <w:rFonts w:ascii="仿宋_GB2312" w:eastAsia="仿宋_GB2312" w:hAnsi="黑体" w:hint="eastAsia"/>
          <w:sz w:val="30"/>
          <w:szCs w:val="30"/>
        </w:rPr>
        <w:t>注册制股票自上市首日起可以作为融资融券标的</w:t>
      </w:r>
      <w:r w:rsidR="00A801C4" w:rsidRPr="00FB7DE0">
        <w:rPr>
          <w:rFonts w:ascii="仿宋_GB2312" w:eastAsia="仿宋_GB2312" w:hAnsi="黑体" w:hint="eastAsia"/>
          <w:sz w:val="30"/>
          <w:szCs w:val="30"/>
        </w:rPr>
        <w:t>相关内容，将上述事项纳入</w:t>
      </w:r>
      <w:r w:rsidR="00A801C4">
        <w:rPr>
          <w:rFonts w:ascii="仿宋_GB2312" w:eastAsia="仿宋_GB2312" w:hAnsi="黑体" w:hint="eastAsia"/>
          <w:sz w:val="30"/>
          <w:szCs w:val="30"/>
        </w:rPr>
        <w:t>《融资融券细则》</w:t>
      </w:r>
      <w:r w:rsidR="00A801C4" w:rsidRPr="00FB7DE0">
        <w:rPr>
          <w:rFonts w:ascii="仿宋_GB2312" w:eastAsia="仿宋_GB2312" w:hAnsi="黑体" w:hint="eastAsia"/>
          <w:sz w:val="30"/>
          <w:szCs w:val="30"/>
        </w:rPr>
        <w:t>第二十</w:t>
      </w:r>
      <w:r w:rsidR="008A4B64">
        <w:rPr>
          <w:rFonts w:ascii="仿宋_GB2312" w:eastAsia="仿宋_GB2312" w:hAnsi="黑体" w:hint="eastAsia"/>
          <w:sz w:val="30"/>
          <w:szCs w:val="30"/>
        </w:rPr>
        <w:t>四</w:t>
      </w:r>
      <w:r w:rsidR="00A801C4" w:rsidRPr="00FB7DE0">
        <w:rPr>
          <w:rFonts w:ascii="仿宋_GB2312" w:eastAsia="仿宋_GB2312" w:hAnsi="黑体" w:hint="eastAsia"/>
          <w:sz w:val="30"/>
          <w:szCs w:val="30"/>
        </w:rPr>
        <w:t>条。</w:t>
      </w:r>
    </w:p>
    <w:p w:rsidR="00F0187D" w:rsidRDefault="00F0187D" w:rsidP="000C5C10">
      <w:pPr>
        <w:ind w:firstLineChars="200" w:firstLine="602"/>
        <w:rPr>
          <w:rFonts w:ascii="仿宋_GB2312" w:eastAsia="仿宋_GB2312" w:hAnsi="黑体"/>
          <w:sz w:val="30"/>
          <w:szCs w:val="30"/>
        </w:rPr>
      </w:pPr>
      <w:r w:rsidRPr="00F0187D">
        <w:rPr>
          <w:rFonts w:ascii="仿宋_GB2312" w:eastAsia="仿宋_GB2312" w:hint="eastAsia"/>
          <w:b/>
          <w:sz w:val="30"/>
          <w:szCs w:val="30"/>
        </w:rPr>
        <w:t>二是</w:t>
      </w:r>
      <w:r>
        <w:rPr>
          <w:rFonts w:ascii="仿宋_GB2312" w:eastAsia="仿宋_GB2312" w:hint="eastAsia"/>
          <w:b/>
          <w:sz w:val="30"/>
          <w:szCs w:val="30"/>
        </w:rPr>
        <w:t>明确战略投资者及其关联方</w:t>
      </w:r>
      <w:r w:rsidRPr="00F0187D">
        <w:rPr>
          <w:rFonts w:ascii="仿宋_GB2312" w:eastAsia="仿宋_GB2312" w:hint="eastAsia"/>
          <w:b/>
          <w:sz w:val="30"/>
          <w:szCs w:val="30"/>
        </w:rPr>
        <w:t>在其承诺持有期限内不得融券卖出该上市公司股票</w:t>
      </w:r>
      <w:r w:rsidRPr="00B15F43">
        <w:rPr>
          <w:rFonts w:ascii="仿宋_GB2312" w:eastAsia="仿宋_GB2312" w:hint="eastAsia"/>
          <w:b/>
          <w:sz w:val="30"/>
          <w:szCs w:val="30"/>
        </w:rPr>
        <w:t>。</w:t>
      </w:r>
      <w:r w:rsidR="00FB7DE0" w:rsidRPr="00FB7DE0">
        <w:rPr>
          <w:rFonts w:ascii="仿宋_GB2312" w:eastAsia="仿宋_GB2312" w:hAnsi="黑体" w:hint="eastAsia"/>
          <w:sz w:val="30"/>
          <w:szCs w:val="30"/>
        </w:rPr>
        <w:t>本次修订吸收了《关于科创板战略投资者参与证券出借业务有关事项的通知》（上证函〔2019〕1172</w:t>
      </w:r>
      <w:r w:rsidR="00FB7DE0" w:rsidRPr="00FB7DE0">
        <w:rPr>
          <w:rFonts w:ascii="仿宋_GB2312" w:eastAsia="仿宋_GB2312" w:hAnsi="黑体" w:hint="eastAsia"/>
          <w:sz w:val="30"/>
          <w:szCs w:val="30"/>
        </w:rPr>
        <w:lastRenderedPageBreak/>
        <w:t>号）关于“战略投资者及其关联方在战略投资者承诺的上市公司获配股票持有期限内，不得融券卖出该上市公司股票”相关内容，将上述事项纳入</w:t>
      </w:r>
      <w:r w:rsidR="0090600C">
        <w:rPr>
          <w:rFonts w:ascii="仿宋_GB2312" w:eastAsia="仿宋_GB2312" w:hAnsi="黑体" w:hint="eastAsia"/>
          <w:sz w:val="30"/>
          <w:szCs w:val="30"/>
        </w:rPr>
        <w:t>《融资融券细则》</w:t>
      </w:r>
      <w:r w:rsidR="00FB7DE0" w:rsidRPr="00FB7DE0">
        <w:rPr>
          <w:rFonts w:ascii="仿宋_GB2312" w:eastAsia="仿宋_GB2312" w:hAnsi="黑体" w:hint="eastAsia"/>
          <w:sz w:val="30"/>
          <w:szCs w:val="30"/>
        </w:rPr>
        <w:t>第六十</w:t>
      </w:r>
      <w:r w:rsidR="00280346">
        <w:rPr>
          <w:rFonts w:ascii="仿宋_GB2312" w:eastAsia="仿宋_GB2312" w:hAnsi="黑体" w:hint="eastAsia"/>
          <w:sz w:val="30"/>
          <w:szCs w:val="30"/>
        </w:rPr>
        <w:t>三</w:t>
      </w:r>
      <w:r w:rsidR="00FB7DE0" w:rsidRPr="00FB7DE0">
        <w:rPr>
          <w:rFonts w:ascii="仿宋_GB2312" w:eastAsia="仿宋_GB2312" w:hAnsi="黑体" w:hint="eastAsia"/>
          <w:sz w:val="30"/>
          <w:szCs w:val="30"/>
        </w:rPr>
        <w:t>条。</w:t>
      </w:r>
    </w:p>
    <w:p w:rsidR="00A33780" w:rsidRPr="009E2036" w:rsidRDefault="00F0187D" w:rsidP="000C5C10">
      <w:pPr>
        <w:ind w:firstLineChars="200" w:firstLine="602"/>
        <w:rPr>
          <w:rFonts w:ascii="仿宋_GB2312" w:eastAsia="仿宋_GB2312" w:hAnsi="黑体"/>
          <w:sz w:val="30"/>
          <w:szCs w:val="30"/>
        </w:rPr>
      </w:pPr>
      <w:r>
        <w:rPr>
          <w:rFonts w:ascii="仿宋_GB2312" w:eastAsia="仿宋_GB2312" w:hint="eastAsia"/>
          <w:b/>
          <w:sz w:val="30"/>
          <w:szCs w:val="30"/>
        </w:rPr>
        <w:t>三是</w:t>
      </w:r>
      <w:r w:rsidRPr="00B15F43">
        <w:rPr>
          <w:rFonts w:ascii="仿宋_GB2312" w:eastAsia="仿宋_GB2312" w:hint="eastAsia"/>
          <w:b/>
          <w:sz w:val="30"/>
          <w:szCs w:val="30"/>
        </w:rPr>
        <w:t>明确存托凭证适用</w:t>
      </w:r>
      <w:r w:rsidR="00FB7DE0" w:rsidRPr="00FB7DE0">
        <w:rPr>
          <w:rFonts w:ascii="仿宋_GB2312" w:eastAsia="仿宋_GB2312" w:hint="eastAsia"/>
          <w:b/>
          <w:sz w:val="30"/>
          <w:szCs w:val="30"/>
        </w:rPr>
        <w:t>融资融券细则</w:t>
      </w:r>
      <w:r>
        <w:rPr>
          <w:rFonts w:ascii="仿宋_GB2312" w:eastAsia="仿宋_GB2312" w:hint="eastAsia"/>
          <w:b/>
          <w:sz w:val="30"/>
          <w:szCs w:val="30"/>
        </w:rPr>
        <w:t>。</w:t>
      </w:r>
      <w:r w:rsidR="00FB7DE0" w:rsidRPr="00FB7DE0">
        <w:rPr>
          <w:rFonts w:ascii="仿宋_GB2312" w:eastAsia="仿宋_GB2312" w:hAnsi="黑体" w:hint="eastAsia"/>
          <w:sz w:val="30"/>
          <w:szCs w:val="30"/>
        </w:rPr>
        <w:t>目前本所</w:t>
      </w:r>
      <w:r w:rsidR="0090600C">
        <w:rPr>
          <w:rFonts w:ascii="仿宋_GB2312" w:eastAsia="仿宋_GB2312" w:hAnsi="黑体" w:hint="eastAsia"/>
          <w:sz w:val="30"/>
          <w:szCs w:val="30"/>
        </w:rPr>
        <w:t>《融资融券细则》</w:t>
      </w:r>
      <w:r w:rsidR="00FB7DE0" w:rsidRPr="00FB7DE0">
        <w:rPr>
          <w:rFonts w:ascii="仿宋_GB2312" w:eastAsia="仿宋_GB2312" w:hAnsi="黑体" w:hint="eastAsia"/>
          <w:sz w:val="30"/>
          <w:szCs w:val="30"/>
        </w:rPr>
        <w:t>没有关于存托凭证的相关规定，考虑到科创板上市公司已经</w:t>
      </w:r>
      <w:r w:rsidR="007727DB">
        <w:rPr>
          <w:rFonts w:ascii="仿宋_GB2312" w:eastAsia="仿宋_GB2312" w:hAnsi="黑体" w:hint="eastAsia"/>
          <w:sz w:val="30"/>
          <w:szCs w:val="30"/>
        </w:rPr>
        <w:t>发行</w:t>
      </w:r>
      <w:r w:rsidR="00FB7DE0" w:rsidRPr="00FB7DE0">
        <w:rPr>
          <w:rFonts w:ascii="仿宋_GB2312" w:eastAsia="仿宋_GB2312" w:hAnsi="黑体" w:hint="eastAsia"/>
          <w:sz w:val="30"/>
          <w:szCs w:val="30"/>
        </w:rPr>
        <w:t>存托凭证并且已经纳入两融标的证券，主板也将有上市公司发行存托凭证，因此在</w:t>
      </w:r>
      <w:r w:rsidR="0090600C">
        <w:rPr>
          <w:rFonts w:ascii="仿宋_GB2312" w:eastAsia="仿宋_GB2312" w:hAnsi="黑体" w:hint="eastAsia"/>
          <w:sz w:val="30"/>
          <w:szCs w:val="30"/>
        </w:rPr>
        <w:t>《融资融券细则》</w:t>
      </w:r>
      <w:r w:rsidR="00FB7DE0" w:rsidRPr="00FB7DE0">
        <w:rPr>
          <w:rFonts w:ascii="仿宋_GB2312" w:eastAsia="仿宋_GB2312" w:hAnsi="黑体" w:hint="eastAsia"/>
          <w:sz w:val="30"/>
          <w:szCs w:val="30"/>
        </w:rPr>
        <w:t>中对存托凭证纳入标的事宜予以明确。本次修订吸收了《上海证券交易所关于科创板股票及存托凭证交易相关事项的通知》（上证发〔2019〕71号）中关于“科创板存托凭证开展融资融券业务的相关安排参照科创板股票有关规定执行”相关内容，将上述事项纳入</w:t>
      </w:r>
      <w:r w:rsidR="0090600C">
        <w:rPr>
          <w:rFonts w:ascii="仿宋_GB2312" w:eastAsia="仿宋_GB2312" w:hAnsi="黑体" w:hint="eastAsia"/>
          <w:sz w:val="30"/>
          <w:szCs w:val="30"/>
        </w:rPr>
        <w:t>《融资融券细则》</w:t>
      </w:r>
      <w:r w:rsidR="00FB7DE0" w:rsidRPr="00FB7DE0">
        <w:rPr>
          <w:rFonts w:ascii="仿宋_GB2312" w:eastAsia="仿宋_GB2312" w:hAnsi="黑体" w:hint="eastAsia"/>
          <w:sz w:val="30"/>
          <w:szCs w:val="30"/>
        </w:rPr>
        <w:t>第六十</w:t>
      </w:r>
      <w:r w:rsidR="00F257CC">
        <w:rPr>
          <w:rFonts w:ascii="仿宋_GB2312" w:eastAsia="仿宋_GB2312" w:hAnsi="黑体" w:hint="eastAsia"/>
          <w:sz w:val="30"/>
          <w:szCs w:val="30"/>
        </w:rPr>
        <w:t>七</w:t>
      </w:r>
      <w:r w:rsidR="00FB7DE0" w:rsidRPr="00FB7DE0">
        <w:rPr>
          <w:rFonts w:ascii="仿宋_GB2312" w:eastAsia="仿宋_GB2312" w:hAnsi="黑体" w:hint="eastAsia"/>
          <w:sz w:val="30"/>
          <w:szCs w:val="30"/>
        </w:rPr>
        <w:t>条。</w:t>
      </w:r>
    </w:p>
    <w:p w:rsidR="00566DBF" w:rsidRPr="00246A15" w:rsidRDefault="00A6728F" w:rsidP="00566DBF">
      <w:pPr>
        <w:ind w:firstLineChars="200" w:firstLine="602"/>
        <w:rPr>
          <w:rFonts w:ascii="黑体" w:eastAsia="黑体" w:hAnsi="黑体"/>
          <w:b/>
          <w:sz w:val="30"/>
          <w:szCs w:val="30"/>
        </w:rPr>
      </w:pPr>
      <w:r w:rsidRPr="00A6728F">
        <w:rPr>
          <w:rFonts w:ascii="黑体" w:eastAsia="黑体" w:hAnsi="黑体" w:hint="eastAsia"/>
          <w:b/>
          <w:sz w:val="30"/>
          <w:szCs w:val="30"/>
        </w:rPr>
        <w:t>二、优化融券卖出资金使用范围</w:t>
      </w:r>
    </w:p>
    <w:p w:rsidR="00566DBF" w:rsidRDefault="00566DBF" w:rsidP="00566DBF">
      <w:pPr>
        <w:ind w:firstLineChars="200" w:firstLine="600"/>
        <w:rPr>
          <w:rFonts w:ascii="仿宋_GB2312" w:eastAsia="仿宋_GB2312"/>
          <w:sz w:val="30"/>
          <w:szCs w:val="30"/>
        </w:rPr>
      </w:pPr>
      <w:r w:rsidRPr="00FB7DE0">
        <w:rPr>
          <w:rFonts w:ascii="仿宋_GB2312" w:eastAsia="仿宋_GB2312" w:hint="eastAsia"/>
          <w:sz w:val="30"/>
          <w:szCs w:val="30"/>
        </w:rPr>
        <w:t>目前融券卖出资金用途较窄，其投资范围仅局限于买入或申购证券公司现金管理产品、货币市场基金等高流动性证券。部分市场机构建议将</w:t>
      </w:r>
      <w:r>
        <w:rPr>
          <w:rFonts w:ascii="仿宋_GB2312" w:eastAsia="仿宋_GB2312" w:hint="eastAsia"/>
          <w:sz w:val="30"/>
          <w:szCs w:val="30"/>
        </w:rPr>
        <w:t>本所</w:t>
      </w:r>
      <w:r w:rsidRPr="00F222A7">
        <w:rPr>
          <w:rFonts w:ascii="仿宋_GB2312" w:eastAsia="仿宋_GB2312" w:hint="eastAsia"/>
          <w:sz w:val="30"/>
          <w:szCs w:val="30"/>
        </w:rPr>
        <w:t>债券ETF</w:t>
      </w:r>
      <w:r w:rsidRPr="00FB7DE0">
        <w:rPr>
          <w:rFonts w:ascii="仿宋_GB2312" w:eastAsia="仿宋_GB2312" w:hint="eastAsia"/>
          <w:sz w:val="30"/>
          <w:szCs w:val="30"/>
        </w:rPr>
        <w:t>纳入融券卖出资金使用范围。为更好地满足投资者多元化投资需求，本次修订适当放宽投资者融券卖出所得价款的投资范围，在原有可投资品种基础上增加</w:t>
      </w:r>
      <w:r w:rsidRPr="00A942FC">
        <w:rPr>
          <w:rFonts w:ascii="仿宋_GB2312" w:eastAsia="仿宋_GB2312" w:hint="eastAsia"/>
          <w:sz w:val="30"/>
          <w:szCs w:val="30"/>
        </w:rPr>
        <w:t>除</w:t>
      </w:r>
      <w:r>
        <w:rPr>
          <w:rFonts w:ascii="仿宋_GB2312" w:eastAsia="仿宋_GB2312" w:hint="eastAsia"/>
          <w:sz w:val="30"/>
          <w:szCs w:val="30"/>
        </w:rPr>
        <w:t>跟踪指数成分债券含可转换公司债券</w:t>
      </w:r>
      <w:r w:rsidRPr="00A942FC">
        <w:rPr>
          <w:rFonts w:ascii="仿宋_GB2312" w:eastAsia="仿宋_GB2312" w:hint="eastAsia"/>
          <w:sz w:val="30"/>
          <w:szCs w:val="30"/>
        </w:rPr>
        <w:t>外</w:t>
      </w:r>
      <w:r>
        <w:rPr>
          <w:rFonts w:ascii="仿宋_GB2312" w:eastAsia="仿宋_GB2312" w:hint="eastAsia"/>
          <w:sz w:val="30"/>
          <w:szCs w:val="30"/>
        </w:rPr>
        <w:t>的</w:t>
      </w:r>
      <w:r w:rsidRPr="00A942FC">
        <w:rPr>
          <w:rFonts w:ascii="仿宋_GB2312" w:eastAsia="仿宋_GB2312" w:hint="eastAsia"/>
          <w:sz w:val="30"/>
          <w:szCs w:val="30"/>
        </w:rPr>
        <w:t>债券</w:t>
      </w:r>
      <w:r>
        <w:rPr>
          <w:rFonts w:ascii="仿宋_GB2312" w:eastAsia="仿宋_GB2312" w:hint="eastAsia"/>
          <w:sz w:val="30"/>
          <w:szCs w:val="30"/>
        </w:rPr>
        <w:t>ETF</w:t>
      </w:r>
      <w:r w:rsidRPr="00FB7DE0">
        <w:rPr>
          <w:rFonts w:ascii="仿宋_GB2312" w:eastAsia="仿宋_GB2312" w:hint="eastAsia"/>
          <w:sz w:val="30"/>
          <w:szCs w:val="30"/>
        </w:rPr>
        <w:t>，</w:t>
      </w:r>
      <w:r>
        <w:rPr>
          <w:rFonts w:ascii="仿宋_GB2312" w:eastAsia="仿宋_GB2312" w:hint="eastAsia"/>
          <w:sz w:val="30"/>
          <w:szCs w:val="30"/>
        </w:rPr>
        <w:t>并由</w:t>
      </w:r>
      <w:r w:rsidRPr="00A942FC">
        <w:rPr>
          <w:rFonts w:ascii="仿宋_GB2312" w:eastAsia="仿宋_GB2312" w:hint="eastAsia"/>
          <w:sz w:val="30"/>
          <w:szCs w:val="30"/>
        </w:rPr>
        <w:t>会员</w:t>
      </w:r>
      <w:r>
        <w:rPr>
          <w:rFonts w:ascii="仿宋_GB2312" w:eastAsia="仿宋_GB2312" w:hint="eastAsia"/>
          <w:sz w:val="30"/>
          <w:szCs w:val="30"/>
        </w:rPr>
        <w:t>进行相关风险控制。</w:t>
      </w:r>
      <w:r w:rsidR="00FE6355">
        <w:rPr>
          <w:rFonts w:ascii="仿宋_GB2312" w:eastAsia="仿宋_GB2312" w:hint="eastAsia"/>
          <w:sz w:val="30"/>
          <w:szCs w:val="30"/>
        </w:rPr>
        <w:t>在</w:t>
      </w:r>
      <w:r>
        <w:rPr>
          <w:rFonts w:ascii="仿宋_GB2312" w:eastAsia="仿宋_GB2312" w:hint="eastAsia"/>
          <w:sz w:val="30"/>
          <w:szCs w:val="30"/>
        </w:rPr>
        <w:t>《融资融券细则》</w:t>
      </w:r>
      <w:r w:rsidRPr="00FB7DE0">
        <w:rPr>
          <w:rFonts w:ascii="仿宋_GB2312" w:eastAsia="仿宋_GB2312" w:hint="eastAsia"/>
          <w:sz w:val="30"/>
          <w:szCs w:val="30"/>
        </w:rPr>
        <w:t>第十七条关于融券卖出所得价款用途的第三</w:t>
      </w:r>
      <w:r w:rsidR="00FE6355">
        <w:rPr>
          <w:rFonts w:ascii="仿宋_GB2312" w:eastAsia="仿宋_GB2312" w:hint="eastAsia"/>
          <w:sz w:val="30"/>
          <w:szCs w:val="30"/>
        </w:rPr>
        <w:t>项中</w:t>
      </w:r>
      <w:r w:rsidRPr="00FB7DE0">
        <w:rPr>
          <w:rFonts w:ascii="仿宋_GB2312" w:eastAsia="仿宋_GB2312" w:hint="eastAsia"/>
          <w:sz w:val="30"/>
          <w:szCs w:val="30"/>
        </w:rPr>
        <w:t>新增“</w:t>
      </w:r>
      <w:r w:rsidR="00583AAC">
        <w:rPr>
          <w:rFonts w:ascii="仿宋_GB2312" w:eastAsia="仿宋_GB2312" w:hint="eastAsia"/>
          <w:sz w:val="30"/>
          <w:szCs w:val="30"/>
        </w:rPr>
        <w:t>买入</w:t>
      </w:r>
      <w:r w:rsidRPr="00A942FC">
        <w:rPr>
          <w:rFonts w:ascii="仿宋_GB2312" w:eastAsia="仿宋_GB2312" w:hint="eastAsia"/>
          <w:sz w:val="30"/>
          <w:szCs w:val="30"/>
        </w:rPr>
        <w:t>在本所上市的债券交易型开放式指数基金（</w:t>
      </w:r>
      <w:r>
        <w:rPr>
          <w:rFonts w:ascii="仿宋_GB2312" w:eastAsia="仿宋_GB2312" w:hint="eastAsia"/>
          <w:sz w:val="30"/>
          <w:szCs w:val="30"/>
        </w:rPr>
        <w:t>跟踪</w:t>
      </w:r>
      <w:r w:rsidRPr="00A942FC">
        <w:rPr>
          <w:rFonts w:ascii="仿宋_GB2312" w:eastAsia="仿宋_GB2312" w:hint="eastAsia"/>
          <w:sz w:val="30"/>
          <w:szCs w:val="30"/>
        </w:rPr>
        <w:t>指数成分债券含可转换</w:t>
      </w:r>
      <w:r>
        <w:rPr>
          <w:rFonts w:ascii="仿宋_GB2312" w:eastAsia="仿宋_GB2312" w:hint="eastAsia"/>
          <w:sz w:val="30"/>
          <w:szCs w:val="30"/>
        </w:rPr>
        <w:t>公司</w:t>
      </w:r>
      <w:r w:rsidRPr="00A942FC">
        <w:rPr>
          <w:rFonts w:ascii="仿宋_GB2312" w:eastAsia="仿宋_GB2312" w:hint="eastAsia"/>
          <w:sz w:val="30"/>
          <w:szCs w:val="30"/>
        </w:rPr>
        <w:t>债券的除外）</w:t>
      </w:r>
      <w:r w:rsidRPr="00FB7DE0">
        <w:rPr>
          <w:rFonts w:ascii="仿宋_GB2312" w:eastAsia="仿宋_GB2312" w:hint="eastAsia"/>
          <w:sz w:val="30"/>
          <w:szCs w:val="30"/>
        </w:rPr>
        <w:t>”</w:t>
      </w:r>
      <w:r>
        <w:rPr>
          <w:rFonts w:ascii="仿宋_GB2312" w:eastAsia="仿宋_GB2312" w:hint="eastAsia"/>
          <w:sz w:val="30"/>
          <w:szCs w:val="30"/>
        </w:rPr>
        <w:t>及“</w:t>
      </w:r>
      <w:r w:rsidRPr="005D1FDC">
        <w:rPr>
          <w:rFonts w:ascii="Times New Roman" w:eastAsia="仿宋_GB2312" w:hAnsi="Times New Roman" w:cs="Times New Roman" w:hint="eastAsia"/>
          <w:sz w:val="30"/>
          <w:szCs w:val="30"/>
        </w:rPr>
        <w:t>会</w:t>
      </w:r>
      <w:r w:rsidRPr="005D1FDC">
        <w:rPr>
          <w:rFonts w:ascii="Times New Roman" w:eastAsia="仿宋_GB2312" w:hAnsi="Times New Roman" w:cs="Times New Roman" w:hint="eastAsia"/>
          <w:sz w:val="30"/>
          <w:szCs w:val="30"/>
        </w:rPr>
        <w:lastRenderedPageBreak/>
        <w:t>员可以根据市场情况调整投资者可买入或申购前述资产的名单</w:t>
      </w:r>
      <w:r>
        <w:rPr>
          <w:rFonts w:ascii="仿宋_GB2312" w:eastAsia="仿宋_GB2312" w:hint="eastAsia"/>
          <w:sz w:val="30"/>
          <w:szCs w:val="30"/>
        </w:rPr>
        <w:t>”</w:t>
      </w:r>
      <w:r w:rsidRPr="00FB7DE0">
        <w:rPr>
          <w:rFonts w:ascii="仿宋_GB2312" w:eastAsia="仿宋_GB2312" w:hint="eastAsia"/>
          <w:sz w:val="30"/>
          <w:szCs w:val="30"/>
        </w:rPr>
        <w:t>相关表述。</w:t>
      </w:r>
    </w:p>
    <w:p w:rsidR="00CC2D78" w:rsidRPr="00246A15" w:rsidRDefault="00A6728F" w:rsidP="00566DBF">
      <w:pPr>
        <w:ind w:firstLineChars="200" w:firstLine="602"/>
        <w:rPr>
          <w:rFonts w:ascii="黑体" w:eastAsia="黑体" w:hAnsi="黑体"/>
          <w:b/>
          <w:sz w:val="30"/>
          <w:szCs w:val="30"/>
        </w:rPr>
      </w:pPr>
      <w:r w:rsidRPr="00A6728F">
        <w:rPr>
          <w:rFonts w:ascii="黑体" w:eastAsia="黑体" w:hAnsi="黑体" w:hint="eastAsia"/>
          <w:b/>
          <w:sz w:val="30"/>
          <w:szCs w:val="30"/>
        </w:rPr>
        <w:t>三、适应性调整部分条款</w:t>
      </w:r>
    </w:p>
    <w:p w:rsidR="00F0187D" w:rsidRDefault="006703D9" w:rsidP="006703D9">
      <w:pPr>
        <w:ind w:firstLineChars="200" w:firstLine="602"/>
        <w:rPr>
          <w:rFonts w:ascii="仿宋_GB2312" w:eastAsia="仿宋_GB2312" w:hAnsi="黑体"/>
          <w:sz w:val="30"/>
          <w:szCs w:val="30"/>
        </w:rPr>
      </w:pPr>
      <w:r w:rsidRPr="006703D9">
        <w:rPr>
          <w:rFonts w:ascii="仿宋_GB2312" w:eastAsia="仿宋_GB2312" w:hAnsi="黑体" w:hint="eastAsia"/>
          <w:b/>
          <w:sz w:val="30"/>
          <w:szCs w:val="30"/>
        </w:rPr>
        <w:t>一是</w:t>
      </w:r>
      <w:r w:rsidR="00FC3516" w:rsidRPr="006703D9">
        <w:rPr>
          <w:rFonts w:ascii="仿宋_GB2312" w:eastAsia="仿宋_GB2312" w:hAnsi="黑体" w:hint="eastAsia"/>
          <w:b/>
          <w:sz w:val="30"/>
          <w:szCs w:val="30"/>
        </w:rPr>
        <w:t>关于融资买入和融券卖出申报数量相关规定进行适应性调整。</w:t>
      </w:r>
      <w:r w:rsidR="00902193">
        <w:rPr>
          <w:rFonts w:ascii="仿宋_GB2312" w:eastAsia="仿宋_GB2312" w:hAnsi="黑体" w:hint="eastAsia"/>
          <w:sz w:val="30"/>
          <w:szCs w:val="30"/>
        </w:rPr>
        <w:t>最新发布</w:t>
      </w:r>
      <w:r w:rsidR="00CD60F4">
        <w:rPr>
          <w:rFonts w:ascii="仿宋_GB2312" w:eastAsia="仿宋_GB2312" w:hAnsi="黑体" w:hint="eastAsia"/>
          <w:sz w:val="30"/>
          <w:szCs w:val="30"/>
        </w:rPr>
        <w:t>的</w:t>
      </w:r>
      <w:r w:rsidR="00CD60F4" w:rsidRPr="00CD60F4">
        <w:rPr>
          <w:rFonts w:ascii="仿宋_GB2312" w:eastAsia="仿宋_GB2312" w:hAnsi="黑体" w:hint="eastAsia"/>
          <w:sz w:val="30"/>
          <w:szCs w:val="30"/>
        </w:rPr>
        <w:t>《上海证券交易所债券交易规则》</w:t>
      </w:r>
      <w:r w:rsidR="00F222A7">
        <w:rPr>
          <w:rFonts w:ascii="仿宋_GB2312" w:eastAsia="仿宋_GB2312" w:hAnsi="黑体" w:hint="eastAsia"/>
          <w:sz w:val="30"/>
          <w:szCs w:val="30"/>
        </w:rPr>
        <w:t>中</w:t>
      </w:r>
      <w:r w:rsidR="00307029">
        <w:rPr>
          <w:rFonts w:ascii="仿宋_GB2312" w:eastAsia="仿宋_GB2312" w:hAnsi="黑体" w:hint="eastAsia"/>
          <w:sz w:val="30"/>
          <w:szCs w:val="30"/>
        </w:rPr>
        <w:t>，</w:t>
      </w:r>
      <w:r w:rsidR="00CD60F4">
        <w:rPr>
          <w:rFonts w:ascii="仿宋_GB2312" w:eastAsia="仿宋_GB2312" w:hAnsi="黑体" w:hint="eastAsia"/>
          <w:sz w:val="30"/>
          <w:szCs w:val="30"/>
        </w:rPr>
        <w:t>关于债券申报数量相关内容</w:t>
      </w:r>
      <w:r w:rsidR="00F222A7">
        <w:rPr>
          <w:rFonts w:ascii="仿宋_GB2312" w:eastAsia="仿宋_GB2312" w:hAnsi="黑体" w:hint="eastAsia"/>
          <w:sz w:val="30"/>
          <w:szCs w:val="30"/>
        </w:rPr>
        <w:t>已</w:t>
      </w:r>
      <w:r w:rsidR="00902193" w:rsidRPr="00902193">
        <w:rPr>
          <w:rFonts w:ascii="仿宋_GB2312" w:eastAsia="仿宋_GB2312" w:hAnsi="黑体" w:hint="eastAsia"/>
          <w:sz w:val="30"/>
          <w:szCs w:val="30"/>
        </w:rPr>
        <w:t>不</w:t>
      </w:r>
      <w:r w:rsidR="00F222A7">
        <w:rPr>
          <w:rFonts w:ascii="仿宋_GB2312" w:eastAsia="仿宋_GB2312" w:hAnsi="黑体" w:hint="eastAsia"/>
          <w:sz w:val="30"/>
          <w:szCs w:val="30"/>
        </w:rPr>
        <w:t>再</w:t>
      </w:r>
      <w:r w:rsidR="00902193" w:rsidRPr="00902193">
        <w:rPr>
          <w:rFonts w:ascii="仿宋_GB2312" w:eastAsia="仿宋_GB2312" w:hAnsi="黑体" w:hint="eastAsia"/>
          <w:sz w:val="30"/>
          <w:szCs w:val="30"/>
        </w:rPr>
        <w:t>使用“手”的概念</w:t>
      </w:r>
      <w:r w:rsidR="00F222A7">
        <w:rPr>
          <w:rFonts w:ascii="仿宋_GB2312" w:eastAsia="仿宋_GB2312" w:hAnsi="黑体" w:hint="eastAsia"/>
          <w:sz w:val="30"/>
          <w:szCs w:val="30"/>
        </w:rPr>
        <w:t>；同时</w:t>
      </w:r>
      <w:r w:rsidR="00FC3516" w:rsidRPr="00FC3516">
        <w:rPr>
          <w:rFonts w:ascii="仿宋_GB2312" w:eastAsia="仿宋_GB2312" w:hAnsi="黑体" w:hint="eastAsia"/>
          <w:sz w:val="30"/>
          <w:szCs w:val="30"/>
        </w:rPr>
        <w:t>科创板股票</w:t>
      </w:r>
      <w:r w:rsidR="00FC3516">
        <w:rPr>
          <w:rFonts w:ascii="仿宋_GB2312" w:eastAsia="仿宋_GB2312" w:hAnsi="黑体" w:hint="eastAsia"/>
          <w:sz w:val="30"/>
          <w:szCs w:val="30"/>
        </w:rPr>
        <w:t>申报数量</w:t>
      </w:r>
      <w:r w:rsidR="00F222A7">
        <w:rPr>
          <w:rFonts w:ascii="仿宋_GB2312" w:eastAsia="仿宋_GB2312" w:hAnsi="黑体" w:hint="eastAsia"/>
          <w:sz w:val="30"/>
          <w:szCs w:val="30"/>
        </w:rPr>
        <w:t>相关</w:t>
      </w:r>
      <w:r w:rsidR="00FC3516">
        <w:rPr>
          <w:rFonts w:ascii="仿宋_GB2312" w:eastAsia="仿宋_GB2312" w:hAnsi="黑体" w:hint="eastAsia"/>
          <w:sz w:val="30"/>
          <w:szCs w:val="30"/>
        </w:rPr>
        <w:t>规定与主板不同</w:t>
      </w:r>
      <w:r w:rsidR="00A801C4">
        <w:rPr>
          <w:rFonts w:ascii="仿宋_GB2312" w:eastAsia="仿宋_GB2312" w:hAnsi="黑体" w:hint="eastAsia"/>
          <w:sz w:val="30"/>
          <w:szCs w:val="30"/>
        </w:rPr>
        <w:t>。</w:t>
      </w:r>
      <w:r w:rsidR="0090600C">
        <w:rPr>
          <w:rFonts w:ascii="仿宋_GB2312" w:eastAsia="仿宋_GB2312" w:hAnsi="黑体" w:hint="eastAsia"/>
          <w:sz w:val="30"/>
          <w:szCs w:val="30"/>
        </w:rPr>
        <w:t>《融资融券细则》</w:t>
      </w:r>
      <w:r w:rsidR="00F222A7" w:rsidRPr="00FC3516">
        <w:rPr>
          <w:rFonts w:ascii="仿宋_GB2312" w:eastAsia="仿宋_GB2312" w:hAnsi="黑体" w:hint="eastAsia"/>
          <w:sz w:val="30"/>
          <w:szCs w:val="30"/>
        </w:rPr>
        <w:t>第十一条</w:t>
      </w:r>
      <w:r w:rsidR="00A801C4">
        <w:rPr>
          <w:rFonts w:ascii="仿宋_GB2312" w:eastAsia="仿宋_GB2312" w:hAnsi="黑体" w:hint="eastAsia"/>
          <w:sz w:val="30"/>
          <w:szCs w:val="30"/>
        </w:rPr>
        <w:t>中明确了债券和科创板股票的申报数量按照各自规则执行，</w:t>
      </w:r>
      <w:r w:rsidR="00FC3516">
        <w:rPr>
          <w:rFonts w:ascii="仿宋_GB2312" w:eastAsia="仿宋_GB2312" w:hAnsi="黑体" w:hint="eastAsia"/>
          <w:sz w:val="30"/>
          <w:szCs w:val="30"/>
        </w:rPr>
        <w:t>新增“</w:t>
      </w:r>
      <w:r w:rsidR="00C87880" w:rsidRPr="00C87880">
        <w:rPr>
          <w:rFonts w:ascii="仿宋_GB2312" w:eastAsia="仿宋_GB2312" w:hAnsi="黑体" w:hint="eastAsia"/>
          <w:sz w:val="30"/>
          <w:szCs w:val="30"/>
        </w:rPr>
        <w:t>融资买入、融券卖出科创板股票、债券的，申报数量按照《上海</w:t>
      </w:r>
      <w:r w:rsidR="00C87880">
        <w:rPr>
          <w:rFonts w:ascii="仿宋_GB2312" w:eastAsia="仿宋_GB2312" w:hAnsi="黑体" w:hint="eastAsia"/>
          <w:sz w:val="30"/>
          <w:szCs w:val="30"/>
        </w:rPr>
        <w:t>证券交易所交易规则》《上海证券交易所债券交易规则》相关规定执行</w:t>
      </w:r>
      <w:r w:rsidR="00FC3516">
        <w:rPr>
          <w:rFonts w:ascii="仿宋_GB2312" w:eastAsia="仿宋_GB2312" w:hAnsi="黑体" w:hint="eastAsia"/>
          <w:sz w:val="30"/>
          <w:szCs w:val="30"/>
        </w:rPr>
        <w:t>”</w:t>
      </w:r>
      <w:r w:rsidR="00FC3516" w:rsidRPr="00FC3516">
        <w:rPr>
          <w:rFonts w:ascii="仿宋_GB2312" w:eastAsia="仿宋_GB2312" w:hAnsi="黑体" w:hint="eastAsia"/>
          <w:sz w:val="30"/>
          <w:szCs w:val="30"/>
        </w:rPr>
        <w:t>。</w:t>
      </w:r>
    </w:p>
    <w:p w:rsidR="006703D9" w:rsidRDefault="006703D9" w:rsidP="006703D9">
      <w:pPr>
        <w:ind w:firstLineChars="200" w:firstLine="602"/>
        <w:rPr>
          <w:rFonts w:ascii="仿宋_GB2312" w:eastAsia="仿宋_GB2312" w:hAnsi="黑体"/>
          <w:sz w:val="30"/>
          <w:szCs w:val="30"/>
        </w:rPr>
      </w:pPr>
      <w:r>
        <w:rPr>
          <w:rFonts w:ascii="仿宋_GB2312" w:eastAsia="仿宋_GB2312" w:hint="eastAsia"/>
          <w:b/>
          <w:sz w:val="30"/>
          <w:szCs w:val="30"/>
        </w:rPr>
        <w:t>二是</w:t>
      </w:r>
      <w:r>
        <w:rPr>
          <w:rFonts w:ascii="仿宋_GB2312" w:eastAsia="仿宋_GB2312" w:hAnsi="黑体" w:hint="eastAsia"/>
          <w:b/>
          <w:sz w:val="30"/>
          <w:szCs w:val="30"/>
        </w:rPr>
        <w:t>对风险警示股票调出标的证券范围后的</w:t>
      </w:r>
      <w:r w:rsidRPr="000D437A">
        <w:rPr>
          <w:rFonts w:ascii="仿宋_GB2312" w:eastAsia="仿宋_GB2312" w:hAnsi="黑体" w:hint="eastAsia"/>
          <w:b/>
          <w:sz w:val="30"/>
          <w:szCs w:val="30"/>
        </w:rPr>
        <w:t>恢复事宜</w:t>
      </w:r>
      <w:r>
        <w:rPr>
          <w:rFonts w:ascii="仿宋_GB2312" w:eastAsia="仿宋_GB2312" w:hAnsi="黑体" w:hint="eastAsia"/>
          <w:b/>
          <w:sz w:val="30"/>
          <w:szCs w:val="30"/>
        </w:rPr>
        <w:t>进行适应性调整。</w:t>
      </w:r>
      <w:r w:rsidRPr="000D437A">
        <w:rPr>
          <w:rFonts w:ascii="仿宋_GB2312" w:eastAsia="仿宋_GB2312" w:hAnsi="黑体" w:hint="eastAsia"/>
          <w:sz w:val="30"/>
          <w:szCs w:val="30"/>
        </w:rPr>
        <w:t>标的证券交易被实施风险警示的，</w:t>
      </w:r>
      <w:r>
        <w:rPr>
          <w:rFonts w:ascii="仿宋_GB2312" w:eastAsia="仿宋_GB2312" w:hAnsi="黑体" w:hint="eastAsia"/>
          <w:sz w:val="30"/>
          <w:szCs w:val="30"/>
        </w:rPr>
        <w:t>将被</w:t>
      </w:r>
      <w:r w:rsidRPr="000D437A">
        <w:rPr>
          <w:rFonts w:ascii="仿宋_GB2312" w:eastAsia="仿宋_GB2312" w:hAnsi="黑体" w:hint="eastAsia"/>
          <w:sz w:val="30"/>
          <w:szCs w:val="30"/>
        </w:rPr>
        <w:t>调整出标的证券范围。</w:t>
      </w:r>
      <w:r w:rsidR="00B146E9">
        <w:rPr>
          <w:rFonts w:ascii="仿宋_GB2312" w:eastAsia="仿宋_GB2312" w:hAnsi="黑体" w:hint="eastAsia"/>
          <w:sz w:val="30"/>
          <w:szCs w:val="30"/>
        </w:rPr>
        <w:t>本次修订的第三</w:t>
      </w:r>
      <w:r>
        <w:rPr>
          <w:rFonts w:ascii="仿宋_GB2312" w:eastAsia="仿宋_GB2312" w:hAnsi="黑体" w:hint="eastAsia"/>
          <w:sz w:val="30"/>
          <w:szCs w:val="30"/>
        </w:rPr>
        <w:t>十</w:t>
      </w:r>
      <w:r w:rsidR="00B146E9">
        <w:rPr>
          <w:rFonts w:ascii="仿宋_GB2312" w:eastAsia="仿宋_GB2312" w:hAnsi="黑体" w:hint="eastAsia"/>
          <w:sz w:val="30"/>
          <w:szCs w:val="30"/>
        </w:rPr>
        <w:t>二</w:t>
      </w:r>
      <w:r>
        <w:rPr>
          <w:rFonts w:ascii="仿宋_GB2312" w:eastAsia="仿宋_GB2312" w:hAnsi="黑体" w:hint="eastAsia"/>
          <w:sz w:val="30"/>
          <w:szCs w:val="30"/>
        </w:rPr>
        <w:t>条明确，</w:t>
      </w:r>
      <w:r w:rsidRPr="000D437A">
        <w:rPr>
          <w:rFonts w:ascii="仿宋_GB2312" w:eastAsia="仿宋_GB2312" w:hAnsi="黑体" w:hint="eastAsia"/>
          <w:sz w:val="30"/>
          <w:szCs w:val="30"/>
        </w:rPr>
        <w:t>注册制下首次公开发</w:t>
      </w:r>
      <w:r w:rsidR="00C87880">
        <w:rPr>
          <w:rFonts w:ascii="仿宋_GB2312" w:eastAsia="仿宋_GB2312" w:hAnsi="黑体" w:hint="eastAsia"/>
          <w:sz w:val="30"/>
          <w:szCs w:val="30"/>
        </w:rPr>
        <w:t>行</w:t>
      </w:r>
      <w:r w:rsidR="00413A84">
        <w:rPr>
          <w:rFonts w:ascii="仿宋_GB2312" w:eastAsia="仿宋_GB2312" w:hAnsi="黑体" w:hint="eastAsia"/>
          <w:sz w:val="30"/>
          <w:szCs w:val="30"/>
        </w:rPr>
        <w:t>上市</w:t>
      </w:r>
      <w:r w:rsidRPr="000D437A">
        <w:rPr>
          <w:rFonts w:ascii="仿宋_GB2312" w:eastAsia="仿宋_GB2312" w:hAnsi="黑体" w:hint="eastAsia"/>
          <w:sz w:val="30"/>
          <w:szCs w:val="30"/>
        </w:rPr>
        <w:t>的股票</w:t>
      </w:r>
      <w:r w:rsidR="004F2D21">
        <w:rPr>
          <w:rFonts w:ascii="仿宋_GB2312" w:eastAsia="仿宋_GB2312" w:hAnsi="黑体" w:hint="eastAsia"/>
          <w:sz w:val="30"/>
          <w:szCs w:val="30"/>
        </w:rPr>
        <w:t>被</w:t>
      </w:r>
      <w:r w:rsidRPr="000D437A">
        <w:rPr>
          <w:rFonts w:ascii="仿宋_GB2312" w:eastAsia="仿宋_GB2312" w:hAnsi="黑体" w:hint="eastAsia"/>
          <w:sz w:val="30"/>
          <w:szCs w:val="30"/>
        </w:rPr>
        <w:t>撤销风险警示</w:t>
      </w:r>
      <w:r w:rsidR="004F2D21">
        <w:rPr>
          <w:rFonts w:ascii="仿宋_GB2312" w:eastAsia="仿宋_GB2312" w:hAnsi="黑体" w:hint="eastAsia"/>
          <w:sz w:val="30"/>
          <w:szCs w:val="30"/>
        </w:rPr>
        <w:t>的</w:t>
      </w:r>
      <w:r w:rsidRPr="000D437A">
        <w:rPr>
          <w:rFonts w:ascii="仿宋_GB2312" w:eastAsia="仿宋_GB2312" w:hAnsi="黑体" w:hint="eastAsia"/>
          <w:sz w:val="30"/>
          <w:szCs w:val="30"/>
        </w:rPr>
        <w:t>，自该股票被撤销风险警示当日起将其调入标的证券范围。</w:t>
      </w:r>
    </w:p>
    <w:p w:rsidR="00000656" w:rsidRDefault="00000656" w:rsidP="006703D9">
      <w:pPr>
        <w:ind w:firstLineChars="200" w:firstLine="602"/>
        <w:rPr>
          <w:rFonts w:ascii="仿宋_GB2312" w:eastAsia="仿宋_GB2312" w:hAnsi="黑体"/>
          <w:sz w:val="30"/>
          <w:szCs w:val="30"/>
        </w:rPr>
      </w:pPr>
      <w:r>
        <w:rPr>
          <w:rFonts w:ascii="仿宋_GB2312" w:eastAsia="仿宋_GB2312" w:hint="eastAsia"/>
          <w:b/>
          <w:sz w:val="30"/>
          <w:szCs w:val="30"/>
        </w:rPr>
        <w:t>三是</w:t>
      </w:r>
      <w:r>
        <w:rPr>
          <w:rFonts w:ascii="仿宋_GB2312" w:eastAsia="仿宋_GB2312" w:hAnsi="黑体" w:hint="eastAsia"/>
          <w:b/>
          <w:sz w:val="30"/>
          <w:szCs w:val="30"/>
        </w:rPr>
        <w:t>对</w:t>
      </w:r>
      <w:r w:rsidRPr="00000656">
        <w:rPr>
          <w:rFonts w:ascii="仿宋_GB2312" w:eastAsia="仿宋_GB2312" w:hAnsi="黑体" w:hint="eastAsia"/>
          <w:b/>
          <w:sz w:val="30"/>
          <w:szCs w:val="30"/>
        </w:rPr>
        <w:t>证券投资基金上市可流通市值</w:t>
      </w:r>
      <w:r>
        <w:rPr>
          <w:rFonts w:ascii="仿宋_GB2312" w:eastAsia="仿宋_GB2312" w:hAnsi="黑体" w:hint="eastAsia"/>
          <w:b/>
          <w:sz w:val="30"/>
          <w:szCs w:val="30"/>
        </w:rPr>
        <w:t>计算进行适应性调整。</w:t>
      </w:r>
      <w:r>
        <w:rPr>
          <w:rFonts w:ascii="仿宋_GB2312" w:eastAsia="仿宋_GB2312" w:hAnsi="黑体" w:hint="eastAsia"/>
          <w:sz w:val="30"/>
          <w:szCs w:val="30"/>
        </w:rPr>
        <w:t>本次修订</w:t>
      </w:r>
      <w:r w:rsidR="00A801C4" w:rsidRPr="00A801C4">
        <w:rPr>
          <w:rFonts w:ascii="仿宋_GB2312" w:eastAsia="仿宋_GB2312" w:hAnsi="黑体" w:hint="eastAsia"/>
          <w:sz w:val="30"/>
          <w:szCs w:val="30"/>
        </w:rPr>
        <w:t>明确基金发生权益分派、份额拆分合并等时，上市可流通市值的计算方式</w:t>
      </w:r>
      <w:r w:rsidRPr="00000656">
        <w:rPr>
          <w:rFonts w:ascii="仿宋_GB2312" w:eastAsia="仿宋_GB2312" w:hAnsi="黑体" w:hint="eastAsia"/>
          <w:sz w:val="30"/>
          <w:szCs w:val="30"/>
        </w:rPr>
        <w:t>。</w:t>
      </w:r>
      <w:r w:rsidRPr="00FC3516">
        <w:rPr>
          <w:rFonts w:ascii="仿宋_GB2312" w:eastAsia="仿宋_GB2312" w:hAnsi="黑体" w:hint="eastAsia"/>
          <w:sz w:val="30"/>
          <w:szCs w:val="30"/>
        </w:rPr>
        <w:t>对</w:t>
      </w:r>
      <w:r>
        <w:rPr>
          <w:rFonts w:ascii="仿宋_GB2312" w:eastAsia="仿宋_GB2312" w:hAnsi="黑体" w:hint="eastAsia"/>
          <w:sz w:val="30"/>
          <w:szCs w:val="30"/>
        </w:rPr>
        <w:t>《融资融券细则》</w:t>
      </w:r>
      <w:r w:rsidRPr="00FC3516">
        <w:rPr>
          <w:rFonts w:ascii="仿宋_GB2312" w:eastAsia="仿宋_GB2312" w:hAnsi="黑体" w:hint="eastAsia"/>
          <w:sz w:val="30"/>
          <w:szCs w:val="30"/>
        </w:rPr>
        <w:t>第</w:t>
      </w:r>
      <w:r>
        <w:rPr>
          <w:rFonts w:ascii="仿宋_GB2312" w:eastAsia="仿宋_GB2312" w:hAnsi="黑体" w:hint="eastAsia"/>
          <w:sz w:val="30"/>
          <w:szCs w:val="30"/>
        </w:rPr>
        <w:t>六十</w:t>
      </w:r>
      <w:r w:rsidR="00C91A47">
        <w:rPr>
          <w:rFonts w:ascii="仿宋_GB2312" w:eastAsia="仿宋_GB2312" w:hAnsi="黑体" w:hint="eastAsia"/>
          <w:sz w:val="30"/>
          <w:szCs w:val="30"/>
        </w:rPr>
        <w:t>八</w:t>
      </w:r>
      <w:r w:rsidRPr="00FC3516">
        <w:rPr>
          <w:rFonts w:ascii="仿宋_GB2312" w:eastAsia="仿宋_GB2312" w:hAnsi="黑体" w:hint="eastAsia"/>
          <w:sz w:val="30"/>
          <w:szCs w:val="30"/>
        </w:rPr>
        <w:t>条</w:t>
      </w:r>
      <w:r>
        <w:rPr>
          <w:rFonts w:ascii="仿宋_GB2312" w:eastAsia="仿宋_GB2312" w:hAnsi="黑体" w:hint="eastAsia"/>
          <w:sz w:val="30"/>
          <w:szCs w:val="30"/>
        </w:rPr>
        <w:t>新增“</w:t>
      </w:r>
      <w:r w:rsidRPr="00000656">
        <w:rPr>
          <w:rFonts w:ascii="仿宋_GB2312" w:eastAsia="仿宋_GB2312" w:hAnsi="黑体" w:hint="eastAsia"/>
          <w:sz w:val="30"/>
          <w:szCs w:val="30"/>
        </w:rPr>
        <w:t>基金发生权益分派、份额拆分合并等情况的，其上市可流通市值为其除权（息）参考价与当日清算后的份额的乘积。</w:t>
      </w:r>
      <w:r>
        <w:rPr>
          <w:rFonts w:ascii="仿宋_GB2312" w:eastAsia="仿宋_GB2312" w:hAnsi="黑体" w:hint="eastAsia"/>
          <w:sz w:val="30"/>
          <w:szCs w:val="30"/>
        </w:rPr>
        <w:t>”</w:t>
      </w:r>
    </w:p>
    <w:p w:rsidR="00765527" w:rsidRPr="00765527" w:rsidRDefault="00B146E9" w:rsidP="0026067E">
      <w:pPr>
        <w:ind w:firstLineChars="200" w:firstLine="602"/>
        <w:rPr>
          <w:rFonts w:ascii="黑体" w:eastAsia="黑体" w:hAnsi="黑体"/>
          <w:b/>
          <w:sz w:val="30"/>
          <w:szCs w:val="30"/>
        </w:rPr>
      </w:pPr>
      <w:r>
        <w:rPr>
          <w:rFonts w:ascii="仿宋_GB2312" w:eastAsia="仿宋_GB2312" w:hAnsi="黑体" w:hint="eastAsia"/>
          <w:b/>
          <w:sz w:val="30"/>
          <w:szCs w:val="30"/>
        </w:rPr>
        <w:t>四是</w:t>
      </w:r>
      <w:r w:rsidR="00566DBF" w:rsidRPr="00566DBF">
        <w:rPr>
          <w:rFonts w:ascii="仿宋_GB2312" w:eastAsia="仿宋_GB2312" w:hAnsi="黑体" w:hint="eastAsia"/>
          <w:b/>
          <w:sz w:val="30"/>
          <w:szCs w:val="30"/>
        </w:rPr>
        <w:t>进一步明确标的证券选取和标的证券范围调整相关事</w:t>
      </w:r>
      <w:r w:rsidR="00566DBF" w:rsidRPr="00566DBF">
        <w:rPr>
          <w:rFonts w:ascii="仿宋_GB2312" w:eastAsia="仿宋_GB2312" w:hAnsi="黑体" w:hint="eastAsia"/>
          <w:b/>
          <w:sz w:val="30"/>
          <w:szCs w:val="30"/>
        </w:rPr>
        <w:lastRenderedPageBreak/>
        <w:t>项</w:t>
      </w:r>
      <w:r>
        <w:rPr>
          <w:rFonts w:ascii="仿宋_GB2312" w:eastAsia="仿宋_GB2312" w:hAnsi="黑体" w:hint="eastAsia"/>
          <w:b/>
          <w:sz w:val="30"/>
          <w:szCs w:val="30"/>
        </w:rPr>
        <w:t>。</w:t>
      </w:r>
      <w:r>
        <w:rPr>
          <w:rFonts w:ascii="仿宋_GB2312" w:eastAsia="仿宋_GB2312" w:hAnsi="黑体" w:hint="eastAsia"/>
          <w:sz w:val="30"/>
          <w:szCs w:val="30"/>
        </w:rPr>
        <w:t>在《融资融券细则》</w:t>
      </w:r>
      <w:r w:rsidRPr="00FC3516">
        <w:rPr>
          <w:rFonts w:ascii="仿宋_GB2312" w:eastAsia="仿宋_GB2312" w:hAnsi="黑体" w:hint="eastAsia"/>
          <w:sz w:val="30"/>
          <w:szCs w:val="30"/>
        </w:rPr>
        <w:t>第</w:t>
      </w:r>
      <w:r>
        <w:rPr>
          <w:rFonts w:ascii="仿宋_GB2312" w:eastAsia="仿宋_GB2312" w:hAnsi="黑体" w:hint="eastAsia"/>
          <w:sz w:val="30"/>
          <w:szCs w:val="30"/>
        </w:rPr>
        <w:t>二十三</w:t>
      </w:r>
      <w:r w:rsidRPr="00FC3516">
        <w:rPr>
          <w:rFonts w:ascii="仿宋_GB2312" w:eastAsia="仿宋_GB2312" w:hAnsi="黑体" w:hint="eastAsia"/>
          <w:sz w:val="30"/>
          <w:szCs w:val="30"/>
        </w:rPr>
        <w:t>条</w:t>
      </w:r>
      <w:r>
        <w:rPr>
          <w:rFonts w:ascii="仿宋_GB2312" w:eastAsia="仿宋_GB2312" w:hAnsi="黑体" w:hint="eastAsia"/>
          <w:sz w:val="30"/>
          <w:szCs w:val="30"/>
        </w:rPr>
        <w:t>新增“</w:t>
      </w:r>
      <w:r w:rsidRPr="00B146E9">
        <w:rPr>
          <w:rFonts w:ascii="仿宋_GB2312" w:eastAsia="仿宋_GB2312" w:hAnsi="黑体" w:hint="eastAsia"/>
          <w:sz w:val="30"/>
          <w:szCs w:val="30"/>
        </w:rPr>
        <w:t>本所选取和确定标的证券，不表明本所对标的证券的投资价值或者投资者的收益</w:t>
      </w:r>
      <w:r w:rsidR="0055730F">
        <w:rPr>
          <w:rFonts w:ascii="仿宋_GB2312" w:eastAsia="仿宋_GB2312" w:hAnsi="黑体" w:hint="eastAsia"/>
          <w:sz w:val="30"/>
          <w:szCs w:val="30"/>
        </w:rPr>
        <w:t>作</w:t>
      </w:r>
      <w:r w:rsidRPr="00B146E9">
        <w:rPr>
          <w:rFonts w:ascii="仿宋_GB2312" w:eastAsia="仿宋_GB2312" w:hAnsi="黑体" w:hint="eastAsia"/>
          <w:sz w:val="30"/>
          <w:szCs w:val="30"/>
        </w:rPr>
        <w:t>出实质性判断或者保证。</w:t>
      </w:r>
      <w:r>
        <w:rPr>
          <w:rFonts w:ascii="仿宋_GB2312" w:eastAsia="仿宋_GB2312" w:hAnsi="黑体" w:hint="eastAsia"/>
          <w:sz w:val="30"/>
          <w:szCs w:val="30"/>
        </w:rPr>
        <w:t>”</w:t>
      </w:r>
      <w:r w:rsidR="00DA072C">
        <w:rPr>
          <w:rFonts w:ascii="仿宋_GB2312" w:eastAsia="仿宋_GB2312" w:hAnsi="黑体" w:hint="eastAsia"/>
          <w:sz w:val="30"/>
          <w:szCs w:val="30"/>
        </w:rPr>
        <w:t>在《融资融券细则》</w:t>
      </w:r>
      <w:r w:rsidR="00DA072C" w:rsidRPr="00FC3516">
        <w:rPr>
          <w:rFonts w:ascii="仿宋_GB2312" w:eastAsia="仿宋_GB2312" w:hAnsi="黑体" w:hint="eastAsia"/>
          <w:sz w:val="30"/>
          <w:szCs w:val="30"/>
        </w:rPr>
        <w:t>第</w:t>
      </w:r>
      <w:r w:rsidR="00DA072C">
        <w:rPr>
          <w:rFonts w:ascii="仿宋_GB2312" w:eastAsia="仿宋_GB2312" w:hAnsi="黑体" w:hint="eastAsia"/>
          <w:sz w:val="30"/>
          <w:szCs w:val="30"/>
        </w:rPr>
        <w:t>五十五</w:t>
      </w:r>
      <w:r w:rsidR="00DA072C" w:rsidRPr="00FC3516">
        <w:rPr>
          <w:rFonts w:ascii="仿宋_GB2312" w:eastAsia="仿宋_GB2312" w:hAnsi="黑体" w:hint="eastAsia"/>
          <w:sz w:val="30"/>
          <w:szCs w:val="30"/>
        </w:rPr>
        <w:t>条</w:t>
      </w:r>
      <w:r w:rsidR="00DA072C">
        <w:rPr>
          <w:rFonts w:ascii="仿宋_GB2312" w:eastAsia="仿宋_GB2312" w:hAnsi="黑体" w:hint="eastAsia"/>
          <w:sz w:val="30"/>
          <w:szCs w:val="30"/>
        </w:rPr>
        <w:t>新增“</w:t>
      </w:r>
      <w:r w:rsidR="00DA072C" w:rsidRPr="00DA072C">
        <w:rPr>
          <w:rFonts w:ascii="仿宋_GB2312" w:eastAsia="仿宋_GB2312" w:hAnsi="黑体" w:hint="eastAsia"/>
          <w:sz w:val="30"/>
          <w:szCs w:val="30"/>
        </w:rPr>
        <w:t>标的证券发生重大风险情形的，本所可以视情况将其调出标的证券范围，并向市场公布；重大风险情形消除的，本所可以视情况将其调入标的证券范围，并向市场公布。</w:t>
      </w:r>
      <w:r w:rsidR="00DA072C">
        <w:rPr>
          <w:rFonts w:ascii="仿宋_GB2312" w:eastAsia="仿宋_GB2312" w:hAnsi="黑体" w:hint="eastAsia"/>
          <w:sz w:val="30"/>
          <w:szCs w:val="30"/>
        </w:rPr>
        <w:t>”</w:t>
      </w:r>
    </w:p>
    <w:p w:rsidR="003E25CA" w:rsidRPr="00B146E9" w:rsidRDefault="00795409" w:rsidP="003E25CA">
      <w:pPr>
        <w:ind w:firstLineChars="200" w:firstLine="600"/>
        <w:rPr>
          <w:rFonts w:ascii="仿宋_GB2312" w:eastAsia="仿宋_GB2312" w:hAnsi="黑体"/>
          <w:sz w:val="30"/>
          <w:szCs w:val="30"/>
        </w:rPr>
      </w:pPr>
      <w:r>
        <w:rPr>
          <w:rFonts w:ascii="仿宋_GB2312" w:eastAsia="仿宋_GB2312" w:hAnsi="黑体" w:hint="eastAsia"/>
          <w:sz w:val="30"/>
          <w:szCs w:val="30"/>
        </w:rPr>
        <w:t>前期本所就拟修订的《融资融券细则》公开征求意见，共收到</w:t>
      </w:r>
      <w:r w:rsidR="0026067E">
        <w:rPr>
          <w:rFonts w:ascii="仿宋_GB2312" w:eastAsia="仿宋_GB2312" w:hAnsi="黑体" w:hint="eastAsia"/>
          <w:sz w:val="30"/>
          <w:szCs w:val="30"/>
        </w:rPr>
        <w:t>4</w:t>
      </w:r>
      <w:r w:rsidR="00581ED3">
        <w:rPr>
          <w:rFonts w:ascii="仿宋_GB2312" w:eastAsia="仿宋_GB2312" w:hAnsi="黑体" w:hint="eastAsia"/>
          <w:sz w:val="30"/>
          <w:szCs w:val="30"/>
        </w:rPr>
        <w:t>份</w:t>
      </w:r>
      <w:r>
        <w:rPr>
          <w:rFonts w:ascii="仿宋_GB2312" w:eastAsia="仿宋_GB2312" w:hAnsi="黑体" w:hint="eastAsia"/>
          <w:sz w:val="30"/>
          <w:szCs w:val="30"/>
        </w:rPr>
        <w:t>反馈意见。</w:t>
      </w:r>
      <w:r w:rsidR="003E25CA" w:rsidRPr="003E25CA">
        <w:rPr>
          <w:rFonts w:ascii="仿宋_GB2312" w:eastAsia="仿宋_GB2312" w:hAnsi="黑体" w:hint="eastAsia"/>
          <w:sz w:val="30"/>
          <w:szCs w:val="30"/>
        </w:rPr>
        <w:t>本所对反馈意见进行了认真研究，鉴于相关意见主要涉及</w:t>
      </w:r>
      <w:r w:rsidR="00B675F5">
        <w:rPr>
          <w:rFonts w:ascii="仿宋_GB2312" w:eastAsia="仿宋_GB2312" w:hAnsi="黑体" w:hint="eastAsia"/>
          <w:sz w:val="30"/>
          <w:szCs w:val="30"/>
        </w:rPr>
        <w:t>融资融券保证金</w:t>
      </w:r>
      <w:r w:rsidR="00B675F5" w:rsidRPr="00C87880">
        <w:rPr>
          <w:rFonts w:ascii="仿宋_GB2312" w:eastAsia="仿宋_GB2312" w:hAnsi="黑体" w:hint="eastAsia"/>
          <w:sz w:val="30"/>
          <w:szCs w:val="30"/>
        </w:rPr>
        <w:t>、</w:t>
      </w:r>
      <w:r w:rsidR="00B675F5">
        <w:rPr>
          <w:rFonts w:ascii="仿宋_GB2312" w:eastAsia="仿宋_GB2312" w:hAnsi="黑体" w:hint="eastAsia"/>
          <w:sz w:val="30"/>
          <w:szCs w:val="30"/>
        </w:rPr>
        <w:t>融券交易机制</w:t>
      </w:r>
      <w:r w:rsidR="003E25CA" w:rsidRPr="003E25CA">
        <w:rPr>
          <w:rFonts w:ascii="仿宋_GB2312" w:eastAsia="仿宋_GB2312" w:hAnsi="黑体" w:hint="eastAsia"/>
          <w:sz w:val="30"/>
          <w:szCs w:val="30"/>
        </w:rPr>
        <w:t>等制度机制安排，后续将视市场发展情况，进一步研究考虑。</w:t>
      </w:r>
    </w:p>
    <w:p w:rsidR="00176DAC" w:rsidRDefault="00571E24" w:rsidP="000C5C10">
      <w:pPr>
        <w:ind w:firstLineChars="200" w:firstLine="600"/>
        <w:rPr>
          <w:rFonts w:ascii="仿宋_GB2312" w:eastAsia="仿宋_GB2312"/>
          <w:sz w:val="30"/>
          <w:szCs w:val="30"/>
        </w:rPr>
      </w:pPr>
      <w:r>
        <w:rPr>
          <w:rFonts w:ascii="仿宋_GB2312" w:eastAsia="仿宋_GB2312" w:hint="eastAsia"/>
          <w:sz w:val="30"/>
          <w:szCs w:val="30"/>
        </w:rPr>
        <w:t>特此说明。</w:t>
      </w:r>
    </w:p>
    <w:p w:rsidR="000D437A" w:rsidRPr="000D437A" w:rsidRDefault="000D437A" w:rsidP="000D437A">
      <w:pPr>
        <w:spacing w:line="560" w:lineRule="exact"/>
        <w:ind w:firstLineChars="200" w:firstLine="602"/>
        <w:rPr>
          <w:rFonts w:ascii="仿宋_GB2312" w:eastAsia="仿宋_GB2312"/>
          <w:b/>
          <w:sz w:val="30"/>
          <w:szCs w:val="30"/>
        </w:rPr>
      </w:pPr>
    </w:p>
    <w:sectPr w:rsidR="000D437A" w:rsidRPr="000D437A" w:rsidSect="0027793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AF9" w:rsidRDefault="00C90AF9" w:rsidP="00883BFC">
      <w:r>
        <w:separator/>
      </w:r>
    </w:p>
  </w:endnote>
  <w:endnote w:type="continuationSeparator" w:id="0">
    <w:p w:rsidR="00C90AF9" w:rsidRDefault="00C90AF9" w:rsidP="00883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FC" w:rsidRDefault="00883BF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9890204"/>
      <w:docPartObj>
        <w:docPartGallery w:val="Page Numbers (Bottom of Page)"/>
        <w:docPartUnique/>
      </w:docPartObj>
    </w:sdtPr>
    <w:sdtContent>
      <w:p w:rsidR="00A6728F" w:rsidRPr="00A6728F" w:rsidRDefault="00404954" w:rsidP="00A6728F">
        <w:pPr>
          <w:pStyle w:val="a4"/>
          <w:jc w:val="center"/>
          <w:rPr>
            <w:rFonts w:ascii="Times New Roman" w:hAnsi="Times New Roman" w:cs="Times New Roman"/>
            <w:sz w:val="24"/>
            <w:szCs w:val="24"/>
          </w:rPr>
        </w:pPr>
        <w:r w:rsidRPr="00404954">
          <w:rPr>
            <w:rFonts w:ascii="Times New Roman" w:hAnsi="Times New Roman" w:cs="Times New Roman"/>
            <w:sz w:val="24"/>
            <w:szCs w:val="24"/>
          </w:rPr>
          <w:fldChar w:fldCharType="begin"/>
        </w:r>
        <w:r w:rsidR="00A6728F" w:rsidRPr="00A6728F">
          <w:rPr>
            <w:rFonts w:ascii="Times New Roman" w:hAnsi="Times New Roman" w:cs="Times New Roman"/>
            <w:sz w:val="24"/>
            <w:szCs w:val="24"/>
          </w:rPr>
          <w:instrText xml:space="preserve"> PAGE   \* MERGEFORMAT </w:instrText>
        </w:r>
        <w:r w:rsidRPr="00404954">
          <w:rPr>
            <w:rFonts w:ascii="Times New Roman" w:hAnsi="Times New Roman" w:cs="Times New Roman"/>
            <w:sz w:val="24"/>
            <w:szCs w:val="24"/>
          </w:rPr>
          <w:fldChar w:fldCharType="separate"/>
        </w:r>
        <w:r w:rsidR="00E02B50" w:rsidRPr="00E02B50">
          <w:rPr>
            <w:rFonts w:ascii="Times New Roman" w:hAnsi="Times New Roman" w:cs="Times New Roman"/>
            <w:noProof/>
            <w:sz w:val="24"/>
            <w:szCs w:val="24"/>
            <w:lang w:val="zh-CN"/>
          </w:rPr>
          <w:t>4</w:t>
        </w:r>
        <w:r w:rsidRPr="00A6728F">
          <w:rPr>
            <w:rFonts w:ascii="Times New Roman" w:hAnsi="Times New Roman" w:cs="Times New Roman"/>
            <w:noProof/>
            <w:sz w:val="24"/>
            <w:szCs w:val="24"/>
            <w:lang w:val="zh-C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FC" w:rsidRDefault="00883B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AF9" w:rsidRDefault="00C90AF9" w:rsidP="00883BFC">
      <w:r>
        <w:separator/>
      </w:r>
    </w:p>
  </w:footnote>
  <w:footnote w:type="continuationSeparator" w:id="0">
    <w:p w:rsidR="00C90AF9" w:rsidRDefault="00C90AF9" w:rsidP="00883B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FC" w:rsidRDefault="00883BF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FC" w:rsidRPr="00426026" w:rsidRDefault="00883BFC" w:rsidP="0042602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FC" w:rsidRDefault="00883BF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24674"/>
    <w:multiLevelType w:val="hybridMultilevel"/>
    <w:tmpl w:val="9224E37E"/>
    <w:lvl w:ilvl="0" w:tplc="0C822E9C">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 Yu">
    <w15:presenceInfo w15:providerId="Windows Live" w15:userId="e0f997c3a086855b"/>
  </w15:person>
  <w15:person w15:author="阮 洋">
    <w15:presenceInfo w15:providerId="Windows Live" w15:userId="db04a2bbd7cc042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70C0"/>
    <w:rsid w:val="00000656"/>
    <w:rsid w:val="0002589B"/>
    <w:rsid w:val="000273C3"/>
    <w:rsid w:val="00065D62"/>
    <w:rsid w:val="00066452"/>
    <w:rsid w:val="00083BAB"/>
    <w:rsid w:val="000920FD"/>
    <w:rsid w:val="000A1DD8"/>
    <w:rsid w:val="000B029A"/>
    <w:rsid w:val="000C5C10"/>
    <w:rsid w:val="000D1970"/>
    <w:rsid w:val="000D437A"/>
    <w:rsid w:val="000F22D2"/>
    <w:rsid w:val="0013227F"/>
    <w:rsid w:val="001346A5"/>
    <w:rsid w:val="00176DAC"/>
    <w:rsid w:val="0019257A"/>
    <w:rsid w:val="001B309D"/>
    <w:rsid w:val="001E0A94"/>
    <w:rsid w:val="001F6D34"/>
    <w:rsid w:val="00241AEB"/>
    <w:rsid w:val="00246A15"/>
    <w:rsid w:val="0026067E"/>
    <w:rsid w:val="002661CB"/>
    <w:rsid w:val="00277931"/>
    <w:rsid w:val="00280346"/>
    <w:rsid w:val="002A41B1"/>
    <w:rsid w:val="002D6B07"/>
    <w:rsid w:val="002F581D"/>
    <w:rsid w:val="00307029"/>
    <w:rsid w:val="0031450A"/>
    <w:rsid w:val="003162DD"/>
    <w:rsid w:val="00374724"/>
    <w:rsid w:val="00390FC6"/>
    <w:rsid w:val="003A523F"/>
    <w:rsid w:val="003B5C80"/>
    <w:rsid w:val="003B7E1B"/>
    <w:rsid w:val="003E25CA"/>
    <w:rsid w:val="003F1787"/>
    <w:rsid w:val="003F4B5D"/>
    <w:rsid w:val="003F55A4"/>
    <w:rsid w:val="003F6F1E"/>
    <w:rsid w:val="00404954"/>
    <w:rsid w:val="00413A84"/>
    <w:rsid w:val="00426026"/>
    <w:rsid w:val="004359E9"/>
    <w:rsid w:val="0046094F"/>
    <w:rsid w:val="004A46B3"/>
    <w:rsid w:val="004D6526"/>
    <w:rsid w:val="004E14CE"/>
    <w:rsid w:val="004E6D18"/>
    <w:rsid w:val="004F2D21"/>
    <w:rsid w:val="00513DBE"/>
    <w:rsid w:val="005155E1"/>
    <w:rsid w:val="0054162E"/>
    <w:rsid w:val="0055730F"/>
    <w:rsid w:val="00561326"/>
    <w:rsid w:val="00566DBF"/>
    <w:rsid w:val="00571E24"/>
    <w:rsid w:val="005752C7"/>
    <w:rsid w:val="00581ED3"/>
    <w:rsid w:val="005830EA"/>
    <w:rsid w:val="00583AAC"/>
    <w:rsid w:val="0059102D"/>
    <w:rsid w:val="005A17BE"/>
    <w:rsid w:val="005B352A"/>
    <w:rsid w:val="005D004B"/>
    <w:rsid w:val="005D16E4"/>
    <w:rsid w:val="005D24FE"/>
    <w:rsid w:val="00600DE8"/>
    <w:rsid w:val="006174A8"/>
    <w:rsid w:val="00627A94"/>
    <w:rsid w:val="00633A54"/>
    <w:rsid w:val="006536E6"/>
    <w:rsid w:val="00660A9C"/>
    <w:rsid w:val="00663E49"/>
    <w:rsid w:val="006703D9"/>
    <w:rsid w:val="00681C27"/>
    <w:rsid w:val="00681EBB"/>
    <w:rsid w:val="006B0EB9"/>
    <w:rsid w:val="006B3227"/>
    <w:rsid w:val="006C5DAC"/>
    <w:rsid w:val="006E401D"/>
    <w:rsid w:val="006E73C7"/>
    <w:rsid w:val="00701F66"/>
    <w:rsid w:val="00710E0D"/>
    <w:rsid w:val="00725361"/>
    <w:rsid w:val="00732CC3"/>
    <w:rsid w:val="00743133"/>
    <w:rsid w:val="007472E2"/>
    <w:rsid w:val="00751AAE"/>
    <w:rsid w:val="00760AE7"/>
    <w:rsid w:val="00765527"/>
    <w:rsid w:val="007727DB"/>
    <w:rsid w:val="00783BF7"/>
    <w:rsid w:val="00795409"/>
    <w:rsid w:val="00797FAC"/>
    <w:rsid w:val="007B7500"/>
    <w:rsid w:val="007C0C3A"/>
    <w:rsid w:val="007D1891"/>
    <w:rsid w:val="007F0502"/>
    <w:rsid w:val="007F5BA7"/>
    <w:rsid w:val="0082513B"/>
    <w:rsid w:val="00831A83"/>
    <w:rsid w:val="00837FB5"/>
    <w:rsid w:val="00876325"/>
    <w:rsid w:val="008835C1"/>
    <w:rsid w:val="00883BFC"/>
    <w:rsid w:val="00884227"/>
    <w:rsid w:val="008905E1"/>
    <w:rsid w:val="008A1F00"/>
    <w:rsid w:val="008A4B64"/>
    <w:rsid w:val="008C0FD0"/>
    <w:rsid w:val="008C28AD"/>
    <w:rsid w:val="008C3F42"/>
    <w:rsid w:val="008D0CBE"/>
    <w:rsid w:val="008E25A7"/>
    <w:rsid w:val="008E32FA"/>
    <w:rsid w:val="00902193"/>
    <w:rsid w:val="0090600C"/>
    <w:rsid w:val="00912D0F"/>
    <w:rsid w:val="00921192"/>
    <w:rsid w:val="00950EEB"/>
    <w:rsid w:val="009548C7"/>
    <w:rsid w:val="00967C09"/>
    <w:rsid w:val="00981912"/>
    <w:rsid w:val="00991E6B"/>
    <w:rsid w:val="009B42A0"/>
    <w:rsid w:val="009C11BB"/>
    <w:rsid w:val="009D1E33"/>
    <w:rsid w:val="009E2036"/>
    <w:rsid w:val="009E57F4"/>
    <w:rsid w:val="00A04B04"/>
    <w:rsid w:val="00A05AAF"/>
    <w:rsid w:val="00A2298B"/>
    <w:rsid w:val="00A32383"/>
    <w:rsid w:val="00A33780"/>
    <w:rsid w:val="00A532CB"/>
    <w:rsid w:val="00A602B9"/>
    <w:rsid w:val="00A63B13"/>
    <w:rsid w:val="00A6728F"/>
    <w:rsid w:val="00A76B7D"/>
    <w:rsid w:val="00A801C4"/>
    <w:rsid w:val="00A81D0D"/>
    <w:rsid w:val="00A942FC"/>
    <w:rsid w:val="00AA26C0"/>
    <w:rsid w:val="00AA6E5C"/>
    <w:rsid w:val="00AB1458"/>
    <w:rsid w:val="00AB4509"/>
    <w:rsid w:val="00AC40E2"/>
    <w:rsid w:val="00AE5730"/>
    <w:rsid w:val="00AF3524"/>
    <w:rsid w:val="00AF45D0"/>
    <w:rsid w:val="00AF5143"/>
    <w:rsid w:val="00B0409A"/>
    <w:rsid w:val="00B07D79"/>
    <w:rsid w:val="00B146E9"/>
    <w:rsid w:val="00B15F43"/>
    <w:rsid w:val="00B17719"/>
    <w:rsid w:val="00B56A19"/>
    <w:rsid w:val="00B570C0"/>
    <w:rsid w:val="00B675F5"/>
    <w:rsid w:val="00BB5EAB"/>
    <w:rsid w:val="00BD57AA"/>
    <w:rsid w:val="00BD6230"/>
    <w:rsid w:val="00BE553E"/>
    <w:rsid w:val="00BE577F"/>
    <w:rsid w:val="00BF36B4"/>
    <w:rsid w:val="00C04F7B"/>
    <w:rsid w:val="00C55EEF"/>
    <w:rsid w:val="00C87880"/>
    <w:rsid w:val="00C90AF9"/>
    <w:rsid w:val="00C91A47"/>
    <w:rsid w:val="00CB4975"/>
    <w:rsid w:val="00CB6729"/>
    <w:rsid w:val="00CC2D78"/>
    <w:rsid w:val="00CD60F4"/>
    <w:rsid w:val="00CE2325"/>
    <w:rsid w:val="00CE4E41"/>
    <w:rsid w:val="00CE7DC4"/>
    <w:rsid w:val="00D05988"/>
    <w:rsid w:val="00D24DBF"/>
    <w:rsid w:val="00D33535"/>
    <w:rsid w:val="00D52B11"/>
    <w:rsid w:val="00D56061"/>
    <w:rsid w:val="00D703BE"/>
    <w:rsid w:val="00D8039F"/>
    <w:rsid w:val="00DA072C"/>
    <w:rsid w:val="00DB4E07"/>
    <w:rsid w:val="00DC4DB7"/>
    <w:rsid w:val="00DD0431"/>
    <w:rsid w:val="00DD7263"/>
    <w:rsid w:val="00E02B50"/>
    <w:rsid w:val="00E20F49"/>
    <w:rsid w:val="00E252B0"/>
    <w:rsid w:val="00E3564E"/>
    <w:rsid w:val="00E461B7"/>
    <w:rsid w:val="00E71DB8"/>
    <w:rsid w:val="00E9145E"/>
    <w:rsid w:val="00EB0A50"/>
    <w:rsid w:val="00EC76DA"/>
    <w:rsid w:val="00EE63BE"/>
    <w:rsid w:val="00EF0447"/>
    <w:rsid w:val="00EF2AA0"/>
    <w:rsid w:val="00F017F5"/>
    <w:rsid w:val="00F0187D"/>
    <w:rsid w:val="00F05B7B"/>
    <w:rsid w:val="00F17E4D"/>
    <w:rsid w:val="00F222A7"/>
    <w:rsid w:val="00F257CC"/>
    <w:rsid w:val="00F46B38"/>
    <w:rsid w:val="00F52643"/>
    <w:rsid w:val="00F9016C"/>
    <w:rsid w:val="00FB476B"/>
    <w:rsid w:val="00FB7DE0"/>
    <w:rsid w:val="00FC3516"/>
    <w:rsid w:val="00FC7F83"/>
    <w:rsid w:val="00FD5FC9"/>
    <w:rsid w:val="00FD75D0"/>
    <w:rsid w:val="00FE6355"/>
    <w:rsid w:val="00FE7F3B"/>
    <w:rsid w:val="00FF2FEE"/>
    <w:rsid w:val="00FF30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28"/>
        <w:szCs w:val="28"/>
        <w:lang w:val="en-US" w:eastAsia="zh-CN" w:bidi="ar-SA"/>
      </w:rPr>
    </w:rPrDefault>
    <w:pPrDefault>
      <w:pPr>
        <w:ind w:firstLineChars="200" w:firstLine="19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0C0"/>
    <w:pPr>
      <w:widowControl w:val="0"/>
      <w:ind w:firstLineChars="0" w:firstLine="0"/>
    </w:pPr>
    <w:rPr>
      <w:rFonts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3B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3BFC"/>
    <w:rPr>
      <w:rFonts w:eastAsiaTheme="minorEastAsia"/>
      <w:sz w:val="18"/>
      <w:szCs w:val="18"/>
    </w:rPr>
  </w:style>
  <w:style w:type="paragraph" w:styleId="a4">
    <w:name w:val="footer"/>
    <w:basedOn w:val="a"/>
    <w:link w:val="Char0"/>
    <w:uiPriority w:val="99"/>
    <w:unhideWhenUsed/>
    <w:rsid w:val="00883BFC"/>
    <w:pPr>
      <w:tabs>
        <w:tab w:val="center" w:pos="4153"/>
        <w:tab w:val="right" w:pos="8306"/>
      </w:tabs>
      <w:snapToGrid w:val="0"/>
      <w:jc w:val="left"/>
    </w:pPr>
    <w:rPr>
      <w:sz w:val="18"/>
      <w:szCs w:val="18"/>
    </w:rPr>
  </w:style>
  <w:style w:type="character" w:customStyle="1" w:styleId="Char0">
    <w:name w:val="页脚 Char"/>
    <w:basedOn w:val="a0"/>
    <w:link w:val="a4"/>
    <w:uiPriority w:val="99"/>
    <w:rsid w:val="00883BFC"/>
    <w:rPr>
      <w:rFonts w:eastAsiaTheme="minorEastAsia"/>
      <w:sz w:val="18"/>
      <w:szCs w:val="18"/>
    </w:rPr>
  </w:style>
  <w:style w:type="paragraph" w:styleId="a5">
    <w:name w:val="List Paragraph"/>
    <w:basedOn w:val="a"/>
    <w:uiPriority w:val="34"/>
    <w:qFormat/>
    <w:rsid w:val="00FF2FEE"/>
    <w:pPr>
      <w:ind w:firstLineChars="200" w:firstLine="420"/>
    </w:pPr>
  </w:style>
  <w:style w:type="paragraph" w:styleId="a6">
    <w:name w:val="Balloon Text"/>
    <w:basedOn w:val="a"/>
    <w:link w:val="Char1"/>
    <w:uiPriority w:val="99"/>
    <w:semiHidden/>
    <w:unhideWhenUsed/>
    <w:rsid w:val="00FD5FC9"/>
    <w:rPr>
      <w:sz w:val="18"/>
      <w:szCs w:val="18"/>
    </w:rPr>
  </w:style>
  <w:style w:type="character" w:customStyle="1" w:styleId="Char1">
    <w:name w:val="批注框文本 Char"/>
    <w:basedOn w:val="a0"/>
    <w:link w:val="a6"/>
    <w:uiPriority w:val="99"/>
    <w:semiHidden/>
    <w:rsid w:val="00FD5FC9"/>
    <w:rPr>
      <w:rFonts w:eastAsiaTheme="minorEastAsia"/>
      <w:sz w:val="18"/>
      <w:szCs w:val="18"/>
    </w:rPr>
  </w:style>
  <w:style w:type="paragraph" w:styleId="a7">
    <w:name w:val="Revision"/>
    <w:hidden/>
    <w:uiPriority w:val="99"/>
    <w:semiHidden/>
    <w:rsid w:val="0054162E"/>
    <w:pPr>
      <w:ind w:firstLineChars="0" w:firstLine="0"/>
      <w:jc w:val="left"/>
    </w:pPr>
    <w:rPr>
      <w:rFonts w:eastAsiaTheme="minorEastAsia"/>
      <w:sz w:val="21"/>
      <w:szCs w:val="22"/>
    </w:rPr>
  </w:style>
  <w:style w:type="paragraph" w:customStyle="1" w:styleId="a8">
    <w:basedOn w:val="a"/>
    <w:next w:val="a5"/>
    <w:uiPriority w:val="99"/>
    <w:qFormat/>
    <w:rsid w:val="005155E1"/>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69881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E2EB4-0844-4CE8-A93F-55B393B7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2023-02-09T05:33:00Z</cp:lastPrinted>
  <dcterms:created xsi:type="dcterms:W3CDTF">2023-02-10T10:01:00Z</dcterms:created>
  <dcterms:modified xsi:type="dcterms:W3CDTF">2023-02-16T09:34:00Z</dcterms:modified>
</cp:coreProperties>
</file>