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08" w:rsidRPr="00903CCC" w:rsidRDefault="009C2408" w:rsidP="009C2408">
      <w:pPr>
        <w:spacing w:line="560" w:lineRule="exact"/>
        <w:rPr>
          <w:rFonts w:ascii="仿宋_GB2312" w:eastAsia="仿宋_GB2312" w:hAnsi="仿宋" w:hint="eastAsia"/>
          <w:b/>
          <w:kern w:val="0"/>
          <w:sz w:val="30"/>
          <w:szCs w:val="30"/>
        </w:rPr>
      </w:pPr>
      <w:bookmarkStart w:id="0" w:name="title"/>
      <w:bookmarkStart w:id="1" w:name="send_to"/>
      <w:bookmarkStart w:id="2" w:name="content1"/>
      <w:bookmarkEnd w:id="0"/>
      <w:bookmarkEnd w:id="1"/>
      <w:bookmarkEnd w:id="2"/>
      <w:r w:rsidRPr="00903CCC">
        <w:rPr>
          <w:rFonts w:ascii="仿宋_GB2312" w:eastAsia="仿宋_GB2312" w:hAnsi="仿宋" w:hint="eastAsia"/>
          <w:b/>
          <w:kern w:val="0"/>
          <w:sz w:val="30"/>
          <w:szCs w:val="30"/>
        </w:rPr>
        <w:t>附件</w:t>
      </w:r>
    </w:p>
    <w:p w:rsidR="009C2408" w:rsidRPr="00403EB1" w:rsidRDefault="009C2408" w:rsidP="009C2408">
      <w:pPr>
        <w:spacing w:line="560" w:lineRule="exact"/>
        <w:rPr>
          <w:rFonts w:ascii="仿宋_GB2312" w:eastAsia="仿宋_GB2312" w:hAnsi="仿宋" w:hint="eastAsia"/>
          <w:kern w:val="0"/>
          <w:sz w:val="30"/>
          <w:szCs w:val="30"/>
        </w:rPr>
      </w:pPr>
    </w:p>
    <w:p w:rsidR="009C2408" w:rsidRPr="00903CCC" w:rsidRDefault="009C2408" w:rsidP="009C2408">
      <w:pPr>
        <w:spacing w:line="560" w:lineRule="exact"/>
        <w:jc w:val="center"/>
        <w:rPr>
          <w:rFonts w:ascii="方正大标宋简体" w:eastAsia="方正大标宋简体" w:hAnsi="仿宋" w:hint="eastAsia"/>
          <w:sz w:val="42"/>
          <w:szCs w:val="42"/>
        </w:rPr>
      </w:pPr>
      <w:r w:rsidRPr="00903CCC">
        <w:rPr>
          <w:rFonts w:ascii="方正大标宋简体" w:eastAsia="方正大标宋简体" w:hAnsi="仿宋" w:hint="eastAsia"/>
          <w:sz w:val="42"/>
          <w:szCs w:val="42"/>
        </w:rPr>
        <w:t>资产管理计划份额转让风险揭示书必备条款</w:t>
      </w:r>
    </w:p>
    <w:p w:rsidR="009C2408" w:rsidRPr="00403EB1" w:rsidRDefault="009C2408" w:rsidP="009C2408">
      <w:pPr>
        <w:spacing w:line="560" w:lineRule="exact"/>
        <w:ind w:firstLineChars="189" w:firstLine="567"/>
        <w:rPr>
          <w:rFonts w:ascii="仿宋_GB2312" w:eastAsia="仿宋_GB2312" w:hint="eastAsia"/>
          <w:sz w:val="30"/>
          <w:szCs w:val="30"/>
        </w:rPr>
      </w:pPr>
    </w:p>
    <w:p w:rsidR="009C2408" w:rsidRPr="00403EB1" w:rsidRDefault="009C2408" w:rsidP="009C2408">
      <w:pPr>
        <w:spacing w:line="560" w:lineRule="exact"/>
        <w:ind w:firstLineChars="189" w:firstLine="567"/>
        <w:rPr>
          <w:rFonts w:ascii="仿宋_GB2312" w:eastAsia="仿宋_GB2312" w:hAnsi="仿宋" w:hint="eastAsia"/>
          <w:sz w:val="30"/>
          <w:szCs w:val="30"/>
        </w:rPr>
      </w:pPr>
      <w:r w:rsidRPr="00403EB1">
        <w:rPr>
          <w:rFonts w:ascii="仿宋_GB2312" w:eastAsia="仿宋_GB2312" w:hAnsi="仿宋" w:hint="eastAsia"/>
          <w:sz w:val="30"/>
          <w:szCs w:val="30"/>
        </w:rPr>
        <w:t>为了使投资者充分了解</w:t>
      </w:r>
      <w:r w:rsidRPr="00403EB1">
        <w:rPr>
          <w:rFonts w:ascii="仿宋_GB2312" w:eastAsia="仿宋_GB2312" w:hAnsi="仿宋" w:hint="eastAsia"/>
          <w:kern w:val="0"/>
          <w:sz w:val="30"/>
          <w:szCs w:val="30"/>
        </w:rPr>
        <w:t>资产管理计划份额</w:t>
      </w:r>
      <w:r w:rsidRPr="00403EB1">
        <w:rPr>
          <w:rFonts w:ascii="仿宋_GB2312" w:eastAsia="仿宋_GB2312" w:hAnsi="仿宋" w:hint="eastAsia"/>
          <w:sz w:val="30"/>
          <w:szCs w:val="30"/>
        </w:rPr>
        <w:t>转让业务风险，通过上海证券交易所（以下简称“上交所”）开展资产管理计划份额转让业务的资产管理机构应当制定资产管理计划份额转让的《风险揭示书》。《风险揭示书》至少应包括下列内容：</w:t>
      </w:r>
    </w:p>
    <w:p w:rsidR="009C2408" w:rsidRPr="00403EB1" w:rsidRDefault="009C2408" w:rsidP="009C2408">
      <w:pPr>
        <w:spacing w:line="560" w:lineRule="exact"/>
        <w:ind w:firstLineChars="189" w:firstLine="567"/>
        <w:rPr>
          <w:rFonts w:ascii="仿宋_GB2312" w:eastAsia="仿宋_GB2312" w:hAnsi="仿宋" w:hint="eastAsia"/>
          <w:sz w:val="30"/>
          <w:szCs w:val="30"/>
        </w:rPr>
      </w:pPr>
      <w:r w:rsidRPr="00403EB1">
        <w:rPr>
          <w:rFonts w:ascii="仿宋_GB2312" w:eastAsia="仿宋_GB2312" w:hAnsi="仿宋" w:hint="eastAsia"/>
          <w:sz w:val="30"/>
          <w:szCs w:val="30"/>
        </w:rPr>
        <w:t>一、上交所为资产管理计划份额转让提供服务，不代表对资产管理计划的投资风险或收益做出判断或保证。</w:t>
      </w:r>
    </w:p>
    <w:p w:rsidR="009C2408" w:rsidRPr="00403EB1" w:rsidRDefault="009C2408" w:rsidP="009C2408">
      <w:pPr>
        <w:spacing w:line="560" w:lineRule="exact"/>
        <w:ind w:firstLineChars="189" w:firstLine="567"/>
        <w:rPr>
          <w:rFonts w:ascii="仿宋_GB2312" w:eastAsia="仿宋_GB2312" w:hAnsi="仿宋" w:hint="eastAsia"/>
          <w:sz w:val="30"/>
          <w:szCs w:val="30"/>
        </w:rPr>
      </w:pPr>
      <w:r w:rsidRPr="00403EB1">
        <w:rPr>
          <w:rFonts w:ascii="仿宋_GB2312" w:eastAsia="仿宋_GB2312" w:hAnsi="仿宋" w:hint="eastAsia"/>
          <w:sz w:val="30"/>
          <w:szCs w:val="30"/>
        </w:rPr>
        <w:t>二、资产管理机构在资产管理计划合同和说明书中对资产管理计划存在的风险已作揭示，投资者在参与资产管理计划份额转让业务前，应认真阅读资产管理计划合同和说明书，了解产品特性，关注产品风险。</w:t>
      </w:r>
    </w:p>
    <w:p w:rsidR="009C2408" w:rsidRPr="00403EB1" w:rsidRDefault="009C2408" w:rsidP="009C2408">
      <w:pPr>
        <w:spacing w:line="560" w:lineRule="exact"/>
        <w:ind w:firstLineChars="189" w:firstLine="567"/>
        <w:rPr>
          <w:rFonts w:ascii="仿宋_GB2312" w:eastAsia="仿宋_GB2312" w:hAnsi="仿宋" w:hint="eastAsia"/>
          <w:sz w:val="30"/>
          <w:szCs w:val="30"/>
        </w:rPr>
      </w:pPr>
      <w:r w:rsidRPr="00403EB1">
        <w:rPr>
          <w:rFonts w:ascii="仿宋_GB2312" w:eastAsia="仿宋_GB2312" w:hAnsi="仿宋" w:hint="eastAsia"/>
          <w:sz w:val="30"/>
          <w:szCs w:val="30"/>
        </w:rPr>
        <w:t>三、资产管理计划份额在上交所进行转让，并非集中竞价交易，可能不具有一个活跃的转让市场。上交所可以根据需要暂停或终止转让服务。</w:t>
      </w:r>
    </w:p>
    <w:p w:rsidR="009C2408" w:rsidRPr="00403EB1" w:rsidRDefault="009C2408" w:rsidP="009C2408">
      <w:pPr>
        <w:spacing w:line="560" w:lineRule="exact"/>
        <w:ind w:firstLineChars="189" w:firstLine="567"/>
        <w:rPr>
          <w:rFonts w:ascii="仿宋_GB2312" w:eastAsia="仿宋_GB2312" w:hAnsi="仿宋" w:hint="eastAsia"/>
          <w:sz w:val="30"/>
          <w:szCs w:val="30"/>
        </w:rPr>
      </w:pPr>
      <w:r w:rsidRPr="00403EB1">
        <w:rPr>
          <w:rFonts w:ascii="仿宋_GB2312" w:eastAsia="仿宋_GB2312" w:hAnsi="仿宋" w:hint="eastAsia"/>
          <w:sz w:val="30"/>
          <w:szCs w:val="30"/>
        </w:rPr>
        <w:t>四、资产管理计划份额转让后，如果份额持有人人数或者单个投资者持有的份额余额不再符合中国证监会及上交所的相关规定或者资产管理计划的约定的，可能导致已经确认的成交申报无效，相关法律责任及后果由资产管理机构及相关投资者自行承担。</w:t>
      </w:r>
    </w:p>
    <w:p w:rsidR="009C2408" w:rsidRPr="00403EB1" w:rsidRDefault="009C2408" w:rsidP="009C2408">
      <w:pPr>
        <w:spacing w:line="560" w:lineRule="exact"/>
        <w:ind w:firstLineChars="189" w:firstLine="567"/>
        <w:rPr>
          <w:rFonts w:ascii="仿宋_GB2312" w:eastAsia="仿宋_GB2312" w:hAnsi="仿宋" w:hint="eastAsia"/>
          <w:sz w:val="30"/>
          <w:szCs w:val="30"/>
        </w:rPr>
      </w:pPr>
      <w:r w:rsidRPr="00403EB1">
        <w:rPr>
          <w:rFonts w:ascii="仿宋_GB2312" w:eastAsia="仿宋_GB2312" w:hAnsi="仿宋" w:hint="eastAsia"/>
          <w:sz w:val="30"/>
          <w:szCs w:val="30"/>
        </w:rPr>
        <w:t>五、资产管理计划份额转让实行非担保交收。申报转让（受让）资产管理计划份额时，上交所对资产管理计划份额（资金）</w:t>
      </w:r>
      <w:r w:rsidRPr="00403EB1">
        <w:rPr>
          <w:rFonts w:ascii="仿宋_GB2312" w:eastAsia="仿宋_GB2312" w:hAnsi="仿宋" w:hint="eastAsia"/>
          <w:sz w:val="30"/>
          <w:szCs w:val="30"/>
        </w:rPr>
        <w:lastRenderedPageBreak/>
        <w:t>余额事先不实行检查、控制，相关份额登记结算机构也不实行担保交收，转让合同履行风险由转让方、受让方及资产管理机构自行控制。</w:t>
      </w:r>
    </w:p>
    <w:p w:rsidR="009C2408" w:rsidRPr="00403EB1" w:rsidRDefault="009C2408" w:rsidP="009C2408">
      <w:pPr>
        <w:spacing w:line="560" w:lineRule="exact"/>
        <w:ind w:firstLineChars="189" w:firstLine="567"/>
        <w:rPr>
          <w:rFonts w:ascii="仿宋_GB2312" w:eastAsia="仿宋_GB2312" w:hAnsi="仿宋" w:hint="eastAsia"/>
          <w:sz w:val="30"/>
          <w:szCs w:val="30"/>
        </w:rPr>
      </w:pPr>
      <w:r w:rsidRPr="00403EB1">
        <w:rPr>
          <w:rFonts w:ascii="仿宋_GB2312" w:eastAsia="仿宋_GB2312" w:hAnsi="仿宋" w:hint="eastAsia"/>
          <w:sz w:val="30"/>
          <w:szCs w:val="30"/>
        </w:rPr>
        <w:t>除上述各项风险提示外，资产管理机构还可以根据具体情况在本公司制定的《风险揭示书》中对资产管理计划份额转让存在的风险做进一步列举。</w:t>
      </w:r>
    </w:p>
    <w:p w:rsidR="009C2408" w:rsidRPr="00403EB1" w:rsidRDefault="009C2408" w:rsidP="009C2408">
      <w:pPr>
        <w:spacing w:line="560" w:lineRule="exact"/>
        <w:ind w:firstLineChars="189" w:firstLine="567"/>
        <w:rPr>
          <w:rFonts w:ascii="仿宋_GB2312" w:eastAsia="仿宋_GB2312" w:hAnsi="仿宋" w:hint="eastAsia"/>
          <w:sz w:val="30"/>
          <w:szCs w:val="30"/>
        </w:rPr>
      </w:pPr>
      <w:r w:rsidRPr="00403EB1">
        <w:rPr>
          <w:rFonts w:ascii="仿宋_GB2312" w:eastAsia="仿宋_GB2312" w:hAnsi="仿宋" w:hint="eastAsia"/>
          <w:sz w:val="30"/>
          <w:szCs w:val="30"/>
        </w:rPr>
        <w:t>风险揭示书应以醒目的文字载明：</w:t>
      </w:r>
    </w:p>
    <w:p w:rsidR="009C2408" w:rsidRPr="00403EB1" w:rsidRDefault="009C2408" w:rsidP="009C2408">
      <w:pPr>
        <w:spacing w:line="560" w:lineRule="exact"/>
        <w:ind w:firstLineChars="189" w:firstLine="567"/>
        <w:rPr>
          <w:rFonts w:ascii="仿宋_GB2312" w:eastAsia="仿宋_GB2312" w:hAnsi="仿宋" w:hint="eastAsia"/>
          <w:sz w:val="30"/>
          <w:szCs w:val="30"/>
        </w:rPr>
      </w:pPr>
      <w:r w:rsidRPr="00403EB1">
        <w:rPr>
          <w:rFonts w:ascii="仿宋_GB2312" w:eastAsia="仿宋_GB2312" w:hAnsi="仿宋" w:hint="eastAsia"/>
          <w:sz w:val="30"/>
          <w:szCs w:val="30"/>
        </w:rPr>
        <w:t>本《风险揭示书》的揭示事项仅为列举性质，并未穷尽通过上交所办理资产管理计划份额转让业务所有风险因素。投资者参与资产管理计划份额转让业务前，对其他可能产生投资风险的相关因素也应详细了解、认真评估，以免因贸然从事此业务而遭受损失。</w:t>
      </w:r>
    </w:p>
    <w:p w:rsidR="009C2408" w:rsidRDefault="009C2408" w:rsidP="009C2408">
      <w:pPr>
        <w:spacing w:line="600" w:lineRule="exact"/>
        <w:rPr>
          <w:rFonts w:ascii="黑体" w:eastAsia="黑体" w:hAnsi="黑体" w:hint="eastAsia"/>
          <w:sz w:val="36"/>
          <w:szCs w:val="36"/>
        </w:rPr>
      </w:pPr>
    </w:p>
    <w:p w:rsidR="009C2408" w:rsidRPr="009C2408" w:rsidRDefault="009C2408">
      <w:pPr>
        <w:rPr>
          <w:rFonts w:hint="eastAsia"/>
        </w:rPr>
      </w:pPr>
    </w:p>
    <w:sectPr w:rsidR="009C2408" w:rsidRPr="009C24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55C" w:rsidRDefault="004A555C" w:rsidP="004A555C">
      <w:r>
        <w:separator/>
      </w:r>
    </w:p>
  </w:endnote>
  <w:endnote w:type="continuationSeparator" w:id="1">
    <w:p w:rsidR="004A555C" w:rsidRDefault="004A555C" w:rsidP="004A5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55C" w:rsidRDefault="004A555C" w:rsidP="004A555C">
      <w:r>
        <w:separator/>
      </w:r>
    </w:p>
  </w:footnote>
  <w:footnote w:type="continuationSeparator" w:id="1">
    <w:p w:rsidR="004A555C" w:rsidRDefault="004A555C" w:rsidP="004A55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6615D"/>
    <w:multiLevelType w:val="hybridMultilevel"/>
    <w:tmpl w:val="E7FEB6E4"/>
    <w:lvl w:ilvl="0" w:tplc="0024E476">
      <w:start w:val="1"/>
      <w:numFmt w:val="chineseCountingThousand"/>
      <w:lvlText w:val="第%1条"/>
      <w:lvlJc w:val="left"/>
      <w:pPr>
        <w:ind w:left="1129"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2408"/>
    <w:rsid w:val="004A555C"/>
    <w:rsid w:val="009C2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240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C2408"/>
    <w:pPr>
      <w:tabs>
        <w:tab w:val="left" w:pos="7020"/>
      </w:tabs>
      <w:spacing w:line="600" w:lineRule="exact"/>
      <w:ind w:firstLineChars="200" w:firstLine="600"/>
    </w:pPr>
    <w:rPr>
      <w:rFonts w:ascii="仿宋_GB2312" w:eastAsia="仿宋_GB2312"/>
      <w:sz w:val="30"/>
      <w:szCs w:val="24"/>
    </w:rPr>
  </w:style>
  <w:style w:type="paragraph" w:styleId="a4">
    <w:name w:val="Date"/>
    <w:basedOn w:val="a"/>
    <w:next w:val="a"/>
    <w:rsid w:val="009C2408"/>
    <w:rPr>
      <w:rFonts w:ascii="楷体_GB2312" w:eastAsia="楷体_GB2312"/>
      <w:sz w:val="32"/>
    </w:rPr>
  </w:style>
  <w:style w:type="paragraph" w:customStyle="1" w:styleId="alpha1">
    <w:name w:val="alpha 1"/>
    <w:basedOn w:val="a"/>
    <w:rsid w:val="009C2408"/>
    <w:pPr>
      <w:widowControl/>
      <w:numPr>
        <w:numId w:val="1"/>
      </w:numPr>
      <w:spacing w:after="140" w:line="290" w:lineRule="auto"/>
      <w:outlineLvl w:val="0"/>
    </w:pPr>
    <w:rPr>
      <w:rFonts w:ascii="Arial" w:eastAsia="PMingLiU" w:hAnsi="Arial"/>
      <w:kern w:val="20"/>
      <w:sz w:val="20"/>
      <w:lang w:val="en-GB" w:eastAsia="en-GB"/>
    </w:rPr>
  </w:style>
  <w:style w:type="paragraph" w:styleId="a5">
    <w:name w:val="Balloon Text"/>
    <w:basedOn w:val="a"/>
    <w:semiHidden/>
    <w:rsid w:val="009C2408"/>
    <w:rPr>
      <w:sz w:val="18"/>
      <w:szCs w:val="18"/>
    </w:rPr>
  </w:style>
  <w:style w:type="paragraph" w:styleId="a6">
    <w:name w:val="header"/>
    <w:basedOn w:val="a"/>
    <w:link w:val="Char"/>
    <w:rsid w:val="004A55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A555C"/>
    <w:rPr>
      <w:kern w:val="2"/>
      <w:sz w:val="18"/>
      <w:szCs w:val="18"/>
    </w:rPr>
  </w:style>
  <w:style w:type="paragraph" w:styleId="a7">
    <w:name w:val="footer"/>
    <w:basedOn w:val="a"/>
    <w:link w:val="Char0"/>
    <w:rsid w:val="004A555C"/>
    <w:pPr>
      <w:tabs>
        <w:tab w:val="center" w:pos="4153"/>
        <w:tab w:val="right" w:pos="8306"/>
      </w:tabs>
      <w:snapToGrid w:val="0"/>
      <w:jc w:val="left"/>
    </w:pPr>
    <w:rPr>
      <w:sz w:val="18"/>
      <w:szCs w:val="18"/>
    </w:rPr>
  </w:style>
  <w:style w:type="character" w:customStyle="1" w:styleId="Char0">
    <w:name w:val="页脚 Char"/>
    <w:basedOn w:val="a0"/>
    <w:link w:val="a7"/>
    <w:rsid w:val="004A555C"/>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113</Words>
  <Characters>646</Characters>
  <Application>Microsoft Office Word</Application>
  <DocSecurity>0</DocSecurity>
  <Lines>5</Lines>
  <Paragraphs>1</Paragraphs>
  <ScaleCrop>false</ScaleCrop>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2014-04-08T02:45:00Z</dcterms:created>
  <dcterms:modified xsi:type="dcterms:W3CDTF">2014-04-08T02:45:00Z</dcterms:modified>
</cp:coreProperties>
</file>